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20320</wp:posOffset>
            </wp:positionV>
            <wp:extent cx="6994525" cy="6407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40715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40"/>
            <w:col w:w="8500"/>
          </w:cols>
          <w:pgMar w:left="460" w:top="221" w:right="359" w:bottom="56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Vidal Daniel</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C/O EXPENSIFY, INC.</w:t>
            </w:r>
          </w:p>
        </w:tc>
        <w:tc>
          <w:tcPr>
            <w:tcW w:w="162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401 SW 5TH AVE</w:t>
            </w: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PORTLAND</w:t>
            </w:r>
          </w:p>
        </w:tc>
        <w:tc>
          <w:tcPr>
            <w:tcW w:w="980" w:type="dxa"/>
            <w:vAlign w:val="bottom"/>
          </w:tcPr>
          <w:p>
            <w:pPr>
              <w:ind w:left="180"/>
              <w:spacing w:after="0"/>
              <w:rPr>
                <w:sz w:val="20"/>
                <w:szCs w:val="20"/>
                <w:color w:val="auto"/>
              </w:rPr>
            </w:pPr>
            <w:r>
              <w:rPr>
                <w:rFonts w:ascii="Arial" w:cs="Arial" w:eastAsia="Arial" w:hAnsi="Arial"/>
                <w:sz w:val="17"/>
                <w:szCs w:val="17"/>
                <w:color w:val="0000FF"/>
              </w:rPr>
              <w:t>OR</w:t>
            </w:r>
          </w:p>
        </w:tc>
        <w:tc>
          <w:tcPr>
            <w:tcW w:w="1620" w:type="dxa"/>
            <w:vAlign w:val="bottom"/>
          </w:tcPr>
          <w:p>
            <w:pPr>
              <w:ind w:left="420"/>
              <w:spacing w:after="0"/>
              <w:rPr>
                <w:sz w:val="20"/>
                <w:szCs w:val="20"/>
                <w:color w:val="auto"/>
              </w:rPr>
            </w:pPr>
            <w:r>
              <w:rPr>
                <w:rFonts w:ascii="Arial" w:cs="Arial" w:eastAsia="Arial" w:hAnsi="Arial"/>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Expensify,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EXFY</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3"/>
        </w:trPr>
        <w:tc>
          <w:tcPr>
            <w:tcW w:w="1300" w:type="dxa"/>
            <w:vAlign w:val="bottom"/>
            <w:gridSpan w:val="3"/>
          </w:tcPr>
          <w:p>
            <w:pPr>
              <w:ind w:left="60"/>
              <w:spacing w:after="0"/>
              <w:rPr>
                <w:sz w:val="20"/>
                <w:szCs w:val="20"/>
                <w:color w:val="auto"/>
              </w:rPr>
            </w:pPr>
            <w:r>
              <w:rPr>
                <w:rFonts w:ascii="Arial" w:cs="Arial" w:eastAsia="Arial" w:hAnsi="Arial"/>
                <w:sz w:val="17"/>
                <w:szCs w:val="17"/>
                <w:color w:val="0000FF"/>
              </w:rPr>
              <w:t>09/15/2023</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9"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5" w:lineRule="exact"/>
        <w:rPr>
          <w:sz w:val="24"/>
          <w:szCs w:val="24"/>
          <w:color w:val="auto"/>
        </w:rPr>
      </w:pPr>
    </w:p>
    <w:p>
      <w:pPr>
        <w:ind w:left="320" w:right="32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21" w:right="359" w:bottom="56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8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20"/>
              <w:spacing w:after="0" w:line="125"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jc w:val="center"/>
              <w:ind w:left="62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56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jc w:val="center"/>
              <w:ind w:left="629"/>
              <w:spacing w:after="0"/>
              <w:rPr>
                <w:sz w:val="20"/>
                <w:szCs w:val="20"/>
                <w:color w:val="auto"/>
              </w:rPr>
            </w:pPr>
            <w:r>
              <w:rPr>
                <w:rFonts w:ascii="Arial" w:cs="Arial" w:eastAsia="Arial" w:hAnsi="Arial"/>
                <w:sz w:val="17"/>
                <w:szCs w:val="17"/>
                <w:color w:val="0000FF"/>
                <w:w w:val="89"/>
              </w:rPr>
              <w:t>09/15/2023</w:t>
            </w:r>
          </w:p>
        </w:tc>
        <w:tc>
          <w:tcPr>
            <w:tcW w:w="4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8,629</w:t>
            </w:r>
            <w:r>
              <w:rPr>
                <w:rFonts w:ascii="Arial" w:cs="Arial" w:eastAsia="Arial" w:hAnsi="Arial"/>
                <w:sz w:val="21"/>
                <w:szCs w:val="21"/>
                <w:color w:val="008000"/>
                <w:vertAlign w:val="superscript"/>
              </w:rPr>
              <w:t>(1)</w:t>
            </w:r>
          </w:p>
        </w:tc>
        <w:tc>
          <w:tcPr>
            <w:tcW w:w="6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left="7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97,861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jc w:val="center"/>
              <w:ind w:left="629"/>
              <w:spacing w:after="0"/>
              <w:rPr>
                <w:sz w:val="20"/>
                <w:szCs w:val="20"/>
                <w:color w:val="auto"/>
              </w:rPr>
            </w:pPr>
            <w:r>
              <w:rPr>
                <w:rFonts w:ascii="Arial" w:cs="Arial" w:eastAsia="Arial" w:hAnsi="Arial"/>
                <w:sz w:val="17"/>
                <w:szCs w:val="17"/>
                <w:color w:val="0000FF"/>
                <w:w w:val="89"/>
              </w:rPr>
              <w:t>09/15/2023</w:t>
            </w:r>
          </w:p>
        </w:tc>
        <w:tc>
          <w:tcPr>
            <w:tcW w:w="4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1,525</w:t>
            </w:r>
            <w:r>
              <w:rPr>
                <w:rFonts w:ascii="Arial" w:cs="Arial" w:eastAsia="Arial" w:hAnsi="Arial"/>
                <w:sz w:val="21"/>
                <w:szCs w:val="21"/>
                <w:color w:val="008000"/>
                <w:vertAlign w:val="superscript"/>
              </w:rPr>
              <w:t>(2)</w:t>
            </w:r>
          </w:p>
        </w:tc>
        <w:tc>
          <w:tcPr>
            <w:tcW w:w="6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99,386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jc w:val="center"/>
              <w:ind w:left="629"/>
              <w:spacing w:after="0"/>
              <w:rPr>
                <w:sz w:val="20"/>
                <w:szCs w:val="20"/>
                <w:color w:val="auto"/>
              </w:rPr>
            </w:pPr>
            <w:r>
              <w:rPr>
                <w:rFonts w:ascii="Arial" w:cs="Arial" w:eastAsia="Arial" w:hAnsi="Arial"/>
                <w:sz w:val="17"/>
                <w:szCs w:val="17"/>
                <w:color w:val="0000FF"/>
                <w:w w:val="89"/>
              </w:rPr>
              <w:t>09/15/2023</w:t>
            </w: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72"/>
              <w:spacing w:after="0"/>
              <w:rPr>
                <w:sz w:val="20"/>
                <w:szCs w:val="20"/>
                <w:color w:val="auto"/>
              </w:rPr>
            </w:pPr>
            <w:r>
              <w:rPr>
                <w:rFonts w:ascii="Arial" w:cs="Arial" w:eastAsia="Arial" w:hAnsi="Arial"/>
                <w:sz w:val="17"/>
                <w:szCs w:val="17"/>
                <w:color w:val="0000FF"/>
              </w:rPr>
              <w:t>425</w:t>
            </w:r>
          </w:p>
        </w:tc>
        <w:tc>
          <w:tcPr>
            <w:tcW w:w="600" w:type="dxa"/>
            <w:vAlign w:val="bottom"/>
          </w:tcPr>
          <w:p>
            <w:pPr>
              <w:ind w:left="340"/>
              <w:spacing w:after="0"/>
              <w:rPr>
                <w:sz w:val="20"/>
                <w:szCs w:val="20"/>
                <w:color w:val="auto"/>
              </w:rPr>
            </w:pPr>
            <w:r>
              <w:rPr>
                <w:rFonts w:ascii="Arial" w:cs="Arial" w:eastAsia="Arial" w:hAnsi="Arial"/>
                <w:sz w:val="17"/>
                <w:szCs w:val="17"/>
                <w:color w:val="0000FF"/>
              </w:rPr>
              <w:t>D</w:t>
            </w:r>
          </w:p>
        </w:tc>
        <w:tc>
          <w:tcPr>
            <w:tcW w:w="560" w:type="dxa"/>
            <w:vAlign w:val="bottom"/>
            <w:gridSpan w:val="2"/>
          </w:tcPr>
          <w:p>
            <w:pPr>
              <w:jc w:val="center"/>
              <w:ind w:left="7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3.81</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98,961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jc w:val="center"/>
              <w:ind w:left="629"/>
              <w:spacing w:after="0"/>
              <w:rPr>
                <w:sz w:val="20"/>
                <w:szCs w:val="20"/>
                <w:color w:val="auto"/>
              </w:rPr>
            </w:pPr>
            <w:r>
              <w:rPr>
                <w:rFonts w:ascii="Arial" w:cs="Arial" w:eastAsia="Arial" w:hAnsi="Arial"/>
                <w:sz w:val="17"/>
                <w:szCs w:val="17"/>
                <w:color w:val="0000FF"/>
                <w:w w:val="89"/>
              </w:rPr>
              <w:t>09/15/2023</w:t>
            </w: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12"/>
              <w:spacing w:after="0"/>
              <w:rPr>
                <w:sz w:val="20"/>
                <w:szCs w:val="20"/>
                <w:color w:val="auto"/>
              </w:rPr>
            </w:pPr>
            <w:r>
              <w:rPr>
                <w:rFonts w:ascii="Arial" w:cs="Arial" w:eastAsia="Arial" w:hAnsi="Arial"/>
                <w:sz w:val="17"/>
                <w:szCs w:val="17"/>
                <w:color w:val="0000FF"/>
              </w:rPr>
              <w:t>2,826</w:t>
            </w:r>
          </w:p>
        </w:tc>
        <w:tc>
          <w:tcPr>
            <w:tcW w:w="600" w:type="dxa"/>
            <w:vAlign w:val="bottom"/>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130"/>
              <w:spacing w:after="0"/>
              <w:rPr>
                <w:sz w:val="20"/>
                <w:szCs w:val="20"/>
                <w:color w:val="auto"/>
              </w:rPr>
            </w:pPr>
            <w:r>
              <w:rPr>
                <w:rFonts w:ascii="Arial" w:cs="Arial" w:eastAsia="Arial" w:hAnsi="Arial"/>
                <w:sz w:val="11"/>
                <w:szCs w:val="11"/>
                <w:color w:val="008000"/>
                <w:w w:val="88"/>
              </w:rPr>
              <w:t>(3)</w:t>
            </w:r>
          </w:p>
        </w:tc>
        <w:tc>
          <w:tcPr>
            <w:tcW w:w="4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101,787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jc w:val="center"/>
              <w:ind w:left="629"/>
              <w:spacing w:after="0"/>
              <w:rPr>
                <w:sz w:val="20"/>
                <w:szCs w:val="20"/>
                <w:color w:val="auto"/>
              </w:rPr>
            </w:pPr>
            <w:r>
              <w:rPr>
                <w:rFonts w:ascii="Arial" w:cs="Arial" w:eastAsia="Arial" w:hAnsi="Arial"/>
                <w:sz w:val="17"/>
                <w:szCs w:val="17"/>
                <w:color w:val="0000FF"/>
                <w:w w:val="89"/>
              </w:rPr>
              <w:t>09/15/2023</w:t>
            </w: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12"/>
              <w:spacing w:after="0"/>
              <w:rPr>
                <w:sz w:val="20"/>
                <w:szCs w:val="20"/>
                <w:color w:val="auto"/>
              </w:rPr>
            </w:pPr>
            <w:r>
              <w:rPr>
                <w:rFonts w:ascii="Arial" w:cs="Arial" w:eastAsia="Arial" w:hAnsi="Arial"/>
                <w:sz w:val="17"/>
                <w:szCs w:val="17"/>
                <w:color w:val="0000FF"/>
              </w:rPr>
              <w:t>1,575</w:t>
            </w:r>
          </w:p>
        </w:tc>
        <w:tc>
          <w:tcPr>
            <w:tcW w:w="600" w:type="dxa"/>
            <w:vAlign w:val="bottom"/>
          </w:tcPr>
          <w:p>
            <w:pPr>
              <w:ind w:left="340"/>
              <w:spacing w:after="0"/>
              <w:rPr>
                <w:sz w:val="20"/>
                <w:szCs w:val="20"/>
                <w:color w:val="auto"/>
              </w:rPr>
            </w:pPr>
            <w:r>
              <w:rPr>
                <w:rFonts w:ascii="Arial" w:cs="Arial" w:eastAsia="Arial" w:hAnsi="Arial"/>
                <w:sz w:val="17"/>
                <w:szCs w:val="17"/>
                <w:color w:val="0000FF"/>
              </w:rPr>
              <w:t>D</w:t>
            </w:r>
          </w:p>
        </w:tc>
        <w:tc>
          <w:tcPr>
            <w:tcW w:w="560" w:type="dxa"/>
            <w:vAlign w:val="bottom"/>
            <w:gridSpan w:val="2"/>
          </w:tcPr>
          <w:p>
            <w:pPr>
              <w:jc w:val="center"/>
              <w:ind w:left="7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3.46</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100,212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4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42"/>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Amount</w:t>
            </w: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jc w:val="right"/>
              <w:ind w:right="92"/>
              <w:spacing w:after="0"/>
              <w:rPr>
                <w:sz w:val="20"/>
                <w:szCs w:val="20"/>
                <w:color w:val="auto"/>
              </w:rPr>
            </w:pPr>
            <w:r>
              <w:rPr>
                <w:rFonts w:ascii="Arial" w:cs="Arial" w:eastAsia="Arial" w:hAnsi="Arial"/>
                <w:sz w:val="12"/>
                <w:szCs w:val="12"/>
                <w:b w:val="1"/>
                <w:bCs w:val="1"/>
                <w:color w:val="auto"/>
                <w:w w:val="91"/>
              </w:rPr>
              <w:t>Expiration</w:t>
            </w:r>
          </w:p>
        </w:tc>
        <w:tc>
          <w:tcPr>
            <w:tcW w:w="600" w:type="dxa"/>
            <w:vAlign w:val="bottom"/>
          </w:tcPr>
          <w:p>
            <w:pPr>
              <w:spacing w:after="0"/>
              <w:rPr>
                <w:sz w:val="11"/>
                <w:szCs w:val="11"/>
                <w:color w:val="auto"/>
              </w:rPr>
            </w:pPr>
          </w:p>
        </w:tc>
        <w:tc>
          <w:tcPr>
            <w:tcW w:w="560" w:type="dxa"/>
            <w:vAlign w:val="bottom"/>
            <w:gridSpan w:val="2"/>
          </w:tcPr>
          <w:p>
            <w:pPr>
              <w:jc w:val="center"/>
              <w:ind w:right="100"/>
              <w:spacing w:after="0" w:line="129" w:lineRule="exact"/>
              <w:rPr>
                <w:sz w:val="20"/>
                <w:szCs w:val="20"/>
                <w:color w:val="auto"/>
              </w:rPr>
            </w:pPr>
            <w:r>
              <w:rPr>
                <w:rFonts w:ascii="Arial" w:cs="Arial" w:eastAsia="Arial" w:hAnsi="Arial"/>
                <w:sz w:val="12"/>
                <w:szCs w:val="12"/>
                <w:b w:val="1"/>
                <w:bCs w:val="1"/>
                <w:color w:val="auto"/>
                <w:w w:val="92"/>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jc w:val="right"/>
              <w:ind w:right="412"/>
              <w:spacing w:after="0"/>
              <w:rPr>
                <w:sz w:val="20"/>
                <w:szCs w:val="20"/>
                <w:color w:val="auto"/>
              </w:rPr>
            </w:pPr>
            <w:r>
              <w:rPr>
                <w:rFonts w:ascii="Arial" w:cs="Arial" w:eastAsia="Arial" w:hAnsi="Arial"/>
                <w:sz w:val="12"/>
                <w:szCs w:val="12"/>
                <w:b w:val="1"/>
                <w:bCs w:val="1"/>
                <w:color w:val="auto"/>
                <w:w w:val="84"/>
              </w:rPr>
              <w:t>Date</w:t>
            </w:r>
          </w:p>
        </w:tc>
        <w:tc>
          <w:tcPr>
            <w:tcW w:w="600" w:type="dxa"/>
            <w:vAlign w:val="bottom"/>
            <w:vMerge w:val="continue"/>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2,826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09/15/2023</w:t>
            </w:r>
          </w:p>
        </w:tc>
        <w:tc>
          <w:tcPr>
            <w:tcW w:w="112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2"/>
                <w:szCs w:val="12"/>
                <w:color w:val="auto"/>
              </w:rPr>
            </w:pPr>
          </w:p>
        </w:tc>
        <w:tc>
          <w:tcPr>
            <w:tcW w:w="500" w:type="dxa"/>
            <w:vAlign w:val="bottom"/>
          </w:tcPr>
          <w:p>
            <w:pPr>
              <w:ind w:left="80"/>
              <w:spacing w:after="0" w:line="141" w:lineRule="exact"/>
              <w:rPr>
                <w:sz w:val="20"/>
                <w:szCs w:val="20"/>
                <w:color w:val="auto"/>
              </w:rPr>
            </w:pPr>
            <w:r>
              <w:rPr>
                <w:rFonts w:ascii="Arial" w:cs="Arial" w:eastAsia="Arial" w:hAnsi="Arial"/>
                <w:sz w:val="13"/>
                <w:szCs w:val="13"/>
                <w:color w:val="0000FF"/>
              </w:rPr>
              <w:t>2,826</w:t>
            </w:r>
          </w:p>
        </w:tc>
        <w:tc>
          <w:tcPr>
            <w:tcW w:w="780" w:type="dxa"/>
            <w:vAlign w:val="bottom"/>
            <w:gridSpan w:val="2"/>
            <w:vMerge w:val="continue"/>
          </w:tcPr>
          <w:p>
            <w:pPr>
              <w:spacing w:after="0"/>
              <w:rPr>
                <w:sz w:val="12"/>
                <w:szCs w:val="12"/>
                <w:color w:val="auto"/>
              </w:rPr>
            </w:pPr>
          </w:p>
        </w:tc>
        <w:tc>
          <w:tcPr>
            <w:tcW w:w="720" w:type="dxa"/>
            <w:vAlign w:val="bottom"/>
          </w:tcPr>
          <w:p>
            <w:pPr>
              <w:jc w:val="right"/>
              <w:ind w:right="72"/>
              <w:spacing w:after="0" w:line="141" w:lineRule="exact"/>
              <w:rPr>
                <w:sz w:val="20"/>
                <w:szCs w:val="20"/>
                <w:color w:val="auto"/>
              </w:rPr>
            </w:pPr>
            <w:r>
              <w:rPr>
                <w:rFonts w:ascii="Arial" w:cs="Arial" w:eastAsia="Arial" w:hAnsi="Arial"/>
                <w:sz w:val="13"/>
                <w:szCs w:val="13"/>
                <w:color w:val="0000FF"/>
                <w:w w:val="86"/>
              </w:rPr>
              <w:t>12/15/2029</w:t>
            </w:r>
          </w:p>
        </w:tc>
        <w:tc>
          <w:tcPr>
            <w:tcW w:w="600" w:type="dxa"/>
            <w:vAlign w:val="bottom"/>
          </w:tcPr>
          <w:p>
            <w:pPr>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1"/>
              <w:spacing w:after="0" w:line="141" w:lineRule="exact"/>
              <w:rPr>
                <w:sz w:val="20"/>
                <w:szCs w:val="20"/>
                <w:color w:val="auto"/>
              </w:rPr>
            </w:pPr>
            <w:r>
              <w:rPr>
                <w:rFonts w:ascii="Arial" w:cs="Arial" w:eastAsia="Arial" w:hAnsi="Arial"/>
                <w:sz w:val="13"/>
                <w:szCs w:val="13"/>
                <w:color w:val="0000FF"/>
                <w:w w:val="90"/>
              </w:rPr>
              <w:t>67,807</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Arial" w:cs="Arial" w:eastAsia="Arial" w:hAnsi="Arial"/>
                <w:sz w:val="13"/>
                <w:szCs w:val="13"/>
                <w:color w:val="0000FF"/>
                <w:w w:val="94"/>
              </w:rPr>
              <w:t>LT50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2,826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09/15/2023</w:t>
            </w:r>
          </w:p>
        </w:tc>
        <w:tc>
          <w:tcPr>
            <w:tcW w:w="112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2"/>
                <w:szCs w:val="12"/>
                <w:color w:val="auto"/>
              </w:rPr>
            </w:pPr>
          </w:p>
        </w:tc>
        <w:tc>
          <w:tcPr>
            <w:tcW w:w="500" w:type="dxa"/>
            <w:vAlign w:val="bottom"/>
          </w:tcPr>
          <w:p>
            <w:pPr>
              <w:ind w:left="80"/>
              <w:spacing w:after="0" w:line="141" w:lineRule="exact"/>
              <w:rPr>
                <w:sz w:val="20"/>
                <w:szCs w:val="20"/>
                <w:color w:val="auto"/>
              </w:rPr>
            </w:pPr>
            <w:r>
              <w:rPr>
                <w:rFonts w:ascii="Arial" w:cs="Arial" w:eastAsia="Arial" w:hAnsi="Arial"/>
                <w:sz w:val="13"/>
                <w:szCs w:val="13"/>
                <w:color w:val="0000FF"/>
              </w:rPr>
              <w:t>2,826</w:t>
            </w:r>
          </w:p>
        </w:tc>
        <w:tc>
          <w:tcPr>
            <w:tcW w:w="780" w:type="dxa"/>
            <w:vAlign w:val="bottom"/>
            <w:gridSpan w:val="2"/>
            <w:vMerge w:val="continue"/>
          </w:tcPr>
          <w:p>
            <w:pPr>
              <w:spacing w:after="0"/>
              <w:rPr>
                <w:sz w:val="12"/>
                <w:szCs w:val="12"/>
                <w:color w:val="auto"/>
              </w:rPr>
            </w:pPr>
          </w:p>
        </w:tc>
        <w:tc>
          <w:tcPr>
            <w:tcW w:w="720" w:type="dxa"/>
            <w:vAlign w:val="bottom"/>
          </w:tcPr>
          <w:p>
            <w:pPr>
              <w:jc w:val="right"/>
              <w:ind w:right="72"/>
              <w:spacing w:after="0" w:line="141" w:lineRule="exact"/>
              <w:rPr>
                <w:sz w:val="20"/>
                <w:szCs w:val="20"/>
                <w:color w:val="auto"/>
              </w:rPr>
            </w:pPr>
            <w:r>
              <w:rPr>
                <w:rFonts w:ascii="Arial" w:cs="Arial" w:eastAsia="Arial" w:hAnsi="Arial"/>
                <w:sz w:val="13"/>
                <w:szCs w:val="13"/>
                <w:color w:val="0000FF"/>
                <w:w w:val="86"/>
              </w:rPr>
              <w:t>12/15/2029</w:t>
            </w:r>
          </w:p>
        </w:tc>
        <w:tc>
          <w:tcPr>
            <w:tcW w:w="600" w:type="dxa"/>
            <w:vAlign w:val="bottom"/>
          </w:tcPr>
          <w:p>
            <w:pPr>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1"/>
              <w:spacing w:after="0" w:line="141" w:lineRule="exact"/>
              <w:rPr>
                <w:sz w:val="20"/>
                <w:szCs w:val="20"/>
                <w:color w:val="auto"/>
              </w:rPr>
            </w:pPr>
            <w:r>
              <w:rPr>
                <w:rFonts w:ascii="Arial" w:cs="Arial" w:eastAsia="Arial" w:hAnsi="Arial"/>
                <w:sz w:val="13"/>
                <w:szCs w:val="13"/>
                <w:color w:val="0000FF"/>
                <w:w w:val="90"/>
              </w:rPr>
              <w:t>67,807</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LT50</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6"/>
              </w:rPr>
              <w:t>(5)(6)</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right"/>
              <w:ind w:right="292"/>
              <w:spacing w:after="0"/>
              <w:rPr>
                <w:sz w:val="20"/>
                <w:szCs w:val="20"/>
                <w:color w:val="auto"/>
              </w:rPr>
            </w:pPr>
            <w:r>
              <w:rPr>
                <w:rFonts w:ascii="Arial" w:cs="Arial" w:eastAsia="Arial" w:hAnsi="Arial"/>
                <w:sz w:val="11"/>
                <w:szCs w:val="11"/>
                <w:color w:val="008000"/>
              </w:rPr>
              <w:t>(6)</w:t>
            </w:r>
          </w:p>
        </w:tc>
        <w:tc>
          <w:tcPr>
            <w:tcW w:w="600" w:type="dxa"/>
            <w:vAlign w:val="bottom"/>
          </w:tcPr>
          <w:p>
            <w:pPr>
              <w:jc w:val="center"/>
              <w:ind w:right="54"/>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4"/>
              </w:rPr>
              <w:t>2,826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w w:val="92"/>
              </w:rPr>
              <w:t>See note</w:t>
            </w:r>
            <w:r>
              <w:rPr>
                <w:rFonts w:ascii="Arial" w:cs="Arial" w:eastAsia="Arial" w:hAnsi="Arial"/>
                <w:sz w:val="21"/>
                <w:szCs w:val="21"/>
                <w:color w:val="008000"/>
                <w:w w:val="92"/>
                <w:vertAlign w:val="superscript"/>
              </w:rPr>
              <w:t>(7)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09/15/2023</w:t>
            </w:r>
          </w:p>
        </w:tc>
        <w:tc>
          <w:tcPr>
            <w:tcW w:w="112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80" w:type="dxa"/>
            <w:vAlign w:val="bottom"/>
          </w:tcPr>
          <w:p>
            <w:pPr>
              <w:ind w:left="140"/>
              <w:spacing w:after="0" w:line="141" w:lineRule="exact"/>
              <w:rPr>
                <w:sz w:val="20"/>
                <w:szCs w:val="20"/>
                <w:color w:val="auto"/>
              </w:rPr>
            </w:pPr>
            <w:r>
              <w:rPr>
                <w:rFonts w:ascii="Arial" w:cs="Arial" w:eastAsia="Arial" w:hAnsi="Arial"/>
                <w:sz w:val="13"/>
                <w:szCs w:val="13"/>
                <w:color w:val="0000FF"/>
                <w:w w:val="98"/>
              </w:rPr>
              <w:t>2,826</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9"/>
              </w:rPr>
              <w:t>135,243</w:t>
            </w:r>
          </w:p>
        </w:tc>
        <w:tc>
          <w:tcPr>
            <w:tcW w:w="660" w:type="dxa"/>
            <w:vAlign w:val="bottom"/>
          </w:tcPr>
          <w:p>
            <w:pPr>
              <w:jc w:val="center"/>
              <w:ind w:left="12"/>
              <w:spacing w:after="0" w:line="141"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purchased pursuant to the Expensify, Inc. 2021 Stock Purchase and Matching Plan ("SPMP").</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granted as matched shares pursuant to the SPMP.</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represents the contingent right to receive one share of Class A common stock. This transaction represents the settlement of vested RSUs in shares of Class A Common Stock.</w:t>
      </w:r>
    </w:p>
    <w:p>
      <w:pPr>
        <w:spacing w:after="0" w:line="54" w:lineRule="exact"/>
        <w:rPr>
          <w:rFonts w:ascii="Arial" w:cs="Arial" w:eastAsia="Arial" w:hAnsi="Arial"/>
          <w:sz w:val="12"/>
          <w:szCs w:val="12"/>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12.5% on September 15, 2022 and 1/32nd each quarter thereafter, on December 15th, March 15th, June 15th and September 15th.</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represents the contingent right to receive one share of LT50 common stock. This transaction represents the settlement of vested RSUs in shares of LT50 Common Stock.</w:t>
      </w:r>
    </w:p>
    <w:p>
      <w:pPr>
        <w:spacing w:after="0" w:line="54" w:lineRule="exact"/>
        <w:rPr>
          <w:rFonts w:ascii="Arial" w:cs="Arial" w:eastAsia="Arial" w:hAnsi="Arial"/>
          <w:sz w:val="12"/>
          <w:szCs w:val="12"/>
          <w:color w:val="008000"/>
        </w:rPr>
      </w:pPr>
    </w:p>
    <w:p>
      <w:pPr>
        <w:ind w:left="40" w:right="24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Deposited into the Expensify Voting Trust (the "Voting Trust"). The Reporting Person retains investment control and dispositive power over the shares deposited into the Voting Trust.</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0"/>
              </w:rPr>
              <w:t>/s/ Ryan Schaffer, as attorney-</w:t>
            </w: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10/10/2023</w:t>
            </w:r>
          </w:p>
        </w:tc>
        <w:tc>
          <w:tcPr>
            <w:tcW w:w="0" w:type="dxa"/>
            <w:vAlign w:val="bottom"/>
          </w:tcPr>
          <w:p>
            <w:pPr>
              <w:spacing w:after="0"/>
              <w:rPr>
                <w:sz w:val="1"/>
                <w:szCs w:val="1"/>
                <w:color w:val="auto"/>
              </w:rPr>
            </w:pPr>
          </w:p>
        </w:tc>
      </w:tr>
      <w:tr>
        <w:trPr>
          <w:trHeight w:val="83"/>
        </w:trPr>
        <w:tc>
          <w:tcPr>
            <w:tcW w:w="440" w:type="dxa"/>
            <w:vAlign w:val="bottom"/>
            <w:tcBorders>
              <w:top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90"/>
              </w:rPr>
              <w:t>in-fact</w:t>
            </w:r>
          </w:p>
        </w:tc>
        <w:tc>
          <w:tcPr>
            <w:tcW w:w="1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top w:val="single" w:sz="8" w:color="auto"/>
              <w:bottom w:val="single" w:sz="8" w:color="auto"/>
            </w:tcBorders>
            <w:vMerge w:val="continue"/>
          </w:tcPr>
          <w:p>
            <w:pPr>
              <w:spacing w:after="0"/>
              <w:rPr>
                <w:sz w:val="7"/>
                <w:szCs w:val="7"/>
                <w:color w:val="auto"/>
              </w:rPr>
            </w:pPr>
          </w:p>
        </w:tc>
        <w:tc>
          <w:tcPr>
            <w:tcW w:w="1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56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color w:val="auto"/>
        </w:rPr>
        <w:t>LIMITED POWER OF ATTORNEY</w:t>
      </w:r>
    </w:p>
    <w:p>
      <w:pPr>
        <w:spacing w:after="0" w:line="220" w:lineRule="auto"/>
        <w:rPr>
          <w:sz w:val="20"/>
          <w:szCs w:val="20"/>
          <w:color w:val="auto"/>
        </w:rPr>
      </w:pPr>
      <w:r>
        <w:rPr>
          <w:rFonts w:ascii="Arial" w:cs="Arial" w:eastAsia="Arial" w:hAnsi="Arial"/>
          <w:sz w:val="17"/>
          <w:szCs w:val="17"/>
          <w:color w:val="auto"/>
        </w:rPr>
        <w:t>For Filings under Section 16 of the Securities Exchange Act of 1934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(Expensify, Inc.)</w:t>
      </w:r>
    </w:p>
    <w:p>
      <w:pPr>
        <w:spacing w:after="0" w:line="86" w:lineRule="exact"/>
        <w:rPr>
          <w:sz w:val="20"/>
          <w:szCs w:val="20"/>
          <w:color w:val="auto"/>
        </w:rPr>
      </w:pPr>
    </w:p>
    <w:p>
      <w:pPr>
        <w:ind w:right="60"/>
        <w:spacing w:after="0" w:line="250" w:lineRule="auto"/>
        <w:rPr>
          <w:sz w:val="20"/>
          <w:szCs w:val="20"/>
          <w:color w:val="auto"/>
        </w:rPr>
      </w:pPr>
      <w:r>
        <w:rPr>
          <w:rFonts w:ascii="Arial" w:cs="Arial" w:eastAsia="Arial" w:hAnsi="Arial"/>
          <w:sz w:val="15"/>
          <w:szCs w:val="15"/>
          <w:color w:val="auto"/>
        </w:rPr>
        <w:t>The undersigned hereby constitutes and appoints David Michael Barrett, Chief Executive Officer of Expensify, Inc. (the "Company") and Ryan Schaffer, Chief Financial Officer of the Company, each in their respective capacities as such, and each of their respective successors in such offices, and each of them, the</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7"/>
          <w:szCs w:val="17"/>
          <w:color w:val="auto"/>
        </w:rPr>
        <w:t>undersigned's true and lawful attorneys-in-fact and agents, with full power of substitution in the premises, for the undersigned and in the undersigned's name, place and stead, in any and all capacities, to:</w:t>
      </w:r>
    </w:p>
    <w:p>
      <w:pPr>
        <w:spacing w:after="0" w:line="80" w:lineRule="exact"/>
        <w:rPr>
          <w:sz w:val="20"/>
          <w:szCs w:val="20"/>
          <w:color w:val="auto"/>
        </w:rPr>
      </w:pPr>
    </w:p>
    <w:p>
      <w:pPr>
        <w:ind w:right="280" w:firstLine="3"/>
        <w:spacing w:after="0" w:line="246" w:lineRule="auto"/>
        <w:tabs>
          <w:tab w:leader="none" w:pos="242"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the Company, Forms 3, 4 and 5 in accordance with Section 16(a) of the Securities Exchange Act of 1934, as amended (the "Exchange Act"), and the rules thereunder;</w:t>
      </w:r>
    </w:p>
    <w:p>
      <w:pPr>
        <w:spacing w:after="0" w:line="74" w:lineRule="exact"/>
        <w:rPr>
          <w:rFonts w:ascii="Arial" w:cs="Arial" w:eastAsia="Arial" w:hAnsi="Arial"/>
          <w:sz w:val="17"/>
          <w:szCs w:val="17"/>
          <w:color w:val="auto"/>
        </w:rPr>
      </w:pPr>
    </w:p>
    <w:p>
      <w:pPr>
        <w:ind w:right="240" w:firstLine="3"/>
        <w:spacing w:after="0" w:line="260" w:lineRule="auto"/>
        <w:tabs>
          <w:tab w:leader="none" w:pos="242" w:val="left"/>
        </w:tabs>
        <w:numPr>
          <w:ilvl w:val="0"/>
          <w:numId w:val="3"/>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that may be necessary or desirable to complete and execute any such Form 3, 4 or 5 and timely file such form with the United States Securities and Exchange Commission and any stock exchange or similar authority; and</w:t>
      </w:r>
    </w:p>
    <w:p>
      <w:pPr>
        <w:spacing w:after="0" w:line="76" w:lineRule="exact"/>
        <w:rPr>
          <w:rFonts w:ascii="Arial" w:cs="Arial" w:eastAsia="Arial" w:hAnsi="Arial"/>
          <w:sz w:val="16"/>
          <w:szCs w:val="16"/>
          <w:color w:val="auto"/>
        </w:rPr>
      </w:pPr>
    </w:p>
    <w:p>
      <w:pPr>
        <w:ind w:right="180" w:firstLine="3"/>
        <w:spacing w:after="0" w:line="224" w:lineRule="auto"/>
        <w:tabs>
          <w:tab w:leader="none" w:pos="242" w:val="left"/>
        </w:tabs>
        <w:numPr>
          <w:ilvl w:val="0"/>
          <w:numId w:val="3"/>
        </w:numPr>
        <w:rPr>
          <w:rFonts w:ascii="Arial" w:cs="Arial" w:eastAsia="Arial" w:hAnsi="Arial"/>
          <w:sz w:val="17"/>
          <w:szCs w:val="17"/>
          <w:color w:val="auto"/>
        </w:rPr>
      </w:pPr>
      <w:r>
        <w:rPr>
          <w:rFonts w:ascii="Arial" w:cs="Arial" w:eastAsia="Arial" w:hAnsi="Arial"/>
          <w:sz w:val="17"/>
          <w:szCs w:val="17"/>
          <w:color w:val="auto"/>
        </w:rPr>
        <w:t>take any other action solely in connection with the foregoing which, in the opinion of such attorney-in-fact, may be of benefit to, in the best interest of, or legally required by or on behalf of,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46" w:lineRule="exact"/>
        <w:rPr>
          <w:sz w:val="20"/>
          <w:szCs w:val="20"/>
          <w:color w:val="auto"/>
        </w:rPr>
      </w:pPr>
    </w:p>
    <w:p>
      <w:pPr>
        <w:ind w:right="220"/>
        <w:spacing w:after="0" w:line="250" w:lineRule="auto"/>
        <w:rPr>
          <w:sz w:val="20"/>
          <w:szCs w:val="20"/>
          <w:color w:val="auto"/>
        </w:rPr>
      </w:pPr>
      <w:r>
        <w:rPr>
          <w:rFonts w:ascii="Arial" w:cs="Arial" w:eastAsia="Arial" w:hAnsi="Arial"/>
          <w:sz w:val="15"/>
          <w:szCs w:val="15"/>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could do if personally present, with full power of substitution and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each of the foregoing attorneys-in-fact, in serving in such capacity at the request of the undersigned, is not assuming, nor is the</w:t>
      </w:r>
    </w:p>
    <w:p>
      <w:pPr>
        <w:spacing w:after="0"/>
        <w:rPr>
          <w:sz w:val="20"/>
          <w:szCs w:val="20"/>
          <w:color w:val="auto"/>
        </w:rPr>
      </w:pPr>
      <w:r>
        <w:rPr>
          <w:rFonts w:ascii="Arial" w:cs="Arial" w:eastAsia="Arial" w:hAnsi="Arial"/>
          <w:sz w:val="17"/>
          <w:szCs w:val="17"/>
          <w:color w:val="auto"/>
        </w:rPr>
        <w:t>Company assuming, any of the undersigned's responsibilities to comply with Section 16 of the Exchange Act.</w:t>
      </w:r>
    </w:p>
    <w:p>
      <w:pPr>
        <w:spacing w:after="0" w:line="253" w:lineRule="exact"/>
        <w:rPr>
          <w:sz w:val="20"/>
          <w:szCs w:val="20"/>
          <w:color w:val="auto"/>
        </w:rPr>
      </w:pPr>
    </w:p>
    <w:p>
      <w:pPr>
        <w:ind w:right="100"/>
        <w:spacing w:after="0" w:line="250" w:lineRule="auto"/>
        <w:rPr>
          <w:sz w:val="20"/>
          <w:szCs w:val="20"/>
          <w:color w:val="auto"/>
        </w:rPr>
      </w:pPr>
      <w:r>
        <w:rPr>
          <w:rFonts w:ascii="Arial" w:cs="Arial" w:eastAsia="Arial" w:hAnsi="Arial"/>
          <w:sz w:val="15"/>
          <w:szCs w:val="15"/>
          <w:color w:val="auto"/>
        </w:rPr>
        <w:t>This Limited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foregoing attorneys-in-fact.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undersigned has executed this Limited Power of Attorney this 5th day of November 2021.</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/s/Daniel Vidal</w:t>
      </w:r>
    </w:p>
    <w:p>
      <w:pPr>
        <w:spacing w:after="0"/>
        <w:rPr>
          <w:sz w:val="20"/>
          <w:szCs w:val="20"/>
          <w:color w:val="auto"/>
        </w:rPr>
      </w:pPr>
      <w:r>
        <w:rPr>
          <w:rFonts w:ascii="Arial" w:cs="Arial" w:eastAsia="Arial" w:hAnsi="Arial"/>
          <w:sz w:val="17"/>
          <w:szCs w:val="17"/>
          <w:color w:val="auto"/>
        </w:rPr>
        <w:t>Name: Daniel Vidal</w:t>
      </w:r>
    </w:p>
    <w:sectPr>
      <w:pgSz w:w="11900" w:h="16838" w:orient="portrait"/>
      <w:cols w:equalWidth="0" w:num="1">
        <w:col w:w="10940"/>
      </w:cols>
      <w:pgMar w:left="460" w:top="133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86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2023-10-10T20:03:01Z</dcterms:created>
  <dcterms:modified xsi:type="dcterms:W3CDTF">2023-10-10T20:03:01Z</dcterms:modified>
</cp:coreProperties>
</file>