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22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20" w:type="dxa"/>
            <w:vAlign w:val="bottom"/>
            <w:gridSpan w:val="19"/>
            <w:vMerge w:val="restart"/>
          </w:tcPr>
          <w:p>
            <w:pPr>
              <w:jc w:val="center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40" w:type="dxa"/>
            <w:vAlign w:val="bottom"/>
            <w:gridSpan w:val="17"/>
            <w:vMerge w:val="restart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9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jc w:val="center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Vidal Daniel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EXFY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0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401 SW 5TH AVE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Rule 10b5-1(c) Transaction Indication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jc w:val="center"/>
              <w:ind w:left="56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06/14/2023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4,496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6.96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97,319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06/14/2023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4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71"/>
                <w:vertAlign w:val="subscript"/>
              </w:rPr>
              <w:t>911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1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98,230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06/14/2023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97,975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06/15/2023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06/15/2023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7.15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99,226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80" w:type="dxa"/>
            <w:vAlign w:val="bottom"/>
            <w:gridSpan w:val="8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06/15/2023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5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2,825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12/15/2029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70,633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LT50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06/15/2023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5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2,825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12/15/2029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70,633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See 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(5)(6)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06/15/2023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132,417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-7226935</wp:posOffset>
            </wp:positionV>
            <wp:extent cx="7045960" cy="7240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24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purchased pursuant to the Expensify, Inc. 2021 Stock Purchase and Matching Plan ("SPMP").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granted as matched shares pursuant to the SPMP.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the contingent right to receive one share of Class A common stock. This transaction represents the settlement of vested RSUs in shares of Class A Common Stock.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12.5% on September 15, 2022 and 1/32nd each quarter thereafter, on December 15th, March 15th, June 15th and September 15th.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the contingent right to receive one share of LT50 common stock. This transaction represents the settlement of vested RSUs in shares of LT50 Common Stock.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20" w:firstLine="3"/>
        <w:spacing w:after="0" w:line="271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LT50 Common Stock is convertible into the Issuer's Class A Common Stock on a one-to-one basis only upon, and generally cannot be transferred without, satisfaction of certain notice and other requirements, including a notice period of 50 months. The LT50 Common Stock will automatically convert into shares of the Issuer's Class A Common Stock on a one-to-one basis at such time as all of the then-outstanding shares of LT10 and LT50 Common Stock represent, in the aggregate, less than 2% of all then-outstanding shares of common stock.</w:t>
      </w:r>
    </w:p>
    <w:p>
      <w:pPr>
        <w:spacing w:after="0" w:line="1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Deposited into the Expensify Voting Trust (the "Voting Trust"). The Reporting Person retains investment control and dispositive power over the shares deposited into the Voting Trust.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Ryan Schaffer, as attorney-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362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891862" TargetMode="External"/><Relationship Id="rId9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2023-06-16T19:51:52Z</dcterms:created>
  <dcterms:modified xsi:type="dcterms:W3CDTF">2023-06-16T19:51:52Z</dcterms:modified>
</cp:coreProperties>
</file>