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5, 2026</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Expensify, Inc.</w:t>
      </w:r>
    </w:p>
    <w:p>
      <w:pPr>
        <w:spacing w:after="0" w:line="60" w:lineRule="exact"/>
        <w:rPr>
          <w:sz w:val="24"/>
          <w:szCs w:val="24"/>
          <w:color w:val="auto"/>
        </w:rPr>
      </w:pPr>
    </w:p>
    <w:tbl>
      <w:tblPr>
        <w:tblLayout w:type="fixed"/>
        <w:tblInd w:w="1140" w:type="dxa"/>
        <w:tblCellMar>
          <w:top w:w="0" w:type="dxa"/>
          <w:left w:w="0" w:type="dxa"/>
          <w:bottom w:w="0" w:type="dxa"/>
          <w:right w:w="0" w:type="dxa"/>
        </w:tblCellMar>
      </w:tblPr>
      <w:tr>
        <w:trPr>
          <w:trHeight w:val="209"/>
        </w:trPr>
        <w:tc>
          <w:tcPr>
            <w:tcW w:w="2100" w:type="dxa"/>
            <w:vAlign w:val="bottom"/>
          </w:tcPr>
          <w:p>
            <w:pPr>
              <w:spacing w:after="0"/>
              <w:rPr>
                <w:sz w:val="18"/>
                <w:szCs w:val="18"/>
                <w:color w:val="auto"/>
              </w:rPr>
            </w:pP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1720" w:type="dxa"/>
            <w:vAlign w:val="bottom"/>
          </w:tcPr>
          <w:p>
            <w:pPr>
              <w:spacing w:after="0"/>
              <w:rPr>
                <w:sz w:val="18"/>
                <w:szCs w:val="18"/>
                <w:color w:val="auto"/>
              </w:rPr>
            </w:pPr>
          </w:p>
        </w:tc>
      </w:tr>
      <w:tr>
        <w:trPr>
          <w:trHeight w:val="217"/>
        </w:trPr>
        <w:tc>
          <w:tcPr>
            <w:tcW w:w="2100" w:type="dxa"/>
            <w:vAlign w:val="bottom"/>
          </w:tcPr>
          <w:p>
            <w:pPr>
              <w:jc w:val="center"/>
              <w:ind w:right="51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940" w:type="dxa"/>
            <w:vAlign w:val="bottom"/>
          </w:tcPr>
          <w:p>
            <w:pPr>
              <w:jc w:val="right"/>
              <w:ind w:right="2108"/>
              <w:spacing w:after="0"/>
              <w:rPr>
                <w:sz w:val="20"/>
                <w:szCs w:val="20"/>
                <w:color w:val="auto"/>
              </w:rPr>
            </w:pPr>
            <w:r>
              <w:rPr>
                <w:rFonts w:ascii="Times New Roman" w:cs="Times New Roman" w:eastAsia="Times New Roman" w:hAnsi="Times New Roman"/>
                <w:sz w:val="16"/>
                <w:szCs w:val="16"/>
                <w:b w:val="1"/>
                <w:bCs w:val="1"/>
                <w:color w:val="auto"/>
              </w:rPr>
              <w:t>001-41043</w:t>
            </w:r>
          </w:p>
        </w:tc>
        <w:tc>
          <w:tcPr>
            <w:tcW w:w="1720" w:type="dxa"/>
            <w:vAlign w:val="bottom"/>
          </w:tcPr>
          <w:p>
            <w:pPr>
              <w:jc w:val="center"/>
              <w:ind w:left="651"/>
              <w:spacing w:after="0"/>
              <w:rPr>
                <w:sz w:val="20"/>
                <w:szCs w:val="20"/>
                <w:color w:val="auto"/>
              </w:rPr>
            </w:pPr>
            <w:r>
              <w:rPr>
                <w:rFonts w:ascii="Times New Roman" w:cs="Times New Roman" w:eastAsia="Times New Roman" w:hAnsi="Times New Roman"/>
                <w:sz w:val="16"/>
                <w:szCs w:val="16"/>
                <w:b w:val="1"/>
                <w:bCs w:val="1"/>
                <w:color w:val="auto"/>
                <w:w w:val="98"/>
              </w:rPr>
              <w:t>27-0239450</w:t>
            </w:r>
          </w:p>
        </w:tc>
      </w:tr>
      <w:tr>
        <w:trPr>
          <w:trHeight w:val="156"/>
        </w:trPr>
        <w:tc>
          <w:tcPr>
            <w:tcW w:w="2100" w:type="dxa"/>
            <w:vAlign w:val="bottom"/>
          </w:tcPr>
          <w:p>
            <w:pPr>
              <w:jc w:val="center"/>
              <w:ind w:right="53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20" w:type="dxa"/>
            <w:vAlign w:val="bottom"/>
          </w:tcPr>
          <w:p>
            <w:pPr>
              <w:jc w:val="center"/>
              <w:ind w:left="67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7"/>
        </w:trPr>
        <w:tc>
          <w:tcPr>
            <w:tcW w:w="2100" w:type="dxa"/>
            <w:vAlign w:val="bottom"/>
          </w:tcPr>
          <w:p>
            <w:pPr>
              <w:jc w:val="center"/>
              <w:ind w:right="531"/>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720" w:type="dxa"/>
            <w:vAlign w:val="bottom"/>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94"/>
        </w:trPr>
        <w:tc>
          <w:tcPr>
            <w:tcW w:w="2100" w:type="dxa"/>
            <w:vAlign w:val="bottom"/>
          </w:tcPr>
          <w:p>
            <w:pPr>
              <w:spacing w:after="0"/>
              <w:rPr>
                <w:sz w:val="24"/>
                <w:szCs w:val="24"/>
                <w:color w:val="auto"/>
              </w:rPr>
            </w:pP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88 Kearny St, Ste 1600</w:t>
            </w:r>
          </w:p>
        </w:tc>
        <w:tc>
          <w:tcPr>
            <w:tcW w:w="1720" w:type="dxa"/>
            <w:vAlign w:val="bottom"/>
          </w:tcPr>
          <w:p>
            <w:pPr>
              <w:spacing w:after="0"/>
              <w:rPr>
                <w:sz w:val="24"/>
                <w:szCs w:val="24"/>
                <w:color w:val="auto"/>
              </w:rPr>
            </w:pPr>
          </w:p>
        </w:tc>
      </w:tr>
      <w:tr>
        <w:trPr>
          <w:trHeight w:val="187"/>
        </w:trPr>
        <w:tc>
          <w:tcPr>
            <w:tcW w:w="2100" w:type="dxa"/>
            <w:vAlign w:val="bottom"/>
          </w:tcPr>
          <w:p>
            <w:pPr>
              <w:spacing w:after="0"/>
              <w:rPr>
                <w:sz w:val="16"/>
                <w:szCs w:val="16"/>
                <w:color w:val="auto"/>
              </w:rPr>
            </w:pP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San Francisco, California 94108</w:t>
            </w:r>
          </w:p>
        </w:tc>
        <w:tc>
          <w:tcPr>
            <w:tcW w:w="1720" w:type="dxa"/>
            <w:vAlign w:val="bottom"/>
          </w:tcPr>
          <w:p>
            <w:pPr>
              <w:spacing w:after="0"/>
              <w:rPr>
                <w:sz w:val="16"/>
                <w:szCs w:val="16"/>
                <w:color w:val="auto"/>
              </w:rPr>
            </w:pPr>
          </w:p>
        </w:tc>
      </w:tr>
      <w:tr>
        <w:trPr>
          <w:trHeight w:val="167"/>
        </w:trPr>
        <w:tc>
          <w:tcPr>
            <w:tcW w:w="2100" w:type="dxa"/>
            <w:vAlign w:val="bottom"/>
          </w:tcPr>
          <w:p>
            <w:pPr>
              <w:spacing w:after="0"/>
              <w:rPr>
                <w:sz w:val="14"/>
                <w:szCs w:val="14"/>
                <w:color w:val="auto"/>
              </w:rPr>
            </w:pP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(Zip Code)</w:t>
            </w:r>
          </w:p>
        </w:tc>
        <w:tc>
          <w:tcPr>
            <w:tcW w:w="1720" w:type="dxa"/>
            <w:vAlign w:val="bottom"/>
          </w:tcPr>
          <w:p>
            <w:pPr>
              <w:spacing w:after="0"/>
              <w:rPr>
                <w:sz w:val="14"/>
                <w:szCs w:val="14"/>
                <w:color w:val="auto"/>
              </w:rPr>
            </w:pPr>
          </w:p>
        </w:tc>
      </w:tr>
      <w:tr>
        <w:trPr>
          <w:trHeight w:val="261"/>
        </w:trPr>
        <w:tc>
          <w:tcPr>
            <w:tcW w:w="2100" w:type="dxa"/>
            <w:vAlign w:val="bottom"/>
          </w:tcPr>
          <w:p>
            <w:pPr>
              <w:spacing w:after="0"/>
              <w:rPr>
                <w:sz w:val="22"/>
                <w:szCs w:val="22"/>
                <w:color w:val="auto"/>
              </w:rPr>
            </w:pPr>
          </w:p>
        </w:tc>
        <w:tc>
          <w:tcPr>
            <w:tcW w:w="4940" w:type="dxa"/>
            <w:vAlign w:val="bottom"/>
          </w:tcPr>
          <w:p>
            <w:pPr>
              <w:jc w:val="right"/>
              <w:ind w:right="1968"/>
              <w:spacing w:after="0"/>
              <w:rPr>
                <w:sz w:val="20"/>
                <w:szCs w:val="20"/>
                <w:color w:val="auto"/>
              </w:rPr>
            </w:pPr>
            <w:r>
              <w:rPr>
                <w:rFonts w:ascii="Times New Roman" w:cs="Times New Roman" w:eastAsia="Times New Roman" w:hAnsi="Times New Roman"/>
                <w:sz w:val="16"/>
                <w:szCs w:val="16"/>
                <w:b w:val="1"/>
                <w:bCs w:val="1"/>
                <w:color w:val="auto"/>
              </w:rPr>
              <w:t>(971) 365-3939</w:t>
            </w:r>
          </w:p>
        </w:tc>
        <w:tc>
          <w:tcPr>
            <w:tcW w:w="1720" w:type="dxa"/>
            <w:vAlign w:val="bottom"/>
          </w:tcPr>
          <w:p>
            <w:pPr>
              <w:spacing w:after="0"/>
              <w:rPr>
                <w:sz w:val="22"/>
                <w:szCs w:val="22"/>
                <w:color w:val="auto"/>
              </w:rPr>
            </w:pPr>
          </w:p>
        </w:tc>
      </w:tr>
      <w:tr>
        <w:trPr>
          <w:trHeight w:val="167"/>
        </w:trPr>
        <w:tc>
          <w:tcPr>
            <w:tcW w:w="2100" w:type="dxa"/>
            <w:vAlign w:val="bottom"/>
          </w:tcPr>
          <w:p>
            <w:pPr>
              <w:spacing w:after="0"/>
              <w:rPr>
                <w:sz w:val="14"/>
                <w:szCs w:val="14"/>
                <w:color w:val="auto"/>
              </w:rPr>
            </w:pP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720" w:type="dxa"/>
            <w:vAlign w:val="bottom"/>
          </w:tcPr>
          <w:p>
            <w:pPr>
              <w:spacing w:after="0"/>
              <w:rPr>
                <w:sz w:val="14"/>
                <w:szCs w:val="14"/>
                <w:color w:val="auto"/>
              </w:rPr>
            </w:pPr>
          </w:p>
        </w:tc>
      </w:tr>
      <w:tr>
        <w:trPr>
          <w:trHeight w:val="272"/>
        </w:trPr>
        <w:tc>
          <w:tcPr>
            <w:tcW w:w="2100" w:type="dxa"/>
            <w:vAlign w:val="bottom"/>
          </w:tcPr>
          <w:p>
            <w:pPr>
              <w:spacing w:after="0"/>
              <w:rPr>
                <w:sz w:val="23"/>
                <w:szCs w:val="23"/>
                <w:color w:val="auto"/>
              </w:rPr>
            </w:pPr>
          </w:p>
        </w:tc>
        <w:tc>
          <w:tcPr>
            <w:tcW w:w="49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Not applicable</w:t>
            </w:r>
          </w:p>
        </w:tc>
        <w:tc>
          <w:tcPr>
            <w:tcW w:w="1720" w:type="dxa"/>
            <w:vAlign w:val="bottom"/>
          </w:tcPr>
          <w:p>
            <w:pPr>
              <w:spacing w:after="0"/>
              <w:rPr>
                <w:sz w:val="23"/>
                <w:szCs w:val="23"/>
                <w:color w:val="auto"/>
              </w:rPr>
            </w:pPr>
          </w:p>
        </w:tc>
      </w:tr>
      <w:tr>
        <w:trPr>
          <w:trHeight w:val="167"/>
        </w:trPr>
        <w:tc>
          <w:tcPr>
            <w:tcW w:w="2100" w:type="dxa"/>
            <w:vAlign w:val="bottom"/>
          </w:tcPr>
          <w:p>
            <w:pPr>
              <w:spacing w:after="0"/>
              <w:rPr>
                <w:sz w:val="14"/>
                <w:szCs w:val="14"/>
                <w:color w:val="auto"/>
              </w:rPr>
            </w:pPr>
          </w:p>
        </w:tc>
        <w:tc>
          <w:tcPr>
            <w:tcW w:w="494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20" w:type="dxa"/>
            <w:vAlign w:val="bottom"/>
          </w:tcPr>
          <w:p>
            <w:pPr>
              <w:spacing w:after="0"/>
              <w:rPr>
                <w:sz w:val="14"/>
                <w:szCs w:val="14"/>
                <w:color w:val="auto"/>
              </w:rPr>
            </w:pPr>
          </w:p>
        </w:tc>
      </w:tr>
    </w:tbl>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40" w:hanging="42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4" w:lineRule="exact"/>
        <w:rPr>
          <w:rFonts w:ascii="MS PGothic" w:cs="MS PGothic" w:eastAsia="MS PGothic" w:hAnsi="MS PGothic"/>
          <w:sz w:val="16"/>
          <w:szCs w:val="16"/>
          <w:color w:val="auto"/>
        </w:rPr>
      </w:pPr>
    </w:p>
    <w:p>
      <w:pPr>
        <w:ind w:left="440" w:hanging="42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4" w:lineRule="exact"/>
        <w:rPr>
          <w:rFonts w:ascii="MS PGothic" w:cs="MS PGothic" w:eastAsia="MS PGothic" w:hAnsi="MS PGothic"/>
          <w:sz w:val="16"/>
          <w:szCs w:val="16"/>
          <w:color w:val="auto"/>
        </w:rPr>
      </w:pPr>
    </w:p>
    <w:p>
      <w:pPr>
        <w:ind w:left="440" w:hanging="42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4" w:lineRule="exact"/>
        <w:rPr>
          <w:rFonts w:ascii="MS PGothic" w:cs="MS PGothic" w:eastAsia="MS PGothic" w:hAnsi="MS PGothic"/>
          <w:sz w:val="16"/>
          <w:szCs w:val="16"/>
          <w:color w:val="auto"/>
        </w:rPr>
      </w:pPr>
    </w:p>
    <w:p>
      <w:pPr>
        <w:ind w:left="440" w:hanging="42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60" w:type="dxa"/>
            <w:vAlign w:val="bottom"/>
          </w:tcPr>
          <w:p>
            <w:pPr>
              <w:ind w:left="15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6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90"/>
        </w:trPr>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40" w:type="dxa"/>
            <w:vAlign w:val="bottom"/>
          </w:tcPr>
          <w:p>
            <w:pPr>
              <w:spacing w:after="0"/>
              <w:rPr>
                <w:sz w:val="16"/>
                <w:szCs w:val="16"/>
                <w:color w:val="auto"/>
              </w:rPr>
            </w:pPr>
          </w:p>
        </w:tc>
        <w:tc>
          <w:tcPr>
            <w:tcW w:w="3560" w:type="dxa"/>
            <w:vAlign w:val="bottom"/>
          </w:tcPr>
          <w:p>
            <w:pPr>
              <w:ind w:left="156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206"/>
        </w:trPr>
        <w:tc>
          <w:tcPr>
            <w:tcW w:w="3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 A Common Stock, par value $0.0001 per share</w:t>
            </w:r>
          </w:p>
        </w:tc>
        <w:tc>
          <w:tcPr>
            <w:tcW w:w="140" w:type="dxa"/>
            <w:vAlign w:val="bottom"/>
          </w:tcPr>
          <w:p>
            <w:pPr>
              <w:spacing w:after="0"/>
              <w:rPr>
                <w:sz w:val="17"/>
                <w:szCs w:val="17"/>
                <w:color w:val="auto"/>
              </w:rPr>
            </w:pPr>
          </w:p>
        </w:tc>
        <w:tc>
          <w:tcPr>
            <w:tcW w:w="3560" w:type="dxa"/>
            <w:vAlign w:val="bottom"/>
          </w:tcPr>
          <w:p>
            <w:pPr>
              <w:ind w:left="1580"/>
              <w:spacing w:after="0"/>
              <w:rPr>
                <w:sz w:val="20"/>
                <w:szCs w:val="20"/>
                <w:color w:val="auto"/>
              </w:rPr>
            </w:pPr>
            <w:r>
              <w:rPr>
                <w:rFonts w:ascii="Times New Roman" w:cs="Times New Roman" w:eastAsia="Times New Roman" w:hAnsi="Times New Roman"/>
                <w:sz w:val="16"/>
                <w:szCs w:val="16"/>
                <w:b w:val="1"/>
                <w:bCs w:val="1"/>
                <w:color w:val="auto"/>
              </w:rPr>
              <w:t>EXFY</w:t>
            </w:r>
          </w:p>
        </w:tc>
        <w:tc>
          <w:tcPr>
            <w:tcW w:w="16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78"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7"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815975</wp:posOffset>
            </wp:positionV>
            <wp:extent cx="72002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265" cy="40640"/>
                    </a:xfrm>
                    <a:prstGeom prst="rect">
                      <a:avLst/>
                    </a:prstGeom>
                    <a:noFill/>
                  </pic:spPr>
                </pic:pic>
              </a:graphicData>
            </a:graphic>
          </wp:anchor>
        </w:drawing>
      </w:r>
    </w:p>
    <w:p>
      <w:pPr>
        <w:sectPr>
          <w:pgSz w:w="11920" w:h="16838" w:orient="portrait"/>
          <w:cols w:equalWidth="0" w:num="1">
            <w:col w:w="11300"/>
          </w:cols>
          <w:pgMar w:left="320" w:top="1338" w:right="298" w:bottom="1440" w:gutter="0" w:footer="0" w:header="0"/>
        </w:sectPr>
      </w:pPr>
    </w:p>
    <w:bookmarkStart w:id="1" w:name="page2"/>
    <w:bookmarkEnd w:id="1"/>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2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6"/>
          <w:szCs w:val="16"/>
          <w:color w:val="auto"/>
        </w:rPr>
        <w:t>On November 5, 2026, the Expensify, Inc. (“Expensify” or “the Company”) issued a press release announcing its financial results for the year and quarter ended September 30, 2026. A copy of this press release is furnished as Exhibit 99.1 to this current report on Form 8-K and is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November 5, 2026,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9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6"/>
          <w:szCs w:val="16"/>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0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27" w:lineRule="exact"/>
        <w:rPr>
          <w:sz w:val="20"/>
          <w:szCs w:val="20"/>
          <w:color w:val="auto"/>
        </w:rPr>
      </w:pPr>
    </w:p>
    <w:p>
      <w:pPr>
        <w:ind w:left="220" w:hanging="220"/>
        <w:spacing w:after="0"/>
        <w:tabs>
          <w:tab w:leader="none" w:pos="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93"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Press Release issued by Expensify, Inc., dated November 5, 2026.</w:t>
      </w:r>
    </w:p>
    <w:p>
      <w:pPr>
        <w:spacing w:after="0" w:line="101"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Investor Presentation, dated November 5, 2026.</w:t>
      </w:r>
    </w:p>
    <w:p>
      <w:pPr>
        <w:spacing w:after="0" w:line="89"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845820</wp:posOffset>
            </wp:positionV>
            <wp:extent cx="72002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265" cy="40640"/>
                    </a:xfrm>
                    <a:prstGeom prst="rect">
                      <a:avLst/>
                    </a:prstGeom>
                    <a:noFill/>
                  </pic:spPr>
                </pic:pic>
              </a:graphicData>
            </a:graphic>
          </wp:anchor>
        </w:drawing>
      </w:r>
    </w:p>
    <w:p>
      <w:pPr>
        <w:sectPr>
          <w:pgSz w:w="11920" w:h="16838" w:orient="portrait"/>
          <w:cols w:equalWidth="0" w:num="1">
            <w:col w:w="11240"/>
          </w:cols>
          <w:pgMar w:left="320" w:top="1440" w:right="358"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18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color w:val="auto"/>
        </w:rPr>
        <w:t>Expensify, Inc.</w:t>
      </w:r>
    </w:p>
    <w:p>
      <w:pPr>
        <w:spacing w:after="0" w:line="231" w:lineRule="exact"/>
        <w:rPr>
          <w:sz w:val="20"/>
          <w:szCs w:val="20"/>
          <w:color w:val="auto"/>
        </w:rPr>
      </w:pPr>
    </w:p>
    <w:p>
      <w:pPr>
        <w:ind w:left="8460"/>
        <w:spacing w:after="0"/>
        <w:tabs>
          <w:tab w:leader="none" w:pos="90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29210</wp:posOffset>
            </wp:positionV>
            <wp:extent cx="14395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9545" cy="7620"/>
                    </a:xfrm>
                    <a:prstGeom prst="rect">
                      <a:avLst/>
                    </a:prstGeom>
                    <a:noFill/>
                  </pic:spPr>
                </pic:pic>
              </a:graphicData>
            </a:graphic>
          </wp:anchor>
        </w:drawing>
      </w:r>
    </w:p>
    <w:p>
      <w:pPr>
        <w:spacing w:after="0" w:line="33" w:lineRule="exact"/>
        <w:rPr>
          <w:sz w:val="20"/>
          <w:szCs w:val="20"/>
          <w:color w:val="auto"/>
        </w:rPr>
      </w:pPr>
    </w:p>
    <w:p>
      <w:pPr>
        <w:ind w:left="8460"/>
        <w:spacing w:after="0"/>
        <w:tabs>
          <w:tab w:leader="none" w:pos="9040" w:val="left"/>
        </w:tabs>
        <w:rPr>
          <w:sz w:val="20"/>
          <w:szCs w:val="20"/>
          <w:color w:val="auto"/>
        </w:rPr>
      </w:pPr>
      <w:r>
        <w:rPr>
          <w:rFonts w:ascii="Times New Roman" w:cs="Times New Roman" w:eastAsia="Times New Roman" w:hAnsi="Times New Roman"/>
          <w:sz w:val="16"/>
          <w:szCs w:val="16"/>
          <w:color w:val="auto"/>
        </w:rPr>
        <w:t>Name:</w:t>
        <w:tab/>
        <w:t>Ryan Schaffer</w:t>
      </w:r>
    </w:p>
    <w:p>
      <w:pPr>
        <w:spacing w:after="0" w:line="53" w:lineRule="exact"/>
        <w:rPr>
          <w:sz w:val="20"/>
          <w:szCs w:val="20"/>
          <w:color w:val="auto"/>
        </w:rPr>
      </w:pPr>
    </w:p>
    <w:p>
      <w:pPr>
        <w:ind w:left="8460"/>
        <w:spacing w:after="0"/>
        <w:tabs>
          <w:tab w:leader="none" w:pos="90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Financial Officer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2026</w:t>
      </w:r>
    </w:p>
    <w:p>
      <w:pPr>
        <w:sectPr>
          <w:pgSz w:w="11920" w:h="16838" w:orient="portrait"/>
          <w:cols w:equalWidth="0" w:num="1">
            <w:col w:w="10740"/>
          </w:cols>
          <w:pgMar w:left="320" w:top="1255" w:right="858"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EXPENSIFY ANNOUNCES Q3 2026 RESULTS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Revenue from New Expensify increased </w:t>
      </w:r>
      <w:r>
        <w:rPr>
          <w:rFonts w:ascii="Times New Roman" w:cs="Times New Roman" w:eastAsia="Times New Roman" w:hAnsi="Times New Roman"/>
          <w:sz w:val="16"/>
          <w:szCs w:val="16"/>
          <w:color w:val="auto"/>
        </w:rPr>
        <w:t>30%</w:t>
      </w:r>
      <w:r>
        <w:rPr>
          <w:rFonts w:ascii="Times New Roman" w:cs="Times New Roman" w:eastAsia="Times New Roman" w:hAnsi="Times New Roman"/>
          <w:sz w:val="16"/>
          <w:szCs w:val="16"/>
          <w:i w:val="1"/>
          <w:iCs w:val="1"/>
          <w:color w:val="auto"/>
        </w:rPr>
        <w:t xml:space="preserve"> from Q2, and is up </w:t>
      </w:r>
      <w:r>
        <w:rPr>
          <w:rFonts w:ascii="Times New Roman" w:cs="Times New Roman" w:eastAsia="Times New Roman" w:hAnsi="Times New Roman"/>
          <w:sz w:val="16"/>
          <w:szCs w:val="16"/>
          <w:color w:val="auto"/>
        </w:rPr>
        <w:t>212%</w:t>
      </w:r>
      <w:r>
        <w:rPr>
          <w:rFonts w:ascii="Times New Roman" w:cs="Times New Roman" w:eastAsia="Times New Roman" w:hAnsi="Times New Roman"/>
          <w:sz w:val="16"/>
          <w:szCs w:val="16"/>
          <w:i w:val="1"/>
          <w:iCs w:val="1"/>
          <w:color w:val="auto"/>
        </w:rPr>
        <w:t xml:space="preserve"> y/y.</w:t>
      </w:r>
    </w:p>
    <w:p>
      <w:pPr>
        <w:spacing w:after="0" w:line="127"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6"/>
          <w:szCs w:val="16"/>
          <w:color w:val="auto"/>
        </w:rPr>
        <w:t>SAN FRANCISCO, CAL.--(BUSINESS WIRE)--November 5, 2026-- Expensify, Inc. (Nasdaq: EXFY), the easiest way to manage expenses, corporate cards, and travel, today released a letter to shareholders from Founder and CEO David Barrett alongside results for its quarter ended September 30,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 Message From Our Founder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Another strong quarter, both in financial results, as well as product functionality shipped:</w:t>
      </w:r>
    </w:p>
    <w:p>
      <w:pPr>
        <w:spacing w:after="0" w:line="134" w:lineRule="exact"/>
        <w:rPr>
          <w:sz w:val="20"/>
          <w:szCs w:val="20"/>
          <w:color w:val="auto"/>
        </w:rPr>
      </w:pPr>
    </w:p>
    <w:p>
      <w:pPr>
        <w:ind w:left="560" w:right="220" w:hanging="275"/>
        <w:spacing w:after="0" w:line="271"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 flow remains strong. </w:t>
      </w:r>
      <w:r>
        <w:rPr>
          <w:rFonts w:ascii="Times New Roman" w:cs="Times New Roman" w:eastAsia="Times New Roman" w:hAnsi="Times New Roman"/>
          <w:sz w:val="16"/>
          <w:szCs w:val="16"/>
          <w:color w:val="auto"/>
        </w:rPr>
        <w:t>Q3 produced $4.0 million in Operating Cash Flow, up 510% from last year, and $3.3 million in Free Cash Flow, up 170% from last year.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Some of this was used to repurchase 722,121 shares of Class A common stock, returning approximately $1.3 million to shareholders. Based on this continued strength we've increased FY 2026 FCF guidance by $1.5 million to $13.5 million - $15.5 million.</w:t>
      </w:r>
    </w:p>
    <w:p>
      <w:pPr>
        <w:spacing w:after="0" w:line="100" w:lineRule="exact"/>
        <w:rPr>
          <w:rFonts w:ascii="Times New Roman" w:cs="Times New Roman" w:eastAsia="Times New Roman" w:hAnsi="Times New Roman"/>
          <w:sz w:val="16"/>
          <w:szCs w:val="16"/>
          <w:color w:val="auto"/>
        </w:rPr>
      </w:pPr>
    </w:p>
    <w:p>
      <w:pPr>
        <w:ind w:left="560" w:right="160" w:hanging="275"/>
        <w:spacing w:after="0" w:line="297" w:lineRule="auto"/>
        <w:tabs>
          <w:tab w:leader="none" w:pos="5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New Expensify continues to grow and improve. </w:t>
      </w:r>
      <w:r>
        <w:rPr>
          <w:rFonts w:ascii="Times New Roman" w:cs="Times New Roman" w:eastAsia="Times New Roman" w:hAnsi="Times New Roman"/>
          <w:sz w:val="15"/>
          <w:szCs w:val="15"/>
          <w:color w:val="auto"/>
        </w:rPr>
        <w:t>Revenue from New Expensify increased 30% from Q2, and is up 212% y/y. This growth comes in part from major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feature launches, such as dozens of new GL and HR integrations, as well as quality-of-life crowd pleasers like enhanced admin roles and bulk workspace management. But much of it comes from paying particular attention to micro-optimizations along the conversion pipeline, which has increased cohort conversion by 67% y/y.</w:t>
      </w:r>
    </w:p>
    <w:p>
      <w:pPr>
        <w:spacing w:after="0" w:line="71" w:lineRule="exact"/>
        <w:rPr>
          <w:rFonts w:ascii="Times New Roman" w:cs="Times New Roman" w:eastAsia="Times New Roman" w:hAnsi="Times New Roman"/>
          <w:sz w:val="15"/>
          <w:szCs w:val="15"/>
          <w:color w:val="auto"/>
        </w:rPr>
      </w:pPr>
    </w:p>
    <w:p>
      <w:pPr>
        <w:ind w:left="560" w:right="360" w:hanging="275"/>
        <w:spacing w:after="0" w:line="29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Card continues to expand. </w:t>
      </w:r>
      <w:r>
        <w:rPr>
          <w:rFonts w:ascii="Times New Roman" w:cs="Times New Roman" w:eastAsia="Times New Roman" w:hAnsi="Times New Roman"/>
          <w:sz w:val="16"/>
          <w:szCs w:val="16"/>
          <w:color w:val="auto"/>
        </w:rPr>
        <w:t>We now issue in the UK and 12 EU countries for GBP and EUR bank accounts, with enhanced PIN/biometric controls, one-time/date-bound virtual cards, and more real-time spend controls by currency, max amount, and merchant.</w:t>
      </w:r>
    </w:p>
    <w:p>
      <w:pPr>
        <w:spacing w:after="0" w:line="69" w:lineRule="exact"/>
        <w:rPr>
          <w:rFonts w:ascii="Times New Roman" w:cs="Times New Roman" w:eastAsia="Times New Roman" w:hAnsi="Times New Roman"/>
          <w:sz w:val="16"/>
          <w:szCs w:val="16"/>
          <w:color w:val="auto"/>
        </w:rPr>
      </w:pPr>
    </w:p>
    <w:p>
      <w:pPr>
        <w:ind w:left="560" w:right="120" w:hanging="275"/>
        <w:spacing w:after="0" w:line="29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Travel economics continue to improve. </w:t>
      </w:r>
      <w:r>
        <w:rPr>
          <w:rFonts w:ascii="Times New Roman" w:cs="Times New Roman" w:eastAsia="Times New Roman" w:hAnsi="Times New Roman"/>
          <w:sz w:val="16"/>
          <w:szCs w:val="16"/>
          <w:color w:val="auto"/>
        </w:rPr>
        <w:t>Our new consolidated travel billing feature enables customers to in effect finance their travel bookings to receive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single monthly debit from their bank account, resulting in substantially more revenue to Expensify from each travel booking.</w:t>
      </w:r>
    </w:p>
    <w:p>
      <w:pPr>
        <w:spacing w:after="0" w:line="69" w:lineRule="exact"/>
        <w:rPr>
          <w:rFonts w:ascii="Times New Roman" w:cs="Times New Roman" w:eastAsia="Times New Roman" w:hAnsi="Times New Roman"/>
          <w:sz w:val="16"/>
          <w:szCs w:val="16"/>
          <w:color w:val="auto"/>
        </w:rPr>
      </w:pPr>
    </w:p>
    <w:p>
      <w:pPr>
        <w:ind w:left="560" w:right="20" w:hanging="275"/>
        <w:spacing w:after="0" w:line="283"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Explosive adoption of AI features. </w:t>
      </w:r>
      <w:r>
        <w:rPr>
          <w:rFonts w:ascii="Times New Roman" w:cs="Times New Roman" w:eastAsia="Times New Roman" w:hAnsi="Times New Roman"/>
          <w:sz w:val="16"/>
          <w:szCs w:val="16"/>
          <w:color w:val="auto"/>
        </w:rPr>
        <w:t>New MCP connections doubled last month, and are still accelerating. This is strong everywhere, but especially in Claude, in part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due Expensify to being selected for the Claude for Small Business bundle. Our custom agent beta has been adopted by thousands of customers, and is able to handle over 96%</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of real world requests received — out of an infinite range of potential requests.</w:t>
      </w:r>
    </w:p>
    <w:p>
      <w:pPr>
        <w:spacing w:after="0" w:line="21"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6"/>
          <w:szCs w:val="16"/>
          <w:color w:val="auto"/>
        </w:rPr>
        <w:t>As we outlined last quarter, Expensify Classic is a stable cash-flow engine whose customer base naturally declines over time, while New Expensify is our growth engine. That growth engine is taking on a massive, largely untapped market. As we enter the final stretch of 2026, I'm extremely proud of what we accomplished, and cannot wait to reveal what we've got in store for 2027.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Founder and CEO of Expensify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5074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7490" cy="7620"/>
                    </a:xfrm>
                    <a:prstGeom prst="rect">
                      <a:avLst/>
                    </a:prstGeom>
                    <a:noFill/>
                  </pic:spPr>
                </pic:pic>
              </a:graphicData>
            </a:graphic>
          </wp:anchor>
        </w:drawing>
      </w:r>
    </w:p>
    <w:p>
      <w:pPr>
        <w:spacing w:after="0" w:line="256" w:lineRule="exact"/>
        <w:rPr>
          <w:sz w:val="20"/>
          <w:szCs w:val="20"/>
          <w:color w:val="auto"/>
        </w:rPr>
      </w:pPr>
    </w:p>
    <w:p>
      <w:pPr>
        <w:ind w:right="320"/>
        <w:spacing w:after="0" w:line="229" w:lineRule="auto"/>
        <w:tabs>
          <w:tab w:leader="none" w:pos="73"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the portion of individual requests that were completed as requested or rejected with clear, actionable steps for the user to complete the request themselves, based on a random sampling of all requests made between October 26, 2026 and November 1, 2026</w:t>
      </w:r>
    </w:p>
    <w:p>
      <w:pPr>
        <w:sectPr>
          <w:pgSz w:w="11920" w:h="16838" w:orient="portrait"/>
          <w:cols w:equalWidth="0" w:num="1">
            <w:col w:w="11300"/>
          </w:cols>
          <w:pgMar w:left="320" w:top="116" w:right="298"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2026 Highlights</w:t>
      </w:r>
    </w:p>
    <w:p>
      <w:pPr>
        <w:spacing w:after="0" w:line="150" w:lineRule="exact"/>
        <w:rPr>
          <w:sz w:val="20"/>
          <w:szCs w:val="20"/>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net was $33.0 million, a decrease of 6% as compared to the same period last year.</w:t>
      </w:r>
    </w:p>
    <w:p>
      <w:pPr>
        <w:spacing w:after="0" w:line="136"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Generated $4.0 million of cash from operating activities.</w:t>
      </w:r>
    </w:p>
    <w:p>
      <w:pPr>
        <w:spacing w:after="0" w:line="136"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was $3.3 million.</w:t>
      </w:r>
    </w:p>
    <w:p>
      <w:pPr>
        <w:spacing w:after="0" w:line="148"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$3.3 million, compared to $2.3 million for the same period last year.</w:t>
      </w:r>
    </w:p>
    <w:p>
      <w:pPr>
        <w:spacing w:after="0" w:line="136"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was $3.1 million.</w:t>
      </w:r>
    </w:p>
    <w:p>
      <w:pPr>
        <w:spacing w:after="0" w:line="136"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$6.1 million.</w:t>
      </w:r>
    </w:p>
    <w:p>
      <w:pPr>
        <w:spacing w:after="0" w:line="148"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Interchange revenue derived from the Expensify Card grew to $5.8 million, an increase of 8% as compared to the same period last year.</w:t>
      </w:r>
    </w:p>
    <w:p>
      <w:pPr>
        <w:spacing w:after="0" w:line="136"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Financial Outlook section for free cash flow guidance for fiscal year ending December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2026 Highlights</w:t>
      </w:r>
    </w:p>
    <w:p>
      <w:pPr>
        <w:spacing w:after="0" w:line="136" w:lineRule="exact"/>
        <w:rPr>
          <w:sz w:val="20"/>
          <w:szCs w:val="20"/>
          <w:color w:val="auto"/>
        </w:rPr>
      </w:pPr>
    </w:p>
    <w:p>
      <w:pPr>
        <w:ind w:left="560" w:hanging="275"/>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Paid members </w:t>
      </w:r>
      <w:r>
        <w:rPr>
          <w:rFonts w:ascii="Times New Roman" w:cs="Times New Roman" w:eastAsia="Times New Roman" w:hAnsi="Times New Roman"/>
          <w:sz w:val="16"/>
          <w:szCs w:val="16"/>
          <w:color w:val="auto"/>
        </w:rPr>
        <w:t>- Paid members were 630,000, a decrease of 2% as compared to the same period last year.</w:t>
      </w:r>
    </w:p>
    <w:p>
      <w:pPr>
        <w:spacing w:after="0" w:line="136" w:lineRule="exact"/>
        <w:rPr>
          <w:rFonts w:ascii="Times New Roman" w:cs="Times New Roman" w:eastAsia="Times New Roman" w:hAnsi="Times New Roman"/>
          <w:sz w:val="16"/>
          <w:szCs w:val="16"/>
          <w:color w:val="auto"/>
        </w:rPr>
      </w:pPr>
    </w:p>
    <w:p>
      <w:pPr>
        <w:ind w:left="560" w:right="220" w:hanging="275"/>
        <w:spacing w:after="0" w:line="295"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Referral agreement with Visa </w:t>
      </w:r>
      <w:r>
        <w:rPr>
          <w:rFonts w:ascii="Times New Roman" w:cs="Times New Roman" w:eastAsia="Times New Roman" w:hAnsi="Times New Roman"/>
          <w:sz w:val="16"/>
          <w:szCs w:val="16"/>
          <w:color w:val="auto"/>
        </w:rPr>
        <w:t>- Entered into a referral agreement with Visa, under which Visa can refer eligible clients and corporate card programs to Expensify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expense management.</w:t>
      </w:r>
    </w:p>
    <w:p>
      <w:pPr>
        <w:spacing w:after="0" w:line="69" w:lineRule="exact"/>
        <w:rPr>
          <w:rFonts w:ascii="Times New Roman" w:cs="Times New Roman" w:eastAsia="Times New Roman" w:hAnsi="Times New Roman"/>
          <w:sz w:val="16"/>
          <w:szCs w:val="16"/>
          <w:color w:val="auto"/>
        </w:rPr>
      </w:pPr>
    </w:p>
    <w:p>
      <w:pPr>
        <w:ind w:left="560" w:right="280" w:hanging="275"/>
        <w:spacing w:after="0" w:line="295"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Travel accelerates </w:t>
      </w:r>
      <w:r>
        <w:rPr>
          <w:rFonts w:ascii="Times New Roman" w:cs="Times New Roman" w:eastAsia="Times New Roman" w:hAnsi="Times New Roman"/>
          <w:sz w:val="16"/>
          <w:szCs w:val="16"/>
          <w:color w:val="auto"/>
        </w:rPr>
        <w:t>- Trips booked through Expensify Travel grew 40% year over year and 13% from Q2, with Q3 2026 the highest quarter on record,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launched consolidated travel billing so companies can pay for all business travel on a single invoice.</w:t>
      </w:r>
    </w:p>
    <w:p>
      <w:pPr>
        <w:spacing w:after="0" w:line="69"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Card expands to Europe </w:t>
      </w:r>
      <w:r>
        <w:rPr>
          <w:rFonts w:ascii="Times New Roman" w:cs="Times New Roman" w:eastAsia="Times New Roman" w:hAnsi="Times New Roman"/>
          <w:sz w:val="16"/>
          <w:szCs w:val="16"/>
          <w:color w:val="auto"/>
        </w:rPr>
        <w:t>- Launched the Expensify Card across 13 European markets, including the UK.</w:t>
      </w:r>
    </w:p>
    <w:p>
      <w:pPr>
        <w:spacing w:after="0" w:line="148" w:lineRule="exact"/>
        <w:rPr>
          <w:rFonts w:ascii="Times New Roman" w:cs="Times New Roman" w:eastAsia="Times New Roman" w:hAnsi="Times New Roman"/>
          <w:sz w:val="16"/>
          <w:szCs w:val="16"/>
          <w:color w:val="auto"/>
        </w:rPr>
      </w:pPr>
    </w:p>
    <w:p>
      <w:pPr>
        <w:ind w:left="560" w:right="260" w:hanging="275"/>
        <w:spacing w:after="0" w:line="280"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Expanded integrations </w:t>
      </w:r>
      <w:r>
        <w:rPr>
          <w:rFonts w:ascii="Times New Roman" w:cs="Times New Roman" w:eastAsia="Times New Roman" w:hAnsi="Times New Roman"/>
          <w:sz w:val="16"/>
          <w:szCs w:val="16"/>
          <w:color w:val="auto"/>
        </w:rPr>
        <w:t>- Launched native integrations with AI-native ERPs Rillet and DualEntry, a Claude for Small Business connector, and new Workday, HiBob,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BambooHR and Certinia integrations.</w:t>
      </w:r>
    </w:p>
    <w:p>
      <w:pPr>
        <w:spacing w:after="0" w:line="92" w:lineRule="exact"/>
        <w:rPr>
          <w:rFonts w:ascii="Times New Roman" w:cs="Times New Roman" w:eastAsia="Times New Roman" w:hAnsi="Times New Roman"/>
          <w:sz w:val="16"/>
          <w:szCs w:val="16"/>
          <w:color w:val="auto"/>
        </w:rPr>
      </w:pPr>
    </w:p>
    <w:p>
      <w:pPr>
        <w:ind w:left="560" w:hanging="275"/>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Capital return to shareholders </w:t>
      </w:r>
      <w:r>
        <w:rPr>
          <w:rFonts w:ascii="Times New Roman" w:cs="Times New Roman" w:eastAsia="Times New Roman" w:hAnsi="Times New Roman"/>
          <w:sz w:val="16"/>
          <w:szCs w:val="16"/>
          <w:color w:val="auto"/>
        </w:rPr>
        <w:t>- The Company repurchased 722,121 shares of its Class A common stock, totaling approximately $1.3 million.</w:t>
      </w:r>
    </w:p>
    <w:p>
      <w:pPr>
        <w:sectPr>
          <w:pgSz w:w="11920" w:h="16838" w:orient="portrait"/>
          <w:cols w:equalWidth="0" w:num="1">
            <w:col w:w="11300"/>
          </w:cols>
          <w:pgMar w:left="320" w:top="116" w:right="298"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Outlook</w:t>
      </w:r>
    </w:p>
    <w:p>
      <w:pPr>
        <w:spacing w:after="0" w:line="12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Free Cash Flow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Expensify estimates free cash flow of $13.5 million - $15.5 million for the fiscal year ending December 31, 2026.</w:t>
      </w:r>
    </w:p>
    <w:p>
      <w:pPr>
        <w:spacing w:after="0" w:line="13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Based Compensation</w:t>
      </w:r>
    </w:p>
    <w:p>
      <w:pPr>
        <w:spacing w:after="0" w:line="12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An estimate of expected stock-based compensation for the next four fiscal quarters is as follows, which is driven primarily by the pre-IPO grant of RSUs issued to all employees (which vest quarterly over eight years with approximately three years remaining).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596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762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Q4 2026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Q1 2027</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Q2 2027</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Q3 2027</w:t>
            </w:r>
          </w:p>
        </w:tc>
        <w:tc>
          <w:tcPr>
            <w:tcW w:w="680" w:type="dxa"/>
            <w:vAlign w:val="bottom"/>
          </w:tcPr>
          <w:p>
            <w:pPr>
              <w:spacing w:after="0"/>
              <w:rPr>
                <w:sz w:val="16"/>
                <w:szCs w:val="16"/>
                <w:color w:val="auto"/>
              </w:rPr>
            </w:pPr>
          </w:p>
        </w:tc>
      </w:tr>
      <w:tr>
        <w:trPr>
          <w:trHeight w:val="29"/>
        </w:trPr>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8"/>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9"/>
        </w:trPr>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net</w:t>
            </w:r>
          </w:p>
        </w:tc>
        <w:tc>
          <w:tcPr>
            <w:tcW w:w="2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9"/>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9"/>
        </w:trPr>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Availability of Information on Expensify’s Website</w:t>
      </w:r>
    </w:p>
    <w:p>
      <w:pPr>
        <w:spacing w:after="0" w:line="1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138"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ectPr>
          <w:pgSz w:w="11920" w:h="16838" w:orient="portrait"/>
          <w:cols w:equalWidth="0" w:num="1">
            <w:col w:w="11300"/>
          </w:cols>
          <w:pgMar w:left="320" w:top="116" w:right="298"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Non-GAAP Financial Measures</w:t>
      </w:r>
    </w:p>
    <w:p>
      <w:pPr>
        <w:spacing w:after="0" w:line="138" w:lineRule="exact"/>
        <w:rPr>
          <w:sz w:val="20"/>
          <w:szCs w:val="20"/>
          <w:color w:val="auto"/>
        </w:rPr>
      </w:pPr>
    </w:p>
    <w:p>
      <w:pPr>
        <w:ind w:right="480"/>
        <w:spacing w:after="0" w:line="293" w:lineRule="auto"/>
        <w:rPr>
          <w:sz w:val="20"/>
          <w:szCs w:val="20"/>
          <w:color w:val="auto"/>
        </w:rPr>
      </w:pPr>
      <w:r>
        <w:rPr>
          <w:rFonts w:ascii="Times New Roman" w:cs="Times New Roman" w:eastAsia="Times New Roman" w:hAnsi="Times New Roman"/>
          <w:sz w:val="16"/>
          <w:szCs w:val="16"/>
          <w:color w:val="auto"/>
        </w:rPr>
        <w:t>In addition to financial measures prepared in accordance with U.S. generally accepted accounting principles (“GAAP”), we provide certain non-GAAP financial measures, including adjusted EBITDA, non-GAAP net (loss) income, and free cash flow.</w:t>
      </w:r>
    </w:p>
    <w:p>
      <w:pPr>
        <w:spacing w:after="0" w:line="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00" w:lineRule="exact"/>
        <w:rPr>
          <w:sz w:val="20"/>
          <w:szCs w:val="20"/>
          <w:color w:val="auto"/>
        </w:rPr>
      </w:pPr>
    </w:p>
    <w:p>
      <w:pPr>
        <w:ind w:right="820"/>
        <w:spacing w:after="0" w:line="295" w:lineRule="auto"/>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16"/>
          <w:szCs w:val="16"/>
          <w:color w:val="auto"/>
        </w:rPr>
        <w:t>We define adjusted EBITDA as net loss excluding provision for income taxes, other income, net, depreciation and amortization, and stock-based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Non-GAAP </w:t>
      </w: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define non-GAAP net income as net loss excluding stock-based compensation expense.</w:t>
      </w:r>
    </w:p>
    <w:p>
      <w:pPr>
        <w:spacing w:after="0" w:line="14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b w:val="1"/>
          <w:bCs w:val="1"/>
          <w:color w:val="auto"/>
        </w:rPr>
        <w:t xml:space="preserve">Free cash flow. </w:t>
      </w:r>
      <w:r>
        <w:rPr>
          <w:rFonts w:ascii="Times New Roman" w:cs="Times New Roman" w:eastAsia="Times New Roman" w:hAnsi="Times New Roman"/>
          <w:sz w:val="16"/>
          <w:szCs w:val="16"/>
          <w:color w:val="auto"/>
        </w:rPr>
        <w:t>We define free cash flow as net cash provided by (used in) operating activities excluding changes in settlement assets, net and settlement liabilities, reduced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purchases of property and equipment and other assets and software development costs.</w:t>
      </w:r>
    </w:p>
    <w:p>
      <w:pPr>
        <w:spacing w:after="0" w:line="9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12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6"/>
          <w:szCs w:val="16"/>
          <w:color w:val="auto"/>
        </w:rPr>
        <w:t>Forward-looking statements in this press release, or made during the earnings call, which are not historical facts, are forward-looking statements within the meaning of the Private Securities Litigation Reform Act of 1995.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that we</w:t>
      </w:r>
    </w:p>
    <w:p>
      <w:pPr>
        <w:sectPr>
          <w:pgSz w:w="11920" w:h="16838" w:orient="portrait"/>
          <w:cols w:equalWidth="0" w:num="1">
            <w:col w:w="11300"/>
          </w:cols>
          <w:pgMar w:left="320" w:top="116" w:right="298"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6"/>
          <w:szCs w:val="16"/>
          <w:color w:val="auto"/>
        </w:rPr>
        <w:t>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the Middle East; our ability 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reliance on third parties, including our issuing bank, payment processor and card network, for the Expensify Card program, and our ability to continue to grow adoption of the Expensify Card;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our ability to meet the Nasdaq continued listing requirements for minimum bid price or other Nasdaq listing requirements and the potential delisting of our common stock;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Expensify</w:t>
      </w:r>
    </w:p>
    <w:p>
      <w:pPr>
        <w:spacing w:after="0" w:line="15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color w:val="auto"/>
        </w:rPr>
        <w:t>Expensify is the easiest way to do your expenses, travel, and corporate cards. Built for businesses of all sizes and trusted by 15 million members worldwide, Expensify is a top-rated app across G2, TrustRadius, Capterra, and more. Learn more at use.expensify.com.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Nick Tooker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investors@expensify.com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Dean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press@expensify.com</w:t>
      </w:r>
    </w:p>
    <w:p>
      <w:pPr>
        <w:sectPr>
          <w:pgSz w:w="11920" w:h="16838" w:orient="portrait"/>
          <w:cols w:equalWidth="0" w:num="1">
            <w:col w:w="11300"/>
          </w:cols>
          <w:pgMar w:left="320" w:top="116" w:right="298"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1748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5240"/>
                    </a:xfrm>
                    <a:prstGeom prst="rect">
                      <a:avLst/>
                    </a:prstGeom>
                    <a:noFill/>
                  </pic:spPr>
                </pic:pic>
              </a:graphicData>
            </a:graphic>
          </wp:anchor>
        </w:drawing>
      </w:r>
    </w:p>
    <w:p>
      <w:pPr>
        <w:sectPr>
          <w:pgSz w:w="11920" w:h="16838" w:orient="portrait"/>
          <w:cols w:equalWidth="0" w:num="1">
            <w:col w:w="11300"/>
          </w:cols>
          <w:pgMar w:left="320" w:top="333" w:right="298"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34925</wp:posOffset>
            </wp:positionV>
            <wp:extent cx="1228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spacing w:after="0" w:line="5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34925</wp:posOffset>
            </wp:positionV>
            <wp:extent cx="12357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710" cy="7620"/>
                    </a:xfrm>
                    <a:prstGeom prst="rect">
                      <a:avLst/>
                    </a:prstGeom>
                    <a:noFill/>
                  </pic:spPr>
                </pic:pic>
              </a:graphicData>
            </a:graphic>
          </wp:anchor>
        </w:drawing>
      </w:r>
    </w:p>
    <w:p>
      <w:pPr>
        <w:spacing w:after="0" w:line="5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5" w:lineRule="exact"/>
        <w:rPr>
          <w:sz w:val="20"/>
          <w:szCs w:val="20"/>
          <w:color w:val="auto"/>
        </w:rPr>
      </w:pPr>
    </w:p>
    <w:p>
      <w:pPr>
        <w:sectPr>
          <w:pgSz w:w="11920" w:h="16838" w:orient="portrait"/>
          <w:cols w:equalWidth="0" w:num="2">
            <w:col w:w="9020" w:space="720"/>
            <w:col w:w="1560"/>
          </w:cols>
          <w:pgMar w:left="320" w:top="333" w:right="298"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63,747</w:t>
            </w:r>
          </w:p>
        </w:tc>
        <w:tc>
          <w:tcPr>
            <w:tcW w:w="840" w:type="dxa"/>
            <w:vAlign w:val="bottom"/>
            <w:gridSpan w:val="2"/>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63,080</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12,617</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assets, net</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45,378</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0" w:type="dxa"/>
            <w:vAlign w:val="bottom"/>
          </w:tcPr>
          <w:p>
            <w:pPr>
              <w:spacing w:after="0"/>
              <w:rPr>
                <w:sz w:val="1"/>
                <w:szCs w:val="1"/>
                <w:color w:val="auto"/>
              </w:rPr>
            </w:pPr>
          </w:p>
        </w:tc>
      </w:tr>
      <w:tr>
        <w:trPr>
          <w:trHeight w:val="21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21,758</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26,344</w:t>
            </w:r>
          </w:p>
        </w:tc>
        <w:tc>
          <w:tcPr>
            <w:tcW w:w="0" w:type="dxa"/>
            <w:vAlign w:val="bottom"/>
          </w:tcPr>
          <w:p>
            <w:pPr>
              <w:spacing w:after="0"/>
              <w:rPr>
                <w:sz w:val="1"/>
                <w:szCs w:val="1"/>
                <w:color w:val="auto"/>
              </w:rPr>
            </w:pPr>
          </w:p>
        </w:tc>
      </w:tr>
      <w:tr>
        <w:trPr>
          <w:trHeight w:val="205"/>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159,369</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153,007</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software, net</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13,596</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7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12,553</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assets</w:t>
            </w:r>
          </w:p>
        </w:tc>
        <w:tc>
          <w:tcPr>
            <w:tcW w:w="74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190,313</w:t>
            </w:r>
          </w:p>
        </w:tc>
        <w:tc>
          <w:tcPr>
            <w:tcW w:w="84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185,989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74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40" w:type="dxa"/>
            <w:vAlign w:val="bottom"/>
            <w:tcBorders>
              <w:bottom w:val="single" w:sz="8" w:color="CCEEFF"/>
            </w:tcBorders>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17,893</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1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liabilities</w:t>
            </w: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36,144</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27,545</w:t>
            </w:r>
          </w:p>
        </w:tc>
        <w:tc>
          <w:tcPr>
            <w:tcW w:w="0" w:type="dxa"/>
            <w:vAlign w:val="bottom"/>
          </w:tcPr>
          <w:p>
            <w:pPr>
              <w:spacing w:after="0"/>
              <w:rPr>
                <w:sz w:val="1"/>
                <w:szCs w:val="1"/>
                <w:color w:val="auto"/>
              </w:rPr>
            </w:pPr>
          </w:p>
        </w:tc>
      </w:tr>
      <w:tr>
        <w:trPr>
          <w:trHeight w:val="205"/>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45,388</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46,405</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41"/>
        </w:trPr>
        <w:tc>
          <w:tcPr>
            <w:tcW w:w="7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0" w:type="dxa"/>
            <w:vAlign w:val="bottom"/>
          </w:tcPr>
          <w:p>
            <w:pPr>
              <w:spacing w:after="0"/>
              <w:rPr>
                <w:sz w:val="1"/>
                <w:szCs w:val="1"/>
                <w:color w:val="auto"/>
              </w:rPr>
            </w:pPr>
          </w:p>
        </w:tc>
      </w:tr>
      <w:tr>
        <w:trPr>
          <w:trHeight w:val="196"/>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par value $0.0001; 10,000,000 shares authorized; no shares issued and outstanding as of September 30, 2026</w:t>
            </w: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December 31, 2025</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1,000,000,000 shares authorized; 80,041,088 and 80,767,385 shares issued and outstanding as of</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LT10 common stock; 21,871,197 shares authorized; 4,209,827 shares issued and outstanding as of September 30, 2026 and</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December 31, 2025;</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LT50 common stock; 24,741,868 and 24,967,114 shares authorized as of September 30, 2026 and December 31, 2025,</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respectively; 8,129,514 and 8,083,690 shares issued and outstanding as of September 30, 2026 and December 31, 2025,</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respectively</w:t>
            </w:r>
          </w:p>
        </w:tc>
        <w:tc>
          <w:tcPr>
            <w:tcW w:w="7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319,192</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304,953</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(181,740)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(172,217)</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7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137,461</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132,745</w:t>
            </w:r>
          </w:p>
        </w:tc>
        <w:tc>
          <w:tcPr>
            <w:tcW w:w="0" w:type="dxa"/>
            <w:vAlign w:val="bottom"/>
          </w:tcPr>
          <w:p>
            <w:pPr>
              <w:spacing w:after="0"/>
              <w:rPr>
                <w:sz w:val="1"/>
                <w:szCs w:val="1"/>
                <w:color w:val="auto"/>
              </w:rPr>
            </w:pPr>
          </w:p>
        </w:tc>
      </w:tr>
      <w:tr>
        <w:trPr>
          <w:trHeight w:val="215"/>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7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190,313</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185,989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20" w:h="16838" w:orient="portrait"/>
          <w:cols w:equalWidth="0" w:num="1">
            <w:col w:w="11300"/>
          </w:cols>
          <w:pgMar w:left="320" w:top="333" w:right="298"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71748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524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35,065</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100,856</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106,903</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net</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53,424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52,686</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47,432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54,217</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15,199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15,421</w:t>
            </w:r>
          </w:p>
        </w:tc>
        <w:tc>
          <w:tcPr>
            <w:tcW w:w="0" w:type="dxa"/>
            <w:vAlign w:val="bottom"/>
          </w:tcPr>
          <w:p>
            <w:pPr>
              <w:spacing w:after="0"/>
              <w:rPr>
                <w:sz w:val="1"/>
                <w:szCs w:val="1"/>
                <w:color w:val="auto"/>
              </w:rPr>
            </w:pPr>
          </w:p>
        </w:tc>
      </w:tr>
      <w:tr>
        <w:trPr>
          <w:trHeight w:val="22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27,011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30,054</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12,791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22,824</w:t>
            </w:r>
          </w:p>
        </w:tc>
        <w:tc>
          <w:tcPr>
            <w:tcW w:w="0" w:type="dxa"/>
            <w:vAlign w:val="bottom"/>
          </w:tcPr>
          <w:p>
            <w:pPr>
              <w:spacing w:after="0"/>
              <w:rPr>
                <w:sz w:val="1"/>
                <w:szCs w:val="1"/>
                <w:color w:val="auto"/>
              </w:rPr>
            </w:pPr>
          </w:p>
        </w:tc>
      </w:tr>
      <w:tr>
        <w:trPr>
          <w:trHeight w:val="209"/>
        </w:trPr>
        <w:tc>
          <w:tcPr>
            <w:tcW w:w="4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55,001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68,299</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(7,569)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29"/>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(6,829)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(12,773)</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0" w:type="dxa"/>
            <w:vAlign w:val="bottom"/>
          </w:tcPr>
          <w:p>
            <w:pPr>
              <w:spacing w:after="0"/>
              <w:rPr>
                <w:sz w:val="1"/>
                <w:szCs w:val="1"/>
                <w:color w:val="auto"/>
              </w:rPr>
            </w:pPr>
          </w:p>
        </w:tc>
      </w:tr>
      <w:tr>
        <w:trPr>
          <w:trHeight w:val="29"/>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(9,523)</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(0.10)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used to compute net loss per share:</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91,529,433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92,559,381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93,555,317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92,114,672</w:t>
            </w:r>
          </w:p>
        </w:tc>
        <w:tc>
          <w:tcPr>
            <w:tcW w:w="0" w:type="dxa"/>
            <w:vAlign w:val="bottom"/>
          </w:tcPr>
          <w:p>
            <w:pPr>
              <w:spacing w:after="0"/>
              <w:rPr>
                <w:sz w:val="1"/>
                <w:szCs w:val="1"/>
                <w:color w:val="auto"/>
              </w:rPr>
            </w:pPr>
          </w:p>
        </w:tc>
      </w:tr>
      <w:tr>
        <w:trPr>
          <w:trHeight w:val="47"/>
        </w:trPr>
        <w:tc>
          <w:tcPr>
            <w:tcW w:w="4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140" w:hanging="570"/>
        <w:spacing w:after="0"/>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33655</wp:posOffset>
            </wp:positionV>
            <wp:extent cx="66922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2265" cy="15240"/>
                    </a:xfrm>
                    <a:prstGeom prst="rect">
                      <a:avLst/>
                    </a:prstGeom>
                    <a:noFill/>
                  </pic:spPr>
                </pic:pic>
              </a:graphicData>
            </a:graphic>
          </wp:anchor>
        </w:drawing>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7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9"/>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9"/>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 net</w:t>
            </w:r>
          </w:p>
        </w:tc>
        <w:tc>
          <w:tcPr>
            <w:tcW w:w="102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12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7,101</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8,439</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6,301</w:t>
            </w:r>
          </w:p>
        </w:tc>
      </w:tr>
      <w:tr>
        <w:trPr>
          <w:trHeight w:val="21"/>
        </w:trPr>
        <w:tc>
          <w:tcPr>
            <w:tcW w:w="4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w:t>
            </w:r>
          </w:p>
        </w:tc>
      </w:tr>
      <w:tr>
        <w:trPr>
          <w:trHeight w:val="21"/>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6,448</w:t>
            </w:r>
          </w:p>
        </w:tc>
        <w:tc>
          <w:tcPr>
            <w:tcW w:w="12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19,636</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20" w:h="16838" w:orient="portrait"/>
          <w:cols w:equalWidth="0" w:num="1">
            <w:col w:w="11300"/>
          </w:cols>
          <w:pgMar w:left="320" w:top="333" w:right="298"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340" w:type="dxa"/>
            <w:vAlign w:val="bottom"/>
          </w:tcPr>
          <w:p>
            <w:pPr>
              <w:spacing w:after="0"/>
              <w:rPr>
                <w:sz w:val="15"/>
                <w:szCs w:val="15"/>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5"/>
                <w:szCs w:val="15"/>
                <w:color w:val="auto"/>
              </w:rPr>
            </w:pPr>
          </w:p>
        </w:tc>
        <w:tc>
          <w:tcPr>
            <w:tcW w:w="136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w:t>
            </w:r>
          </w:p>
        </w:tc>
        <w:tc>
          <w:tcPr>
            <w:tcW w:w="1360" w:type="dxa"/>
            <w:vAlign w:val="bottom"/>
            <w:gridSpan w:val="2"/>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Reduction of operating lease right-of-use assets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impairment, receivables and sale or disposal of equipment</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19,636</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Settlement assets, net</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(5,658)</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7,915</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(10,463)</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Settlement liabilities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84"/>
        </w:trPr>
        <w:tc>
          <w:tcPr>
            <w:tcW w:w="7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12,566</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w:t>
            </w:r>
          </w:p>
        </w:tc>
        <w:tc>
          <w:tcPr>
            <w:tcW w:w="0" w:type="dxa"/>
            <w:vAlign w:val="bottom"/>
          </w:tcPr>
          <w:p>
            <w:pPr>
              <w:spacing w:after="0"/>
              <w:rPr>
                <w:sz w:val="1"/>
                <w:szCs w:val="1"/>
                <w:color w:val="auto"/>
              </w:rPr>
            </w:pPr>
          </w:p>
        </w:tc>
      </w:tr>
      <w:tr>
        <w:trPr>
          <w:trHeight w:val="16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Purchase of property and equipment and other assets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Software development costs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0" w:type="dxa"/>
            <w:vAlign w:val="bottom"/>
          </w:tcPr>
          <w:p>
            <w:pPr>
              <w:spacing w:after="0"/>
              <w:rPr>
                <w:sz w:val="1"/>
                <w:szCs w:val="1"/>
                <w:color w:val="auto"/>
              </w:rPr>
            </w:pPr>
          </w:p>
        </w:tc>
      </w:tr>
      <w:tr>
        <w:trPr>
          <w:trHeight w:val="176"/>
        </w:trPr>
        <w:tc>
          <w:tcPr>
            <w:tcW w:w="7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customer funds, net</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Principal payments of finance leases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common stock purchased under the Matching Plan</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Payments for employee taxes withheld from stock-based awards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188"/>
        </w:trPr>
        <w:tc>
          <w:tcPr>
            <w:tcW w:w="7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Borders>
              <w:top w:val="single" w:sz="8" w:color="CCEEFF"/>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29"/>
        </w:trPr>
        <w:tc>
          <w:tcPr>
            <w:tcW w:w="7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126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1360" w:type="dxa"/>
            <w:vAlign w:val="bottom"/>
            <w:tcBorders>
              <w:bottom w:val="single" w:sz="8" w:color="CCEEFF"/>
            </w:tcBorders>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104,624</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90,834</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26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113,039</w:t>
            </w:r>
          </w:p>
        </w:tc>
        <w:tc>
          <w:tcPr>
            <w:tcW w:w="1360" w:type="dxa"/>
            <w:vAlign w:val="bottom"/>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104,381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items: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34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Stock-based compensation capitalized as software development costs</w:t>
            </w:r>
          </w:p>
        </w:tc>
        <w:tc>
          <w:tcPr>
            <w:tcW w:w="126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360" w:type="dxa"/>
            <w:vAlign w:val="bottom"/>
            <w:tcBorders>
              <w:bottom w:val="single" w:sz="8" w:color="CCEEFF"/>
            </w:tcBorders>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Repurchases and retirement of common stock in accounts payable and accrued expenses</w:t>
            </w:r>
          </w:p>
        </w:tc>
        <w:tc>
          <w:tcPr>
            <w:tcW w:w="126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360" w:type="dxa"/>
            <w:vAlign w:val="bottom"/>
            <w:gridSpan w:val="2"/>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Purchases of property and equipment and other assets and capitalized software in accounts payable and accrued expenses</w:t>
            </w:r>
          </w:p>
        </w:tc>
        <w:tc>
          <w:tcPr>
            <w:tcW w:w="126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360" w:type="dxa"/>
            <w:vAlign w:val="bottom"/>
            <w:tcBorders>
              <w:bottom w:val="single" w:sz="8" w:color="CCEEFF"/>
            </w:tcBorders>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Fair value of common stock issued to settle liability-classified restricted stock units</w:t>
            </w:r>
          </w:p>
        </w:tc>
        <w:tc>
          <w:tcPr>
            <w:tcW w:w="126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360" w:type="dxa"/>
            <w:vAlign w:val="bottom"/>
            <w:gridSpan w:val="2"/>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Right-of-use assets acquired with operating lease liabilities</w:t>
            </w:r>
          </w:p>
        </w:tc>
        <w:tc>
          <w:tcPr>
            <w:tcW w:w="126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360" w:type="dxa"/>
            <w:vAlign w:val="bottom"/>
            <w:tcBorders>
              <w:bottom w:val="single" w:sz="8" w:color="CCEEFF"/>
            </w:tcBorders>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cash and cash equivalents and restricted cash to the Condensed Consolidated Balance Sheets:</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63,747</w:t>
            </w:r>
          </w:p>
        </w:tc>
        <w:tc>
          <w:tcPr>
            <w:tcW w:w="1360" w:type="dxa"/>
            <w:vAlign w:val="bottom"/>
            <w:tcBorders>
              <w:bottom w:val="single" w:sz="8" w:color="CCEEFF"/>
            </w:tcBorders>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61,453</w:t>
            </w:r>
          </w:p>
        </w:tc>
        <w:tc>
          <w:tcPr>
            <w:tcW w:w="0" w:type="dxa"/>
            <w:vAlign w:val="bottom"/>
          </w:tcPr>
          <w:p>
            <w:pPr>
              <w:spacing w:after="0"/>
              <w:rPr>
                <w:sz w:val="1"/>
                <w:szCs w:val="1"/>
                <w:color w:val="auto"/>
              </w:rPr>
            </w:pPr>
          </w:p>
        </w:tc>
      </w:tr>
      <w:tr>
        <w:trPr>
          <w:trHeight w:val="184"/>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included in other current assets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Restricted cash included in settlement assets, net</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29,129</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25,053</w:t>
            </w:r>
          </w:p>
        </w:tc>
        <w:tc>
          <w:tcPr>
            <w:tcW w:w="0" w:type="dxa"/>
            <w:vAlign w:val="bottom"/>
          </w:tcPr>
          <w:p>
            <w:pPr>
              <w:spacing w:after="0"/>
              <w:rPr>
                <w:sz w:val="1"/>
                <w:szCs w:val="1"/>
                <w:color w:val="auto"/>
              </w:rPr>
            </w:pPr>
          </w:p>
        </w:tc>
      </w:tr>
      <w:tr>
        <w:trPr>
          <w:trHeight w:val="209"/>
        </w:trPr>
        <w:tc>
          <w:tcPr>
            <w:tcW w:w="734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1260" w:type="dxa"/>
            <w:vAlign w:val="bottom"/>
            <w:tcBorders>
              <w:top w:val="single" w:sz="8" w:color="auto"/>
              <w:bottom w:val="single" w:sz="8" w:color="auto"/>
            </w:tcBorders>
          </w:tcPr>
          <w:p>
            <w:pPr>
              <w:jc w:val="right"/>
              <w:ind w:right="10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113,039</w:t>
            </w: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104,381</w:t>
            </w: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20" w:h="16838" w:orient="portrait"/>
          <w:cols w:equalWidth="0" w:num="1">
            <w:col w:w="11300"/>
          </w:cols>
          <w:pgMar w:left="320" w:top="333" w:right="298"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to Non-GAAP Financial Measures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percentages)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 and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748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312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9"/>
        </w:trPr>
        <w:tc>
          <w:tcPr>
            <w:tcW w:w="3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7"/>
        </w:trPr>
        <w:tc>
          <w:tcPr>
            <w:tcW w:w="3640" w:type="dxa"/>
            <w:vAlign w:val="bottom"/>
          </w:tcPr>
          <w:p>
            <w:pPr>
              <w:spacing w:after="0"/>
              <w:rPr>
                <w:sz w:val="17"/>
                <w:szCs w:val="17"/>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(3,335)</w:t>
            </w:r>
          </w:p>
        </w:tc>
        <w:tc>
          <w:tcPr>
            <w:tcW w:w="1280" w:type="dxa"/>
            <w:vAlign w:val="bottom"/>
            <w:tcBorders>
              <w:bottom w:val="single" w:sz="8" w:color="CCEEFF"/>
            </w:tcBorders>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(2,315)</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(9,523)</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(14,272)</w:t>
            </w: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Net loss margin</w:t>
            </w: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r>
      <w:tr>
        <w:trPr>
          <w:trHeight w:val="29"/>
        </w:trPr>
        <w:tc>
          <w:tcPr>
            <w:tcW w:w="3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18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2,694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1,499</w:t>
            </w:r>
          </w:p>
        </w:tc>
      </w:tr>
      <w:tr>
        <w:trPr>
          <w:trHeight w:val="29"/>
        </w:trPr>
        <w:tc>
          <w:tcPr>
            <w:tcW w:w="3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(1,309)</w:t>
            </w: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2,304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2,097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6,821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6,059</w:t>
            </w:r>
          </w:p>
        </w:tc>
      </w:tr>
      <w:tr>
        <w:trPr>
          <w:trHeight w:val="29"/>
        </w:trPr>
        <w:tc>
          <w:tcPr>
            <w:tcW w:w="3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6,448</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6,663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19,636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21,580</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18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6,076</w:t>
            </w:r>
          </w:p>
        </w:tc>
        <w:tc>
          <w:tcPr>
            <w:tcW w:w="128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6,503</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18,888</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13,557</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EBITDA margin</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18 %</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19 %</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19 %</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13 %</w:t>
            </w:r>
          </w:p>
        </w:tc>
      </w:tr>
      <w:tr>
        <w:trPr>
          <w:trHeight w:val="47"/>
        </w:trPr>
        <w:tc>
          <w:tcPr>
            <w:tcW w:w="36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Non-GAAP Net Income and Non-GAAP Net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748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31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9"/>
        </w:trPr>
        <w:tc>
          <w:tcPr>
            <w:tcW w:w="3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364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9"/>
        </w:trPr>
        <w:tc>
          <w:tcPr>
            <w:tcW w:w="36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(3,335)</w:t>
            </w:r>
          </w:p>
        </w:tc>
        <w:tc>
          <w:tcPr>
            <w:tcW w:w="128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(2,315)</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(9,523)</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(14,272)</w:t>
            </w: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Net loss margin</w:t>
            </w: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r>
      <w:tr>
        <w:trPr>
          <w:trHeight w:val="29"/>
        </w:trPr>
        <w:tc>
          <w:tcPr>
            <w:tcW w:w="3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6,448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6,663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19,636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21,580</w:t>
            </w:r>
          </w:p>
        </w:tc>
      </w:tr>
      <w:tr>
        <w:trPr>
          <w:trHeight w:val="29"/>
        </w:trPr>
        <w:tc>
          <w:tcPr>
            <w:tcW w:w="36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net income</w:t>
            </w:r>
          </w:p>
        </w:tc>
        <w:tc>
          <w:tcPr>
            <w:tcW w:w="118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3,113</w:t>
            </w:r>
          </w:p>
        </w:tc>
        <w:tc>
          <w:tcPr>
            <w:tcW w:w="12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4,348</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10,113</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7,308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Non-GAAP net income margin</w:t>
            </w: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9 %</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7 %</w:t>
            </w:r>
          </w:p>
        </w:tc>
      </w:tr>
      <w:tr>
        <w:trPr>
          <w:trHeight w:val="77"/>
        </w:trPr>
        <w:tc>
          <w:tcPr>
            <w:tcW w:w="3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Cash Flow and Free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748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312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9"/>
        </w:trPr>
        <w:tc>
          <w:tcPr>
            <w:tcW w:w="3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7"/>
        </w:trPr>
        <w:tc>
          <w:tcPr>
            <w:tcW w:w="3640" w:type="dxa"/>
            <w:vAlign w:val="bottom"/>
          </w:tcPr>
          <w:p>
            <w:pPr>
              <w:spacing w:after="0"/>
              <w:rPr>
                <w:sz w:val="17"/>
                <w:szCs w:val="17"/>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18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4,015</w:t>
            </w:r>
          </w:p>
        </w:tc>
        <w:tc>
          <w:tcPr>
            <w:tcW w:w="1280" w:type="dxa"/>
            <w:vAlign w:val="bottom"/>
            <w:tcBorders>
              <w:bottom w:val="single" w:sz="8" w:color="CCEEFF"/>
            </w:tcBorders>
            <w:gridSpan w:val="2"/>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(980)</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12,566</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15,060</w:t>
            </w: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cash flow margin</w:t>
            </w: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r>
      <w:tr>
        <w:trPr>
          <w:trHeight w:val="41"/>
        </w:trPr>
        <w:tc>
          <w:tcPr>
            <w:tcW w:w="3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settlement assets and liabilities:</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6"/>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 assets, net</w:t>
            </w:r>
          </w:p>
        </w:tc>
        <w:tc>
          <w:tcPr>
            <w:tcW w:w="118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5,658</w:t>
            </w:r>
          </w:p>
        </w:tc>
      </w:tr>
      <w:tr>
        <w:trPr>
          <w:trHeight w:val="29"/>
        </w:trPr>
        <w:tc>
          <w:tcPr>
            <w:tcW w:w="3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5"/>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 liabilities</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3,629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(1,318)</w:t>
            </w: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9"/>
        </w:trPr>
        <w:tc>
          <w:tcPr>
            <w:tcW w:w="3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and other assets</w:t>
            </w: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r>
      <w:tr>
        <w:trPr>
          <w:trHeight w:val="217"/>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development costs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(2,740)</w:t>
            </w:r>
          </w:p>
        </w:tc>
      </w:tr>
      <w:tr>
        <w:trPr>
          <w:trHeight w:val="24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118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3,310</w:t>
            </w:r>
          </w:p>
        </w:tc>
        <w:tc>
          <w:tcPr>
            <w:tcW w:w="1280" w:type="dxa"/>
            <w:vAlign w:val="bottom"/>
            <w:gridSpan w:val="2"/>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1,228</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12,213</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16,643</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Free cash flow margin</w:t>
            </w: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16 %</w:t>
            </w:r>
          </w:p>
        </w:tc>
      </w:tr>
      <w:tr>
        <w:trPr>
          <w:trHeight w:val="77"/>
        </w:trPr>
        <w:tc>
          <w:tcPr>
            <w:tcW w:w="3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bl>
    <w:p>
      <w:pPr>
        <w:sectPr>
          <w:pgSz w:w="11920" w:h="16838" w:orient="portrait"/>
          <w:cols w:equalWidth="0" w:num="1">
            <w:col w:w="11300"/>
          </w:cols>
          <w:pgMar w:left="320" w:top="333" w:right="298"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1</w:t>
      </w:r>
    </w:p>
    <w:p>
      <w:pPr>
        <w:sectPr>
          <w:pgSz w:w="11920" w:h="16838" w:orient="portrait"/>
          <w:cols w:equalWidth="0" w:num="1">
            <w:col w:w="10180"/>
          </w:cols>
          <w:pgMar w:left="1440" w:top="119" w:right="298"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2</w:t>
      </w:r>
    </w:p>
    <w:p>
      <w:pPr>
        <w:sectPr>
          <w:pgSz w:w="11920" w:h="16838" w:orient="portrait"/>
          <w:cols w:equalWidth="0" w:num="1">
            <w:col w:w="10180"/>
          </w:cols>
          <w:pgMar w:left="1440" w:top="119" w:right="298"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3</w:t>
      </w:r>
    </w:p>
    <w:p>
      <w:pPr>
        <w:sectPr>
          <w:pgSz w:w="11920" w:h="16838" w:orient="portrait"/>
          <w:cols w:equalWidth="0" w:num="1">
            <w:col w:w="10180"/>
          </w:cols>
          <w:pgMar w:left="1440" w:top="119" w:right="298"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4</w:t>
      </w:r>
    </w:p>
    <w:p>
      <w:pPr>
        <w:sectPr>
          <w:pgSz w:w="11920" w:h="16838" w:orient="portrait"/>
          <w:cols w:equalWidth="0" w:num="1">
            <w:col w:w="10180"/>
          </w:cols>
          <w:pgMar w:left="1440" w:top="119" w:right="298"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5</w:t>
      </w:r>
    </w:p>
    <w:p>
      <w:pPr>
        <w:sectPr>
          <w:pgSz w:w="11920" w:h="16838" w:orient="portrait"/>
          <w:cols w:equalWidth="0" w:num="1">
            <w:col w:w="10180"/>
          </w:cols>
          <w:pgMar w:left="1440" w:top="119" w:right="298"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6</w:t>
      </w:r>
    </w:p>
    <w:p>
      <w:pPr>
        <w:sectPr>
          <w:pgSz w:w="11920" w:h="16838" w:orient="portrait"/>
          <w:cols w:equalWidth="0" w:num="1">
            <w:col w:w="10180"/>
          </w:cols>
          <w:pgMar w:left="1440" w:top="119" w:right="298"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7</w:t>
      </w:r>
    </w:p>
    <w:p>
      <w:pPr>
        <w:sectPr>
          <w:pgSz w:w="11920" w:h="16838" w:orient="portrait"/>
          <w:cols w:equalWidth="0" w:num="1">
            <w:col w:w="10180"/>
          </w:cols>
          <w:pgMar w:left="1440" w:top="119" w:right="298"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8</w:t>
      </w:r>
    </w:p>
    <w:p>
      <w:pPr>
        <w:sectPr>
          <w:pgSz w:w="11920" w:h="16838" w:orient="portrait"/>
          <w:cols w:equalWidth="0" w:num="1">
            <w:col w:w="10180"/>
          </w:cols>
          <w:pgMar w:left="1440" w:top="119" w:right="298"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9</w:t>
      </w:r>
    </w:p>
    <w:p>
      <w:pPr>
        <w:sectPr>
          <w:pgSz w:w="11920" w:h="16838" w:orient="portrait"/>
          <w:cols w:equalWidth="0" w:num="1">
            <w:col w:w="10180"/>
          </w:cols>
          <w:pgMar w:left="1440" w:top="119" w:right="298"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10</w:t>
      </w:r>
    </w:p>
    <w:p>
      <w:pPr>
        <w:sectPr>
          <w:pgSz w:w="11920" w:h="16838" w:orient="portrait"/>
          <w:cols w:equalWidth="0" w:num="1">
            <w:col w:w="10180"/>
          </w:cols>
          <w:pgMar w:left="1440" w:top="119" w:right="298"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11</w:t>
      </w:r>
    </w:p>
    <w:p>
      <w:pPr>
        <w:sectPr>
          <w:pgSz w:w="11920" w:h="16838" w:orient="portrait"/>
          <w:cols w:equalWidth="0" w:num="1">
            <w:col w:w="10180"/>
          </w:cols>
          <w:pgMar w:left="1440" w:top="119" w:right="298"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12</w:t>
      </w:r>
    </w:p>
    <w:p>
      <w:pPr>
        <w:sectPr>
          <w:pgSz w:w="11920" w:h="16838" w:orient="portrait"/>
          <w:cols w:equalWidth="0" w:num="1">
            <w:col w:w="10180"/>
          </w:cols>
          <w:pgMar w:left="1440" w:top="119" w:right="298"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13</w:t>
      </w:r>
    </w:p>
    <w:p>
      <w:pPr>
        <w:sectPr>
          <w:pgSz w:w="11920" w:h="16838" w:orient="portrait"/>
          <w:cols w:equalWidth="0" w:num="1">
            <w:col w:w="10180"/>
          </w:cols>
          <w:pgMar w:left="1440" w:top="119" w:right="298"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14</w:t>
      </w:r>
    </w:p>
    <w:p>
      <w:pPr>
        <w:sectPr>
          <w:pgSz w:w="11920" w:h="16838" w:orient="portrait"/>
          <w:cols w:equalWidth="0" w:num="1">
            <w:col w:w="10180"/>
          </w:cols>
          <w:pgMar w:left="1440" w:top="119" w:right="298"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15</w:t>
      </w:r>
    </w:p>
    <w:p>
      <w:pPr>
        <w:sectPr>
          <w:pgSz w:w="11920" w:h="16838" w:orient="portrait"/>
          <w:cols w:equalWidth="0" w:num="1">
            <w:col w:w="10180"/>
          </w:cols>
          <w:pgMar w:left="1440" w:top="119" w:right="298"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16</w:t>
      </w:r>
    </w:p>
    <w:p>
      <w:pPr>
        <w:sectPr>
          <w:pgSz w:w="11920" w:h="16838" w:orient="portrait"/>
          <w:cols w:equalWidth="0" w:num="1">
            <w:col w:w="10180"/>
          </w:cols>
          <w:pgMar w:left="1440" w:top="119" w:right="298"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17</w:t>
      </w:r>
    </w:p>
    <w:p>
      <w:pPr>
        <w:sectPr>
          <w:pgSz w:w="11920" w:h="16838" w:orient="portrait"/>
          <w:cols w:equalWidth="0" w:num="1">
            <w:col w:w="10180"/>
          </w:cols>
          <w:pgMar w:left="1440" w:top="119" w:right="298"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18</w:t>
      </w:r>
    </w:p>
    <w:p>
      <w:pPr>
        <w:sectPr>
          <w:pgSz w:w="11920" w:h="16838" w:orient="portrait"/>
          <w:cols w:equalWidth="0" w:num="1">
            <w:col w:w="10180"/>
          </w:cols>
          <w:pgMar w:left="1440" w:top="119" w:right="298"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19</w:t>
      </w:r>
    </w:p>
    <w:p>
      <w:pPr>
        <w:sectPr>
          <w:pgSz w:w="11920" w:h="16838" w:orient="portrait"/>
          <w:cols w:equalWidth="0" w:num="1">
            <w:col w:w="10180"/>
          </w:cols>
          <w:pgMar w:left="1440" w:top="119" w:right="298"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586740</wp:posOffset>
            </wp:positionV>
            <wp:extent cx="7229475" cy="406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20</w:t>
      </w:r>
    </w:p>
    <w:p>
      <w:pPr>
        <w:sectPr>
          <w:pgSz w:w="11920" w:h="16838" w:orient="portrait"/>
          <w:cols w:equalWidth="0" w:num="1">
            <w:col w:w="10180"/>
          </w:cols>
          <w:pgMar w:left="1440" w:top="119" w:right="298"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21</w:t>
      </w:r>
    </w:p>
    <w:p>
      <w:pPr>
        <w:sectPr>
          <w:pgSz w:w="11920" w:h="16838" w:orient="portrait"/>
          <w:cols w:equalWidth="0" w:num="1">
            <w:col w:w="10180"/>
          </w:cols>
          <w:pgMar w:left="1440" w:top="119" w:right="298"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22</w:t>
      </w:r>
    </w:p>
    <w:p>
      <w:pPr>
        <w:sectPr>
          <w:pgSz w:w="11920" w:h="16838" w:orient="portrait"/>
          <w:cols w:equalWidth="0" w:num="1">
            <w:col w:w="10180"/>
          </w:cols>
          <w:pgMar w:left="1440" w:top="119" w:right="298"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23</w:t>
      </w:r>
    </w:p>
    <w:p>
      <w:pPr>
        <w:sectPr>
          <w:pgSz w:w="11920" w:h="16838" w:orient="portrait"/>
          <w:cols w:equalWidth="0" w:num="1">
            <w:col w:w="10180"/>
          </w:cols>
          <w:pgMar w:left="1440" w:top="119" w:right="298"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24</w:t>
      </w:r>
    </w:p>
    <w:p>
      <w:pPr>
        <w:sectPr>
          <w:pgSz w:w="11920" w:h="16838" w:orient="portrait"/>
          <w:cols w:equalWidth="0" w:num="1">
            <w:col w:w="10180"/>
          </w:cols>
          <w:pgMar w:left="1440" w:top="119" w:right="298"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571500</wp:posOffset>
            </wp:positionV>
            <wp:extent cx="7229475" cy="4069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25</w:t>
      </w:r>
    </w:p>
    <w:sectPr>
      <w:pgSz w:w="11920" w:h="16838" w:orient="portrait"/>
      <w:cols w:equalWidth="0" w:num="1">
        <w:col w:w="10180"/>
      </w:cols>
      <w:pgMar w:left="1440" w:top="119" w:right="29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2026-11-05T15:17:20Z</dcterms:created>
  <dcterms:modified xsi:type="dcterms:W3CDTF">2026-11-05T15:17:20Z</dcterms:modified>
</cp:coreProperties>
</file>