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 xml:space="preserve">UNITED STATES </w:t>
      </w:r>
    </w:p>
    <w:p>
      <w:pPr>
        <w:pStyle w:val="TextBody"/>
        <w:bidi w:val="0"/>
        <w:spacing w:lineRule="auto" w:line="288" w:before="0" w:after="0"/>
        <w:jc w:val="center"/>
        <w:rPr/>
      </w:pPr>
      <w:r>
        <w:rPr>
          <w:rFonts w:ascii="Expensify Neue;sans-serif" w:hAnsi="Expensify Neue;sans-serif"/>
          <w:b/>
          <w:color w:val="000000"/>
          <w:sz w:val="24"/>
        </w:rPr>
        <w:t>SECURITIES AND EXCHANGE COMMISSION</w:t>
      </w:r>
      <w:r>
        <w:rPr>
          <w:color w:val="000000"/>
        </w:rPr>
        <w:t xml:space="preserve"> </w:t>
      </w:r>
    </w:p>
    <w:p>
      <w:pPr>
        <w:pStyle w:val="TextBody"/>
        <w:bidi w:val="0"/>
        <w:spacing w:lineRule="auto" w:line="288" w:before="0" w:after="100"/>
        <w:jc w:val="center"/>
        <w:rPr>
          <w:rFonts w:ascii="Expensify Neue;sans-serif" w:hAnsi="Expensify Neue;sans-serif"/>
          <w:b/>
          <w:color w:val="000000"/>
          <w:sz w:val="14"/>
        </w:rPr>
      </w:pPr>
      <w:r>
        <w:rPr>
          <w:rFonts w:ascii="Expensify Neue;sans-serif" w:hAnsi="Expensify Neue;sans-serif"/>
          <w:b/>
          <w:color w:val="000000"/>
          <w:sz w:val="1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Expensify Neue;sans-serif" w:hAnsi="Expensify Neue;sans-serif"/>
          <w:b/>
          <w:color w:val="000000"/>
          <w:sz w:val="28"/>
        </w:rPr>
      </w:pPr>
      <w:r>
        <w:rPr>
          <w:rFonts w:ascii="Expensify Neue;sans-serif" w:hAnsi="Expensify Neue;sans-serif"/>
          <w:b/>
          <w:color w:val="000000"/>
          <w:sz w:val="28"/>
        </w:rPr>
        <w:t>FORM 10-K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57" w:type="dxa"/>
        <w:jc w:val="left"/>
        <w:tblInd w:w="0" w:type="dxa"/>
        <w:tblLayout w:type="fixed"/>
        <w:tblCellMar>
          <w:top w:w="28" w:type="dxa"/>
          <w:left w:w="28" w:type="dxa"/>
          <w:bottom w:w="28" w:type="dxa"/>
          <w:right w:w="28" w:type="dxa"/>
        </w:tblCellMar>
      </w:tblPr>
      <w:tblGrid>
        <w:gridCol w:w="124"/>
        <w:gridCol w:w="109"/>
        <w:gridCol w:w="109"/>
        <w:gridCol w:w="2459"/>
        <w:gridCol w:w="2459"/>
        <w:gridCol w:w="34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ANNUAL REPORT PURSUANT TO SECTION 13 OR 15(d) OF THE SECURITIES EXCHANGE ACT OF 1934</w:t>
            </w:r>
          </w:p>
        </w:tc>
      </w:tr>
    </w:tbl>
    <w:p>
      <w:pPr>
        <w:pStyle w:val="TextBody"/>
        <w:bidi w:val="0"/>
        <w:spacing w:lineRule="auto" w:line="288" w:before="0" w:after="120"/>
        <w:jc w:val="center"/>
        <w:rPr>
          <w:rFonts w:ascii="Expensify Neue;sans-serif" w:hAnsi="Expensify Neue;sans-serif"/>
          <w:b w:val="false"/>
          <w:color w:val="000000"/>
          <w:sz w:val="16"/>
        </w:rPr>
      </w:pPr>
      <w:r>
        <w:rPr>
          <w:rFonts w:ascii="Expensify Neue;sans-serif" w:hAnsi="Expensify Neue;sans-serif"/>
          <w:b w:val="false"/>
          <w:color w:val="000000"/>
          <w:sz w:val="16"/>
        </w:rPr>
        <w:t>For the fiscal year ended December 31, 2025</w:t>
      </w:r>
    </w:p>
    <w:p>
      <w:pPr>
        <w:pStyle w:val="TextBody"/>
        <w:bidi w:val="0"/>
        <w:spacing w:lineRule="auto" w:line="288" w:before="0" w:after="120"/>
        <w:jc w:val="center"/>
        <w:rPr>
          <w:rFonts w:ascii="Expensify Neue;sans-serif" w:hAnsi="Expensify Neue;sans-serif"/>
          <w:b w:val="false"/>
          <w:color w:val="000000"/>
          <w:sz w:val="16"/>
        </w:rPr>
      </w:pPr>
      <w:r>
        <w:rPr>
          <w:rFonts w:ascii="Expensify Neue;sans-serif" w:hAnsi="Expensify Neue;sans-serif"/>
          <w:b w:val="false"/>
          <w:color w:val="000000"/>
          <w:sz w:val="16"/>
        </w:rPr>
        <w:t>OR</w:t>
      </w:r>
    </w:p>
    <w:tbl>
      <w:tblPr>
        <w:tblW w:w="9086" w:type="dxa"/>
        <w:jc w:val="left"/>
        <w:tblInd w:w="0" w:type="dxa"/>
        <w:tblLayout w:type="fixed"/>
        <w:tblCellMar>
          <w:top w:w="28" w:type="dxa"/>
          <w:left w:w="28" w:type="dxa"/>
          <w:bottom w:w="28" w:type="dxa"/>
          <w:right w:w="28" w:type="dxa"/>
        </w:tblCellMar>
      </w:tblPr>
      <w:tblGrid>
        <w:gridCol w:w="124"/>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TRANSITION REPORT PURSUANT TO SECTION 13 OR 15(d) OF THE SECURITIES EXCHANGE ACT OF 1934</w:t>
            </w:r>
          </w:p>
        </w:tc>
      </w:tr>
    </w:tbl>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For the transition period from to</w:t>
      </w:r>
    </w:p>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Commission File Number 001-41043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drawing>
          <wp:inline distT="0" distB="0" distL="0" distR="0">
            <wp:extent cx="21336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495300"/>
                    </a:xfrm>
                    <a:prstGeom prst="rect">
                      <a:avLst/>
                    </a:prstGeom>
                  </pic:spPr>
                </pic:pic>
              </a:graphicData>
            </a:graphic>
          </wp:inline>
        </w:drawing>
      </w:r>
      <w:bookmarkStart w:id="0" w:name="i-1"/>
      <w:bookmarkEnd w:id="0"/>
    </w:p>
    <w:p>
      <w:pPr>
        <w:pStyle w:val="TextBody"/>
        <w:bidi w:val="0"/>
        <w:spacing w:lineRule="auto" w:line="288" w:before="0" w:after="0"/>
        <w:jc w:val="center"/>
        <w:rPr>
          <w:rFonts w:ascii="Expensify Neue;sans-serif" w:hAnsi="Expensify Neue;sans-serif"/>
          <w:b/>
          <w:color w:val="000000"/>
          <w:sz w:val="36"/>
        </w:rPr>
      </w:pPr>
      <w:r>
        <w:rPr>
          <w:rFonts w:ascii="Expensify Neue;sans-serif" w:hAnsi="Expensify Neue;sans-serif"/>
          <w:b/>
          <w:color w:val="000000"/>
          <w:sz w:val="36"/>
        </w:rPr>
        <w:t>EXPENSIFY, INC.</w:t>
      </w:r>
    </w:p>
    <w:p>
      <w:pPr>
        <w:pStyle w:val="TextBody"/>
        <w:bidi w:val="0"/>
        <w:spacing w:lineRule="auto" w:line="288" w:before="0" w:after="120"/>
        <w:jc w:val="center"/>
        <w:rPr>
          <w:rFonts w:ascii="Expensify Neue;sans-serif" w:hAnsi="Expensify Neue;sans-serif"/>
          <w:b w:val="false"/>
          <w:color w:val="000000"/>
          <w:sz w:val="14"/>
        </w:rPr>
      </w:pPr>
      <w:r>
        <w:rPr>
          <w:rFonts w:ascii="Expensify Neue;sans-serif" w:hAnsi="Expensify Neue;sans-serif"/>
          <w:b w:val="false"/>
          <w:color w:val="000000"/>
          <w:sz w:val="14"/>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440" w:type="dxa"/>
        <w:jc w:val="center"/>
        <w:tblInd w:w="0" w:type="dxa"/>
        <w:tblLayout w:type="fixed"/>
        <w:tblCellMar>
          <w:top w:w="28" w:type="dxa"/>
          <w:left w:w="28" w:type="dxa"/>
          <w:bottom w:w="28" w:type="dxa"/>
          <w:right w:w="28" w:type="dxa"/>
        </w:tblCellMar>
      </w:tblPr>
      <w:tblGrid>
        <w:gridCol w:w="1326"/>
        <w:gridCol w:w="1161"/>
        <w:gridCol w:w="1172"/>
        <w:gridCol w:w="109"/>
        <w:gridCol w:w="109"/>
        <w:gridCol w:w="109"/>
        <w:gridCol w:w="424"/>
        <w:gridCol w:w="424"/>
        <w:gridCol w:w="606"/>
      </w:tblGrid>
      <w:tr>
        <w:trPr/>
        <w:tc>
          <w:tcPr>
            <w:tcW w:w="132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color w:val="000000"/>
                <w:sz w:val="14"/>
              </w:rPr>
            </w:pPr>
            <w:r>
              <w:rPr>
                <w:rFonts w:ascii="Expensify Neue;sans-serif" w:hAnsi="Expensify Neue;sans-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color w:val="000000"/>
                <w:sz w:val="14"/>
              </w:rPr>
            </w:pPr>
            <w:r>
              <w:rPr>
                <w:rFonts w:ascii="Expensify Neue;sans-serif" w:hAnsi="Expensify Neue;sans-serif"/>
                <w:b/>
                <w:color w:val="000000"/>
                <w:sz w:val="14"/>
              </w:rPr>
              <w:t>27-0239450</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(State or other jurisdiction of</w:t>
            </w:r>
          </w:p>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(I.R.S. Employer</w:t>
            </w:r>
          </w:p>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Identification No.)</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Expensify Neue;sans-serif" w:hAnsi="Expensify Neue;sans-serif"/>
                <w:b/>
                <w:color w:val="000000"/>
                <w:sz w:val="14"/>
              </w:rPr>
            </w:pPr>
            <w:r>
              <w:rPr>
                <w:rFonts w:ascii="Expensify Neue;sans-serif" w:hAnsi="Expensify Neue;sans-serif"/>
                <w:b/>
                <w:color w:val="000000"/>
                <w:sz w:val="14"/>
              </w:rPr>
              <w:t>88 Kearny St, Ste 1600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94108</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14"/>
              </w:rPr>
            </w:pPr>
            <w:r>
              <w:rPr>
                <w:rFonts w:ascii="Expensify Neue;sans-serif" w:hAnsi="Expensify Neue;sans-serif"/>
                <w:b w:val="false"/>
                <w:color w:val="000000"/>
                <w:sz w:val="14"/>
              </w:rPr>
              <w:t xml:space="preserve">(Zip code) </w:t>
            </w:r>
          </w:p>
        </w:tc>
      </w:tr>
    </w:tbl>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Registrant’s telephone number, including area code: (971) 365-3939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730"/>
        <w:gridCol w:w="1486"/>
        <w:gridCol w:w="1484"/>
        <w:gridCol w:w="109"/>
        <w:gridCol w:w="109"/>
        <w:gridCol w:w="109"/>
        <w:gridCol w:w="445"/>
        <w:gridCol w:w="445"/>
        <w:gridCol w:w="447"/>
        <w:gridCol w:w="109"/>
        <w:gridCol w:w="109"/>
        <w:gridCol w:w="109"/>
        <w:gridCol w:w="1027"/>
        <w:gridCol w:w="1027"/>
        <w:gridCol w:w="1460"/>
      </w:tblGrid>
      <w:tr>
        <w:trPr/>
        <w:tc>
          <w:tcPr>
            <w:tcW w:w="173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Name of each exchange on which registered</w:t>
            </w:r>
          </w:p>
        </w:tc>
      </w:tr>
      <w:tr>
        <w:trPr/>
        <w:tc>
          <w:tcPr>
            <w:tcW w:w="4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Nasdaq Stock Market LLC</w:t>
            </w:r>
          </w:p>
        </w:tc>
      </w:tr>
    </w:tbl>
    <w:p>
      <w:pPr>
        <w:pStyle w:val="TextBody"/>
        <w:bidi w:val="0"/>
        <w:spacing w:lineRule="auto" w:line="288" w:before="0" w:after="120"/>
        <w:jc w:val="center"/>
        <w:rPr/>
      </w:pPr>
      <w:r>
        <w:rPr>
          <w:rFonts w:ascii="Arial;sans-serif" w:hAnsi="Arial;sans-serif"/>
          <w:b w:val="false"/>
          <w:color w:val="000000"/>
          <w:sz w:val="16"/>
        </w:rPr>
        <w:t>Securities registered pursuant to Section 12(</w:t>
      </w:r>
      <w:r>
        <w:rPr>
          <w:rFonts w:ascii="Expensify Neue;sans-serif" w:hAnsi="Expensify Neue;sans-serif"/>
          <w:b w:val="false"/>
          <w:color w:val="000000"/>
          <w:sz w:val="16"/>
        </w:rPr>
        <w:t>g</w:t>
      </w:r>
      <w:r>
        <w:rPr>
          <w:rFonts w:ascii="Arial;sans-serif" w:hAnsi="Arial;sans-serif"/>
          <w:b w:val="false"/>
          <w:color w:val="000000"/>
          <w:sz w:val="16"/>
        </w:rPr>
        <w:t>) of the Act:</w:t>
      </w:r>
      <w:r>
        <w:rPr>
          <w:color w:val="000000"/>
        </w:rPr>
        <w:t xml:space="preserve"> </w:t>
      </w:r>
      <w:r>
        <w:rPr>
          <w:rFonts w:ascii="Expensify Neue;sans-serif" w:hAnsi="Expensify Neue;sans-serif"/>
          <w:b w:val="false"/>
          <w:color w:val="000000"/>
          <w:sz w:val="16"/>
        </w:rPr>
        <w:t>None</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if the registrant is a well-known seasoned issuer, as defined in Rule 405 of the Securities Act. Yes ☐ No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Indicate by check mark if the registrant is not required to file reports pursuant to Section 13 or 15(d) of the Act. Yes ☐ No ☒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22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56" w:type="dxa"/>
        <w:jc w:val="left"/>
        <w:tblInd w:w="0" w:type="dxa"/>
        <w:tblLayout w:type="fixed"/>
        <w:tblCellMar>
          <w:top w:w="28" w:type="dxa"/>
          <w:left w:w="28" w:type="dxa"/>
          <w:bottom w:w="28" w:type="dxa"/>
          <w:right w:w="28" w:type="dxa"/>
        </w:tblCellMar>
      </w:tblPr>
      <w:tblGrid>
        <w:gridCol w:w="808"/>
        <w:gridCol w:w="712"/>
        <w:gridCol w:w="714"/>
        <w:gridCol w:w="109"/>
        <w:gridCol w:w="109"/>
        <w:gridCol w:w="109"/>
        <w:gridCol w:w="672"/>
        <w:gridCol w:w="672"/>
        <w:gridCol w:w="951"/>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Accelerated filer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Non-accelerated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Smaller reporting company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Emerging growth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Expensify Neue;sans-serif" w:hAnsi="Expensify Neue;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is a shell company (as defined in Rule 12b-2 of the Act): Yes ☐ No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The aggregate market value of the registrant's Class A common stock, par value $0.0001 per share, held by non-affiliates of the registrant was approximately $173 million as of June 30, 2025, the last business day of the registrant's most recently completed second fiscal quarter, computed based on the closing sale price of the Class A common stock on the Nasdaq Stock Market LLC on such date.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As of February 23, 2026, there were approximately 80,888,459 shares of the registrant's Class A common stock outstanding, 4,209,827 shares of the registrant's LT10 common stock outstanding, and 8,009,643 shares of the registrant's LT50 common stock outstanding.</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DOCUMENTS INCORPORATED BY REFERENCE</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Information required in response to Part III of this Annual Report on Form 10-K (Items 10, 11, 12, 13 and 14) is hereby incorporated by reference to portions of the registrant’s Proxy Statement for its Annual Meeting of Stockholders to be held in 2026. The Proxy Statement will be filed by the registrant with the Securities and Exchange Commission no later than 120 days after the end of the registrant’s fiscal year ended December 31, 2025.</w:t>
      </w:r>
    </w:p>
    <w:p>
      <w:pPr>
        <w:pStyle w:val="TextBody"/>
        <w:bidi w:val="0"/>
        <w:spacing w:before="0" w:after="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Table of Contents</w:t>
      </w:r>
    </w:p>
    <w:tbl>
      <w:tblPr>
        <w:tblW w:w="10205" w:type="dxa"/>
        <w:jc w:val="left"/>
        <w:tblInd w:w="0" w:type="dxa"/>
        <w:tblLayout w:type="fixed"/>
        <w:tblCellMar>
          <w:top w:w="28" w:type="dxa"/>
          <w:left w:w="28" w:type="dxa"/>
          <w:bottom w:w="28" w:type="dxa"/>
          <w:right w:w="28" w:type="dxa"/>
        </w:tblCellMar>
      </w:tblPr>
      <w:tblGrid>
        <w:gridCol w:w="336"/>
        <w:gridCol w:w="296"/>
        <w:gridCol w:w="298"/>
        <w:gridCol w:w="2945"/>
        <w:gridCol w:w="2833"/>
        <w:gridCol w:w="2832"/>
        <w:gridCol w:w="193"/>
        <w:gridCol w:w="193"/>
        <w:gridCol w:w="279"/>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20"/>
              </w:rPr>
            </w:pPr>
            <w:r>
              <w:rPr>
                <w:rFonts w:ascii="Expensify Neue;sans-serif" w:hAnsi="Expensify Neue;sans-serif"/>
                <w:b/>
                <w:color w:val="000000"/>
                <w:sz w:val="20"/>
              </w:rPr>
              <w:t>Page</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2E22"/>
                <w:sz w:val="20"/>
              </w:rPr>
            </w:pPr>
            <w:r>
              <w:rPr>
                <w:rFonts w:ascii="Expensify Neue;sans-serif" w:hAnsi="Expensify Neue;sans-serif"/>
                <w:b/>
                <w:color w:val="002E22"/>
                <w:sz w:val="20"/>
              </w:rPr>
              <w:t>PART I</w:t>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9">
              <w:r>
                <w:rPr>
                  <w:rStyle w:val="InternetLink"/>
                  <w:rFonts w:ascii="Expensify Neue;sans-serif" w:hAnsi="Expensify Neue;sans-serif"/>
                  <w:b w:val="false"/>
                  <w:strike w:val="false"/>
                  <w:dstrike w:val="false"/>
                  <w:color w:val="03D47C"/>
                  <w:sz w:val="20"/>
                  <w:u w:val="none"/>
                  <w:effect w:val="none"/>
                </w:rPr>
                <w:t>Business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19">
              <w:r>
                <w:rPr>
                  <w:rStyle w:val="InternetLink"/>
                  <w:rFonts w:ascii="Expensify Neue;sans-serif" w:hAnsi="Expensify Neue;sans-serif"/>
                  <w:b w:val="false"/>
                  <w:strike w:val="false"/>
                  <w:dstrike w:val="false"/>
                  <w:color w:val="03D47C"/>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1A.</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22">
              <w:r>
                <w:rPr>
                  <w:rStyle w:val="InternetLink"/>
                  <w:rFonts w:ascii="Expensify Neue;sans-serif" w:hAnsi="Expensify Neue;sans-serif"/>
                  <w:b w:val="false"/>
                  <w:strike w:val="false"/>
                  <w:dstrike w:val="false"/>
                  <w:color w:val="03D47C"/>
                  <w:sz w:val="20"/>
                  <w:u w:val="none"/>
                  <w:effect w:val="none"/>
                </w:rPr>
                <w:t>Risk Factors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22">
              <w:r>
                <w:rPr>
                  <w:rStyle w:val="InternetLink"/>
                  <w:rFonts w:ascii="Expensify Neue;sans-serif" w:hAnsi="Expensify Neue;sans-serif"/>
                  <w:b w:val="false"/>
                  <w:strike w:val="false"/>
                  <w:dstrike w:val="false"/>
                  <w:color w:val="03D47C"/>
                  <w:sz w:val="20"/>
                  <w:u w:val="none"/>
                  <w:effect w:val="none"/>
                </w:rPr>
                <w:t>21</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1B.</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25">
              <w:r>
                <w:rPr>
                  <w:rStyle w:val="InternetLink"/>
                  <w:rFonts w:ascii="Expensify Neue;sans-serif" w:hAnsi="Expensify Neue;sans-serif"/>
                  <w:b w:val="false"/>
                  <w:strike w:val="false"/>
                  <w:dstrike w:val="false"/>
                  <w:color w:val="03D47C"/>
                  <w:sz w:val="20"/>
                  <w:u w:val="none"/>
                  <w:effect w:val="none"/>
                </w:rPr>
                <w:t>Unresolved Staff Comments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25">
              <w:r>
                <w:rPr>
                  <w:rStyle w:val="InternetLink"/>
                  <w:rFonts w:ascii="Expensify Neue;sans-serif" w:hAnsi="Expensify Neue;sans-serif"/>
                  <w:b w:val="false"/>
                  <w:strike w:val="false"/>
                  <w:dstrike w:val="false"/>
                  <w:color w:val="03D47C"/>
                  <w:sz w:val="20"/>
                  <w:u w:val="none"/>
                  <w:effect w:val="none"/>
                </w:rPr>
                <w:t>67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1C.</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28">
              <w:r>
                <w:rPr>
                  <w:rStyle w:val="InternetLink"/>
                  <w:rFonts w:ascii="Expensify Neue;sans-serif" w:hAnsi="Expensify Neue;sans-serif"/>
                  <w:b w:val="false"/>
                  <w:strike w:val="false"/>
                  <w:dstrike w:val="false"/>
                  <w:color w:val="03D47C"/>
                  <w:sz w:val="20"/>
                  <w:u w:val="none"/>
                  <w:effect w:val="none"/>
                </w:rPr>
                <w:t>Cybersecurity</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28">
              <w:r>
                <w:rPr>
                  <w:rStyle w:val="InternetLink"/>
                  <w:rFonts w:ascii="Expensify Neue;sans-serif" w:hAnsi="Expensify Neue;sans-serif"/>
                  <w:b w:val="false"/>
                  <w:strike w:val="false"/>
                  <w:dstrike w:val="false"/>
                  <w:color w:val="03D47C"/>
                  <w:sz w:val="20"/>
                  <w:u w:val="none"/>
                  <w:effect w:val="none"/>
                </w:rPr>
                <w:t>67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2.</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31">
              <w:r>
                <w:rPr>
                  <w:rStyle w:val="InternetLink"/>
                  <w:rFonts w:ascii="Expensify Neue;sans-serif" w:hAnsi="Expensify Neue;sans-serif"/>
                  <w:b w:val="false"/>
                  <w:strike w:val="false"/>
                  <w:dstrike w:val="false"/>
                  <w:color w:val="03D47C"/>
                  <w:sz w:val="20"/>
                  <w:u w:val="none"/>
                  <w:effect w:val="none"/>
                </w:rPr>
                <w:t>Properties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31">
              <w:r>
                <w:rPr>
                  <w:rStyle w:val="InternetLink"/>
                  <w:rFonts w:ascii="Expensify Neue;sans-serif" w:hAnsi="Expensify Neue;sans-serif"/>
                  <w:b w:val="false"/>
                  <w:strike w:val="false"/>
                  <w:dstrike w:val="false"/>
                  <w:color w:val="03D47C"/>
                  <w:sz w:val="20"/>
                  <w:u w:val="none"/>
                  <w:effect w:val="none"/>
                </w:rPr>
                <w:t>68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3.</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34">
              <w:r>
                <w:rPr>
                  <w:rStyle w:val="InternetLink"/>
                  <w:rFonts w:ascii="Expensify Neue;sans-serif" w:hAnsi="Expensify Neue;sans-serif"/>
                  <w:b w:val="false"/>
                  <w:strike w:val="false"/>
                  <w:dstrike w:val="false"/>
                  <w:color w:val="03D47C"/>
                  <w:sz w:val="20"/>
                  <w:u w:val="none"/>
                  <w:effect w:val="none"/>
                </w:rPr>
                <w:t>Legal Proceedings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34">
              <w:r>
                <w:rPr>
                  <w:rStyle w:val="InternetLink"/>
                  <w:rFonts w:ascii="Expensify Neue;sans-serif" w:hAnsi="Expensify Neue;sans-serif"/>
                  <w:b w:val="false"/>
                  <w:strike w:val="false"/>
                  <w:dstrike w:val="false"/>
                  <w:color w:val="03D47C"/>
                  <w:sz w:val="20"/>
                  <w:u w:val="none"/>
                  <w:effect w:val="none"/>
                </w:rPr>
                <w:t>68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4.</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37">
              <w:r>
                <w:rPr>
                  <w:rStyle w:val="InternetLink"/>
                  <w:rFonts w:ascii="Expensify Neue;sans-serif" w:hAnsi="Expensify Neue;sans-serif"/>
                  <w:b w:val="false"/>
                  <w:strike w:val="false"/>
                  <w:dstrike w:val="false"/>
                  <w:color w:val="03D47C"/>
                  <w:sz w:val="20"/>
                  <w:u w:val="none"/>
                  <w:effect w:val="none"/>
                </w:rPr>
                <w:t>Mine Safety Disclosures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37">
              <w:r>
                <w:rPr>
                  <w:rStyle w:val="InternetLink"/>
                  <w:rFonts w:ascii="Expensify Neue;sans-serif" w:hAnsi="Expensify Neue;sans-serif"/>
                  <w:b w:val="false"/>
                  <w:strike w:val="false"/>
                  <w:dstrike w:val="false"/>
                  <w:color w:val="03D47C"/>
                  <w:sz w:val="20"/>
                  <w:u w:val="none"/>
                  <w:effect w:val="none"/>
                </w:rPr>
                <w:t>70</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2E22"/>
                <w:sz w:val="20"/>
              </w:rPr>
            </w:pPr>
            <w:r>
              <w:rPr>
                <w:rFonts w:ascii="Expensify Neue;sans-serif" w:hAnsi="Expensify Neue;sans-serif"/>
                <w:b/>
                <w:color w:val="002E22"/>
                <w:sz w:val="20"/>
              </w:rPr>
              <w:t>PART II</w:t>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5.</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43">
              <w:r>
                <w:rPr>
                  <w:rStyle w:val="InternetLink"/>
                  <w:rFonts w:ascii="Expensify Neue;sans-serif" w:hAnsi="Expensify Neue;sans-serif"/>
                  <w:b w:val="false"/>
                  <w:strike w:val="false"/>
                  <w:dstrike w:val="false"/>
                  <w:color w:val="03D47C"/>
                  <w:sz w:val="20"/>
                  <w:u w:val="none"/>
                  <w:effect w:val="none"/>
                </w:rPr>
                <w:t>Market for Registrant's Common Equity, Related Stockholder Matters and Issuer Purchases of Equity Securities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43">
              <w:r>
                <w:rPr>
                  <w:rStyle w:val="InternetLink"/>
                  <w:rFonts w:ascii="Expensify Neue;sans-serif" w:hAnsi="Expensify Neue;sans-serif"/>
                  <w:b w:val="false"/>
                  <w:strike w:val="false"/>
                  <w:dstrike w:val="false"/>
                  <w:color w:val="03D47C"/>
                  <w:sz w:val="20"/>
                  <w:u w:val="none"/>
                  <w:effect w:val="none"/>
                </w:rPr>
                <w:t>71</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6.</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46">
              <w:r>
                <w:rPr>
                  <w:rStyle w:val="InternetLink"/>
                  <w:rFonts w:ascii="Expensify Neue;sans-serif" w:hAnsi="Expensify Neue;sans-serif"/>
                  <w:b w:val="false"/>
                  <w:strike w:val="false"/>
                  <w:dstrike w:val="false"/>
                  <w:color w:val="03D47C"/>
                  <w:sz w:val="20"/>
                  <w:u w:val="none"/>
                  <w:effect w:val="none"/>
                </w:rPr>
                <w:t>[Reserved]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46">
              <w:r>
                <w:rPr>
                  <w:rStyle w:val="InternetLink"/>
                  <w:rFonts w:ascii="Expensify Neue;sans-serif" w:hAnsi="Expensify Neue;sans-serif"/>
                  <w:b w:val="false"/>
                  <w:strike w:val="false"/>
                  <w:dstrike w:val="false"/>
                  <w:color w:val="03D47C"/>
                  <w:sz w:val="20"/>
                  <w:u w:val="none"/>
                  <w:effect w:val="none"/>
                </w:rPr>
                <w:t>73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7.</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49">
              <w:r>
                <w:rPr>
                  <w:rStyle w:val="InternetLink"/>
                  <w:rFonts w:ascii="Expensify Neue;sans-serif" w:hAnsi="Expensify Neue;sans-serif"/>
                  <w:b w:val="false"/>
                  <w:strike w:val="false"/>
                  <w:dstrike w:val="false"/>
                  <w:color w:val="03D47C"/>
                  <w:sz w:val="20"/>
                  <w:u w:val="none"/>
                  <w:effect w:val="none"/>
                </w:rPr>
                <w:t>Management's Discussion and Analysis of Financial Condition and Results of Operations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49">
              <w:r>
                <w:rPr>
                  <w:rStyle w:val="InternetLink"/>
                  <w:rFonts w:ascii="Expensify Neue;sans-serif" w:hAnsi="Expensify Neue;sans-serif"/>
                  <w:b w:val="false"/>
                  <w:strike w:val="false"/>
                  <w:dstrike w:val="false"/>
                  <w:color w:val="03D47C"/>
                  <w:sz w:val="20"/>
                  <w:u w:val="none"/>
                  <w:effect w:val="none"/>
                </w:rPr>
                <w:t>74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7A.</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85">
              <w:r>
                <w:rPr>
                  <w:rStyle w:val="InternetLink"/>
                  <w:rFonts w:ascii="Expensify Neue;sans-serif" w:hAnsi="Expensify Neue;sans-serif"/>
                  <w:b w:val="false"/>
                  <w:strike w:val="false"/>
                  <w:dstrike w:val="false"/>
                  <w:color w:val="03D47C"/>
                  <w:sz w:val="20"/>
                  <w:u w:val="none"/>
                  <w:effect w:val="none"/>
                </w:rPr>
                <w:t>Quantitative and Qualitative Disclosures About Market Risk</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85">
              <w:r>
                <w:rPr>
                  <w:rStyle w:val="InternetLink"/>
                  <w:rFonts w:ascii="Expensify Neue;sans-serif" w:hAnsi="Expensify Neue;sans-serif"/>
                  <w:b w:val="false"/>
                  <w:strike w:val="false"/>
                  <w:dstrike w:val="false"/>
                  <w:color w:val="03D47C"/>
                  <w:sz w:val="20"/>
                  <w:u w:val="none"/>
                  <w:effect w:val="none"/>
                </w:rPr>
                <w:t>92</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8.</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88">
              <w:r>
                <w:rPr>
                  <w:rStyle w:val="InternetLink"/>
                  <w:rFonts w:ascii="Expensify Neue;sans-serif" w:hAnsi="Expensify Neue;sans-serif"/>
                  <w:b w:val="false"/>
                  <w:strike w:val="false"/>
                  <w:dstrike w:val="false"/>
                  <w:color w:val="03D47C"/>
                  <w:sz w:val="20"/>
                  <w:u w:val="none"/>
                  <w:effect w:val="none"/>
                </w:rPr>
                <w:t>Financial Statements and Supplementary Data</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88">
              <w:r>
                <w:rPr>
                  <w:rStyle w:val="InternetLink"/>
                  <w:rFonts w:ascii="Expensify Neue;sans-serif" w:hAnsi="Expensify Neue;sans-serif"/>
                  <w:b w:val="false"/>
                  <w:strike w:val="false"/>
                  <w:dstrike w:val="false"/>
                  <w:color w:val="03D47C"/>
                  <w:sz w:val="20"/>
                  <w:u w:val="none"/>
                  <w:effect w:val="none"/>
                </w:rPr>
                <w:t>93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9.</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63">
              <w:r>
                <w:rPr>
                  <w:rStyle w:val="InternetLink"/>
                  <w:rFonts w:ascii="Expensify Neue;sans-serif" w:hAnsi="Expensify Neue;sans-serif"/>
                  <w:b w:val="false"/>
                  <w:strike w:val="false"/>
                  <w:dstrike w:val="false"/>
                  <w:color w:val="03D47C"/>
                  <w:sz w:val="20"/>
                  <w:u w:val="none"/>
                  <w:effect w:val="none"/>
                </w:rPr>
                <w:t>Changes in and Disagreements With Accountants on Accounting and Financial Disclosure</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163">
              <w:r>
                <w:rPr>
                  <w:rStyle w:val="InternetLink"/>
                  <w:rFonts w:ascii="Expensify Neue;sans-serif" w:hAnsi="Expensify Neue;sans-serif"/>
                  <w:b w:val="false"/>
                  <w:strike w:val="false"/>
                  <w:dstrike w:val="false"/>
                  <w:color w:val="03D47C"/>
                  <w:sz w:val="20"/>
                  <w:u w:val="none"/>
                  <w:effect w:val="none"/>
                </w:rPr>
                <w:t>132</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9A.</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66">
              <w:r>
                <w:rPr>
                  <w:rStyle w:val="InternetLink"/>
                  <w:rFonts w:ascii="Expensify Neue;sans-serif" w:hAnsi="Expensify Neue;sans-serif"/>
                  <w:b w:val="false"/>
                  <w:strike w:val="false"/>
                  <w:dstrike w:val="false"/>
                  <w:color w:val="03D47C"/>
                  <w:sz w:val="20"/>
                  <w:u w:val="none"/>
                  <w:effect w:val="none"/>
                </w:rPr>
                <w:t>Controls and Procedures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166">
              <w:r>
                <w:rPr>
                  <w:rStyle w:val="InternetLink"/>
                  <w:rFonts w:ascii="Expensify Neue;sans-serif" w:hAnsi="Expensify Neue;sans-serif"/>
                  <w:b w:val="false"/>
                  <w:strike w:val="false"/>
                  <w:dstrike w:val="false"/>
                  <w:color w:val="03D47C"/>
                  <w:sz w:val="20"/>
                  <w:u w:val="none"/>
                  <w:effect w:val="none"/>
                </w:rPr>
                <w:t>132</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9B.</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69">
              <w:r>
                <w:rPr>
                  <w:rStyle w:val="InternetLink"/>
                  <w:rFonts w:ascii="Expensify Neue;sans-serif" w:hAnsi="Expensify Neue;sans-serif"/>
                  <w:b w:val="false"/>
                  <w:strike w:val="false"/>
                  <w:dstrike w:val="false"/>
                  <w:color w:val="03D47C"/>
                  <w:sz w:val="20"/>
                  <w:u w:val="none"/>
                  <w:effect w:val="none"/>
                </w:rPr>
                <w:t>Other Information</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169">
              <w:r>
                <w:rPr>
                  <w:rStyle w:val="InternetLink"/>
                  <w:rFonts w:ascii="Expensify Neue;sans-serif" w:hAnsi="Expensify Neue;sans-serif"/>
                  <w:b w:val="false"/>
                  <w:strike w:val="false"/>
                  <w:dstrike w:val="false"/>
                  <w:color w:val="03D47C"/>
                  <w:sz w:val="20"/>
                  <w:u w:val="none"/>
                  <w:effect w:val="none"/>
                </w:rPr>
                <w:t>133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9C.</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78">
              <w:r>
                <w:rPr>
                  <w:rStyle w:val="InternetLink"/>
                  <w:rFonts w:ascii="Expensify Neue;sans-serif" w:hAnsi="Expensify Neue;sans-serif"/>
                  <w:b w:val="false"/>
                  <w:strike w:val="false"/>
                  <w:dstrike w:val="false"/>
                  <w:color w:val="03D47C"/>
                  <w:sz w:val="20"/>
                  <w:u w:val="none"/>
                  <w:effect w:val="none"/>
                </w:rPr>
                <w:t>Disclosure Regarding Foreign Jurisdictions that Prevent Inspections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178">
              <w:r>
                <w:rPr>
                  <w:rStyle w:val="InternetLink"/>
                  <w:rFonts w:ascii="Expensify Neue;sans-serif" w:hAnsi="Expensify Neue;sans-serif"/>
                  <w:b w:val="false"/>
                  <w:strike w:val="false"/>
                  <w:dstrike w:val="false"/>
                  <w:color w:val="03D47C"/>
                  <w:sz w:val="20"/>
                  <w:u w:val="none"/>
                  <w:effect w:val="none"/>
                </w:rPr>
                <w:t>133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2E22"/>
                <w:sz w:val="20"/>
              </w:rPr>
            </w:pPr>
            <w:r>
              <w:rPr>
                <w:rFonts w:ascii="Expensify Neue;sans-serif" w:hAnsi="Expensify Neue;sans-serif"/>
                <w:b/>
                <w:color w:val="002E22"/>
                <w:sz w:val="20"/>
              </w:rPr>
              <w:t>PART III</w:t>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10.</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84">
              <w:r>
                <w:rPr>
                  <w:rStyle w:val="InternetLink"/>
                  <w:rFonts w:ascii="Expensify Neue;sans-serif" w:hAnsi="Expensify Neue;sans-serif"/>
                  <w:b w:val="false"/>
                  <w:strike w:val="false"/>
                  <w:dstrike w:val="false"/>
                  <w:color w:val="03D47C"/>
                  <w:sz w:val="20"/>
                  <w:u w:val="none"/>
                  <w:effect w:val="none"/>
                </w:rPr>
                <w:t>Directors, Executive Officers and Corporate Governance</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184">
              <w:r>
                <w:rPr>
                  <w:rStyle w:val="InternetLink"/>
                  <w:rFonts w:ascii="Expensify Neue;sans-serif" w:hAnsi="Expensify Neue;sans-serif"/>
                  <w:b w:val="false"/>
                  <w:strike w:val="false"/>
                  <w:dstrike w:val="false"/>
                  <w:color w:val="03D47C"/>
                  <w:sz w:val="20"/>
                  <w:u w:val="none"/>
                  <w:effect w:val="none"/>
                </w:rPr>
                <w:t>134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11.</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87">
              <w:r>
                <w:rPr>
                  <w:rStyle w:val="InternetLink"/>
                  <w:rFonts w:ascii="Expensify Neue;sans-serif" w:hAnsi="Expensify Neue;sans-serif"/>
                  <w:b w:val="false"/>
                  <w:strike w:val="false"/>
                  <w:dstrike w:val="false"/>
                  <w:color w:val="03D47C"/>
                  <w:sz w:val="20"/>
                  <w:u w:val="none"/>
                  <w:effect w:val="none"/>
                </w:rPr>
                <w:t>Executive Compensation</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187">
              <w:r>
                <w:rPr>
                  <w:rStyle w:val="InternetLink"/>
                  <w:rFonts w:ascii="Expensify Neue;sans-serif" w:hAnsi="Expensify Neue;sans-serif"/>
                  <w:b w:val="false"/>
                  <w:strike w:val="false"/>
                  <w:dstrike w:val="false"/>
                  <w:color w:val="03D47C"/>
                  <w:sz w:val="20"/>
                  <w:u w:val="none"/>
                  <w:effect w:val="none"/>
                </w:rPr>
                <w:t>135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12.</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90">
              <w:r>
                <w:rPr>
                  <w:rStyle w:val="InternetLink"/>
                  <w:rFonts w:ascii="Expensify Neue;sans-serif" w:hAnsi="Expensify Neue;sans-serif"/>
                  <w:b w:val="false"/>
                  <w:strike w:val="false"/>
                  <w:dstrike w:val="false"/>
                  <w:color w:val="03D47C"/>
                  <w:sz w:val="20"/>
                  <w:u w:val="none"/>
                  <w:effect w:val="none"/>
                </w:rPr>
                <w:t>Security Ownership of Certain Beneficial Owners and Management and Related Stockholder Matters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190">
              <w:r>
                <w:rPr>
                  <w:rStyle w:val="InternetLink"/>
                  <w:rFonts w:ascii="Expensify Neue;sans-serif" w:hAnsi="Expensify Neue;sans-serif"/>
                  <w:b w:val="false"/>
                  <w:strike w:val="false"/>
                  <w:dstrike w:val="false"/>
                  <w:color w:val="03D47C"/>
                  <w:sz w:val="20"/>
                  <w:u w:val="none"/>
                  <w:effect w:val="none"/>
                </w:rPr>
                <w:t>135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13.</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93">
              <w:r>
                <w:rPr>
                  <w:rStyle w:val="InternetLink"/>
                  <w:rFonts w:ascii="Expensify Neue;sans-serif" w:hAnsi="Expensify Neue;sans-serif"/>
                  <w:b w:val="false"/>
                  <w:strike w:val="false"/>
                  <w:dstrike w:val="false"/>
                  <w:color w:val="03D47C"/>
                  <w:sz w:val="20"/>
                  <w:u w:val="none"/>
                  <w:effect w:val="none"/>
                </w:rPr>
                <w:t>Certain Relationships and Related Transactions, and Director Independence</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193">
              <w:r>
                <w:rPr>
                  <w:rStyle w:val="InternetLink"/>
                  <w:rFonts w:ascii="Expensify Neue;sans-serif" w:hAnsi="Expensify Neue;sans-serif"/>
                  <w:b w:val="false"/>
                  <w:strike w:val="false"/>
                  <w:dstrike w:val="false"/>
                  <w:color w:val="03D47C"/>
                  <w:sz w:val="20"/>
                  <w:u w:val="none"/>
                  <w:effect w:val="none"/>
                </w:rPr>
                <w:t>135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14.</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196">
              <w:r>
                <w:rPr>
                  <w:rStyle w:val="InternetLink"/>
                  <w:rFonts w:ascii="Expensify Neue;sans-serif" w:hAnsi="Expensify Neue;sans-serif"/>
                  <w:b w:val="false"/>
                  <w:strike w:val="false"/>
                  <w:dstrike w:val="false"/>
                  <w:color w:val="03D47C"/>
                  <w:sz w:val="20"/>
                  <w:u w:val="none"/>
                  <w:effect w:val="none"/>
                </w:rPr>
                <w:t>Principal Accountant Fees and Services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196">
              <w:r>
                <w:rPr>
                  <w:rStyle w:val="InternetLink"/>
                  <w:rFonts w:ascii="Expensify Neue;sans-serif" w:hAnsi="Expensify Neue;sans-serif"/>
                  <w:b w:val="false"/>
                  <w:strike w:val="false"/>
                  <w:dstrike w:val="false"/>
                  <w:color w:val="03D47C"/>
                  <w:sz w:val="20"/>
                  <w:u w:val="none"/>
                  <w:effect w:val="none"/>
                </w:rPr>
                <w:t>135</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2E22"/>
                <w:sz w:val="20"/>
              </w:rPr>
            </w:pPr>
            <w:r>
              <w:rPr>
                <w:rFonts w:ascii="Expensify Neue;sans-serif" w:hAnsi="Expensify Neue;sans-serif"/>
                <w:b/>
                <w:color w:val="002E22"/>
                <w:sz w:val="20"/>
              </w:rPr>
              <w:t>PART IV</w:t>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15.</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202">
              <w:r>
                <w:rPr>
                  <w:rStyle w:val="InternetLink"/>
                  <w:rFonts w:ascii="Expensify Neue;sans-serif" w:hAnsi="Expensify Neue;sans-serif"/>
                  <w:b w:val="false"/>
                  <w:strike w:val="false"/>
                  <w:dstrike w:val="false"/>
                  <w:color w:val="03D47C"/>
                  <w:sz w:val="20"/>
                  <w:u w:val="none"/>
                  <w:effect w:val="none"/>
                </w:rPr>
                <w:t>Exhibit and Financial Statement Schedules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b7535661967b491095a00c60e2250cef_202">
              <w:r>
                <w:rPr>
                  <w:rStyle w:val="InternetLink"/>
                  <w:rFonts w:ascii="Expensify Neue;sans-serif" w:hAnsi="Expensify Neue;sans-serif"/>
                  <w:b w:val="false"/>
                  <w:strike w:val="false"/>
                  <w:dstrike w:val="false"/>
                  <w:color w:val="03D47C"/>
                  <w:sz w:val="20"/>
                  <w:u w:val="none"/>
                  <w:effect w:val="none"/>
                </w:rPr>
                <w:t>136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16.</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205">
              <w:r>
                <w:rPr>
                  <w:rStyle w:val="InternetLink"/>
                  <w:rFonts w:ascii="Expensify Neue;sans-serif" w:hAnsi="Expensify Neue;sans-serif"/>
                  <w:b w:val="false"/>
                  <w:strike w:val="false"/>
                  <w:dstrike w:val="false"/>
                  <w:color w:val="03D47C"/>
                  <w:sz w:val="20"/>
                  <w:u w:val="none"/>
                  <w:effect w:val="none"/>
                </w:rPr>
                <w:t>Form 10-K Summary</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205">
              <w:r>
                <w:rPr>
                  <w:rStyle w:val="InternetLink"/>
                  <w:rFonts w:ascii="Expensify Neue;sans-serif" w:hAnsi="Expensify Neue;sans-serif"/>
                  <w:b w:val="false"/>
                  <w:strike w:val="false"/>
                  <w:dstrike w:val="false"/>
                  <w:color w:val="03D47C"/>
                  <w:sz w:val="20"/>
                  <w:u w:val="none"/>
                  <w:effect w:val="none"/>
                </w:rPr>
                <w:t>138</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535661967b491095a00c60e2250cef_208">
              <w:r>
                <w:rPr>
                  <w:rStyle w:val="InternetLink"/>
                  <w:rFonts w:ascii="Expensify Neue;sans-serif" w:hAnsi="Expensify Neue;sans-serif"/>
                  <w:b w:val="false"/>
                  <w:strike w:val="false"/>
                  <w:dstrike w:val="false"/>
                  <w:color w:val="03D47C"/>
                  <w:sz w:val="20"/>
                  <w:u w:val="none"/>
                  <w:effect w:val="none"/>
                </w:rPr>
                <w:t>Signatures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208">
              <w:r>
                <w:rPr>
                  <w:rStyle w:val="InternetLink"/>
                  <w:rFonts w:ascii="Expensify Neue;sans-serif" w:hAnsi="Expensify Neue;sans-serif"/>
                  <w:b w:val="false"/>
                  <w:strike w:val="false"/>
                  <w:dstrike w:val="false"/>
                  <w:color w:val="03D47C"/>
                  <w:sz w:val="20"/>
                  <w:u w:val="none"/>
                  <w:effect w:val="none"/>
                </w:rPr>
                <w:t>139</w:t>
              </w:r>
            </w:hyperlink>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Special Note Regarding Forward-Looking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This Annual Report on Form 10-K contains forward-looking statements about us and our industry that involve substantial risks and uncertainties.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among others: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financial performance and future operating performance;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attract and retain members, expand usage of our platform, sell subscriptions to our platform and convert individuals and organizations into paying customers;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timing and success of new features, integrations, capabilities and enhancements by us, or by competitors to their products, or any other changes in the competitive landscape of our market;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amount and timing of operating expenses that we may incur to maintain and expand our business and operations to remain competitive;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sufficiency of our cash, cash equivalents and investments to meet our liquidity needs;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make required payments under and to comply with the various requirements of our current and future indebtedness;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cash flows, the prevailing stock prices, general economic and market conditions and other considerations that could affect the specific timing, price and size of repurchases under our stock repurchase program or our ability to fund any stock repurchases;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geopolitical tensions, including the war in Ukraine and the conflict in Israel, Gaza and surrounding areas;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impact of inflation on us and our members;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borrowing costs, which have and may continue to increase as a result of increases in interest rates;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exposure to fluctuations in foreign currency exchange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size of our addressable markets, market share and market trends;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anticipated trends, developments and challenges in our industry, business and the highly competitive markets in which we operate;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any adverse impact on our business operations as a result of using artificial intelligence or other machine learning technologies in our services;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income tax liabilities and the adequacy of our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24815"/>
                <wp:effectExtent l="0" t="0" r="0" b="0"/>
                <wp:wrapNone/>
                <wp:docPr id="5" name="Frame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growth and expand our infrastructure and maintain our corporate culture;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identify, recruit and retain skilled personnel, including key members of senior management;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safety, affordability and convenience of our platform and our offerings;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defend litigation brought against us;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identify, manage and integrate any existing and potential acquisitions of businesses, talent, technologies or intellectual property;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general economic conditions in either domestic or international markets, including geopolitical uncertainty and instability and their effects on software spending;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protect against security incidents, technical difficulties, or interruptions to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maintain, protect and enhance our intellectual property;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impact of tariffs and global trade disruptions on us, our customers and our vendors, including the impact on inflation, supply chains and consumer sentiment;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other risks and uncertainties under Part I, Item 1A “Risk Factors” and elsewhere in this Annual Report on Form 10-K.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Part I, Item 1A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4815"/>
                <wp:effectExtent l="0" t="0" r="0" b="0"/>
                <wp:wrapNone/>
                <wp:docPr id="6" name="Frame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Capitalized terms used and not defined above are defined elsewhere within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24815"/>
                <wp:effectExtent l="0" t="0" r="0" b="0"/>
                <wp:wrapNone/>
                <wp:docPr id="7" name="Frame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Risk Factor Summary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is subject to a number of risks and uncertainties of which you should be aware. These risks are more fully described in Part I, Item 1A “Risk Factors”. These risks include, among others, the following: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quarterly and annual results of operations have fluctuated in the past and may fluctuate significantly in the future and may not meet our expectations or those of investors or securities analysts.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If we fail to adapt and respond effectively to rapidly changing technology, evolving industry standards and changing customer needs or preferences, our platform may become less competitive.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If we are unable to attract new customers on a cost-effective basis, convert individuals using our free basic expense management feature and organizations using our trial subscriptions into paying customers, retain existing customers and expand usage within organizations, our revenue growth will be harmed.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fail to accurately predict the optimal pricing strategies necessary to attract new customers, retain existing customers and respond to changing market conditions.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not successfully develop or introduce new features, enhancements, integrations, capabilities and versions of our existing features that achieve market acceptance, and our business could be harmed and our revenue could suffer as a result.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face significant competition, the market in which we operate is rapidly evolving, and if we do not compete effectively, our results of operations and financial condition could be harmed.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 economic downturn or economic uncertainty could negatively impact our customers and materially and adversely affect our business, financial condition and results of operations.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Payments and other financial services-related laws and regulations and government oversight are material to our business. The actions of various policymakers across government levels may create a complexity of multiple, conflicting and changing governmental laws and regulations. Our failure to comply with such laws and regulations could materially harm our business and can subject us to criminal and civil liability.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success of our business largely depends on our senior management team, and we depend on professional services firms for a portion of our finance function. The loss of any key employees or our outsourced finance team could adversely affect our business.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cannot guarantee that our share repurchase program will be fully consummated or that it will enhance long-term stockholder value. Share repurchases could also increase the volatility of the trading price of our common stock and could diminish our cash reserves.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If we or our third party providers fail to protect our IT Systems against security incidents, or otherwise to protect our Confidential Information, there may be damage to our reputation and brand, material financial penalties, and legal liability, which could substantially harm our business, financial condition and results of operations.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business depends on a strong brand, and if we are not able to maintain and enhance our brand, our ability to expand our base of customers may be impaired, and our business and results of operations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4815"/>
                <wp:effectExtent l="0" t="0" r="0" b="0"/>
                <wp:wrapNone/>
                <wp:docPr id="8" name="Frame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be adversely affected by global economic and political instability, including escalating geopolitical tensions such as the war in Ukraine and the conflict in Israel, Gaza and surrounding areas.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Sales to customers outside the United States and our international operations expose us to risks inherent in international sales and operations.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receive, process, store and use business and personal data, which subjects us to governmental regulation and other legal obligations related to data protection and security, and our actual or perceived failure to comply with such obligations could harm our business and expose us to liability.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If we fail to manage our technical operations infrastructure, or experience service outages, interruptions, or delays in the deployment of our platform, our results of operations may be harmed.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multiple class structure of our common stock and the ownership of substantially all of our LT10 and LT50 common stock by holders through a trust agreement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our Executive Committee of our Board of Directors (the “Executive Committee”).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not be able to successfully implement our growth strategies on a timely basis or at all. Even if we are successful, if we fail to effectively manage our growth, our business and results of operations could be harmed.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culture has contributed to our success, and if we cannot maintain this culture as we grow, we could lose the high employee engagement fostered by our culture, which could harm our business.</w:t>
      </w:r>
    </w:p>
    <w:p>
      <w:pPr>
        <w:pStyle w:val="TextBody"/>
        <w:bidi w:val="0"/>
        <w:spacing w:before="0" w:after="16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4815"/>
                <wp:effectExtent l="0" t="0" r="0" b="0"/>
                <wp:wrapNone/>
                <wp:docPr id="9" name="Frame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 Business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is a leading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over 1.8 billion expense transactions on our platform as of December 31, 2025, freeing people to spend less time managing expenses and more time doing the things they love. For the quarter ended December 31, 2025, an average of 650,000 paid members across an average of 39,700 companies and over 200 countries and territories used Expensify to make money easy.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Small and medium-sized businesses (“SMBs”) are the cornerstone of the global economy, making up almost all businesses and the majority of employment in Organisation for Economic Co-operation and Development (“OECD”) member countries. Despite their significance to the global economy,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the beginning of Expensify, our guiding principle has been improving the experience of the actual end users of expense management software: everyday employees. We designed Expensify to be easy to set up, integrate, configure and use from almost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 –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collect payments and book travel, all from our single, easy-to-use mobile application. We intend to continue adding complementary features to retain and add value to existing customers and attract new members.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4815"/>
                <wp:effectExtent l="0" t="0" r="0" b="0"/>
                <wp:wrapNone/>
                <wp:docPr id="10" name="Frame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OUR INDUSTRY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Given their size, SMBs typically have one person overseeing the discovery and implementation of new systems, a responsibility that is often in addition to their core job function. As a result, SMBs have specific requirements when adopting new technologies: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Easy to discover.</w:t>
      </w:r>
      <w:r>
        <w:rPr>
          <w:color w:val="000000"/>
        </w:rPr>
        <w:t xml:space="preserve"> </w:t>
      </w:r>
      <w:r>
        <w:rPr>
          <w:rFonts w:ascii="Expensify Neue;sans-serif" w:hAnsi="Expensify Neue;sans-serif"/>
          <w:b w:val="false"/>
          <w:color w:val="000000"/>
          <w:sz w:val="20"/>
        </w:rPr>
        <w:t>With job responsibilities spanning multiple functions, SMBs do not have the bandwidth and expertise to discover, meet with and evaluate several technology vendors. As such, SMBs increasingly rely on online channels for finding new technologies and heavily consider recommendations from experts, friends and colleagues.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Easy to implement.</w:t>
      </w:r>
      <w:r>
        <w:rPr>
          <w:color w:val="000000"/>
        </w:rPr>
        <w:t xml:space="preserve"> </w:t>
      </w:r>
      <w:r>
        <w:rPr>
          <w:rFonts w:ascii="Expensify Neue;sans-serif" w:hAnsi="Expensify Neue;sans-serif"/>
          <w:b w:val="false"/>
          <w:color w:val="000000"/>
          <w:sz w:val="20"/>
        </w:rPr>
        <w:t>IT departments within SMBs are often one person or the business owner themselves, and are incapable of taking time away from their business to support cumbersome implementation, maintenance and training requirements. As a result, SMBs prefer solutions that are easy to implement, onboard and integrate and that require little ongoing maintenance.</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Easy to purchase. </w:t>
      </w:r>
      <w:r>
        <w:rPr>
          <w:rFonts w:ascii="Expensify Neue;sans-serif" w:hAnsi="Expensify Neue;sans-serif"/>
          <w:b w:val="false"/>
          <w:color w:val="000000"/>
          <w:sz w:val="20"/>
        </w:rPr>
        <w:t>With no procurement department and limited resources, the individuals making the purchasing decision at SMBs often prefer vendors with transparent, self-service monthly subscription plans that can be paid by credit card.</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Easy to manage. </w:t>
      </w:r>
      <w:r>
        <w:rPr>
          <w:rFonts w:ascii="Expensify Neue;sans-serif" w:hAnsi="Expensify Neue;sans-serif"/>
          <w:b w:val="false"/>
          <w:color w:val="000000"/>
          <w:sz w:val="20"/>
        </w:rPr>
        <w:t>Unlike large enterprises, which often prefer multiple, customized point solutions for specialized business processes, SMBs prefer a single, comprehensive platform from one provider that can solve multiple pain points.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Easy to use. </w:t>
      </w:r>
      <w:r>
        <w:rPr>
          <w:rFonts w:ascii="Expensify Neue;sans-serif" w:hAnsi="Expensify Neue;sans-serif"/>
          <w:b w:val="false"/>
          <w:color w:val="000000"/>
          <w:sz w:val="20"/>
        </w:rPr>
        <w:t>Many SMBs prioritize ease of use and convenience over cost and seek solutions with elegant, intuitive user experiences that require no training or expertise to operate.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short, SMBs look for “easy money” management.</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OUR APPROACH</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our founding, we have taken a unique approach to expense management built on key, complementary elements: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Platform strategy hyper-focused on the employee.</w:t>
      </w:r>
      <w:r>
        <w:rPr>
          <w:color w:val="000000"/>
        </w:rPr>
        <w:t xml:space="preserve"> </w:t>
      </w:r>
      <w:r>
        <w:rPr>
          <w:rFonts w:ascii="Expensify Neue;sans-serif" w:hAnsi="Expensify Neue;sans-serif"/>
          <w:b w:val="false"/>
          <w:color w:val="000000"/>
          <w:sz w:val="20"/>
        </w:rPr>
        <w:t>We designed Expensify to be easily configured and used by every single employee within an 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Viral, bottom-up business model driven by the employee. </w:t>
      </w:r>
      <w:r>
        <w:rPr>
          <w:rFonts w:ascii="Expensify Neue;sans-serif" w:hAnsi="Expensify Neue;sans-serif"/>
          <w:b w:val="false"/>
          <w:color w:val="000000"/>
          <w:sz w:val="20"/>
        </w:rPr>
        <w:t>Our employee-focused platform strategy enables a viral, bottom-up 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4815"/>
                <wp:effectExtent l="0" t="0" r="0" b="0"/>
                <wp:wrapNone/>
                <wp:docPr id="11" name="Frame1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Word-of-mouth adoption supported by a market consensus approach.</w:t>
      </w:r>
      <w:r>
        <w:rPr>
          <w:color w:val="000000"/>
        </w:rPr>
        <w:t xml:space="preserve"> </w:t>
      </w:r>
      <w:r>
        <w:rPr>
          <w:rFonts w:ascii="Expensify Neue;sans-serif" w:hAnsi="Expensify Neue;sans-serif"/>
          <w:b w:val="false"/>
          <w:color w:val="000000"/>
          <w:sz w:val="20"/>
        </w:rPr>
        <w:t>We believe that our happy members are the best form of marketing. We 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 members rather than rely on the expensive and ineffective activities of traditional sales and marketing to drive customer acquisition.</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Unique company culture and long-term vision. </w:t>
      </w:r>
      <w:r>
        <w:rPr>
          <w:rFonts w:ascii="Expensify Neue;sans-serif" w:hAnsi="Expensify Neue;sans-serif"/>
          <w:b w:val="false"/>
          <w:color w:val="000000"/>
          <w:sz w:val="20"/>
        </w:rPr>
        <w:t>Our platform strategy and business model are complemented by our unique company culture and 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these elements of our approach are hard to replicate, self-reinforcing and work together to drive a powerful competitive advantage.</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Our Platform Strategy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is a leading cloud-based expense management software platform that allows any business to simplify how it manages expenses. We built our platform to be intuitive and easy to deploy, with powerful features that increase our network effect within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Built for everyone.</w:t>
      </w:r>
      <w:r>
        <w:rPr>
          <w:color w:val="000000"/>
        </w:rPr>
        <w:t xml:space="preserve"> </w:t>
      </w:r>
      <w:r>
        <w:rPr>
          <w:rFonts w:ascii="Expensify Neue;sans-serif" w:hAnsi="Expensify Neue;sans-serif"/>
          <w:b w:val="false"/>
          <w:color w:val="000000"/>
          <w:sz w:val="20"/>
        </w:rPr>
        <w:t xml:space="preserve">We designed our platform to be used by everyone in an organization, from employees to managers to the finance department. We offer an intuitive, elegant user interface that everyday employees can easily understand and operate from almost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 </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Easy to set up.</w:t>
      </w:r>
      <w:r>
        <w:rPr>
          <w:color w:val="000000"/>
        </w:rPr>
        <w:t xml:space="preserve"> </w:t>
      </w:r>
      <w:r>
        <w:rPr>
          <w:rFonts w:ascii="Expensify Neue;sans-serif" w:hAnsi="Expensify Neue;sans-serif"/>
          <w:b w:val="false"/>
          <w:color w:val="000000"/>
          <w:sz w:val="20"/>
        </w:rPr>
        <w:t>We designed our platform to be easily implemented and configured without the need to speak with a sales person. Any employee can download our free application from mobile app stores or sign up on the website, create an account and start submitting expenses within minutes. When an expense report is submitted, the manager who receives it also automatically becomes a member. Concierge, our proprietary customer support engine powered by artificial intelligence (“AI”), helps new members set up an account, connect teammates, assign company policies and immediately sync Expensify with existing accounting, HR and travel systems. We believe that making our platform easily accessible, simple to set up and easily configurable attracts more members to download and try Expensify.</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Designed to improve experiences for all members.</w:t>
      </w:r>
      <w:r>
        <w:rPr>
          <w:color w:val="000000"/>
        </w:rPr>
        <w:t xml:space="preserve"> </w:t>
      </w:r>
      <w:r>
        <w:rPr>
          <w:rFonts w:ascii="Expensify Neue;sans-serif" w:hAnsi="Expensify Neue;sans-serif"/>
          <w:b w:val="false"/>
          <w:color w:val="000000"/>
          <w:sz w:val="20"/>
        </w:rPr>
        <w:t>We designed our platform to leverage leading technology, such as our patented SmartScan and 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4815"/>
                <wp:effectExtent l="0" t="0" r="0" b="0"/>
                <wp:wrapNone/>
                <wp:docPr id="12" name="Frame1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One platform, many features.</w:t>
      </w:r>
      <w:r>
        <w:rPr>
          <w:color w:val="000000"/>
        </w:rPr>
        <w:t xml:space="preserve"> </w:t>
      </w:r>
      <w:r>
        <w:rPr>
          <w:rFonts w:ascii="Expensify Neue;sans-serif" w:hAnsi="Expensify Neue;sans-serif"/>
          <w:b w:val="false"/>
          <w:color w:val="000000"/>
          <w:sz w:val="20"/>
        </w:rPr>
        <w:t>Expensify is one platform, with one price that unlocks access to every feature on the platform, from expense 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Highly integrated. </w:t>
      </w:r>
      <w:r>
        <w:rPr>
          <w:rFonts w:ascii="Expensify Neue;sans-serif" w:hAnsi="Expensify Neue;sans-serif"/>
          <w:b w:val="false"/>
          <w:color w:val="000000"/>
          <w:sz w:val="20"/>
        </w:rPr>
        <w:t>We designed our platform to easily integrate with other business and consumer applications. We offer over 50 pre-built integrations, allowing Expensify to seamlessly connect with accounting and HR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elements of our platform strategy are a critical driver of the viral, widespread adoption of Expensify across and between any type of organization.</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Our Business Model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Visa® Commercial Card (“Expensify Card”), Expensify Travel or Bill Pay.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offer simple, transparent and flexible subscription plans for both individuals and businesses that are completely self-service and payable by credit card.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 suit their specific needs, all without interacting with a sales representative or paying hidden costs for implementation, maintenance, or support.</w:t>
      </w:r>
    </w:p>
    <w:p>
      <w:pPr>
        <w:pStyle w:val="TextBody"/>
        <w:bidi w:val="0"/>
        <w:spacing w:lineRule="auto" w:line="288" w:before="0" w:after="160"/>
        <w:jc w:val="left"/>
        <w:rPr/>
      </w:pPr>
      <w:r>
        <w:rPr>
          <w:rFonts w:ascii="Expensify Neue;sans-serif" w:hAnsi="Expensify Neue;sans-serif"/>
          <w:b w:val="false"/>
          <w:color w:val="000000"/>
          <w:sz w:val="20"/>
        </w:rPr>
        <w:t xml:space="preserve">Our individual subscriptions include our </w:t>
      </w:r>
      <w:r>
        <w:rPr>
          <w:rFonts w:ascii="Expensify Neue;sans-serif" w:hAnsi="Expensify Neue;sans-serif"/>
          <w:b w:val="false"/>
          <w:i/>
          <w:color w:val="000000"/>
          <w:sz w:val="20"/>
        </w:rPr>
        <w:t>Track</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i/>
          <w:color w:val="000000"/>
          <w:sz w:val="20"/>
        </w:rPr>
        <w:t>Submit</w:t>
      </w:r>
      <w:r>
        <w:rPr>
          <w:color w:val="000000"/>
        </w:rPr>
        <w:t xml:space="preserve"> </w:t>
      </w:r>
      <w:r>
        <w:rPr>
          <w:rFonts w:ascii="Expensify Neue;sans-serif" w:hAnsi="Expensify Neue;sans-serif"/>
          <w:b w:val="false"/>
          <w:color w:val="000000"/>
          <w:sz w:val="20"/>
        </w:rPr>
        <w:t>plans, which include an optional paid monthly upgrade for anyone wishing to SmartScan more than 25 receipts in a given month:</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Free Plans </w:t>
      </w:r>
      <w:r>
        <w:rPr>
          <w:rFonts w:ascii="Expensify Neue;sans-serif" w:hAnsi="Expensify Neue;sans-serif"/>
          <w:b w:val="false"/>
          <w:color w:val="000000"/>
          <w:sz w:val="20"/>
        </w:rPr>
        <w:t>(Optional upgrade for unlimited SmartScan)</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Track.</w:t>
      </w:r>
      <w:r>
        <w:rPr>
          <w:color w:val="000000"/>
        </w:rPr>
        <w:t xml:space="preserve"> </w:t>
      </w:r>
      <w:r>
        <w:rPr>
          <w:rFonts w:ascii="Expensify Neue;sans-serif" w:hAnsi="Expensify Neue;sans-serif"/>
          <w:b w:val="false"/>
          <w:color w:val="000000"/>
          <w:sz w:val="20"/>
        </w:rPr>
        <w:t xml:space="preserve">Our free </w:t>
      </w:r>
      <w:r>
        <w:rPr>
          <w:rFonts w:ascii="Expensify Neue;sans-serif" w:hAnsi="Expensify Neue;sans-serif"/>
          <w:b w:val="false"/>
          <w:i/>
          <w:color w:val="000000"/>
          <w:sz w:val="20"/>
        </w:rPr>
        <w:t>Track</w:t>
      </w:r>
      <w:r>
        <w:rPr>
          <w:color w:val="000000"/>
        </w:rPr>
        <w:t xml:space="preserve"> </w:t>
      </w:r>
      <w:r>
        <w:rPr>
          <w:rFonts w:ascii="Expensify Neue;sans-serif" w:hAnsi="Expensify Neue;sans-serif"/>
          <w:b w:val="false"/>
          <w:color w:val="000000"/>
          <w:sz w:val="20"/>
        </w:rPr>
        <w:t>plan comes with our SmartScan receipt scanning functionality and is used primarily by individuals and sole proprietors to streamline their receipt and mileage tracking.</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Submit.</w:t>
      </w:r>
      <w:r>
        <w:rPr>
          <w:color w:val="000000"/>
        </w:rPr>
        <w:t xml:space="preserve"> </w:t>
      </w:r>
      <w:r>
        <w:rPr>
          <w:rFonts w:ascii="Expensify Neue;sans-serif" w:hAnsi="Expensify Neue;sans-serif"/>
          <w:b w:val="false"/>
          <w:color w:val="000000"/>
          <w:sz w:val="20"/>
        </w:rPr>
        <w:t xml:space="preserve">Our free </w:t>
      </w:r>
      <w:r>
        <w:rPr>
          <w:rFonts w:ascii="Expensify Neue;sans-serif" w:hAnsi="Expensify Neue;sans-serif"/>
          <w:b w:val="false"/>
          <w:i/>
          <w:color w:val="000000"/>
          <w:sz w:val="20"/>
        </w:rPr>
        <w:t>Submit</w:t>
      </w:r>
      <w:r>
        <w:rPr>
          <w:color w:val="000000"/>
        </w:rPr>
        <w:t xml:space="preserve"> </w:t>
      </w:r>
      <w:r>
        <w:rPr>
          <w:rFonts w:ascii="Expensify Neue;sans-serif" w:hAnsi="Expensify Neue;sans-serif"/>
          <w:b w:val="false"/>
          <w:color w:val="000000"/>
          <w:sz w:val="20"/>
        </w:rPr>
        <w:t xml:space="preserve">plan includes the same functionality in </w:t>
      </w:r>
      <w:r>
        <w:rPr>
          <w:rFonts w:ascii="Expensify Neue;sans-serif" w:hAnsi="Expensify Neue;sans-serif"/>
          <w:b w:val="false"/>
          <w:i/>
          <w:color w:val="000000"/>
          <w:sz w:val="20"/>
        </w:rPr>
        <w:t>Track</w:t>
      </w:r>
      <w:r>
        <w:rPr>
          <w:rFonts w:ascii="Expensify Neue;sans-serif" w:hAnsi="Expensify Neue;sans-serif"/>
          <w:b w:val="false"/>
          <w:color w:val="000000"/>
          <w:sz w:val="20"/>
        </w:rPr>
        <w:t>, and also adds the ability to automatically submit expense reports to anyone for reimbursement.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4815"/>
                <wp:effectExtent l="0" t="0" r="0" b="0"/>
                <wp:wrapNone/>
                <wp:docPr id="13" name="Frame1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pPr>
      <w:r>
        <w:rPr>
          <w:rFonts w:ascii="Expensify Neue;sans-serif" w:hAnsi="Expensify Neue;sans-serif"/>
          <w:b w:val="false"/>
          <w:color w:val="000000"/>
          <w:sz w:val="20"/>
        </w:rPr>
        <w:t xml:space="preserve">Our business subscriptions can be used by teams, organizations, and companies on one of our paid plans, which include our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 xml:space="preserve">plans, following a free trial. We bill customers on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 xml:space="preserve">plans at the start of each month based on the number of policy members who were active in the previous month. Each customer has either a “pay per use” plan in which they are billed a flat rate for each active member, or an “annual” plan where they commit to a minimum number of monthly seats in exchange for a discount.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customers can access additional discounts if they spend on the Expensify Card:</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Paid Plans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Collect. </w:t>
      </w:r>
      <w:r>
        <w:rPr>
          <w:rFonts w:ascii="Expensify Neue;sans-serif" w:hAnsi="Expensify Neue;sans-serif"/>
          <w:b w:val="false"/>
          <w:color w:val="000000"/>
          <w:sz w:val="20"/>
        </w:rPr>
        <w:t xml:space="preserve">Our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plan enables our members to integrate with popular small business accounting systems, configure simple expense report approval workflows, as well as pay employees, contractors and volunteers via Direct Deposit ACH or internationally via Global Reimbursements.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Control. </w:t>
      </w:r>
      <w:r>
        <w:rPr>
          <w:rFonts w:ascii="Expensify Neue;sans-serif" w:hAnsi="Expensify Neue;sans-serif"/>
          <w:b w:val="false"/>
          <w:color w:val="000000"/>
          <w:sz w:val="20"/>
        </w:rPr>
        <w:t xml:space="preserve">Our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 xml:space="preserve">plan, which is by far our most popular plan, includes everything in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and adds the ability to configure rules-based approval workflows and integrate with financial, travel, HR, as well as other internal systems commonly used by mid-market and enterprise companies.</w:t>
      </w:r>
    </w:p>
    <w:p>
      <w:pPr>
        <w:pStyle w:val="TextBody"/>
        <w:bidi w:val="0"/>
        <w:spacing w:lineRule="auto" w:line="288" w:before="0" w:after="160"/>
        <w:jc w:val="left"/>
        <w:rPr/>
      </w:pPr>
      <w:r>
        <w:rPr>
          <w:rFonts w:ascii="Expensify Neue;sans-serif" w:hAnsi="Expensify Neue;sans-serif"/>
          <w:b w:val="false"/>
          <w:color w:val="000000"/>
          <w:sz w:val="20"/>
        </w:rPr>
        <w:t xml:space="preserve">We also leverage partnerships with accounting and bookkeeping firms, who provide validation of our platform and refer customers to us. We partner with strategic accounting software partners such as Intuit, NetSuite, Xero and Sage Intacct to integrate our software in their clients’ back offices, and recognize us as a top expense tool when their clients are browsing and selecting integrated solutions. Additionally, our </w:t>
      </w:r>
      <w:r>
        <w:rPr>
          <w:rFonts w:ascii="Expensify Neue;sans-serif" w:hAnsi="Expensify Neue;sans-serif"/>
          <w:b w:val="false"/>
          <w:i/>
          <w:color w:val="000000"/>
          <w:sz w:val="20"/>
        </w:rPr>
        <w:t>ExpensifyApproved!</w:t>
      </w:r>
      <w:r>
        <w:rPr>
          <w:color w:val="000000"/>
        </w:rPr>
        <w:t xml:space="preserve"> </w:t>
      </w:r>
      <w:r>
        <w:rPr>
          <w:rFonts w:ascii="Expensify Neue;sans-serif" w:hAnsi="Expensify Neue;sans-serif"/>
          <w:b w:val="false"/>
          <w:color w:val="000000"/>
          <w:sz w:val="20"/>
        </w:rPr>
        <w:t>Partner Program trains and supports accountants to use our platform and encourages their customers to use Expensify. We work hard to maintain top expense partner status with all partners to support our market consensus strategy.</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Our Growth Strategies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intend to drive the growth of our business by executing on the following strategies: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Build new features that create additional value for existing members.</w:t>
      </w:r>
      <w:r>
        <w:rPr>
          <w:color w:val="000000"/>
        </w:rPr>
        <w:t xml:space="preserve"> </w:t>
      </w:r>
      <w:r>
        <w:rPr>
          <w:rFonts w:ascii="Expensify Neue;sans-serif" w:hAnsi="Expensify Neue;sans-serif"/>
          <w:b w:val="false"/>
          <w:color w:val="000000"/>
          <w:sz w:val="20"/>
        </w:rPr>
        <w:t>Our word-of-mouth model works well because people genuinely enjoy using Expensify. We intend to continue to invest in 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By efficiently investing in new features that prioritize the needs of our members, we can continue to retain existing members and attract new members via word-of-mouth;</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Build new features that attract new members beyond employees who submit expenses.</w:t>
      </w:r>
      <w:r>
        <w:rPr>
          <w:color w:val="000000"/>
        </w:rPr>
        <w:t xml:space="preserve"> </w:t>
      </w:r>
      <w:r>
        <w:rPr>
          <w:rFonts w:ascii="Expensify Neue;sans-serif" w:hAnsi="Expensify Neue;sans-serif"/>
          <w:b w:val="false"/>
          <w:color w:val="000000"/>
          <w:sz w:val="20"/>
        </w:rPr>
        <w:t>We have and will continue to invest in developing features 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4815"/>
                <wp:effectExtent l="0" t="0" r="0" b="0"/>
                <wp:wrapNone/>
                <wp:docPr id="14" name="Frame1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Build viral loops into our member experience that increase adoption by new customers. </w:t>
      </w:r>
      <w:r>
        <w:rPr>
          <w:rFonts w:ascii="Expensify Neue;sans-serif" w:hAnsi="Expensify Neue;sans-serif"/>
          <w:b w:val="false"/>
          <w:color w:val="000000"/>
          <w:sz w:val="20"/>
        </w:rPr>
        <w:t xml:space="preserve">We design our expense management platform and every new feature with the aim of frictionless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continue to focus on maintaining and extending the virality of our features to support our viral, bottom-up business model; </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Expand and monetize transaction volume from existing and new customers.</w:t>
      </w:r>
      <w:r>
        <w:rPr>
          <w:color w:val="000000"/>
        </w:rPr>
        <w:t xml:space="preserve"> </w:t>
      </w:r>
      <w:r>
        <w:rPr>
          <w:rFonts w:ascii="Expensify Neue;sans-serif" w:hAnsi="Expensify Neue;sans-serif"/>
          <w:b w:val="false"/>
          <w:color w:val="000000"/>
          <w:sz w:val="20"/>
        </w:rPr>
        <w:t>We intend to continue to increase the promotion of the Expensify Card to both new and existing customers to drive growth in adoption;</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Promote Expensify’s culture and values.</w:t>
      </w:r>
      <w:r>
        <w:rPr>
          <w:color w:val="000000"/>
        </w:rPr>
        <w:t xml:space="preserve"> </w:t>
      </w:r>
      <w:r>
        <w:rPr>
          <w:rFonts w:ascii="Expensify Neue;sans-serif" w:hAnsi="Expensify Neue;sans-serif"/>
          <w:b w:val="false"/>
          <w:color w:val="000000"/>
          <w:sz w:val="20"/>
        </w:rPr>
        <w:t>We believe that consumers are more likely to both use and recommend products from brands they admire. By consistently acting on and vocally promoting our values, we have the ability to both drive positive change and create brand awareness that can add to the virality of our platform. We believe our company code of ethics and conduct demonstrates our culture and values, including our adherence to Environmental, Social, and Governance (“ESG”) principles;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Continue to strengthen our market consensus.</w:t>
      </w:r>
      <w:r>
        <w:rPr>
          <w:color w:val="000000"/>
        </w:rPr>
        <w:t xml:space="preserve"> </w:t>
      </w:r>
      <w:r>
        <w:rPr>
          <w:rFonts w:ascii="Expensify Neue;sans-serif" w:hAnsi="Expensify Neue;sans-serif"/>
          <w:b w:val="false"/>
          <w:color w:val="000000"/>
          <w:sz w:val="20"/>
        </w:rPr>
        <w:t>We have worked hard to establish and maintain Expensify as a dominant expense management platform for SMBs. We leverage a variety of targeted marketing strategies that involve industry conferences, industry influencers, partner marketing and more with the goal of achieving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Expand integrations and strengthen partnerships. </w:t>
      </w:r>
      <w:r>
        <w:rPr>
          <w:rFonts w:ascii="Expensify Neue;sans-serif" w:hAnsi="Expensify Neue;sans-serif"/>
          <w:b w:val="false"/>
          <w:color w:val="000000"/>
          <w:sz w:val="20"/>
        </w:rPr>
        <w:t xml:space="preserve">Expense management touches many functions across a company. To provide a seamless experience for our customers, we integrate with the accounting, HR and travel software used by SMBs and their employees every day. We also have frictionless integrations with many of the technology providers that generate the most receipts for our members, such as Uber and Lyft. Through our </w:t>
      </w:r>
      <w:r>
        <w:rPr>
          <w:rFonts w:ascii="Expensify Neue;sans-serif" w:hAnsi="Expensify Neue;sans-serif"/>
          <w:b w:val="false"/>
          <w:i/>
          <w:color w:val="000000"/>
          <w:sz w:val="20"/>
        </w:rPr>
        <w:t>ExpensifyApproved!</w:t>
      </w:r>
      <w:r>
        <w:rPr>
          <w:color w:val="000000"/>
        </w:rPr>
        <w:t xml:space="preserve"> </w:t>
      </w:r>
      <w:r>
        <w:rPr>
          <w:rFonts w:ascii="Expensify Neue;sans-serif" w:hAnsi="Expensify Neue;sans-serif"/>
          <w:b w:val="false"/>
          <w:color w:val="000000"/>
          <w:sz w:val="20"/>
        </w:rPr>
        <w:t>Partner Program, we train and support accountants who then encourage their customers to use Expensify. We intend to continue to invest in both integrations and partnerships as they are critical to delivering best-in-class user experiences and ensuring that Expensify is deeply embedded within our customer base; and</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Expand internationally. </w:t>
      </w:r>
      <w:r>
        <w:rPr>
          <w:rFonts w:ascii="Expensify Neue;sans-serif" w:hAnsi="Expensify Neue;sans-serif"/>
          <w:b w:val="false"/>
          <w:color w:val="000000"/>
          <w:sz w:val="20"/>
        </w:rPr>
        <w:t>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believe that the combination of the strength of our platform, our scalable business model and our special company culture has us well-positioned to achieve these growth strategies. </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4815"/>
                <wp:effectExtent l="0" t="0" r="0" b="0"/>
                <wp:wrapNone/>
                <wp:docPr id="15" name="Frame1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Expense Management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CAPTURE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Most of today’s financial data still exists on paper. Expensify streamlines the capture and normalization of disparate financial data in the following ways: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SmartScan.</w:t>
      </w:r>
      <w:r>
        <w:rPr>
          <w:color w:val="000000"/>
        </w:rPr>
        <w:t xml:space="preserve"> </w:t>
      </w:r>
      <w:r>
        <w:rPr>
          <w:rFonts w:ascii="Expensify Neue;sans-serif" w:hAnsi="Expensify Neue;sans-serif"/>
          <w:b w:val="false"/>
          <w:color w:val="000000"/>
          <w:sz w:val="20"/>
        </w:rPr>
        <w:t>Snap a photo of your receipt, forward receipts from email, or upload attachments directly in the application. SmartScan optimizes for high-accuracy data extraction to support our “fire and forget” receipt capture.</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Credit card matching. </w:t>
      </w:r>
      <w:r>
        <w:rPr>
          <w:rFonts w:ascii="Expensify Neue;sans-serif" w:hAnsi="Expensify Neue;sans-serif"/>
          <w:b w:val="false"/>
          <w:color w:val="000000"/>
          <w:sz w:val="20"/>
        </w:rPr>
        <w:t xml:space="preserve">Receipts and emails are automatically matched to incoming credit card transactions in real-time, preventing duplicates and reducing the need to manually reconcile credit card statements at month end.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Mobile expense capture.</w:t>
      </w:r>
      <w:r>
        <w:rPr>
          <w:color w:val="000000"/>
        </w:rPr>
        <w:t xml:space="preserve"> </w:t>
      </w:r>
      <w:r>
        <w:rPr>
          <w:rFonts w:ascii="Expensify Neue;sans-serif" w:hAnsi="Expensify Neue;sans-serif"/>
          <w:b w:val="false"/>
          <w:color w:val="000000"/>
          <w:sz w:val="20"/>
        </w:rPr>
        <w:t xml:space="preserve">With mobile apps for Android and iOS, it’s possible to capture receipts, mileage expenses and per diems while in the office or anywhere else in the world – online or offline. In addition, members can automatically import receipts from their favorite travel tools, including Uber, Lyft, Grab, Hotel Tonight, among others. </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APPROVE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Once financial transactions are captured, we deliver AI-driven insights into the nature of company spend, as well as adherence to company-specific rules and guidelines. Expensify’s robust approval functionality can be scaled up and down in the following ways: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Multi-level approval workflows.</w:t>
      </w:r>
      <w:r>
        <w:rPr>
          <w:color w:val="000000"/>
        </w:rPr>
        <w:t xml:space="preserve"> </w:t>
      </w:r>
      <w:r>
        <w:rPr>
          <w:rFonts w:ascii="Expensify Neue;sans-serif" w:hAnsi="Expensify Neue;sans-serif"/>
          <w:b w:val="false"/>
          <w:color w:val="000000"/>
          <w:sz w:val="20"/>
        </w:rPr>
        <w:t xml:space="preserve">Customizable approval workflows help companies of all sizes tailor their approval hierarchies, route specific expenses to budget or project owners and approve expenses through an intuitive “Guided Review” that highlights specific items requiring review.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Intelligent auditing. </w:t>
      </w:r>
      <w:r>
        <w:rPr>
          <w:rFonts w:ascii="Expensify Neue;sans-serif" w:hAnsi="Expensify Neue;sans-serif"/>
          <w:b w:val="false"/>
          <w:color w:val="000000"/>
          <w:sz w:val="20"/>
        </w:rPr>
        <w:t xml:space="preserve">Process data automatically or configure which types of transactions require review. Expensify detects receipt duplicates by default and automatically verifies that any manually-entered expenses match attached receipts.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Powerful integrations. </w:t>
      </w:r>
      <w:r>
        <w:rPr>
          <w:rFonts w:ascii="Expensify Neue;sans-serif" w:hAnsi="Expensify Neue;sans-serif"/>
          <w:b w:val="false"/>
          <w:color w:val="000000"/>
          <w:sz w:val="20"/>
        </w:rPr>
        <w:t>Connect directly with leading cloud accounting and finance platforms such as QuickBooks, Xero, Oracle NetSuite, Sage Intacct and FinancialForce, among others. A continuous real-time sync means that information is dynamically updated across all connected platforms. Expensify connects directly with the top banks in the U.S., as well as leading HR, practice management, tax reclamation, recruiting and travel management systems. A self-service API is available to anyone who wants to integrate Expensify into their technology ecosystem on their own without additional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4815"/>
                <wp:effectExtent l="0" t="0" r="0" b="0"/>
                <wp:wrapNone/>
                <wp:docPr id="16" name="Frame1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Comprehensive visibility.</w:t>
      </w:r>
      <w:r>
        <w:rPr>
          <w:color w:val="000000"/>
        </w:rPr>
        <w:t xml:space="preserve"> </w:t>
      </w:r>
      <w:r>
        <w:rPr>
          <w:rFonts w:ascii="Expensify Neue;sans-serif" w:hAnsi="Expensify Neue;sans-serif"/>
          <w:b w:val="false"/>
          <w:color w:val="000000"/>
          <w:sz w:val="20"/>
        </w:rPr>
        <w:t>Whether companies require visibility into transaction approvals, help with corporate credit card reconciliation and remittance, or insights into travel spend, financial data is visible throughout the platform.</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PAY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After capturing and approving relevant company spend, businesses require an easy and fast method for disbursing funds to employees and vendors. Expensify’s payments platform streamlines how modern payments are made and reconciled in the following ways: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Next day ACH direct deposit.</w:t>
      </w:r>
      <w:r>
        <w:rPr>
          <w:color w:val="000000"/>
        </w:rPr>
        <w:t xml:space="preserve"> </w:t>
      </w:r>
      <w:r>
        <w:rPr>
          <w:rFonts w:ascii="Expensify Neue;sans-serif" w:hAnsi="Expensify Neue;sans-serif"/>
          <w:b w:val="false"/>
          <w:color w:val="000000"/>
          <w:sz w:val="20"/>
        </w:rPr>
        <w:t>For companies that enable automatic processing and reimbursement, employees receive expense reimbursements in their bank account the following business day.</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Global reimbursement.</w:t>
      </w:r>
      <w:r>
        <w:rPr>
          <w:color w:val="000000"/>
        </w:rPr>
        <w:t xml:space="preserve"> </w:t>
      </w:r>
      <w:r>
        <w:rPr>
          <w:rFonts w:ascii="Expensify Neue;sans-serif" w:hAnsi="Expensify Neue;sans-serif"/>
          <w:b w:val="false"/>
          <w:color w:val="000000"/>
          <w:sz w:val="20"/>
        </w:rPr>
        <w:t>For companies or employees based outside of the United States, Expensify offers reimbursement in 5 currencies across 200 countries and territories.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Centralized travel procurement</w:t>
      </w:r>
      <w:r>
        <w:rPr>
          <w:rFonts w:ascii="Expensify Neue;sans-serif" w:hAnsi="Expensify Neue;sans-serif"/>
          <w:b w:val="false"/>
          <w:color w:val="000000"/>
          <w:sz w:val="20"/>
        </w:rPr>
        <w:t>. Manage and centrally pay for travel bookings made with any Expensify Card, all while ensuring compliance with company travel policies.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Corporate card remittance. </w:t>
      </w:r>
      <w:r>
        <w:rPr>
          <w:rFonts w:ascii="Expensify Neue;sans-serif" w:hAnsi="Expensify Neue;sans-serif"/>
          <w:b w:val="false"/>
          <w:color w:val="000000"/>
          <w:sz w:val="20"/>
        </w:rPr>
        <w:t xml:space="preserve">Streamline the process of managing and remitting corporate card payments. </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Expensify Card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Key capabilities of the Expensify Card include:</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Streamlined card application/setup.</w:t>
      </w:r>
      <w:r>
        <w:rPr>
          <w:color w:val="000000"/>
        </w:rPr>
        <w:t xml:space="preserve"> </w:t>
      </w:r>
      <w:r>
        <w:rPr>
          <w:rFonts w:ascii="Expensify Neue;sans-serif" w:hAnsi="Expensify Neue;sans-serif"/>
          <w:b w:val="false"/>
          <w:color w:val="000000"/>
          <w:sz w:val="20"/>
        </w:rPr>
        <w:t>Companies receive an automated approval decision in seconds, and card provisioning for an entire organization is possible in a few minutes. Every member receives a virtual card for immediate use.</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Unlimited virtual cards.</w:t>
      </w:r>
      <w:r>
        <w:rPr>
          <w:color w:val="000000"/>
        </w:rPr>
        <w:t xml:space="preserve"> </w:t>
      </w:r>
      <w:r>
        <w:rPr>
          <w:rFonts w:ascii="Expensify Neue;sans-serif" w:hAnsi="Expensify Neue;sans-serif"/>
          <w:b w:val="false"/>
          <w:color w:val="000000"/>
          <w:sz w:val="20"/>
        </w:rPr>
        <w:t>Companies can issue an unlimited number of virtual cards with fixed amount or monthly spend limits. This allows for issuing cards for specific merchants or subscriptions and ensuring spend does not exceed your budget.</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Continuous automatic reconciliation</w:t>
      </w:r>
      <w:r>
        <w:rPr>
          <w:rFonts w:ascii="Expensify Neue;sans-serif" w:hAnsi="Expensify Neue;sans-serif"/>
          <w:b w:val="false"/>
          <w:color w:val="000000"/>
          <w:sz w:val="20"/>
        </w:rPr>
        <w:t>. Card transactions are synchronized in real-time between Expensify and a company’s accounting systems. This removes the need for an arduous once-a-month statement reconciliation.</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Real-time compliance.</w:t>
      </w:r>
      <w:r>
        <w:rPr>
          <w:color w:val="000000"/>
        </w:rPr>
        <w:t xml:space="preserve"> </w:t>
      </w:r>
      <w:r>
        <w:rPr>
          <w:rFonts w:ascii="Expensify Neue;sans-serif" w:hAnsi="Expensify Neue;sans-serif"/>
          <w:b w:val="false"/>
          <w:color w:val="000000"/>
          <w:sz w:val="20"/>
        </w:rPr>
        <w:t>Cardholders receive an immediate push notification when their card is charged, which helps protect against fraud. In addition, eReceipts mean that no receipt capture is required for nearly all purchases, though companies can stipulate their own receipt policy where preferred.</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Spend control with Smart Limits.</w:t>
      </w:r>
      <w:r>
        <w:rPr>
          <w:color w:val="000000"/>
        </w:rPr>
        <w:t xml:space="preserve"> </w:t>
      </w:r>
      <w:r>
        <w:rPr>
          <w:rFonts w:ascii="Expensify Neue;sans-serif" w:hAnsi="Expensify Neue;sans-serif"/>
          <w:b w:val="false"/>
          <w:color w:val="000000"/>
          <w:sz w:val="20"/>
        </w:rPr>
        <w:t xml:space="preserve">Companies control the maximum exposure they will accept for each employee by stipulating their individual unapproved spend, which is another cash control feature. If a cardholder fails to submit their expenses in a timely fashion, card activity is suspended until historical card spend is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4815"/>
                <wp:effectExtent l="0" t="0" r="0" b="0"/>
                <wp:wrapNone/>
                <wp:docPr id="17" name="Frame1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Cashback.</w:t>
      </w:r>
      <w:r>
        <w:rPr>
          <w:color w:val="000000"/>
        </w:rPr>
        <w:t xml:space="preserve"> </w:t>
      </w:r>
      <w:r>
        <w:rPr>
          <w:rFonts w:ascii="Expensify Neue;sans-serif" w:hAnsi="Expensify Neue;sans-serif"/>
          <w:b w:val="false"/>
          <w:color w:val="000000"/>
          <w:sz w:val="20"/>
        </w:rPr>
        <w:t xml:space="preserve">Our standard cashback terms dictate that companies with settled spend in the United States (“U.S.”) over $250,000 per month on their Expensify Cards under the Updated Card Program (defined below) receive 2% cashback for all U.S. purchases or 1% for all U.S. purchases if monthly settled spend in the U.S. is under $250,000.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Daily settlement option</w:t>
      </w:r>
      <w:r>
        <w:rPr>
          <w:rFonts w:ascii="Expensify Neue;sans-serif" w:hAnsi="Expensify Neue;sans-serif"/>
          <w:b w:val="false"/>
          <w:color w:val="000000"/>
          <w:sz w:val="20"/>
        </w:rPr>
        <w:t>. Ensure that employees never overspend what a company is able to pay. Daily settlement also helps smooth cash flows throughout the month, as opposed to one large, uncertain lump sum at month end. Companies can also choose monthly settlement if they prefer a more classic experience.</w:t>
      </w:r>
    </w:p>
    <w:p>
      <w:pPr>
        <w:pStyle w:val="TextBody"/>
        <w:bidi w:val="0"/>
        <w:spacing w:lineRule="auto" w:line="288" w:before="0" w:after="160"/>
        <w:jc w:val="left"/>
        <w:rPr/>
      </w:pPr>
      <w:r>
        <w:rPr>
          <w:rFonts w:ascii="Expensify Neue;sans-serif" w:hAnsi="Expensify Neue;sans-serif"/>
          <w:b w:val="false"/>
          <w:color w:val="000000"/>
          <w:sz w:val="20"/>
        </w:rPr>
        <w:t>We believe we have growth potential in many areas in regards to the Expensify Card. Our goal is to continue increasing the number of companies that have adopted the Expensify Card and the number of members that have a card provisioned per company, both of which would increase the amount of total spend c</w:t>
      </w:r>
      <w:r>
        <w:rPr>
          <w:rFonts w:ascii="Expensify Neue;sans-serif" w:hAnsi="Expensify Neue;sans-serif"/>
          <w:b w:val="false"/>
          <w:color w:val="000000"/>
          <w:sz w:val="20"/>
          <w:shd w:fill="FFFFFF" w:val="clear"/>
        </w:rPr>
        <w:t>onverted to the Expensify Card.</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Substantially all Expensify Card cardholders as of </w:t>
      </w:r>
      <w:r>
        <w:rPr>
          <w:rFonts w:ascii="Expensify Neue;sans-serif" w:hAnsi="Expensify Neue;sans-serif"/>
          <w:b w:val="false"/>
          <w:color w:val="000000"/>
          <w:sz w:val="20"/>
        </w:rPr>
        <w:t>December 31, 2025</w:t>
      </w:r>
      <w:r>
        <w:rPr>
          <w:color w:val="000000"/>
          <w:shd w:fill="FFFFFF" w:val="clear"/>
        </w:rPr>
        <w:t xml:space="preserve"> </w:t>
      </w:r>
      <w:r>
        <w:rPr>
          <w:rFonts w:ascii="Expensify Neue;sans-serif" w:hAnsi="Expensify Neue;sans-serif"/>
          <w:b w:val="false"/>
          <w:color w:val="000000"/>
          <w:sz w:val="20"/>
          <w:shd w:fill="FFFFFF" w:val="clear"/>
        </w:rPr>
        <w:t>are under our updated program (the “Updated Card Program”), which launched in February 2024. The Updated Card Program operates under an agreement with the issuing bank, The Bancorp Bank, N.A. (“Bancorp”), to issue Expensify Cards to customers and authorize and settle transactions on the Visa card network. An immaterial number of cardholders continue to operate within our previous card program, which operates pursuant to an agreement with the payment processor Marqeta, Inc.</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Part II, Item 7 “Management's Discussion and Analysis of Financial Condition and Results of Operations” for additional details on revenue and expense impacts from the Expensify Card program transition.</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Expensify Travel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Travel is a travel platform that simplifies business travel by integrating booking, approvals, payments, and collaboration into one seamless experience. It has the following key capabilities: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Seamless bookings.</w:t>
      </w:r>
      <w:r>
        <w:rPr>
          <w:color w:val="000000"/>
        </w:rPr>
        <w:t xml:space="preserve"> </w:t>
      </w:r>
      <w:r>
        <w:rPr>
          <w:rFonts w:ascii="Expensify Neue;sans-serif" w:hAnsi="Expensify Neue;sans-serif"/>
          <w:b w:val="false"/>
          <w:color w:val="000000"/>
          <w:sz w:val="20"/>
        </w:rPr>
        <w:t>Easily book flights, hotels, rail, and car rentals all from the Expensify app, with options tailored to fit your company’s travel policy. This is designed to provide travelers the best options while staying within their company's budget and compliance guidelines.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Smart approvals.</w:t>
      </w:r>
      <w:r>
        <w:rPr>
          <w:color w:val="000000"/>
        </w:rPr>
        <w:t xml:space="preserve"> </w:t>
      </w:r>
      <w:r>
        <w:rPr>
          <w:rFonts w:ascii="Expensify Neue;sans-serif" w:hAnsi="Expensify Neue;sans-serif"/>
          <w:b w:val="false"/>
          <w:color w:val="000000"/>
          <w:sz w:val="20"/>
        </w:rPr>
        <w:t>Real-time, policy-driven approvals ensure trips are authorized quickly, reducing the risk of unnecessary change or cancellation fees. Managers can approve trips with confidence, knowing they align with company policies.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Streamlined payments and reporting.</w:t>
      </w:r>
      <w:r>
        <w:rPr>
          <w:color w:val="000000"/>
        </w:rPr>
        <w:t xml:space="preserve"> </w:t>
      </w:r>
      <w:r>
        <w:rPr>
          <w:rFonts w:ascii="Expensify Neue;sans-serif" w:hAnsi="Expensify Neue;sans-serif"/>
          <w:b w:val="false"/>
          <w:color w:val="000000"/>
          <w:sz w:val="20"/>
        </w:rPr>
        <w:t>Centralized virtual card payments simplify expense reconciliation, while automated reporting instantly captures every receipt and change fee for hassle-free tracking. This eliminates manual expense reporting and speeds up reimbursements.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Real-time collaboration.</w:t>
      </w:r>
      <w:r>
        <w:rPr>
          <w:color w:val="000000"/>
        </w:rPr>
        <w:t xml:space="preserve"> </w:t>
      </w:r>
      <w:r>
        <w:rPr>
          <w:rFonts w:ascii="Expensify Neue;sans-serif" w:hAnsi="Expensify Neue;sans-serif"/>
          <w:b w:val="false"/>
          <w:color w:val="000000"/>
          <w:sz w:val="20"/>
        </w:rPr>
        <w:t>Dedicated chat rooms connect travelers and travel managers, keeping everyone on the same page with instant updates, approvals, and duty-of-care communication throughout the trip. This facilitates smooth coordination and immediate support when needed.</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Invoicing &amp; Bill Pay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Key capabilities of our invoicing and bill payment features include:</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Payments made easy. </w:t>
      </w:r>
      <w:r>
        <w:rPr>
          <w:rFonts w:ascii="Expensify Neue;sans-serif" w:hAnsi="Expensify Neue;sans-serif"/>
          <w:b w:val="false"/>
          <w:color w:val="000000"/>
          <w:sz w:val="20"/>
        </w:rPr>
        <w:t>With multiple payment options, including credit/debit card, ACH and check, customers across the globe have access to quick, easy and frictionless payment options.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Eliminate manual entry.</w:t>
      </w:r>
      <w:r>
        <w:rPr>
          <w:color w:val="000000"/>
        </w:rPr>
        <w:t xml:space="preserve"> </w:t>
      </w:r>
      <w:r>
        <w:rPr>
          <w:rFonts w:ascii="Expensify Neue;sans-serif" w:hAnsi="Expensify Neue;sans-serif"/>
          <w:b w:val="false"/>
          <w:color w:val="000000"/>
          <w:sz w:val="20"/>
        </w:rPr>
        <w:t>Bills sent to a company’s @expensify.cash address are automatically SmartScanned, which captures key details for easy review and processing.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4815"/>
                <wp:effectExtent l="0" t="0" r="0" b="0"/>
                <wp:wrapNone/>
                <wp:docPr id="18" name="Frame1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Real-time communication. </w:t>
      </w:r>
      <w:r>
        <w:rPr>
          <w:rFonts w:ascii="Expensify Neue;sans-serif" w:hAnsi="Expensify Neue;sans-serif"/>
          <w:b w:val="false"/>
          <w:color w:val="000000"/>
          <w:sz w:val="20"/>
        </w:rPr>
        <w:t>Customers can leave comments or ask questions on the invoice and both parties can chat in real time directly in Expensify, or receive an email instantly.</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Extensive integrations.</w:t>
      </w:r>
      <w:r>
        <w:rPr>
          <w:color w:val="000000"/>
        </w:rPr>
        <w:t xml:space="preserve"> </w:t>
      </w:r>
      <w:r>
        <w:rPr>
          <w:rFonts w:ascii="Expensify Neue;sans-serif" w:hAnsi="Expensify Neue;sans-serif"/>
          <w:b w:val="false"/>
          <w:color w:val="000000"/>
          <w:sz w:val="20"/>
        </w:rPr>
        <w:t>Companies can save time by exporting invoices and bills to QuickBooks, Xero, Sage Intacct, Oracle NetSuite and more. Invoices are automatically linked to the corresponding customer and exported as a receivable in the accounting system. Bills are automatically linked to the corresponding vendor and exported as a payable.</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Expensify.org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started Expensify.org with a goal to “create a just and generous world” with the belief that doing good is good for business. We aim to integrate the Expensify.org mission into everything we do.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 — most importantly — the emotional connection between donors, volunteers and recipients. </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Our Compliance and Data Security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PCI-DSS Level 1, SOC1 Type II, and SOC2 Type II compliant, with external parties performing “grey box” testing. We are integrated with most major banks in the United States, and we process billions of dollars in expense reimbursements every year and are audited periodically by our processing bank. We take privacy and data security seriously and design our systems and processes based on applicable domestic and international data privacy regulations, which sometimes change faster than the wind.</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Our Data</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2025, we have processed over 1.8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 every new member and transaction adding incremental value to our platform. Every receipt we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4815"/>
                <wp:effectExtent l="0" t="0" r="0" b="0"/>
                <wp:wrapNone/>
                <wp:docPr id="19" name="Frame1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Our Culture, Employees and Human Capital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At Expensify, our culture is deeply embedded in everything we do. We strive to create an inclusive and collaborative workplace that prioritizes and fosters the long-term happiness of our employees. We operate with a relatively flat, generalist organizational structure, where everybody is encouraged to participate in the discussions and contribute to the decisions they choose to. Our culture is centered on the belief that a life well lived is one that enables you to achieve the following three goals, which we all work towards with a long-term mindset:</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Live Rich. </w:t>
      </w:r>
      <w:r>
        <w:rPr>
          <w:rFonts w:ascii="Expensify Neue;sans-serif" w:hAnsi="Expensify Neue;sans-serif"/>
          <w:b w:val="false"/>
          <w:color w:val="000000"/>
          <w:sz w:val="20"/>
        </w:rPr>
        <w:t>This means we want to have ample means, and the time to enjoy it. We want to participate in a 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Have Fun.</w:t>
      </w:r>
      <w:r>
        <w:rPr>
          <w:color w:val="000000"/>
        </w:rPr>
        <w:t xml:space="preserve"> </w:t>
      </w:r>
      <w:r>
        <w:rPr>
          <w:rFonts w:ascii="Expensify Neue;sans-serif" w:hAnsi="Expensify Neue;sans-serif"/>
          <w:b w:val="false"/>
          <w:color w:val="000000"/>
          <w:sz w:val="20"/>
        </w:rPr>
        <w:t>Sometimes, we want to do stuff that is awesome just for the sake of awesomeness. Not too often, but often enough to remind ourselves that we are living life to its fullest, and enabling others to do the same. For example, we aim to bring the whole company to U.S. and international locations from time to time to collaborate in person, build friendships with their colleagues, broaden their perspective and have a great time. These trips are productivity powerhouses that have resulted in some of our most impressive platform developments to date.</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Save The World.</w:t>
      </w:r>
      <w:r>
        <w:rPr>
          <w:color w:val="000000"/>
        </w:rPr>
        <w:t xml:space="preserve"> </w:t>
      </w:r>
      <w:r>
        <w:rPr>
          <w:rFonts w:ascii="Expensify Neue;sans-serif" w:hAnsi="Expensify Neue;sans-serif"/>
          <w:b w:val="false"/>
          <w:color w:val="000000"/>
          <w:sz w:val="20"/>
        </w:rPr>
        <w:t>We like the phrasing of this goal precisely because it is bombastic. We want to play an active role in unwinding the issues that have prevented so many from living rich. We believe that even a small team with limited resources, given enough time and focus, can move the world. This is why we started Expensify.org, to “create a just and generous world”, and we are all wholly committed to its mission.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there are three common qualities critical to achieving these three goals and the success of our company:</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Talent. </w:t>
      </w:r>
      <w:r>
        <w:rPr>
          <w:rFonts w:ascii="Expensify Neue;sans-serif" w:hAnsi="Expensify Neue;sans-serif"/>
          <w:b w:val="false"/>
          <w:color w:val="000000"/>
          <w:sz w:val="20"/>
        </w:rPr>
        <w:t>Each of us can learn without being taught, and can teach whatever we’ve learned.</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Ambition.</w:t>
      </w:r>
      <w:r>
        <w:rPr>
          <w:color w:val="000000"/>
        </w:rPr>
        <w:t xml:space="preserve"> </w:t>
      </w:r>
      <w:r>
        <w:rPr>
          <w:rFonts w:ascii="Expensify Neue;sans-serif" w:hAnsi="Expensify Neue;sans-serif"/>
          <w:b w:val="false"/>
          <w:color w:val="000000"/>
          <w:sz w:val="20"/>
        </w:rPr>
        <w:t>Each of us has a genuine desire to accomplish something meaningful to us individually, to create more than we consume in this world.</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Humility.</w:t>
      </w:r>
      <w:r>
        <w:rPr>
          <w:color w:val="000000"/>
        </w:rPr>
        <w:t xml:space="preserve"> </w:t>
      </w:r>
      <w:r>
        <w:rPr>
          <w:rFonts w:ascii="Expensify Neue;sans-serif" w:hAnsi="Expensify Neue;sans-serif"/>
          <w:b w:val="false"/>
          <w:color w:val="000000"/>
          <w:sz w:val="20"/>
        </w:rPr>
        <w:t>Each of us genuinely values the opinions and perspectives of others, and seeks above all to find the right solution to any given problem, no matter who came up with it.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Finally, our long-term commitment to our three life goals is guided by two simple rules: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Get Shit Done. </w:t>
      </w:r>
      <w:r>
        <w:rPr>
          <w:rFonts w:ascii="Expensify Neue;sans-serif" w:hAnsi="Expensify Neue;sans-serif"/>
          <w:b w:val="false"/>
          <w:color w:val="000000"/>
          <w:sz w:val="20"/>
        </w:rPr>
        <w:t>We have little-to-no internal hierarchy; nobody reports to anyone else. Everyone is responsible for their own time and empowered to spend it in the way they feel will best advance their own goals, and the goals of the company.</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Don’t Ruin It for Everyone Else.</w:t>
      </w:r>
      <w:r>
        <w:rPr>
          <w:color w:val="000000"/>
        </w:rPr>
        <w:t xml:space="preserve"> </w:t>
      </w:r>
      <w:r>
        <w:rPr>
          <w:rFonts w:ascii="Expensify Neue;sans-serif" w:hAnsi="Expensify Neue;sans-serif"/>
          <w:b w:val="false"/>
          <w:color w:val="000000"/>
          <w:sz w:val="20"/>
        </w:rPr>
        <w:t>Whenever there is some complicated scenario with an unclear resolution, we always brainstorm the fairest possible solution — and then put in the hard work to make that ideal solution our actual solution. Fairness rarely comes easy, and is typically far, far from the norm.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believe that our unique culture and our employees’ happiness and long-term commitment to Expensify is a critical component of our success. As of December 31, 2025 we had 117 full-time employees. None of our employees are represented by a labor union or covered by collective bargaining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4815"/>
                <wp:effectExtent l="0" t="0" r="0" b="0"/>
                <wp:wrapNone/>
                <wp:docPr id="20" name="Frame1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also engage third-party vendors to supply on-demand workers as needed to support our operations. We have not experienced any work stoppages, and we believe that our employee relations are strong. We remain committed to reevaluating ourselves and continuing to foster a workplace environment that prioritizes the well-being of each and every Expensify employee.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provide our employees with competitive compensation, comprehensive healthcare options and equity ownership across our organization. We encourage a balanced lifestyle by offering our employees the flexibility to work remotely and set their own schedules.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RESEARCH AND DEVELOPMENT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a product-led growth strategy, so our ability to scale our platform depends on our ability to innovate and continue to deliver quality and valuable features for members. As such, we prioritize our research and development above all other investments. Our Customer Success team works closely with our customers to identify our members’ greatest needs and act as our primary Product Managers to develop features that reflect their feedback. We build our software with the end user at the center of every decision, investing substantial time, energy and resources to ensure we have a deep understanding of our members’ needs.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CUSTOMER SUCCESS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Concierge is our customer support engine. Concierge is designed for speed and accuracy and optimized for cost. Concierge is powered by AI and trained by customer support agents, with different levels of skill and training, spread out across the world.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Concierge is also supported with generative AI trained on how to use Expensify. All customer inquiries are screened to see if they can be answered from our help documentation. If they can be, Concierge will automatically respond with an answer formulated by generative AI using the help documentation as its source. The majority of initial inquiries are able to be answered automatically by Concierge without escalation.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Success Coaches are full-time employees who primarily serve in both account management and product management roles. The majority of Success Coach time is spent doing traditional account management tasks and performing “supervised training” of the Concierge AI in response to edge case conversations escalated from Second Responders. The remainder of Success Coach time is spent on traditional product management activity (i.e., writing product proposals, engaging with the product development team, testing new functionality, updating documentation). We believe that by keeping our product managers involved with the customers we design and develop features that customers like to use — supporting our product-led growth.</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MARKETING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make our platform available for free trial online, which facilitates rapid and widespread adoption. The strength of our solution and its user-friendly nature creates advocates of our platform and allows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4815"/>
                <wp:effectExtent l="0" t="0" r="0" b="0"/>
                <wp:wrapNone/>
                <wp:docPr id="21" name="Frame2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to spread virally, through word-of-mouth, across teams, departments and organizations. This word-of-mouth marketing increases organically as more individual members and teams discover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marketing efforts are designed to support the bottom-up viral nature of our platform by establishing our brand as a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Creating market consensus requires a major investment to establish and requires ongoing commitment to our product to maintain. So long as the market agrees in the strength of our platform, it is relatively inexpensive to maintain that perception. This creates an asymmetric advantage against challengers to our brand. This market consensus strategy enables us to attract new customers without needing to pay a high marginal cost to acquire each new customer.</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SALES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sales model focuses on enabling customer self-service and low-friction entry points enhanced with AI powered customer service.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Our Competition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the principal competitive factors that drive leadership in the markets we compete in include the following: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End user design focus;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Ease of access, adoption, deployment and use;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Platform functionality and ability to automate processes;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Mobile access across devices;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Ability to purchase without a sales representative;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Viral, bottom-up business model supported by word-of-mouth adoption;</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High interoperability with internal and third party systems and consumer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4815"/>
                <wp:effectExtent l="0" t="0" r="0" b="0"/>
                <wp:wrapNone/>
                <wp:docPr id="22" name="Frame2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Flexible, employee-centric legal terms regarding data ownership;</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Data security and privacy;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Speed and scalability of architecture underlying the platform;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Brand reputation and market consensus around platform superiority;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Customer service and support.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we compete favorably with our competitors on the basis of the factors described above. We believe our unique approach, business model, and company culture drive significant competitive differentiation. We continue our intense design focus on the employee experience, to support our viral bottom-up business model to drive profitable growth and to nurture our one-of-a-kind company structure and culture to maintain this competitive advantage.</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Intellectual Property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2025, we had 22 trademark registrations in the United States, covering EXPENSIFY, Expensify “E” Logo, EXPENSIFY THIS, EXPENSIFY PAYMENTS, YOU WEREN’T BORN TO DO EXPENSES, SMARTSCAN CONCIERGE, SWIPE TO WIN, EASY MONEY, EXPENSIFY IS EASY MONEY, LAT TALKS, LAT* TALKS, LONG ASS TABLE TALKS, EXPENSICON, KARMA POINTS, CORPORATE KARMA, and PERSONAL KARMA. AT THE SPEED OF CHAT and TRAVEL AND EXPENSE AT THE SPEED OF CHAT have been allowed, after examination by the United States Patent and Trademark Office. We also had approximately 135 trademark registrations (including international registrations) and approximately 8 pending applications in certain foreign jurisdictions, including Canada, Australia, New Zealand, Benelux, The Cayman islands and United Arab Emirates. We will pursue additional trademark registrations to the extent we believe it would be beneficial and cost effective. We also own several domain names, including www.expensify.com, use.expensiffy.com, www.expensify.org, and new.expensify.com.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2025, we had 31 issued patents and 12 pending patent applications in the United States. Our issued patents expire between August 2028 and September 2042. We have 2 pending applications in each of Europe, Australia and Canada, and 1 pending application in the Patent Cooperation Treaty. We continually review our development efforts to assess the existence and patentability of new intellectual property.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control access to our intellectual property and confidential information through internal and external controls. We maintain a policy requiring our employees, contractors, consultants and other third parties 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additional information about our intellectual property and associated risks, see Part I, 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4815"/>
                <wp:effectExtent l="0" t="0" r="0" b="0"/>
                <wp:wrapNone/>
                <wp:docPr id="23" name="Frame2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Government Regulation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Part I, Item 1A “Risk Factors".</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Corporate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were incorporated on April 29, 2009 as Expensify, Inc., a Delaware corporation. Our principal executive offices are located at 88 Kearny St, Ste 1600, San Francisco, California 94108.</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Available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website address is www.expensify.com. Information contained on, or that can be accessed through, our website does not constitute part of this Annual Report on Form 10-K. The U.S. Securities and Exchange Commission (“SEC”) maintains an Internet site that contains reports, proxy and information statements, and other information regarding issuers that file electronically with the SEC at www.sec.gov. Our Annual Reports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www.investors.expensify.com as soon as reasonably practicable after we electronically file such material with, or furnish it to, the SEC.</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provide notifications of news or announcements regarding our financial performance, including SEC filings, investor events, press and earnings releases, on our investor relations website. The contents of these websites are not intended to be incorporated by reference into this report or in any other report or document we file.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4815"/>
                <wp:effectExtent l="0" t="0" r="0" b="0"/>
                <wp:wrapNone/>
                <wp:docPr id="24" name="Frame2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1A. Risk Factors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Our business involves a high degree of risk. You should carefully consider the risks described below, as well as the other information contained or incorporated by reference in this Annual Report on Form 10-K, including our consolidated financial statements and related notes, as well as our other filings with the SEC.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Risks Related to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quarterly and annual results of operations have fluctuated in the past and may fluctuate significantly in the future and may not meet our expectations or those of investors or securities analysts.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quarterly and annual results of operations, including the levels of our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level of demand across our platform and for individual features within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grow or maintain our gross logo retention rate and net seat retention rate (each as described in Part II, Item 7 “Management's Discussion and Analysis of Financial Condition and Results of Operations”), expand usage within organizations, retain and increase sales to existing customers and attract new members and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convert individuals and organizations using our free features or trial subscriptions into paying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predictably generate revenue through marketing and sales efforts;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timing and success of new features, integrations, capabilities and enhancements by us to our platform, or by our competitors to their products, or any other changes in the competitive landscape of our market;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grow and maintain our relationships and/or integrations with our network of third-party partners, including integration partners, channel partners and professional service partners;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regulate members and member interactions on an increasingly collaborative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grow revenue share and customer referrals from our partner ecosystem;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attract new customers and retain existing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success of our customers’ businesses;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achieve widespread acceptance and use of our platform and features, including the Expensify Card and any new features we may introduce;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retain customers on annual subscriptions;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maintain and improve employee efficiency, and our ability to manage third party, outsourced or open source workers to provide value-added services like receipt processing, customer support and engineering;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4815"/>
                <wp:effectExtent l="0" t="0" r="0" b="0"/>
                <wp:wrapNone/>
                <wp:docPr id="25" name="Frame2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errors in our forecasting of the demand for our platform and features, which would lead to lower revenue, increased costs, or both;</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amount and timing of operating expenses and capital expenditures, as well as entry into operating leases, that we may incur to maintain and expand our business and operations and to remain competitive;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timing of expenses and recognition of revenue;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actual or perceived security breaches, technical difficulties, or interruptions to our platform and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pricing pressure as a result of competition or otherwise;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ineffective pricing strategies that could limit customer base expansion, revenue growth and subscription renewals;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adverse litigation judgments, other dispute-related settlement payments, or other litigation-related costs;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number of new employees hired;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timing of the grant or vesting of equity awards to employees, directors, or consultants;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declines in the values of foreign currencies relative to the U.S. dollar;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and continuing uncertainty in relation to, the legislative or regulatory environment;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legal and regulatory compliance costs in new and existing markets;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costs and timing of expenses related to the potential acquisition of talent, technologies, businesses or intellectual property, and their integration, including potentially significant amortization costs and possible write-downs;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health crises or other conditions that impact travel and business spending;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general economic and market conditions in either domestic or international markets, including geopolitical uncertainty and instability and their effects on software spending.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could fall, and we would face litigation, including securities class action lawsuits, which could subject us to substantial costs, divert resources and the attention of management from our business and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4815"/>
                <wp:effectExtent l="0" t="0" r="0" b="0"/>
                <wp:wrapNone/>
                <wp:docPr id="26" name="Frame2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not be able to successfully implement our growth strategies on a timely basis or at all. Even if we are successful, if we fail to effectively manage our growth, our business and results of operations could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operate in a relatively new and rapidly changing category of preaccounting software, and widespread acceptance and use of our platform and features, particularly our expense management feature, is critical to our future growth and success. We believe our growth depends on a number of factors, including, but not limited to, our ability to:</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attract new individuals and organizations to use our features, particularly our expense management feature;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convert individuals and organizations using our free features or trial subscriptions into paying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grow or maintain our gross logo retention rate and net seat retention rate, and expand usage within organizations;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price our subscription plans effectively and competitively;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retain our existing individual and organizational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achieve widespread acceptance and use of our platform and features, including in markets outside of the United States;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continue to successfully advance our bottom-up sales strategy as well as strategic relationships with our channel partners;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continue to maintain and build a platform and brand that drives word-of-mouth exposure to new potential members;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grow or maintain our brand through marketing, advertising campaigns, partnerships and other methods;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gain member traction for and generate revenue from our new features and services;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grow or maintain current levels of interchange revenue and/or fees generated through transaction-based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expand the features and capabilities of our platform and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provide excellent customer experience and customer support;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maintain the security and reliability of our platform and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maintain the trust of our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successfully compete against established companies and new market entrants, as well as existing software tools;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successfully respond to other competitive challenges in the United States and globally;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attract, hire and retain highly skilled personnel;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impact of any future pandemic, epidemic or other public health crisis on our business;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obtain, expand, maintain, enforce and protect our intellectual property portfolio;</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operate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4815"/>
                <wp:effectExtent l="0" t="0" r="0" b="0"/>
                <wp:wrapNone/>
                <wp:docPr id="27" name="Frame2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grow our member and customer base in new countries and/or markets, and increase awareness of our brand on a global basis;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obtain and maintain compliance and licenses material to our current and future businesses, and comply with existing and new applicable laws and regulations including in markets outside of the United States.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If we are unable to accomplish these tasks, our growth, including our revenue growth, would be harmed.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ability to accurately plan for and model future growth is limited and subject to a number of risks and uncertainties, due in part to our global operations, customer preferences and mix of products and features.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Additionally, the growth and expansion of our business and platform may place a significant strain on our management and our administrative, operational and financial reporting resources.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growth, we must continue to implement and improve our operational, financial and management information and reporting systems and manage our employee base. If future revenue growth does not offset any increases in our operating expenses, our business, results of operations, and financial condition will be harmed, and we may not be able to maintain profitability. In addition, as we seek to continue to expand internationally, we will likely encounter unexpected challenges and expenses due to unfamiliarity with local regulations, requirements, practices and markets.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cannot guarantee any price increases we may choose to implement in the future will not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fail to adapt and respond effectively to rapidly changing technology, evolving industry standards and changing customer needs or preferences, our platform may become less competitive.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4815"/>
                <wp:effectExtent l="0" t="0" r="0" b="0"/>
                <wp:wrapNone/>
                <wp:docPr id="28" name="Frame2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are unable to attract new customers on a cost-effective basis, convert individuals using our free basic expense management feature and organizations using our trial subscriptions into paying customers, retain existing customers and expand usage within organizations, our revenue growth will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increase our revenue, we must increase our customer base through various methods, including but not limited to, retaining existing customers, adding new customers, converting individuals using our free basic expense management feature and organizations using our trial subscriptions into paying customers, and expanding usage within organizations. Our business is subscription-based, with monthly and annual subscriptions, and customers are not obligated to and may not renew their subscriptions after their existing subscriptions expire.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4815"/>
                <wp:effectExtent l="0" t="0" r="0" b="0"/>
                <wp:wrapNone/>
                <wp:docPr id="29" name="Frame2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fail to accurately predict the optimal pricing strategies necessary to attract new customers, retain existing customers and respond to changing market conditions.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not successfully develop or introduce new features, enhancements, integrations, capabilities and versions of our existing features that achieve market acceptance, and our business could be harmed and our revenue could suffer as a result.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We may not be able to develop new features successfully or to introduce and gain market acceptance of new features in a timely manner, or at all.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4815"/>
                <wp:effectExtent l="0" t="0" r="0" b="0"/>
                <wp:wrapNone/>
                <wp:docPr id="30" name="Frame2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example, we have been migrating users onto New Expensify, our open-source financial group chat, which we have been developing since 2021, but there can be no guarantee that it will meet customer needs, gain member traction or generate revenue sufficient to offset the costs of development, which could harm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face significant competition, the market in which we operate is rapidly evolving, and if we do not compete effectively, our results of operations and financial condition could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face significant competitive challenges from do-it-yourself approaches as well as companies that provide traditional horizontal platform solutions with expense management features, corporate card 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there are a number of competing companies that provide traditional horizontal platform solutions with expense management features, some of which have substantially greater revenue, personnel and other resources than we do.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bottom-up adoption features. Some of our larger competitors use broader product offerings to compete, including by selling at zero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4815"/>
                <wp:effectExtent l="0" t="0" r="0" b="0"/>
                <wp:wrapNone/>
                <wp:docPr id="31" name="Frame3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 successfully and effectively compete with current or future competitors could cause us to lose business and harm our revenue growth,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An economic downturn or economic uncertainty could negatively impact our customers and materially and adversely affect our business, financial condition and 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depends on the economic health of our current and prospective customers and the overall state of the economy. Declining levels of economic activity may lead to declines or delays in business spending, declines in the number of paid monthly members of our platform and fewer transactions for which our platform may be used, which may result in decreased revenue for us. Uncertain and adverse economic conditions may cause customers to change their company policies to limit expense reimbursement and have led to increased requests for, and may lead to, increased refunds and chargebacks. Additionally, economic uncertainty and negative economic pressures may cause prospective or existing customers to defer investment or expansion in their business, and they may become more price-sensitive and perceive our platform as too costly. As of December 31, 2025, businesses with fewer than 1,000 employees accounted for approximately 95% of our customers by revenue, and we focus our product, marketing and sales efforts on these businesses, including SMBs. These customers may be more susceptible to general economic conditions than larger businesses, which may have greater liquidity and access to capital. Our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As a result, our larger competitors may be better positioned than we are to increase their market share with businesses of all sizes. In addition, the increased pace of consolidation in certain industries may result in reduced overall 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Payments and other financial services-related laws and regulations and government oversight are material to our business. The actions of various policymakers across government levels may create a complexity of multiple, conflicting and changing governmental laws and regulations. Our failure to comply with such laws and regulations could materially harm our business and can subject us to criminal and civil liability.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regulatory environment in which we conduct our business is extensive and complex. 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4815"/>
                <wp:effectExtent l="0" t="0" r="0" b="0"/>
                <wp:wrapNone/>
                <wp:docPr id="32" name="Frame3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organizations, and numerous state and local governmental and regulatory authorities. These various authorities and governing bodies may enact conflicting laws or regulations that are complex and may change frequently. Responding to such conflicting, complex or changing rules and regulations entails inherent costs, and any actual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restrictions and expulsion from card acceptance programs,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Payments LLC (“Expensify Payments”) is a licensed money transmitter (or its equivalent) in most U.S.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 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by us of certain statutory and regulatory requirements, and we have been subject to fines and other penalties by state regulatory authorities due to their interpretation and application of their respective state money transmitter regime to our activities. As a result of the laws and regulations applicable to us and our business, we are and could in the future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prohibit, restrict, and/or impose taxes or fees on money transmission transactions in, to or from certain countries or with certain governments, individuals, or entities;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impose additional customer identification and customer due diligence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4815"/>
                <wp:effectExtent l="0" t="0" r="0" b="0"/>
                <wp:wrapNone/>
                <wp:docPr id="33" name="Frame3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impose additional reporting or recordkeeping requirements, or require enhanced transaction monitoring;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 the types of entities capable of providing money transmission services, or impose additional licensing or registration requirements;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impose minimum capital or other financial requirements;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 or restrict the revenue that may be generated from money transmission, including revenue from interest earned on customer funds, transaction fees, and revenue derived from foreign exchange;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require enhanced disclosures to our money transmission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require the principal amount of money transmission originated in a country to be invested in that country or held in trust until paid;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 the number or principal amount of money transmission transactions that may be sent to or from a jurisdiction, whether by an individual or in the aggregate;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restrict or limit our ability to process transactions using centralized databases, for example, by requiring that transactions be processed using a database maintained in a particular country or region; or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impose other requirements in furtherance of their missions.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example, as a result of the bankruptcy and collapse of Synapse Financial Technologies, Inc., Expensify Payments has become subject to further recordkeeping requirements and received increased inquiries from regulators regarding our record keeping systems and process. These increased requirements and inquiries could lead to increased costs for maintaining our compliance with required regulations.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The success of our business largely depends on our senior management team, and we depend on professional services firms for a portion of our finance function. The loss of any key employees or our outsourced finance team could adversely affect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both of our executive officers or other key employees could have a serious adverse effect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we depend on certain professional services firms for a portion of our finance function. If we lose the services of these outsourced finance teams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4815"/>
                <wp:effectExtent l="0" t="0" r="0" b="0"/>
                <wp:wrapNone/>
                <wp:docPr id="34" name="Frame3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cannot guarantee that our share repurchase program will be fully consummated or that it will enhance long-term stockholder value. Share repurchases could also increase the volatility of the trading price of our common stock and could diminish our cash reserves.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25, 2025, the Executive Committee of our Board of Directors (the “Executive Committee”) authorized a share repurchase program to repurchase up to $50 million of our outstanding Class A common stock, which replaced the Company's share repurchase program that was approved in 2022. Although the Executive Committee has authorized this repurchase program, the program does not obligate us to repurchase any specific dollar amount or to acquire any specific number of shares.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share repurchase program may be modified, suspended, or terminated at any time, and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this program could diminish our cash and cash equivalents and marketable securities.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rely on a single third-party vendor, issuing bank and card network for our Expensify Card, and if we lose any of these services, our business, results of operations, financial condition and growth prospects could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Expensify Card is an important element of our growth strategy, and we believe that, over time, the Expensify Card will be a prominent corporate card solution for SMBs in our core markets. For our previous card program (the “Legacy Card Program”), launched in 2020, we rely on a single third-party vendor, Marqeta, for the Expensify Card, who also manages the relationship with the card's issuing bank, Sutton Bank, and the card network, Visa. In the annual period ended December 31, 2025, consideration from this vendor representing monetized Expensify Card activities reduced our cost of revenue by an immaterial amount. In the annual period ended December 31, 2024, consideration from this vendor representing monetized Expensify Card activities reduced our cost of revenue by $7.2 million. Our agreement with Marqeta initially had a three year term that was renewed in June 2022 and now automatically renews annually thereafter unless either party provides 90 days’ notice prior to renewal.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our updated card program (the “Updated Card Program”), which launched in February 2024 and covers substantially all cardholders, we rely on Marqeta as the payment processor, Bancorp as the card’s issuing bank, and Visa as the card network. In the annual periods ended December 31, 2025 and 2024, interchange revenue earned under the Updated Card Program was $21.3 million and $9.2 million, respectively. Under the Updated Card Program, our agreement with Marqeta has an initial term of approximately four years, and will automatically renew annually thereafter. Our agreement with Bancorp has an initial five year term, and will automatically renew annually thereafter.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4815"/>
                <wp:effectExtent l="0" t="0" r="0" b="0"/>
                <wp:wrapNone/>
                <wp:docPr id="35" name="Frame3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rely on a single third-party vendor and travel management company (“TMC”) for Expensify Travel, and if we lose any of these services, our business, results of operations, financial condition and growth prospects could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Travel is an important element of our growth strategy, and we believe that, over time, Expensify Travel will be a prominent travel booking solution for SMBs in our core markets. We rely on a single third-party vendor, Spotnana, for Expensify Travel who manages the booking platform and interfaces with the TMC, Solutions Travel, LLC, to complete bookings. Our agreement with the TMC has a three year term that automatically renews annually thereafter unless either party provides 30 days' notice prior to renewal.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to standard termination for cause provisions, either party can terminate without cause upon 90 days' notice after the first year term is completed. In the event of termination, we have the right to request transition services for up to three months after termination, and during the transition period the agreement will continue on the same terms. If such transition is not successful, or if we otherwise lose the TMC for any reason, we could experience service interruptions as well as delays and additional expenses, and we may be unable to replace these services on competitive terms, or at all, which could harm our business, results of operations, financial condition, and growth prospects. Such termination or loss could lead to our customers having to go directly to airlines, hotels, or other providers for support instead of through Expensify or the TMC.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and our third-party providers are exposed to cybersecurity risks and incidents that may damage our reputation and brand, cause material financial penalties, and result in legal liability, any of which could substantially harm our business, financial condition, and 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We and certain of our third-party providers also collect, maintain, and process data about our customers, including personal information and information about their financial transactions. We also process personal information about our employees, vendors, and business partners, and those who purchase products or services from our customers – as well as proprietary information such as trade secrets (collectively, “Confidential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face numerous and evolving cybersecurity risks that threaten the confidentiality, integrity, and availability of our IT Systems and Confidential Information, through diverse attack vectors, such as social engineering/phishing, malware (including ransomware), malfeasance by insiders, human or technological error, and as a result of malicious code embedded in open-source software, or misconfigurations, “bugs” or other vulnerabilities in commercial software that is integrated into our (or our suppliers’ or service providers’) IT Systems, products, or services. Attacks upon information technology systems are increasing, and expected to continue increasing, in their frequency, levels of persistence, sophistication and intensity – including through the use of artificial intelligence – and are being conducted by diverse threat actors including sophisticated and organized groups and individuals with a wide range of motives and expertise. Furthermore, because the techniques used to obtain unauthorized access to, or to sabotage, systems, including tools that circumvent security controls, evade detection, and remove forensic evidence, change frequently and often are not recognized until launched against a target, we may be unable to anticipate these techniques or implement adequate preventative measures. We may also be subject to vulnerabilities or experience security incidents that may remain undetected for an extended period as attacks may circumvent security controls, evade detection, and remove forensic evidence. As a result, we may be unable to detect, investigate, remediate or recover from future attacks or incidents, or to avoid a material adverse impact to our IT Systems, Confidential Information, or business.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There can be no assurance that our cybersecurity risk management program and processes, including our policies, controls, or procedures, will be fully implemented, complied with or effective in protecting our IT Systems and Confidential Information. Because we make extensive use of third party suppliers and service providers, successful cyberattacks that disrupt or result in unauthorized access to third party IT Systems can materially impact our operations and financial results. Additionally, many of our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4815"/>
                <wp:effectExtent l="0" t="0" r="0" b="0"/>
                <wp:wrapNone/>
                <wp:docPr id="36" name="Frame3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and service providers work remotely. As a result, we may be more vulnerable to cybersecurity-related events such as phishing attacks and other security challenges associated with managing remote computing assets and security vulnerabilities that are present in many non-corporate and home networks. Many companies that provide cloud based services have reported a significant increase in cyberattack activity since the beginning of the COVID-19 pandemic and related increase in remote work. Additionally, any integration of artificial intelligence in our or any service providers' operations, products or services is expected to pose new or unknown cybersecurity risks and challenges.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intentional or accidental unauthorized access to our IT Systems or our customers’ or partners’ sites, networks, systems and accounts; unauthorized access to, and misappropriation or disclosure of Confidential Information;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incident response, system restoration or remediation, future compliance, deployment of additional personnel and protection technologies, and response to governmental investigations and media inquiries and coverage; engagement of third-party experts and consultants; or risk of loss, litigation or proceedings (such as class actions), regulatory action, fines and penalties, and other potential liabilities. If any of these adverse impacts should occur, we cannot guarantee data loss can be prevented. Additionally, if any adverse impacts occur, our reputation and brand could be damaged, our business may suffer, and we could be required to expend significant capital and other resources to alleviate problems caused by such breaches. Actual or anticipated cyber security attacks may cause us to incur increasing costs, including costs to deploy additional personnel and protection technologies, train employees and engage third-party experts and consultants. Any computer malware, viruses, computer hacking, fraudulent use attempts, phishing attacks, or other data security incidents among other things, could harm our reputation and our ability to retain existing customers and attract new customers. Any or all of the foregoing could materially adversely affect our business, results of operations and financial condition.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actual or perceived compromise of our IT Systems or Confidential Information, or those of our customers, partners, or third-party service providers, could also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any insurance we maintain may be insufficient to cover our losses resulting from disasters, cyber-attacks, or other business interruptions, and any incidents may result in loss of, or increased costs of, such insurance. We may need to devote significant resources in the future to address problems caused by cyber attacks, including notifying affected individuals and responding to any resulting litigation, which in turn, diverts resources from the growth and expansion of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Moreover,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24815"/>
                <wp:effectExtent l="0" t="0" r="0" b="0"/>
                <wp:wrapNone/>
                <wp:docPr id="37" name="Frame3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business depends on a strong brand, and if we are not able to maintain and enhance our brand, our ability to expand our base of customers may be impaired, and our business and results of operations will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financial chat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We expect to continue to make substantial investments and expenditures related to the growth of our business.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have and will need to continue to make substantial investments and expenditures to, among other things: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hire new and retain existing employees;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maintain, expand, update and improve our infrastructure;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expand our sales and marketing activities, including to obtain channel partners and to expand our SMB and consumer advertising;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expand our operations across multiple geographies;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pay for increasing costs associated with our general and administrative organization.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may also review or revise our software architecture as we grow, which may require significant resources and investments. For example, we have been migrating users onto New Expensify, an open-source financial group chat optimized for financial conversations that we have been developing since 2021, but there can be no assurance that this initiative will achieve customer acceptance or that we will realize the anticipated return on our investment.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24815"/>
                <wp:effectExtent l="0" t="0" r="0" b="0"/>
                <wp:wrapNone/>
                <wp:docPr id="38" name="Frame3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our subscription sales decrease, certain of our fixed costs, such as for capital equipment, may make it difficult for us to adjust our expenses downward quickly.</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business is substantially dependent upon the continued development of the market for, and acceptance of, cloud based software features.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use third-party artificial intelligence technologies in our business, and the deployment, use, and maintenance of these technologies involve technological and legal risks.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use third-party artificial intelligence (“AI”), machine learning, and automated decision-making technologies (collectively, “AI Technologies”) throughout our business, and are making significant investments in this area.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example we use AI Technologies to optimize our internal processes, including, but not limited to, analyzing and processing receipts, bills, and invoices, responding to customer support requests, and drafting personalized marketing communications.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particular, if the models underlying our AI Technologies are: incorrectly implemented; reliant on incomplete, inadequate, inaccurate, biased or otherwise poor quality data; used without sufficient oversight and governance to ensure their responsible use; and/or adversely impacted by unforeseen defects, technical challenges, cybersecurity threats, data privacy concerns, or material performance issues, the performance of our products, services and business, as well as our reputation, could suffer or we could incur liability resulting from the violation of laws or contracts to which we are a party or civil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24815"/>
                <wp:effectExtent l="0" t="0" r="0" b="0"/>
                <wp:wrapNone/>
                <wp:docPr id="39" name="Frame3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use third-party AI Technologies and infrastructure which may pose operational and data security risks.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use AI Technologies licensed from third parties, such as OpenAI and Anthropic, in our technologies and our ability to continue to use such technologies at the scale we need may be dependent on access to such specific third parties' software and infrastructure. While we believe that there are alternative third-party AI Technologies which would be suitable,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lineRule="auto" w:line="288" w:before="0" w:after="160"/>
        <w:jc w:val="left"/>
        <w:rPr/>
      </w:pPr>
      <w:r>
        <w:rPr>
          <w:rFonts w:ascii="Expensify Neue;sans-serif" w:hAnsi="Expensify Neue;sans-serif"/>
          <w:b w:val="false"/>
          <w:color w:val="000000"/>
          <w:sz w:val="20"/>
        </w:rPr>
        <w:t>Additionally, our reliance on third-party AI Technologies, such as those licensed from OpenAI and Anthropic, involves certain data privacy and security risks. While we generally seek to obtain contractual commitments from the applicable providers that prohibit the use of our data to train or refine their AI models, we may not be able to implement technical measures to prevent such providers from doing so in contravention to their contractual obligations. For more information on data privacy and security risks, see the risk factor “</w:t>
      </w:r>
      <w:r>
        <w:rPr>
          <w:rFonts w:ascii="Expensify Neue;sans-serif" w:hAnsi="Expensify Neue;sans-serif"/>
          <w:b w:val="false"/>
          <w:i/>
          <w:color w:val="000000"/>
          <w:sz w:val="20"/>
        </w:rPr>
        <w:t>We receive, process, store and use business and personal data, which subjects us to governmental regulation and other legal obligations related to data privacy, protection and security, and our actual or perceived failure to comply with such obligations could harm our business and expose us to liability.”</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The use of generative AI Technologies may produce inaccurate or infringing content, leading to reputational damage and legal challenges.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While we take measures designed to ensure the accuracy of such AI generated content and to monitor for potential inaccuracies, those measures may not always be successful, and in some cases, we may need to rely on end users to report such inaccuracies.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The regulatory framework governing the use of AI Technologies is rapidly evolving, and we cannot predict how future legislation and regulation will impact our ability to offer products or services that we develop which leverage AI Technologies.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regulatory framework for AI Technologies is rapidly evolving as many federal, state and foreign government bodies and agencies have enacted or are currently considering laws and regulations governing AI. Additionally, existing laws and regulations may be interpreted or enforced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predict the impact future laws, regulations, or standards, or the market perception of their requirements, may have on our business or how we will respond to these laws or regulations.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Already, certain existing legal regimes (e.g., relating to data privacy) regulate certain aspects of AI Technologies, and new laws regulating AI Technologies have been enacted in China and either entered into force in the United States and the EU in 2024 and 2025 or are expected to enter into force in 2026.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the United States, legislation related to the use of automated decision making has been introduced at the federal level and enacted or proposed at the state level as well. Some enacted or proposed frameworks include requirements focused on transparency, risk-management and accountability for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24815"/>
                <wp:effectExtent l="0" t="0" r="0" b="0"/>
                <wp:wrapNone/>
                <wp:docPr id="40" name="Frame3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Technologies, while others focus on high-risk uses of AI, the use of automated decision-making technology or companies that are developers or deployers of AI Technologies. For example, the California Privacy Protection Agency finalized regulations under the California Consumer Privacy Act regarding the use of automated decision making. Numerous other states have enacted, passed, or are considering AI-focused legislation, creating a patchwork of regulations and a complex compliance challenge. Furthermore, the Trump administration’s approach to investment in and regulation of AI Technologies has and is expected to continue to deviate from that of the previous administration and we will need to adapt to any changes that may result from such approach, including as the result of new or changing executive orders. These new regulations and any subsequent laws or regulations may present additional complexity and risk to our business, particularly but not limited to where these laws overlap with privacy laws designed to protect individuals.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or all of the foregoing regulatory developments could affect our use of AI and our ability to provide, improve or commercialize our services, require changes to our operations and processes, and materially adversely affect our business, results of operations, and financial condition. Further, any failure or perceived failure by us to comply with existing or newly enacted laws, regulations and other requirements relating to AI Technologies could result in legal claims or proceedings (including class actions), regulatory investigations or enforcement actions.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and—depending on the AI use case—includes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The EU AI Act,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It is possible that further new laws and regulations will be adopted in the United States and in other non-U.S. jurisdictions, or that existing laws and regulations, including competition, antitrust, data privacy and consumer protection laws, may be interpreted or enforced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could adversely affect our business, financial condition and results of operations. In addition, if we fail or are perceived to fail to comply with these laws and regulations, we may face lawsuits (including class actions), investigations, enforcement actions, negative reputational impacts, and other penalties that materially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24815"/>
                <wp:effectExtent l="0" t="0" r="0" b="0"/>
                <wp:wrapNone/>
                <wp:docPr id="41" name="Frame4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fail to offer a high-quality customer experience, our business and reputation will suffer.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bottom-up business model is highly dependent on our business reputation and on word-of-mouth positive recommendations from existing individuals and organizations using our platform and features.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as we continue to grow our operations and reach a larger and increasingly global customer and member base, we need to be able to provide efficient customer support that meets the needs of organizations using our platform and features globally at scale. 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must continue to attract and retain highly qualified personnel, including an on-demand workforce in certain jurisdictions and for certain aspects of our business, to continue to execute on our business strategy and growth plans.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 member. We have used and will continue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24815"/>
                <wp:effectExtent l="0" t="0" r="0" b="0"/>
                <wp:wrapNone/>
                <wp:docPr id="42" name="Frame4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recruiting efforts may also be limited by laws and regulations, such as restrictive immigration laws, and restrictions on travel or availability of visas. If we do not succeed in attracting excellent personnel or retaining or motivating existing personnel, we may be unable to innovate quickly enough to support our business model or grow effectively.</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culture has contributed to our success, and if we cannot maintain this culture as we grow, we could lose the high employee engagement fostered by our culture, which could harm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and promoting success for both our customers and our employees. We invest in our culture to create fun, inclusive and memorable experiences for our employees, including certain employee travel to company-wide meetings in the U.S. and abroad from time to time.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payments services and our Expensify Card are targets for illegal or improper uses, and our risk management efforts may not be effective, which could expose us to losses and liability and otherwise harm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24815"/>
                <wp:effectExtent l="0" t="0" r="0" b="0"/>
                <wp:wrapNone/>
                <wp:docPr id="43" name="Frame4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are subject to travel payments-related fraud risks.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results of operations and financial condition could be negatively affected by our unintentional acceptance of fraudulent travel bookings made using stolen credit and debit cards. We are sometimes held liable for accepting fraudulent bookings through our website or for accepting other bookings for which payment is subsequently disputed by our customers, both of which have lead, and in the future may lead to the reversal of payments received by our partners for such bookings (referred to as a “charge-back”). Our ability to detect and combat fraudulent schemes, which have become increasingly common and sophisticated, may be negatively impacted by the emergence and innovation of new technology platforms and our global expansion, including into markets with a history of elevated fraudulent activity. In addition, we have not broadly adopted certain protective capabilities across our platform, such as requiring mobile application-based multi-factor authentication or third-party identify verification, which could result in significantly increased fraudulent activity on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depend on our travel partners to detect and prevent certain kinds of fraudulent bookings. If we or our partners are unable to effectively combat fraudulent bookings on our website or if we otherwise experience increased levels of charge-backs, our partners, and by extension we, may also be subject to significant fines and higher transaction fees, or payment card networks may revoke our partners' access to their networks, meaning they would be unable to continue to accept card payments for travel on our behalf, either of which could have a material adverse effect on our results of operations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rapid evolution and increased adoption of AI technologies also increases the risk of fraudulent bookings. In addition to adversely affecting our business, results of operations and financial condition, any of the foregoing events could have a significant negative effect on the value of our brand, which could also in turn have a material adverse impact on our financial performance.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experience excessive fraudulent activity, we could incur substantial costs and lose the right to accept credit cards for payment, which could cause our customer base to decline significantly.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24815"/>
                <wp:effectExtent l="0" t="0" r="0" b="0"/>
                <wp:wrapNone/>
                <wp:docPr id="44" name="Frame4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to customers outside the United States and our international operations expose us to risks inherent in international sales and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revenue generated from customers outside the United States was $12.5 million (9% of our revenue) and $12.4 million (9% of our revenue) for the annual periods ended December 31, 2025 and 2024, respectively. Our core geographies are the United States, the United Kingdom, Canada and Australia. In the future, we may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need to localize and adapt our platform and features for specific countries, including translation into foreign languages, tax and regulatory updates and associated expenses;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data privacy laws that impose different and potentially conflicting obligations with respect to how personal data is processed or require that customer data be stored in a designated territory;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more fragmented partner market which proves to be harder for our platform to integrate with;</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difficulties in staffing and managing foreign operations;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regulatory and other delays and difficulties in setting up foreign operations;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different pricing environments, longer accounts receivable payment cycles and collections issues;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new and different sources of competition;</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weaker protection for intellectual property and other legal rights than in the United States and practical difficulties in enforcing intellectual property and other rights outside of the United States;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laws and business practices favoring local competitors;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compliance challenges related to the complexity of multiple, conflicting and changing governmental laws and regulations;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exposure to liabilities under anti-corruption and anti-money laundering laws, including the U.S. Foreign Corrupt Practices Act, U.S. bribery laws, the UK Bribery Act and similar laws and regulations in other jurisdictions;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increased financial accounting and reporting burdens and complexities;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declines in the values of foreign currencies relative to the U.S. dollar;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restrictions on the transfer of funds;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potentially adverse tax consequences;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cost of and potential outcomes of any claims or litigation;</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future accounting pronouncements and changes in accounting policies;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tax laws or tax regulations;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health or similar issues, such as a pandemic or epidemic;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regional and local economic and political conditions.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24815"/>
                <wp:effectExtent l="0" t="0" r="0" b="0"/>
                <wp:wrapNone/>
                <wp:docPr id="45" name="Frame4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require significant management attention and financial resources. Our failure to successfully manage our international operations and the associated risks effectively could limit the future growth of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be adversely affected by global economic and political instability.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we seek to expand our business globally,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credit, equity and foreign exchange markets, bankruptcies and health crises, as well as war, terrorist activity, political unrest, civil strife and other geopolitical uncertainty, and the resulting impact on business continuity and travel, supply chain disruptions, inflation, security issues, and overall uncertainty with respect to the economy, including with respect to tariff and trade issues. See the risk factor titled, “—Changes in government trade policies, including the imposition of tariffs, could materially adversely affect our results of operations” for more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example, the invasion of Ukraine by Russian military forces in February 2022 and Hamas's attack on Israel in October 2023 has resulted in sustained conflict and disruption in those regions and the surrounding areas. The length, impact and outcome of these conflicts are highly unpredictable; however, they caused and could continue to cause significant market and other disruptions, some of which have already been experienced, including significant volatility in commodity prices and supply of energy resources, instability in financial markets, supply chain interruptions, political and social instability and changes in consumer or purchaser preferences, as well as an increase in cyberattacks and espionage. Additionally, sanctions or other measures implemented by other countries, as well as potential responses from other countries, could adversely affect the global economy and financial markets, which could in turn have a material adverse effect on our business, financial condition and results of operations. In addition, political instability or adverse political developments and new or continued economic deterioration in any of the countries in which we operate could harm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face exposure to foreign currency exchange rate fluctuations.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are subject to anti-corruption, anti-bribery, anti-money laundering and similar laws. Non-compliance with such laws can subject us to criminal and/or civil liability and harm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must comply with anti-corruption laws and regulations imposed by governments around the world with jurisdiction over our operations, which may include the U.S. Foreign Corrupt Practices Act of 1977 (“FCPA”) and the U.K. Bribery Act 2010 (“Bribery Act”),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24815"/>
                <wp:effectExtent l="0" t="0" r="0" b="0"/>
                <wp:wrapNone/>
                <wp:docPr id="46" name="Frame4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most states.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24815"/>
                <wp:effectExtent l="0" t="0" r="0" b="0"/>
                <wp:wrapNone/>
                <wp:docPr id="47" name="Frame4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receive, process, store and use business and personal data, which subjects us to governmental regulation and other legal obligations related to data privacy, protection and security, and our actual or perceived failure to comply with such obligations could harm our business and expose us to liability.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receive, process, store and use business and personal data relating to our employees, business contacts, members and customers around the world (collectively, “Personal Data”), including the United States and the European Economic Area (“EEA”). As a result, our business is subject to a number of federal, state, local and foreign laws, regulations, regulatory codes and guidelines governing data privacy, data protection and security, including with respect to the collection, storage, use, processing, transmission, disclosure and protection of Personal Data, and those that are specific to certain industries, sectors, contexts, or locations.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example, in the United States, the data protection landscape is rapidly growing and evolving on both the state and federal level. As our operations and business grow, we may become subject to or affected by new or additional data protection laws and regulations and face increased scrutiny or attention from regulatory authorities. For example, over a third of U.S. states have passed their own comprehensive consumer privacy laws that have or will soon go into effect that introduce new data privacy rights for consumers and new operational requirements for companies. For instance, the California Consumer Privacy Act (“CCPA”) provides data privacy rights for California residents and operational requirements for covered businesses. Among other things, companies covered by the CCPA must provide new disclosures to California residents and afford such residents certain privacy rights relating to their Personal Data. The CCPA also considers certain financial information to be “sensitive personal information” imposing additional requirements on businesses. The CCPA is enforceable by the California Attorney General and the California Privacy Protection Agency, a new, additional enforcement bureau. The California Privacy Protection Agency is continuously amending the CCPA regulations, building upon the requirements in the CCPA, including with respect to automated decision making, risk assessment, and cybersecurity audits. In the event of an actual or perceived violation of the CCPA, these regulators could seek severe statutory damages, injunctive relief or agreed settlements providing for ongoing audit and reporting requirements. There is also a private right of action relating to certain data security incidents. Additionally, laws in all fifty U.S. states require notification of certain incidents to a number of third parties, such as impacted customers, regulators, credit reporting agencies or others when certain information has been compromised as a result of a security breach. We cannot fully predict the impact of these laws, or subsequent guidance, regulations or rules on our business or operations, but they may increase our compliance costs and potential liability, particularly in the event of a data breach, and could have a material adverse effect on our business, including how we use Personal Data, our financial condition, and the results of our operations or prospects. Further, if we become subject to new state-level privacy laws, guidelines or regulations in the future, we may be required again to modify our data collection or processing practices and policies and to incur substantial costs and expenses in an effort to comply and increase our potential exposure to regulatory enforcement and/or litigation.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Furthermore, at the federal level, we are also subject to laws, regulations and standards covering financial institutions, marketing, advertising, cookies, tracking technologies, e-marketing, and other activities conducted by telephone, email, mobile devices and the internet, such as the Gramm-Leach-Bliley Act (“GLBA”), the Federal Wiretap Act, the Telephone Consumer Protection Act, the Controlling the Assault of Non-Solicited Pornography and Marketing Act, and similar state consumer protection and communication privacy laws. The GLBA regulates, among other things, the use of certain information about individuals (“non-public personal information”) in the context of the provision of financial services. The GLBA includes both a “Privacy Rule,” which imposes obligations on financial institutions relating to the use or disclosure of non-public personal information, and a “Safeguards Rule,” which imposes obligations on financial institutions and, indirectly, their service providers to implement and maintain physical, administrative and technological measures to protect the security of non-public personal financial information. Any failure to comply with the GLBA could result in substantial financial penalties.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Additionally, the Federal Trade Commission (“FTC”) and many state Attorneys General continue to enforce federal and state consumer protection laws against companies for online collection,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24815"/>
                <wp:effectExtent l="0" t="0" r="0" b="0"/>
                <wp:wrapNone/>
                <wp:docPr id="48" name="Frame4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dissemination and security practices that appear to be unfair or deceptive. For example, according to the FTC, failing to take appropriate steps to keep consumers’ Personal Data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the EU General Data Protection Regulation (the “EU GDPR”) and to the United Kingdom General Data Protection Regulation and Data Protection Act 2018 (collectively, the “UK GDPR”) (the EU GDPR and UK GDPR together referred to as the “GDPR”) which impose stringent data protection requirements for processing the Personal Data of individuals. The GDPR places data protection obligations on processors and controllers of Personal Data, including, for example, disclosure and transparency requirements, limitations on retention and processing of personal data, and mandatory data breach notification requirements. In addition, the GDPR regulates transfers of Personal Data subject to the GDPR to third countries that have not been found to provide adequate protection to such Personal Data, and we expect the existing legal complexity and uncertainty regarding international personal data transfers to continue. In particular, we expect the European Commission approval of the current EU-US Data Privacy Framework for data transfers to certified entities in the United States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and/or take additional compliance and operational measures; and/or it could otherwise affect the manner in which we provide our services, and could adversely affect our business, operations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we are under the supervision of relevant data protection authorities in both the EEA and the UK, we may be fined under both the EU GDPR and UK GDPR for the same breach. Penalties for certain breaches are up to the greater of EUR 20 million/ GBP 17.5 million or 4% of our global annual turnover. In addition to fines, a breach of the GDPR may result in regulatory investigations, reputational damage, orders to cease/ change our data processing activities, enforcement notices, assessment notices for a compulsory audit and/or civil claims (including class actions).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also subject to evolving EU and UK privacy laws on cookies, tracking technologies and e-marketing. In the EU and UK, informed consent is required for the placement of certain cookies or similar tracking technologies on an individual’s device and for direct electronic marketing. Consent is tightly defined and includes a prohibition on pre-checked consents and a requirement to obtain separate consents for each type of cookie or similar technology. Recent European court and regulator decisions are driving increased attention to cookies and similar tracking technologies.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to the EU, a growing number of other global jurisdictions are considering or have passed legislation implementing data protection requirements or requiring local storage and processing of Personal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seek to comply with applicable laws, regulations, policies, legal obligations and industry standards and have developed privacy policies, data processing addenda and internal privacy procedures to reflect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24815"/>
                <wp:effectExtent l="0" t="0" r="0" b="0"/>
                <wp:wrapNone/>
                <wp:docPr id="49" name="Frame4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practices designed to achieve such compliance. However, such laws, regulations, regulatory codes and guidelines regulations are complex, may be inconsistent across jurisdictions or conflict with other rules and their interpretation is rapidly evolving, making implementation and enforcement, and thus compliance requirements, ambiguous, uncertain, and potentially inconsistent and therefore, there can be no assurance that our policies and process will be fully implemented, complied with, or effective. For instance, laws in all fifty U.S. states and outside the United States (and sometimes contractual and/or other obligations) and certain international laws and regulations require notification of certain incidents to a number of third parties, such as impacted customers, regulators, credit reporting agencies or others when certain information has been compromised as a result of a security breach. Compliance with such laws may require changes to our data collection, use, transfer, disclosure, other processing, and certain other related business practices and may thereby increase compliance costs or have other material adverse effects on our business. Further, any significant change in applicable laws, regulations, or industry practices regarding the use or disclosure of our Personal Data, could require us to modify our platform, possibly in a material manner, and may limit our ability to develop new services and features that make use of Personal Data regarding our members and customers.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proceedings and other actions by individuals, consumer rights groups, government agencies, or others, which would expose us to significant costs in investigating and defending such claims and, if found liable, pay significant fines, penalties and other damages or be required to make changes to our business, all of which would harm our business, results of operations, and financial condition.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fail to manage our technical operations infrastructure, or experience service outages, interruptions, or delays in the deployment of our platform, our results of operations may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human error;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security breaches;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telecommunications failures or outages from third-party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24815"/>
                <wp:effectExtent l="0" t="0" r="0" b="0"/>
                <wp:wrapNone/>
                <wp:docPr id="50" name="Frame4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computer viruses, malware (including ransomware), vulnerability exploits, social engineering/phishing, or cyber-attacks;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software errors, failures, vulnerabilities or bugs in our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acts of terrorism, sabotage or other intentional acts of vandalism;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unforeseen interruption or damages;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pandemics and epidemics;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tornados, fires, earthquakes, floods and other natural disasters; and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power loss.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 recovery plan may not be sufficient to address all aspects or any unanticipated consequence or incidents, and our insurance may not be sufficient to compensate us for the losses that could occur.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24815"/>
                <wp:effectExtent l="0" t="0" r="0" b="0"/>
                <wp:wrapNone/>
                <wp:docPr id="51" name="Frame5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47</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We rely upon data centers and other systems and technologies provided by third parties to operate our business, and interruptions or performance problems with these centers, systems and technologies may adversely affect our business and operating results.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discontinues or limits our access to its software or APIs;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modifies its terms of service or other policies, including fees charged to, or other restrictions on us, or other application developers;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how information is accessed by us 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24815"/>
                <wp:effectExtent l="0" t="0" r="0" b="0"/>
                <wp:wrapNone/>
                <wp:docPr id="52" name="Frame5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establishes more favorable relationships with one or more of our competitors; or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develops or otherwise favors its own competitive offerings over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rely on third parties maintaining open marketplaces to distribute our mobile application. If such third parties interfere with the distribution of our platform, our business would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24815"/>
                <wp:effectExtent l="0" t="0" r="0" b="0"/>
                <wp:wrapNone/>
                <wp:docPr id="53" name="Frame5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49</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Changes in laws and regulations related to the Internet or changes in the internet infrastructure itself may diminish the demand for our applications, and could have a negative impact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the use of the Internet as a means of conducting business could be adversely affected due to delays in the development or adoption of new standards and protocols to handle increased demands of 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 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24815"/>
                <wp:effectExtent l="0" t="0" r="0" b="0"/>
                <wp:wrapNone/>
                <wp:docPr id="54" name="Frame5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50</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patent portfolio may provide little or no deterrence as we would not be able to assert our patents against such entities or individuals.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are unable to protect our intellectual property rights, the value of our brand and other intangible assets may be diminished, and our business may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24815"/>
                <wp:effectExtent l="0" t="0" r="0" b="0"/>
                <wp:wrapNone/>
                <wp:docPr id="55" name="Frame5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steps we have taken and may take in the future may not prevent misappropriation of our proprietary features or technologies, particularly with respect to officers and employees who are no longer employed by us.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proprietary rights may be difficult to enforce, which could enable others to copy or use aspects of our platform without compensating us and negatively affect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24815"/>
                <wp:effectExtent l="0" t="0" r="0" b="0"/>
                <wp:wrapNone/>
                <wp:docPr id="56" name="Frame5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use of “open source” and third-party software could impose unanticipated conditions or restrictions on our ability to commercialize our features and could subject us to possible litigation.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 portion of the technologies we use in our platform, database infrastructure (Bedrock), Expensify.com, new.expensify.com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24815"/>
                <wp:effectExtent l="0" t="0" r="0" b="0"/>
                <wp:wrapNone/>
                <wp:docPr id="57" name="Frame5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We license technology from third parties, and our inability to maintain those licenses could harm our business.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24815"/>
                <wp:effectExtent l="0" t="0" r="0" b="0"/>
                <wp:wrapNone/>
                <wp:docPr id="58" name="Frame5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would disrupt the distribution and sale of subscriptions to our platform and harm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Any litigation against us could be costly and time-consuming to defend.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including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On May 31, 2022 we received notice from the FEC clearing us of any wrongdoings in relation to these complaints. However, we cannot assure you that the matter will not result in further complaints, regulatory inquiries or future proceedings. See Part I, Item 3 “Legal Proceedings” for additional information regarding our legal proceedings.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Our employees, commercial partners and vendors may engage in misconduct or other improper activities, including noncompliance with regulatory standards and requirements.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24815"/>
                <wp:effectExtent l="0" t="0" r="0" b="0"/>
                <wp:wrapNone/>
                <wp:docPr id="59" name="Frame5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need additional capital, and we cannot be sure that additional financing will be available.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the future, we may raise additional capital through additional debt or equity financings to support our business growth, to respond to business opportunities, challenges, or unforeseen circumstances, or for other reasons. On an ongoing basis, we evaluate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Letter of Credit Facility and Security Agreement with Canadian Imperial Bank of Commerce (“CIBC”), entered into on October 9, 2025 (“LOC Security Agreement”), restricts us and our subsidiaries’ ability to, among other things, incur certain additional indebtedness, create or incur certain liens, permit a change of control, sell or transfer assets, pay dividends or make distributions, subject to certain exceptions.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operating activities may be restricted as a result of covenants related to the indebtedness under our LOC Security Agreement and/or future indebtedness, and we may be required to repay any outstanding indebtedness in an event of default, which would have an adverse effect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LOC Security Agreement consists of a $7.5 million irrevocable standby letter of credit, which matures on March 20, 2026, and subjects us, and any future indebtedness would likely subject us, to various customary covenants, including requirements as to financial reporting, restrictions on our ability to maintain cash deposits outside of CIBC above certain thresholds,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to encumber our intellectual property and certain other restrictions on our activities. Our business may be adversely affected by any such restrictions on our ability to operate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Additionally, our ability to meet our debt obligations and other expenses will depend on our future performance, which will be affected by financial, business, economic, regulatory and other factors, many of which we are unable to control. We may be required to repay any outstanding indebtedness if an event of default occurs under the LOC Security Agreement, or under any future indebtedness. Under the LOC Security Agreement, an event of default will occur if, among other things, we fail to make payments under such agreement if due; we breach certain of our covenants under such agreement,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24815"/>
                <wp:effectExtent l="0" t="0" r="0" b="0"/>
                <wp:wrapNone/>
                <wp:docPr id="60" name="Frame5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outstanding indebtedness or that could have a material adverse change on us. We may not have enough available cash or be able to raise additional funds through equity or debt financings to repay any outstanding indebtedness at the time any such event of default occurs. CIBC could also exercise its rights as collateral agent to take possession of, and to dispose of, the collateral securing the letter of credit,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LOC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 xml:space="preserve">December 31, 2025, we were in compliance with all debt covenants under the LOC Security Agreement.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Changes in government trade policies, including the imposition of tariffs, could materially adversely affect our 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lease servers and other hardware in order to provide our services. These servers are highly custom, built to order servers, which from time to time need to be upgraded, repaired or replaced. Many of these servers contain parts that are manufactured in Taiwan, China, and other international regions. Severe tariffs on imports from some or all of these regions have been imposed in the recent past, and could be imposed in the future. The imposition of such tariffs could materially increase the cost of maintenance for our servers or prevent us from being able to obtain parts all together. While our systems are designed to be redundant and fault tolerant, our inability to upgrade or repair them could result in our inability to continue to provide services to the expectations of our customers, which could lead to a loss of customers and materially adversely affect our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 failure to maintain an effective system of disclosure controls and internal control over financial reporting could adversely affect our ability to produce timely and accurate financial statements or comply with applicable regulations. Additionally, investors may lose confidence in the accuracy and completeness of our financial reports, and the market price of our Class A common stock may be seriously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Sarbanes-Oxley Act of 2002 (the “Sarbanes-Oxley Act”) requires, among other things, that we maintain effective disclosure controls and procedures and internal control over financial reporting. In order to develop, maintain and, if required, improve the effectiveness of our disclosure controls and procedures and internal control over financial reporting, we have expended, and may continue to expend, significant resources, including accounting-related costs and investments to strengthen our accounting systems. If any of these new or improved controls and systems do not perform as expected, we may experience material weaknesses in our controls.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we are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We could also become subject to litigation or investigations by the stock exchange on which our securities are listed, the SEC or other regulatory authorities, which could require additional financial and management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24815"/>
                <wp:effectExtent l="0" t="0" r="0" b="0"/>
                <wp:wrapNone/>
                <wp:docPr id="61" name="Frame6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57</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Additionally, our current controls and any new controls that we develop may become inadequate because of changes in conditions in our business, and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Such failure could also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LLC (“Nasdaq”).</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and we may need to expend additional significant resources, each of which could harm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preparation of financial statements in conformity with generally accepted accounting principles in the United States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Company's classification of employee and employee-related expenses, the useful lives and recoverability of long-lived assets and deferred contract acquisition costs, income taxes, capitalization of internal-use software costs and stock-based compensation expense.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business and financial performance may differ from any projections that we disclose or any information that may be attributed to us by third parties.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24815"/>
                <wp:effectExtent l="0" t="0" r="0" b="0"/>
                <wp:wrapNone/>
                <wp:docPr id="62" name="Frame6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us. Moreover, we may choose not to provide guidance regarding our projected business or financial performance, which may have an adverse impact on our stock price.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international operations subject us to potentially adverse tax consequences.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could be required to collect additional sales, use, value-added and other indirect taxes, or be subject to other tax liabilities in various jurisdictions, which could adversely affect our 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 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Changes in our effective tax rate or tax liability may adversely affect our operating results.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effective tax rate could increase due to several factors, including: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the relative amounts of income before taxes in the various jurisdictions in which we operate due to differing statutory tax rates in various jurisdictions;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tax laws, tax treaties and regulations or the interpretation of them;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outcome of future tax audits, examinations, or administrative appeals;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limitations or adverse findings regarding our ability to do business in some jurisdictions.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of these developments could adversely affect our operating results.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have exposure to greater than anticipated tax liabilities.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tax obligations are varied and include U.S., federal, state and local taxes and international taxes due to the nature of our business. The tax laws that are applicable to our business are subject to interpretation and require significant judgment. We may recognize additional tax expense and be subject to additional tax liabilities due to changes in tax laws, regulations, and administrative practices and principles, including changes to the tax framework in the jurisdictions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24815"/>
                <wp:effectExtent l="0" t="0" r="0" b="0"/>
                <wp:wrapNone/>
                <wp:docPr id="63" name="Frame6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59</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subject to regular review and audit by U.S. federal, state, and foreign tax authorities. Tax authorities may disagree with certain positions we have taken, and any adverse outcome of such a review or audit could increase the amount of taxes imposed on our business, and harm our financial position, results of operations, and cash flows.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economic and political pressures to increase tax revenue in various jurisdictions may make resolving tax disputes in our favor more difficult. While to date no material adjustments have been requested by tax authorities, an unfavorable outcome from any tax examination or audit could result in higher tax costs, penalties and interest, thereby adversely affecting our financial condition or results of operations. We regularly assess the likely outcomes of any audits and other tax disputes to determine the appropriateness of our tax provision and establish reserves for material, known tax exposures. However, the calculation of such tax exposures involves the application of complex tax laws and regulations in many jurisdictions. Therefore, there can be no assurance that we will accurately predict the outcomes of any tax examination, audit or other tax dispute or that issues raised by tax authorities will be resolved at a financial cost that does not exceed our related reserves.</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Risks Related to the Multiple Class Structure of Our Common Stock and the Voting Trust Agreement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Each share of our LT10 and LT50 common stock is entitled to 10 and 50 votes per share, respectively, and each share of our Class A common stock is entitled to one vote per share. All shares of LT10 and LT50 common stock are held directly by the Voting Trust established in connection with our initial public offering pursuant to a voting trust agreement (“Voting Trust Agreement”). As of December 31, 2025, the Voting Trust held 4,209,827 and 8,083,690 shares of LT10 and LT50 common stock, respectively, representing approximately 13.2% of the economic interest and 84.7% of the voting power of outstanding capital stock. All decisions with respect to the voting (but not the disposition) of shares held in the Voting Trust from time to time will be made by the trustees of the Voting Trust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 actions. Additionally, the Voting Trust and the holders of our LT10 and LT50 common stock may cause us to make strategic decisions or pursue acquisitions that could involve risks to you or may not be aligned with your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24815"/>
                <wp:effectExtent l="0" t="0" r="0" b="0"/>
                <wp:wrapNone/>
                <wp:docPr id="64" name="Frame6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60</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members of the Executive Committee currently are, and their successors are generally expected to be, directors who are also our employees or service providers, and the Executive Committee currently consists of David Barrett, Ryan Schaffer, Carlos Alvarez, Jason Mills and Daniel Vidal.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are a “controlled company” within the meaning of Nasdaq listing standards and, as a result, qualify for, and rely on, exemptions from certain corporate governance requirements. You will not have the same protections afforded to stockholders of companies that are subject to such requirements.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Voting Trust controls a majority of the voting power of our outstanding common stock. As a result, we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rely on some or all of these exceptions. As a result, we do not have a majority of independent directors, we do not have a nominating and corporate governance committee, and the members of our compensation committee are not independent directors. Accordingly, you do not have the same protections afforded to stockholders of companies that are subject to all of the corporate governance requirements of Nasdaq.</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The multiple class structure of our common stock features certain provisions that are novel or uncommon among other corporations with multiple class structures.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24815"/>
                <wp:effectExtent l="0" t="0" r="0" b="0"/>
                <wp:wrapNone/>
                <wp:docPr id="65" name="Frame6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cannot predict the impact our capital structure, governance structure, and the concentrated control by the Voting Trust may have on our stock price or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Risks Related to Ownership of Our Class A Common Stock</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share price may be volatile.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market price of our Class A common stock has been and may continue to be volatile and could be subject to wide fluctuations in response to the risk factors described in this Annual Report on Form 10-K, and others beyond our control, including: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actual or anticipated fluctuations in our results of operations;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actual or anticipated operating performance and the operating performance of our competitors;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the financial projections we provide to the public, our failure to meet these projections or our failure to provide such projections;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any major change in our Board of Directors, management, or key personnel;</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price and volume fluctuations in the overall stock market, including as a result of trends in the economy as a whole;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economy as a whole in the United States and internationally, and market conditions in our industry;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rumors and market speculation involving us or other companies in our industry;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announcements by us or our competitors of significant innovations, new products, services, features, integrations, or capabilities, acquisitions, strategic investments, partnerships, joint ventures, or capital commitments;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legal and regulatory landscape and changes in the application of existing laws or adoption of new laws that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24815"/>
                <wp:effectExtent l="0" t="0" r="0" b="0"/>
                <wp:wrapNone/>
                <wp:docPr id="66" name="Frame6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legal and regulatory claims, litigation, or pre-litigation disputes and other proceedings;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economic, political, and social impact of, and uncertainty relating to, the outbreaks of pandemics, epidemics and other contagious diseases;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our capital structure;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other events or factors, including those resulting from war, incidents of terrorism, or responses to these events;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sales or expected sales of our Class A common stock by us, our officers, directors, principal stockholders and employees.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 prices of many companies, including technology companies, have fluctuated in a manner often unrelated to the operating performance of those companies.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 See Part I, Item 3 “Legal Proceedings” for additional information regarding our legal proceedings.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Future sales of our Class A common stock in the public market could cause our share price to fall.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of a substantial number of shares of our Class A common stock in the public market or the perception that these sales might occur in large quantities, could cause the market price of our Class A common stock to decline and could impair our ability to raise capital through the sale of additional equity securities. As of December 31, 2025, we had 80,767,385 shares of Class A common stock outstanding, 4,209,827 shares of LT10 common stock outstanding and 8,083,690 shares of LT50 common stock outstanding. Our amended and restated certificate of incorporation imposes transfer restrictions on shares of our LT10 and LT50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were 3,248,373 shares of Class A common stock issuable upon the exercise of exercisable options outstanding as of December 31, 2025. We registered all of the shares of Class A common stock issuable upon the exercise of outstanding options, upon the settlement of restricted stock units (“RSUs”) issued following our initial public offering (“IPO”) or in connection with other equity incentives we may grant in the future, for public resale under the Securities Act. The shares of Class A common stock will become eligible for sale once issued, subject to compliance with applicable securities laws.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Increases in interest rates may cause the market price of our Class A common stock to decline.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Increases in interest rates, like what has been experienced in recent years,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We do not intend to pay dividends for the foreseeable future.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have never declared or paid any cash dividends on our capital stock, and we do not intend to pay any cash dividends in the foreseeable future. Our current indebtedness, including our LOC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24815"/>
                <wp:effectExtent l="0" t="0" r="0" b="0"/>
                <wp:wrapNone/>
                <wp:docPr id="67" name="Frame6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Accordingly, investors in our Class A common stock must rely on sales of their Class A common stock after price appreciation, which may never occur, as the only way to realize any future gains on their investments.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include provisions: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authorizing blank check preferred stock, which could be issued with voting, liquidation, dividend and other rights superior to our common stock;</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eliminating the ability of our stockholders to take action by consent in lieu of a meeting following the date on which the Voting Trust holds less than a majority of the voting power of our outstanding capital stock;</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maintaining our current multi-class structure;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limiting the liability of, and providing indemnification to, our directors and officers.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These provisions, alone or together, could delay or prevent hostile takeovers and changes in control or changes in our management.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24815"/>
                <wp:effectExtent l="0" t="0" r="0" b="0"/>
                <wp:wrapNone/>
                <wp:docPr id="68" name="Frame6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amended and restated bylaws provide that we will indemnify our directors and officers, in each case to the fullest extent permitted by Delaware law.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as permitted by Section 145 of the Delaware General Corporation Law, our amended and restated bylaws and our indemnification agreements that we have entered or intend to enter into with our directors and officers provide that: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amended and restated certificate of incorporation provides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amended and restated certificate of incorporation provides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24815"/>
                <wp:effectExtent l="0" t="0" r="0" b="0"/>
                <wp:wrapNone/>
                <wp:docPr id="69" name="Frame6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General Risk Factors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Pandemics, epidemics or other health crises may have a negative effect on our business, financial condition, results of operations, cash flows, and liquidity.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could be materially and adversely affected by the risks, or the public perception of the risks, related to a pandemic, epidemic, or other health crises. For example, the COVID-19 pandemic resulted in lower demand for our platform, as employees incurred fewer work- and travel-related expenses and submitted fewer reimbursement requests, and very small businesses and SMBs were impacted especially negatively.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degree to which pandemics, epidemics and other public health crises will affect our business in the future will depend on developments that are highly uncertain and cannot currently be predicted. These developments include, but are not limited to, the duration, extent and severity of any such crisis; actions taken to contain any such crisis; the ultimate societal impact of any such crisis and any lasting changes in business and consumer behavior, including with respect to remote work, business travel and business expense spending and reimbursement; the duration and nature of related restrictions on economic activity and domestic and international trade; and the extent of the impact of these and other factors on our employees, partners, third-party service providers and customers. The effects of future pandemics, epidemics or other public health crises could have a material adverse impact on our business, results of operations, financial condition and growth prospects.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securities or industry analysts do not continue to publish research or publish unfavorable research about our business, our stock price and trading volume could decline.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trading market for our Class A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are subject to various risks associated with climate change and other environmental, social, and governance matters.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is continued scrutiny from investors, customers, policymakers, and other stakeholders regarding companies’ management of climate change, human capital, and various other ESG matters. For example, there are inherent environmental risks wherever business is conducted, and climate change is expected to increase the frequency or severity of certain disasters or result in chronic changes that result in additional risks.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engage in various initiatives to manage ESG matters and address related stakeholder expectations; however, such initiatives can be costly and may not have the desired effect. Methodologies and data for such initiatives are complex and continue to evolve. Moreover, stakeholder expectations are not uniform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24815"/>
                <wp:effectExtent l="0" t="0" r="0" b="0"/>
                <wp:wrapNone/>
                <wp:docPr id="70" name="Frame6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and, at times, conflict. Any failure to successfully navigate such expectations, including any regulatory requirements or interpretations, may result in reputational harm or other adverse impacts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1B. Unresolved Staff Comments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1C. Cybersecurity</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Cybersecurity Risk Management and Strategy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developed and implemented a cybersecurity risk management program intended to protect the confidentiality, integrity, and availability of our critical systems and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design and assess our program based on applicable laws and regulations, and informed by industry standards and industry-recognized practices including but not limited to following the latest NIST and CISA guidance and SOC 2 Principles and Framework. This does not imply that we meet any particular technical standards, specifications, or requirements, only that we use such laws and regulations and industry standards and practices as a guide to help us identify, assess, and manage cybersecurity risks relevant to our business.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Key elements of our cybersecurity risk management program include but are not limited to the following: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risk assessments designed to help identify material cybersecurity risks to our critical systems, and information;</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use of external service providers, where appropriate, to assess, test or otherwise assist with aspects of our security processes;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cybersecurity awareness training of our employees, incident response personnel, and senior management;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 cybersecurity incident response plan that includes procedures for responding to cybersecurity incidents;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 third-party risk management process for key service providers based on our assessment of their criticality to our operations and respective risk profile.</w:t>
      </w:r>
    </w:p>
    <w:p>
      <w:pPr>
        <w:pStyle w:val="TextBody"/>
        <w:bidi w:val="0"/>
        <w:spacing w:lineRule="auto" w:line="288" w:before="0" w:after="160"/>
        <w:jc w:val="left"/>
        <w:rPr/>
      </w:pPr>
      <w:r>
        <w:rPr>
          <w:rFonts w:ascii="Expensify Neue;sans-serif" w:hAnsi="Expensify Neue;sans-serif"/>
          <w:b w:val="false"/>
          <w:color w:val="000000"/>
          <w:sz w:val="20"/>
        </w:rPr>
        <w:t xml:space="preserve">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w:t>
      </w:r>
      <w:r>
        <w:rPr>
          <w:rFonts w:ascii="Expensify Neue;sans-serif" w:hAnsi="Expensify Neue;sans-serif"/>
          <w:b w:val="false"/>
          <w:i/>
          <w:color w:val="000000"/>
          <w:sz w:val="20"/>
        </w:rPr>
        <w:t>See</w:t>
      </w:r>
      <w:r>
        <w:rPr>
          <w:color w:val="000000"/>
        </w:rPr>
        <w:t xml:space="preserve"> </w:t>
      </w:r>
      <w:r>
        <w:rPr>
          <w:rFonts w:ascii="Expensify Neue;sans-serif" w:hAnsi="Expensify Neue;sans-serif"/>
          <w:b w:val="false"/>
          <w:color w:val="000000"/>
          <w:sz w:val="20"/>
        </w:rPr>
        <w:t>Risk Factor</w:t>
      </w:r>
      <w:r>
        <w:rPr>
          <w:color w:val="000000"/>
        </w:rPr>
        <w:t xml:space="preserve"> </w:t>
      </w:r>
      <w:r>
        <w:rPr>
          <w:rFonts w:ascii="Expensify Neue;sans-serif" w:hAnsi="Expensify Neue;sans-serif"/>
          <w:b w:val="false"/>
          <w:i/>
          <w:color w:val="000000"/>
          <w:sz w:val="20"/>
        </w:rPr>
        <w:t>We and our third-party providers are exposed to cybersecurity risks and incidents that may damage our reputation and brand, cause material financial penalties, and result in legal liability, any of which could substantially harm our business, financial condition, and results of operations</w:t>
      </w:r>
      <w:r>
        <w:rPr>
          <w:rFonts w:ascii="Expensify Neue;sans-serif" w:hAnsi="Expensify Neue;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24815"/>
                <wp:effectExtent l="0" t="0" r="0" b="0"/>
                <wp:wrapNone/>
                <wp:docPr id="71" name="Frame7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67</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Cybersecurity Governance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Board considers cybersecurity risk as part of its risk oversight function, including oversight of cybersecurity and other information technology risks. The Board oversees management’s implementation of our cybersecurity risk management program.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Board receives periodic reports from management on our cybersecurity risks. In addition, management updates the Board, where it deems appropriate, regarding any cybersecurity incidents it considers to be significant.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team, including our Chief Compliance Officer and Director of Engineering, is responsible for assessing and managing our material risks from cybersecurity threats. The team has primary responsibility for our overall cybersecurity risk management program and supervises both our internal cybersecurity personnel and external cybersecurity consultants. Our Chief Compliance Officer and Director of Engineering have over 9 and 13 years of experience, respectively, in various software development, cybersecurity, product management, and other technology-related roles. Our Chief Compliance Officer and Director of Engineering have each served in a number of significant leadership roles at our company since 2017 and 2013, respectively, including oversight of security, safety, and integrity initiatives.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2. Properties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United States, our company has offices in San Francisco, California, Portland, Oregon, and Ironwood, Michigan. Our office space in San Francisco, consisting of approximately 10,500 square feet, is leased through May 31, 2034. We own our office space in Portland, which consists of approximately 38,500 square feet. Our office space in Ironwood, consisting of approximately 2,700 square feet, is leased through April 30, 2026. Our Company leases a lot adjacent to our Portland office space which is leased through April 30, 2030.</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also lease co-working spaces in Phoenix, Arizona, New York, New York and London, United Kingdom. We give all employees the ability to rent a co-working space if we do not provide one.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our facilities are adequate and suitable for our current needs and that, should it be needed, suitable additional or alternative space on commercially reasonable terms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3. Legal Proceedings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November 29, 2023, a putative securities class action (the “Putative Class Action”) was filed in the United States District Court for the District of Oregon captioned Wilhite v. Expensify, Inc., et al., Case No. 3:23-cv-01784-JR, naming us, our executive officers and several of our current and former directors as defendants (collectively, the “Defendants”). The lawsuit is purportedly brought on behalf of all those who purchased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(the “Amended Complaint”), naming six of our current board members as additional defendants (together with the Defendants, the “Amended Defendants”). Amended Defendants’ motion to dismiss the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24815"/>
                <wp:effectExtent l="0" t="0" r="0" b="0"/>
                <wp:wrapNone/>
                <wp:docPr id="72" name="Frame7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complaint was filed on July 9, 2024. The lead plaintiff’s opposition was filed on September 6, 2024, and the Amended Defendants’ reply was filed on October 18, 2024. On December 30, 2024, the magistrate judge issued findings and recommendation that the Amended Defendants’ motion to dismiss be granted in part and denied in part. The lead plaintiff and Amended Defendants each filed objections to the magistrate judge’s findings and recommendation on January 21, 2025, and responses to the objections on February 4, 2025. On March 24, 2025, the Court adopted, with limited modification, the magistrate’s findings and recommendations to grant in part and deny in part Defendants’ motion to dismiss the Amended Complaint. </w:t>
      </w:r>
    </w:p>
    <w:p>
      <w:pPr>
        <w:pStyle w:val="TextBody"/>
        <w:bidi w:val="0"/>
        <w:spacing w:lineRule="auto" w:line="288" w:before="0" w:after="160"/>
        <w:jc w:val="left"/>
        <w:rPr/>
      </w:pPr>
      <w:r>
        <w:rPr>
          <w:rFonts w:ascii="Expensify Neue;sans-serif" w:hAnsi="Expensify Neue;sans-serif"/>
          <w:b w:val="false"/>
          <w:color w:val="000000"/>
          <w:sz w:val="20"/>
        </w:rPr>
        <w:t>On December 17, 2025, after conducting mediation within the current discovery phase of the lawsuit, the parties reached an agreement-in-principle to settle all claims in the Putative Class Action for an aggregate sum of $9.5 million. As of December 31, 2025, this liability amount is includ</w:t>
      </w:r>
      <w:r>
        <w:rPr>
          <w:rFonts w:ascii="Expensify Neue;sans-serif" w:hAnsi="Expensify Neue;sans-serif"/>
          <w:b w:val="false"/>
          <w:color w:val="000000"/>
          <w:sz w:val="20"/>
          <w:shd w:fill="FFFFFF" w:val="clear"/>
        </w:rPr>
        <w:t>ed within Accrued expenses and other liabilities on the Consolidated Balance Sheets</w:t>
      </w:r>
      <w:r>
        <w:rPr>
          <w:rFonts w:ascii="Expensify Neue;sans-serif" w:hAnsi="Expensify Neue;sans-serif"/>
          <w:b w:val="false"/>
          <w:color w:val="000000"/>
          <w:sz w:val="20"/>
        </w:rPr>
        <w:t>. The settlement accrual will be partially offset by a receivable of $6.7 million for amounts recoverable under our applicable insurance policies</w:t>
      </w:r>
      <w:r>
        <w:rPr>
          <w:rFonts w:ascii="Expensify Neue;sans-serif" w:hAnsi="Expensify Neue;sans-serif"/>
          <w:b/>
          <w:color w:val="000000"/>
          <w:sz w:val="20"/>
        </w:rPr>
        <w:t xml:space="preserve">, </w:t>
      </w:r>
      <w:r>
        <w:rPr>
          <w:rFonts w:ascii="Expensify Neue;sans-serif" w:hAnsi="Expensify Neue;sans-serif"/>
          <w:b w:val="false"/>
          <w:color w:val="000000"/>
          <w:sz w:val="20"/>
        </w:rPr>
        <w:t>which was included within Other current assets on the Consolidated Balance Sheets as of December 31, 2025. During the year ended December 31, 2025, the Company recorded an expense of $2.8 million for the proposed settlement, net of the Company's insurance receivable, within General and administrative on the Consolidated Statements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December 30, 2025, the Court stayed further deadlines in the Putative Class Action as the parties had reached settlement in principle. On February 12, 2026, lead plaintiff filed a stipulation of settlement and an unopposed motion for preliminary approval of settlement. On February 23, 2026, the Court granted preliminary approval of the settlement and set a final approval hearing for June 30, 2026. The defendants intend to deny the allegations of wrongdoing and vigorously defend against the claims in the Putative Class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9, 2024, a shareholder derivative lawsuit was filed in the United States District Court for the District of Oregon captioned O’Halloran v. Barrett, et al., Case No. 3:24-cv-00775 (the “O’Halloran Action”), purportedly on our behalf, naming us as nominal defendant, and our executive officers and several of our current and former directors as defendants (collectively, the “Derivative Defendants”). On August 14, 2024, the Court stayed the O’Halloran Action pending resolution of any and all motion(s) to dismiss the Putative Class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December 18, 2024, a shareholder derivative lawsuit was filed in the United States District Court for the District of Oregon captioned Da Silva v. Barrett, et al., Case No. 3:24-cv-02095 (the “Da Silva Action” and with the O’Halloran Action, the “Derivative Action”), purportedly on our behalf against the Derivative Defendants and asserting substantively the same claims as those asserted in the O’Halloran Action. On January 2, 2025, the parties to the Derivative Action filed a stipulation to consolidate the O’Halloran and Da Silva Actions and apply the stay entered in the O’Halloran Action to the Derivative Action. On February 10, 2025, the Court consolidated the O’Halloran and Da Silva Actions and applied the existing stay to the consolidated action under the caption In re Expensify, Inc. Derivative Litigation, Case No. 3:24-cv-00775-SI. The Derivative Defendants deny the allegations of wrongdoing and will continue to vigorously defend against the claims in the Derivative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23, 2025, a shareholder derivative lawsuit was filed in the United States District Court for the District of Oregon captioned Choi v. Barrett, et al., Case No. 3:25-cv-1300 (the “Choi Action”), purportedly on our behalf against the Derivative Defendants and asserting substantively the same claims as those asserted in the O’Halloran Action. On October 20, 2025, the Court granted the parties’ stipulation to stay the Choi Action pending final resolution of the Putative Class Action. The Derivative Defendants deny the allegations of wrongdoing and will continue to vigorously defend against the claims in the Derivative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24815"/>
                <wp:effectExtent l="0" t="0" r="0" b="0"/>
                <wp:wrapNone/>
                <wp:docPr id="73" name="Frame7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69</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4. Mine Safety Disclosures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24815"/>
                <wp:effectExtent l="0" t="0" r="0" b="0"/>
                <wp:wrapNone/>
                <wp:docPr id="74" name="Frame7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70</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5. Market for Registrant’s Common Equity, Related Stockholder Matters and Issuer Purchases of Equity Securities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MARKET INFORMATION FOR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Class A Common Stock has been listed on the Nasdaq Global Select Market under the symbol “EXFY” since November 10, 2021. Our LT10 and LT50 common stock are neither listed nor publicly traded.</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HOLDERS OF OUR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February 23, 2026, there were 15 stockholders of record of our Class A common stock. This number does not include beneficial owners whose shares are held by nominees in street name.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February 23, 2026, the Expensify Voting Trust held all of the outstanding shares of our LT10 common stock and LT50 common stock.</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DIVIDEND POLICY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CIBC.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 </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RECENT SALES OF UNREGISTERED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24815"/>
                <wp:effectExtent l="0" t="0" r="0" b="0"/>
                <wp:wrapNone/>
                <wp:docPr id="75" name="Frame7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ISSUER PURCHASES OF EQUITY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information regarding our purchases of shares of Class A common stock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607"/>
        <w:gridCol w:w="334"/>
        <w:gridCol w:w="336"/>
        <w:gridCol w:w="514"/>
        <w:gridCol w:w="514"/>
        <w:gridCol w:w="516"/>
        <w:gridCol w:w="109"/>
        <w:gridCol w:w="109"/>
        <w:gridCol w:w="109"/>
        <w:gridCol w:w="368"/>
        <w:gridCol w:w="957"/>
        <w:gridCol w:w="180"/>
        <w:gridCol w:w="109"/>
        <w:gridCol w:w="109"/>
        <w:gridCol w:w="109"/>
        <w:gridCol w:w="700"/>
        <w:gridCol w:w="700"/>
        <w:gridCol w:w="701"/>
        <w:gridCol w:w="109"/>
        <w:gridCol w:w="109"/>
        <w:gridCol w:w="109"/>
        <w:gridCol w:w="387"/>
        <w:gridCol w:w="2138"/>
        <w:gridCol w:w="272"/>
      </w:tblGrid>
      <w:tr>
        <w:trPr/>
        <w:tc>
          <w:tcPr>
            <w:tcW w:w="60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Maximum number (or approximate dollar value) of shares that may yet be purchased under the program</w:t>
            </w:r>
            <w:r>
              <w:rPr>
                <w:rFonts w:ascii="Expensify Neue;sans-serif" w:hAnsi="Expensify Neue;sans-serif"/>
                <w:b/>
                <w:color w:val="000000"/>
                <w:sz w:val="13"/>
              </w:rPr>
              <w:t>(1)</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October 1 - 31, 2025</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44,000,006 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November 1 - 30, 2025</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740,052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740,052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42,902,561 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December 1 - 31, 2025</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1,217,967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1,217,967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41,000,511 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Total</w:t>
            </w:r>
          </w:p>
        </w:tc>
        <w:tc>
          <w:tcPr>
            <w:tcW w:w="15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1,958,019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1,958,019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xml:space="preserve">(1)On February 27, 2025, we announced the approval of a new share repurchase program with authorization to purchase up to $50.0 million of our Class A common stock at management's discretion which expires on March 31, 2028 and does not obligate us to repurchase any specific number of shares and may be modified, suspended or terminated at any time at our discretion. As of December 31, 2025, we had $41.0 million remaining under the share repurchase authorization.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24815"/>
                <wp:effectExtent l="0" t="0" r="0" b="0"/>
                <wp:wrapNone/>
                <wp:docPr id="76" name="Frame7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PERFORMANCE GRAPH</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This performance graph shall not be deemed “filed” with the SEC for purposes of Section 18 of the Exchange Act or incorporated by reference into any filing of Expensify, Inc. under the Securities Act or the Exchange Act.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graph below compares the cumulative total stockholder return on our Class A common stock with the cumulative total return on the Nasdaq Composite Index (“Nasdaq Composite”), S&amp;P 500 Index (“S&amp;P 500”), and the S&amp;P 500 Information Technology Index (“S&amp;P 500 IT”). The graph assumes $100 was invested at the market close on November 10, 2021, which was the first day our Class A common stock began trading. Data for the Nasdaq Composite, S&amp;P 500 and S&amp;P 500 IT indexes assumes reinvestment of dividends. The graph uses the closing market price on November 10, 2021 of $41.06 per share as the initial value of our Class A common stock. The comparisons in the graph below are based upon historical data and are not indicative of, nor intended to forecast, future performance of our Class A common stock.</w:t>
      </w:r>
    </w:p>
    <w:p>
      <w:pPr>
        <w:pStyle w:val="TextBody"/>
        <w:bidi w:val="0"/>
        <w:spacing w:before="0" w:after="160"/>
        <w:jc w:val="left"/>
        <w:rPr/>
      </w:pPr>
      <w:r>
        <w:rPr/>
        <w:drawing>
          <wp:inline distT="0" distB="0" distL="0" distR="0">
            <wp:extent cx="5838825" cy="3619500"/>
            <wp:effectExtent l="0" t="0" r="0" b="0"/>
            <wp:docPr id="7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 descr=""/>
                    <pic:cNvPicPr>
                      <a:picLocks noChangeAspect="1" noChangeArrowheads="1"/>
                    </pic:cNvPicPr>
                  </pic:nvPicPr>
                  <pic:blipFill>
                    <a:blip r:embed="rId3"/>
                    <a:stretch>
                      <a:fillRect/>
                    </a:stretch>
                  </pic:blipFill>
                  <pic:spPr bwMode="auto">
                    <a:xfrm>
                      <a:off x="0" y="0"/>
                      <a:ext cx="5838825" cy="36195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24815"/>
                <wp:effectExtent l="0" t="0" r="0" b="0"/>
                <wp:wrapNone/>
                <wp:docPr id="78" name="Frame7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7. Management's Discussion and Analysis of Financial Condition and Results of Operations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 xml:space="preserve">The following discussion and analysis of our financial condition and results of operations should be read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over 1.8 billion expense transactions on our platform as of December 31, 2025, freeing people to spend less time managing expenses and more time doing the things they love. For the year ended December 31, 2025, an average of 650,000 paid members across an average of 39,700 companies and over 200 countries and territories used Expensify to make money easy.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OUR BUSINESS MODEL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pStyle w:val="TextBody"/>
        <w:bidi w:val="0"/>
        <w:spacing w:lineRule="auto" w:line="288" w:before="0" w:after="160"/>
        <w:jc w:val="left"/>
        <w:rPr/>
      </w:pPr>
      <w:r>
        <w:rPr>
          <w:rFonts w:ascii="Expensify Neue;sans-serif" w:hAnsi="Expensify Neue;sans-serif"/>
          <w:b w:val="false"/>
          <w:color w:val="000000"/>
          <w:sz w:val="20"/>
        </w:rPr>
        <w:t xml:space="preserve">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w:t>
      </w:r>
      <w:r>
        <w:rPr>
          <w:rFonts w:ascii="Expensify Neue;sans-serif" w:hAnsi="Expensify Neue;sans-serif"/>
          <w:b w:val="false"/>
          <w:i/>
          <w:color w:val="000000"/>
          <w:sz w:val="20"/>
        </w:rPr>
        <w:t>Track</w:t>
      </w:r>
      <w:r>
        <w:rPr>
          <w:color w:val="000000"/>
        </w:rPr>
        <w:t xml:space="preserve"> </w:t>
      </w:r>
      <w:r>
        <w:rPr>
          <w:rFonts w:ascii="Expensify Neue;sans-serif" w:hAnsi="Expensify Neue;sans-serif"/>
          <w:b w:val="false"/>
          <w:color w:val="000000"/>
          <w:sz w:val="20"/>
        </w:rPr>
        <w:t xml:space="preserve">or </w:t>
      </w:r>
      <w:r>
        <w:rPr>
          <w:rFonts w:ascii="Expensify Neue;sans-serif" w:hAnsi="Expensify Neue;sans-serif"/>
          <w:b w:val="false"/>
          <w:i/>
          <w:color w:val="000000"/>
          <w:sz w:val="20"/>
        </w:rPr>
        <w:t>Submit</w:t>
      </w:r>
      <w:r>
        <w:rPr>
          <w:color w:val="000000"/>
        </w:rPr>
        <w:t xml:space="preserve"> </w:t>
      </w:r>
      <w:r>
        <w:rPr>
          <w:rFonts w:ascii="Expensify Neue;sans-serif" w:hAnsi="Expensify Neue;sans-serif"/>
          <w:b w:val="false"/>
          <w:color w:val="000000"/>
          <w:sz w:val="20"/>
        </w:rPr>
        <w:t>plans.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monetize transactions from the Expensify Card by receiving interchange for all spend on the card. As we expand our platform, we continue to increase the number of integrations and to more actively promote the Expensify Card with complementary use cases beyond expense management to both new and existing customers to drive increased adoption.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monetize bookings via Expensify Travel by charging a booking fee on each booking. We intend to continue to develop complimentary features to Expensify Travel to increase the number of existing companies using Expensify Travel and to attract new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Key Factors Affecting Our Performance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performance depends on many factors, including the following:</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INVESTING IN PRODUCT-LED GROWTH</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continue to focus on growing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24815"/>
                <wp:effectExtent l="0" t="0" r="0" b="0"/>
                <wp:wrapNone/>
                <wp:docPr id="79" name="Frame7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employees and often convince decision makers to adopt Expensify company-wide. In order to continue to grow, we believe we must continue prioritizing investments in our platform to delight our members and drive viral expansion.</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CONVERTING FREE MEMBERS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success depends on converting users who try the free aspects of the Expensify platform into paid members. While our viral model means that employees or contractors often introduce Expensify into small and medium-sized businesses (“SMBs”), companies subscribe and pay for the majority of our paid members. </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INVESTING TO MAINTAIN MARKET CONSENSUS</w:t>
      </w:r>
    </w:p>
    <w:p>
      <w:pPr>
        <w:pStyle w:val="TextBody"/>
        <w:bidi w:val="0"/>
        <w:spacing w:lineRule="auto" w:line="288" w:before="0" w:after="160"/>
        <w:jc w:val="left"/>
        <w:rPr/>
      </w:pPr>
      <w:r>
        <w:rPr>
          <w:rFonts w:ascii="Expensify Neue;sans-serif" w:hAnsi="Expensify Neue;sans-serif"/>
          <w:b w:val="false"/>
          <w:color w:val="000000"/>
          <w:sz w:val="20"/>
        </w:rPr>
        <w:t xml:space="preserve">Our viral and word-of-mouth adoption model is effective in part because we have established ourselves as a recognized leader in expense management for SMBs. We deploy large scale brand advertising to promote our platform strength and create market consensus that Expensify is a category leader for expense management software. For example, in 2024 and 2025, we invested in a promotional marketing opportunity to have Expensify heavily featured in Apple's biggest budget film,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on June 27, 2025. We believe investing in market consensus enables us to focus on creating great viral features for our members rather than relying on low-margin, unscalable activities of traditional sales and marketing to drive customer acquisition.</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RETAINING EXISTING CUSTOMERS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around whether to choose to continue using Expensify for another year.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logo retention and net seat retention are important indicators of customer satisfaction and usage of our platform. We calculate our gross logo retention rate as of the end of a period by using (a) the number of distinct companies who have ever had five or more paid members paying for a subscription during the period ending one year prior as the denominator and (b) the number of those same companies that are still paying for at least one subscription during the more recent period as the numerator. In each of 2025 and 2024, our annual gross logo retention was 81%. We calculate our net seat retention rate as of the end of a period by using (a) the number of paid member seats from companies who have ever had five or more paid members paying for a subscription during the period ending one year prior as the denominator and (b) the number of paid member seats at those same companies during the more recent period as the numerator. In 2025 and 2024, our net seat retention was 88% and 86%, respectively. Our growth will depend on our ability to retain existing customers.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INTRODUCING FEATURES TO EXPAND OUR RELATIONSHIP WITH EXISTING CUSTOMERS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fully launched the Expensify Card in 2020 and we intend to actively promote the Expensify Card to both new and existing customers to drive increased adoption. In 2024, we launched our travel platform, Expensify Travel, as a natural extension of our expense management product. Many companies look for combined travel and expenses solutions in order to streamline the booking to reimbursement flow. Outside of the Expensify Card and Expensify Travel,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 on a monthly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24815"/>
                <wp:effectExtent l="0" t="0" r="0" b="0"/>
                <wp:wrapNone/>
                <wp:docPr id="80" name="Frame7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MACROECONOMIC TRENDS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and the operations of our customers, the majority of which are SMBs, depend on the overall state of the economy, and we and they could be negatively impacted by slower economic growth and a potential for a recession. Although certain indicators have suggested that inflation has made downward progress, the economy continues to be impacted by elevated inflation rates and faces further inflation risk. Tariff and trade issues also continue to cause overall uncertainty with respect to the economy. See the section titled “Risk Factors” in this Annual Report on Form 10-K for further discussion of the possible impact of such macroeconomic trends on our business. Additionally, other potential challenging macroeconomic conditions, and the resulting impact on business continuity and travel, could negatively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24815"/>
                <wp:effectExtent l="0" t="0" r="0" b="0"/>
                <wp:wrapNone/>
                <wp:docPr id="81" name="Frame7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Components of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generate revenue from subscription fees based on the usage of our cloud-based expense management software platform under arrangements paid monthly in arrears that are either (i) month-to-month and can be terminated by either party without penalty at any time or (ii) 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 Revenue earned from subscription fees was $130.5 million and $138.8 million for the years ended December 31, 2025 and 2024,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2025, the Expensify Card substantially consisted of a single card program that launched in February 2024 (the “Updated Card Program”). The Updated Card Program operates under an agreement with the issuing bank, The Bancorp Bank, N.A. (“Bancorp”), to issue Expensify Cards to customers and authorize and settle transactions on the Visa card network.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Updated Card Program, we generate revenue from the authorization and settlement of Expensify Card transactions and are contractually entitled to all interchange generated on Expensify Card transactions based on our agreement with Bancorp. We are the principal in the transaction and recognize interchange as revenue on a gross basis within Revenue on the Consolidated Statements of Operations. Interchange revenue was $21.3 million and $9.2 million for the years ended December 31, 2025 and 2024,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offer a cashback rewards program to all customers on the Updated Card Program based on volume of Expensify Card transactions. Cashback rewards are earned on a monthly basis and are applied against outstanding customer receivables or are paid out the following month. We consider our cashback rewards as consideration payable to a customer, and it is recorded as contra revenue within Revenue on the Consolidated Statements of Operations. Cashback rewards applied against outstanding customer receivables are reflected as a reduction to Accounts receivable, net on the Consolidated Balance Sheets. Cashback rewards liability is recorded within Accrued expenses and other liabilities on the Consolidated Balance Sheets. The cashback rewards fluctuate over time as customers meet eligibility requirements and timing of payments made to customers. The cashback rewards cost was $10.1 million and $8.9 million for the years ended December 31, 2025 and 2024, respectively.</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Cost of revenue, net primarily consists of personnel-related expenses, including stock-based compensation, attributable to supporting our customers and maintenance of our platform, amortization expense on capitalized software development costs, expenses related to hosting our service, including the costs of data center capacity, credit card processing fees, third-party software license fees, amortization of finance lease right-of-use assets, outsourcing engineering costs to maintain our platform, outsourcing costs to support customer service and outsourcing costs to support our patented scanning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24815"/>
                <wp:effectExtent l="0" t="0" r="0" b="0"/>
                <wp:wrapNone/>
                <wp:docPr id="82" name="Frame8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77</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SmartScan, net of consideration from a vendor under the Updated Card Program for certain volume-based incentives from Visa and consideration from a vendor under our previous card program (the “Legacy Card Program”), which an immaterial number of cardholders continue to operate within, for monetizing Expensify Card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Updated Card Program, we receive consideration from a vendor for certain volume-based incentives from Visa, which are included as a reduction to Cost of revenue, net on the Consolidated Statements of Operations as they are earned. The amounts earned under these volume-based incentives were $1.5 million and $0.3 million for the years ended December 31, 2025 and 2024,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Legacy Card Program operates under an agreement with the payment processor, Marqeta, Inc. (“Marqeta”), and relies on Marqeta to manage the relationship with the issuing bank, Sutton Bank, and the card network, Visa, in authorizing and settling transactions.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This consideration, net of fees paid to the vendor, is included as a reduction to Cost of revenue, net on the Consolidated Statements of Operations as it is earned. Consideration earned under the Legacy Card Program, net was immaterial for the year ended December 31, 2025. Consideration earned under the Legacy Card Program was $7.2 million, net of $0.8 million of fees paid to the vendor, for the year ended December 31, 2024.</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OPERATING EXPENSES</w:t>
      </w:r>
    </w:p>
    <w:p>
      <w:pPr>
        <w:pStyle w:val="TextBody"/>
        <w:bidi w:val="0"/>
        <w:spacing w:lineRule="auto" w:line="288" w:before="0" w:after="160"/>
        <w:jc w:val="left"/>
        <w:rPr/>
      </w:pPr>
      <w:r>
        <w:rPr>
          <w:rFonts w:ascii="Expensify Neue;sans-serif" w:hAnsi="Expensify Neue;sans-serif"/>
          <w:b/>
          <w:i/>
          <w:color w:val="000000"/>
          <w:sz w:val="20"/>
        </w:rPr>
        <w:t>Research and Development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Research and development expenses consist primarily of personnel-related expenses, including stock-based compensation, and external contributor costs incurred related to the planning and preliminary project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develop new products and product enhancements.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on property and equipment, amortization of operating lease right-of-use assets, information technology, external professional services, including finance and accounting, audit, tax, legal and compliance, and human resources, third-party software license fees, settlement losses, net of recoveries, and legal settlements. We expect that general and administrative expenses will remain consistent as it relates to costs associated with being a publicly traded company, including legal, audit, business insurance and consulting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24815"/>
                <wp:effectExtent l="0" t="0" r="0" b="0"/>
                <wp:wrapNone/>
                <wp:docPr id="83" name="Frame8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p>
      <w:pPr>
        <w:pStyle w:val="TextBody"/>
        <w:bidi w:val="0"/>
        <w:spacing w:lineRule="auto" w:line="288" w:before="0" w:after="160"/>
        <w:jc w:val="left"/>
        <w:rPr/>
      </w:pPr>
      <w:r>
        <w:rPr>
          <w:rFonts w:ascii="Expensify Neue;sans-serif" w:hAnsi="Expensify Neue;sans-serif"/>
          <w:b w:val="false"/>
          <w:color w:val="000000"/>
          <w:sz w:val="20"/>
        </w:rPr>
        <w:t xml:space="preserve">Sales and marketing expenses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we provide to our referral and affiliate partners. We expect sales and marketing expenses will decrease following our title sponsorship of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in June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(Expense),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 net, consists primarily of interest income. It also includes the results of operations of our Fifth &amp; Harvey, LLC subsidiary, which holds title to and manages operations of the operating lease for lots in Portland, Oregon that are currently used to host multiple portable food vendors open to the general public, as well as realized gains and losses on foreign currency transactions, foreign currency remeasurement, and interest expense under our credit facilities with Canadian Imperial Bank of Commerce (“CIBC”).</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Provision for Income Taxes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Income taxes primarily consist of income taxes in the United States, United Kingdom, Australia, Netherlands and Canada, as well as states in the United States in which we do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24815"/>
                <wp:effectExtent l="0" t="0" r="0" b="0"/>
                <wp:wrapNone/>
                <wp:docPr id="84" name="Frame8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79</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results of operations presented below should be reviewed in conjunction with the consolidated financial statements and notes included elsewhere in this Annual Report on Form 10-K.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our results of operations for the periods presented (in thousands, except percentages, share and per share data):</w:t>
      </w:r>
    </w:p>
    <w:tbl>
      <w:tblPr>
        <w:tblW w:w="10205" w:type="dxa"/>
        <w:jc w:val="left"/>
        <w:tblInd w:w="0" w:type="dxa"/>
        <w:tblLayout w:type="fixed"/>
        <w:tblCellMar>
          <w:top w:w="28" w:type="dxa"/>
          <w:left w:w="28" w:type="dxa"/>
          <w:bottom w:w="28" w:type="dxa"/>
          <w:right w:w="28" w:type="dxa"/>
        </w:tblCellMar>
      </w:tblPr>
      <w:tblGrid>
        <w:gridCol w:w="2518"/>
        <w:gridCol w:w="2122"/>
        <w:gridCol w:w="2127"/>
        <w:gridCol w:w="240"/>
        <w:gridCol w:w="1006"/>
        <w:gridCol w:w="286"/>
        <w:gridCol w:w="109"/>
        <w:gridCol w:w="109"/>
        <w:gridCol w:w="109"/>
        <w:gridCol w:w="240"/>
        <w:gridCol w:w="1006"/>
        <w:gridCol w:w="333"/>
      </w:tblGrid>
      <w:tr>
        <w:trPr/>
        <w:tc>
          <w:tcPr>
            <w:tcW w:w="2518"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67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6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142,101 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139,236 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Cost of revenue, net</w:t>
            </w:r>
            <w:r>
              <w:rPr>
                <w:rFonts w:ascii="Expensify Neue;sans-serif" w:hAnsi="Expensify Neue;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70,574 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64,239 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71,527 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74,997 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Research and development</w:t>
            </w:r>
            <w:r>
              <w:rPr>
                <w:rFonts w:ascii="Expensify Neue;sans-serif" w:hAnsi="Expensify Neue;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24,638 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General and administrative</w:t>
            </w:r>
            <w:r>
              <w:rPr>
                <w:rFonts w:ascii="Expensify Neue;sans-serif" w:hAnsi="Expensify Neue;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42,121 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38,382 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Sales and marketing</w:t>
            </w:r>
            <w:r>
              <w:rPr>
                <w:rFonts w:ascii="Expensify Neue;sans-serif" w:hAnsi="Expensify Neue;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26,742 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12,797 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89,546 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75,817 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(18,019)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(820)</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(16,293)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(2,392)</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(7,663)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(21,389)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(10,055)</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(0.12)</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92,283,974 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87,380,708 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(1)Includes stock-based compensation expense as follows (in thousands):</w:t>
      </w:r>
    </w:p>
    <w:tbl>
      <w:tblPr>
        <w:tblW w:w="6118" w:type="dxa"/>
        <w:jc w:val="left"/>
        <w:tblInd w:w="0" w:type="dxa"/>
        <w:tblLayout w:type="fixed"/>
        <w:tblCellMar>
          <w:top w:w="28" w:type="dxa"/>
          <w:left w:w="28" w:type="dxa"/>
          <w:bottom w:w="28" w:type="dxa"/>
          <w:right w:w="28" w:type="dxa"/>
        </w:tblCellMar>
      </w:tblPr>
      <w:tblGrid>
        <w:gridCol w:w="1297"/>
        <w:gridCol w:w="1140"/>
        <w:gridCol w:w="1148"/>
        <w:gridCol w:w="218"/>
        <w:gridCol w:w="745"/>
        <w:gridCol w:w="112"/>
        <w:gridCol w:w="112"/>
        <w:gridCol w:w="112"/>
        <w:gridCol w:w="112"/>
        <w:gridCol w:w="218"/>
        <w:gridCol w:w="745"/>
        <w:gridCol w:w="159"/>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Year Ended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Cost of revenue, net</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10,637 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12,506 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Research and development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7,701 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General and administrative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4,768 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6,815 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Sales and marketing</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3,472 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2,316 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stock-based compensation expense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26,578 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33,537 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24815"/>
                <wp:effectExtent l="0" t="0" r="0" b="0"/>
                <wp:wrapNone/>
                <wp:docPr id="85" name="Frame8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80</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COMPARISON OF THE YEARS ENDED DECEMBER 31, 2025 AND 2024</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tbl>
      <w:tblPr>
        <w:tblW w:w="6256" w:type="dxa"/>
        <w:jc w:val="left"/>
        <w:tblInd w:w="0" w:type="dxa"/>
        <w:tblLayout w:type="fixed"/>
        <w:tblCellMar>
          <w:top w:w="28" w:type="dxa"/>
          <w:left w:w="28" w:type="dxa"/>
          <w:bottom w:w="28" w:type="dxa"/>
          <w:right w:w="28" w:type="dxa"/>
        </w:tblCellMar>
      </w:tblPr>
      <w:tblGrid>
        <w:gridCol w:w="353"/>
        <w:gridCol w:w="311"/>
        <w:gridCol w:w="312"/>
        <w:gridCol w:w="232"/>
        <w:gridCol w:w="972"/>
        <w:gridCol w:w="112"/>
        <w:gridCol w:w="112"/>
        <w:gridCol w:w="112"/>
        <w:gridCol w:w="112"/>
        <w:gridCol w:w="232"/>
        <w:gridCol w:w="972"/>
        <w:gridCol w:w="112"/>
        <w:gridCol w:w="109"/>
        <w:gridCol w:w="109"/>
        <w:gridCol w:w="109"/>
        <w:gridCol w:w="226"/>
        <w:gridCol w:w="706"/>
        <w:gridCol w:w="109"/>
        <w:gridCol w:w="109"/>
        <w:gridCol w:w="109"/>
        <w:gridCol w:w="109"/>
        <w:gridCol w:w="143"/>
        <w:gridCol w:w="143"/>
        <w:gridCol w:w="33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139,236 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9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increased $2.9 million, or 2%, for the year ended December 31, 2025 compared to the same period in 2024, primarily due to an increase in interchange revenue driven primarily by a shift in cardholder spend from the Legacy Card Program to the Updated Card Program. This increase was partially offset by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624" w:type="dxa"/>
        <w:jc w:val="center"/>
        <w:tblInd w:w="0" w:type="dxa"/>
        <w:tblLayout w:type="fixed"/>
        <w:tblCellMar>
          <w:top w:w="28" w:type="dxa"/>
          <w:left w:w="28" w:type="dxa"/>
          <w:bottom w:w="28" w:type="dxa"/>
          <w:right w:w="28" w:type="dxa"/>
        </w:tblCellMar>
      </w:tblPr>
      <w:tblGrid>
        <w:gridCol w:w="759"/>
        <w:gridCol w:w="669"/>
        <w:gridCol w:w="671"/>
        <w:gridCol w:w="226"/>
        <w:gridCol w:w="826"/>
        <w:gridCol w:w="286"/>
        <w:gridCol w:w="109"/>
        <w:gridCol w:w="109"/>
        <w:gridCol w:w="109"/>
        <w:gridCol w:w="226"/>
        <w:gridCol w:w="826"/>
        <w:gridCol w:w="286"/>
        <w:gridCol w:w="109"/>
        <w:gridCol w:w="109"/>
        <w:gridCol w:w="109"/>
        <w:gridCol w:w="226"/>
        <w:gridCol w:w="796"/>
        <w:gridCol w:w="109"/>
        <w:gridCol w:w="109"/>
        <w:gridCol w:w="109"/>
        <w:gridCol w:w="109"/>
        <w:gridCol w:w="203"/>
        <w:gridCol w:w="203"/>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70,574 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64,239 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71,527 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74,997 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increased by $6.3 million, or 10%, for the year ended December 31, 2025 compared to the same period in 2024, primarily due to (i) a decrease in consideration earned under the Legacy Card Program driven primarily by a shift in cardholder spend from the Legacy Card Program to the Updated Card Program, (ii) an increase in payment processing fees, and (iii) an increase in amortization expense related to capitalized software. This increase was partially offset by a decrease in SmartScan costs due to increased use of AI instead of human agents.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margin decreased to 50% for the year ended December 31, 2025 compared to 54% in the same period in 2024 due to the factors described in the preceding paragraphs for Revenue and Cost of revenue,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24815"/>
                <wp:effectExtent l="0" t="0" r="0" b="0"/>
                <wp:wrapNone/>
                <wp:docPr id="86" name="Frame8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8369" w:type="dxa"/>
        <w:jc w:val="left"/>
        <w:tblInd w:w="0" w:type="dxa"/>
        <w:tblLayout w:type="fixed"/>
        <w:tblCellMar>
          <w:top w:w="28" w:type="dxa"/>
          <w:left w:w="28" w:type="dxa"/>
          <w:bottom w:w="28" w:type="dxa"/>
          <w:right w:w="28" w:type="dxa"/>
        </w:tblCellMar>
      </w:tblPr>
      <w:tblGrid>
        <w:gridCol w:w="1010"/>
        <w:gridCol w:w="888"/>
        <w:gridCol w:w="892"/>
        <w:gridCol w:w="253"/>
        <w:gridCol w:w="926"/>
        <w:gridCol w:w="122"/>
        <w:gridCol w:w="122"/>
        <w:gridCol w:w="122"/>
        <w:gridCol w:w="122"/>
        <w:gridCol w:w="253"/>
        <w:gridCol w:w="926"/>
        <w:gridCol w:w="122"/>
        <w:gridCol w:w="109"/>
        <w:gridCol w:w="109"/>
        <w:gridCol w:w="109"/>
        <w:gridCol w:w="226"/>
        <w:gridCol w:w="796"/>
        <w:gridCol w:w="109"/>
        <w:gridCol w:w="109"/>
        <w:gridCol w:w="109"/>
        <w:gridCol w:w="109"/>
        <w:gridCol w:w="247"/>
        <w:gridCol w:w="24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24,638 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Research and development expenses decreased by $4.0 million, or 16%, for the year ended December 31, 2025 compared to the same period in 2024, primarily due to a decrease in employee and external contributor time spent on project initiatives and new product features as a result of increased focus on sales and marketing efforts related to our title sponsorship of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in June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8189" w:type="dxa"/>
        <w:jc w:val="center"/>
        <w:tblInd w:w="0" w:type="dxa"/>
        <w:tblLayout w:type="fixed"/>
        <w:tblCellMar>
          <w:top w:w="28" w:type="dxa"/>
          <w:left w:w="28" w:type="dxa"/>
          <w:bottom w:w="28" w:type="dxa"/>
          <w:right w:w="28" w:type="dxa"/>
        </w:tblCellMar>
      </w:tblPr>
      <w:tblGrid>
        <w:gridCol w:w="1010"/>
        <w:gridCol w:w="888"/>
        <w:gridCol w:w="891"/>
        <w:gridCol w:w="253"/>
        <w:gridCol w:w="926"/>
        <w:gridCol w:w="122"/>
        <w:gridCol w:w="122"/>
        <w:gridCol w:w="122"/>
        <w:gridCol w:w="122"/>
        <w:gridCol w:w="253"/>
        <w:gridCol w:w="926"/>
        <w:gridCol w:w="122"/>
        <w:gridCol w:w="109"/>
        <w:gridCol w:w="109"/>
        <w:gridCol w:w="109"/>
        <w:gridCol w:w="226"/>
        <w:gridCol w:w="706"/>
        <w:gridCol w:w="109"/>
        <w:gridCol w:w="109"/>
        <w:gridCol w:w="109"/>
        <w:gridCol w:w="109"/>
        <w:gridCol w:w="203"/>
        <w:gridCol w:w="203"/>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42,121 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38,382 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increased $3.7 million, or 10%, for the year ended December 31, 2025 compared to the same period in 2024, primarily due to (i) the estimated liability, net of the Company's expected insurance recoveries, related to the Putative Class Action discussed under Part I, Item 3 “Legal Proceedings” and the related increase in legal fees, and (ii) an increase in settlement losses, net of recoveries. This increase was partially offset by a decrease in business insurance costs.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7770" w:type="dxa"/>
        <w:jc w:val="center"/>
        <w:tblInd w:w="0" w:type="dxa"/>
        <w:tblLayout w:type="fixed"/>
        <w:tblCellMar>
          <w:top w:w="28" w:type="dxa"/>
          <w:left w:w="28" w:type="dxa"/>
          <w:bottom w:w="28" w:type="dxa"/>
          <w:right w:w="28" w:type="dxa"/>
        </w:tblCellMar>
      </w:tblPr>
      <w:tblGrid>
        <w:gridCol w:w="772"/>
        <w:gridCol w:w="677"/>
        <w:gridCol w:w="681"/>
        <w:gridCol w:w="253"/>
        <w:gridCol w:w="926"/>
        <w:gridCol w:w="122"/>
        <w:gridCol w:w="122"/>
        <w:gridCol w:w="122"/>
        <w:gridCol w:w="122"/>
        <w:gridCol w:w="253"/>
        <w:gridCol w:w="926"/>
        <w:gridCol w:w="122"/>
        <w:gridCol w:w="109"/>
        <w:gridCol w:w="109"/>
        <w:gridCol w:w="109"/>
        <w:gridCol w:w="226"/>
        <w:gridCol w:w="826"/>
        <w:gridCol w:w="109"/>
        <w:gridCol w:w="109"/>
        <w:gridCol w:w="109"/>
        <w:gridCol w:w="109"/>
        <w:gridCol w:w="263"/>
        <w:gridCol w:w="263"/>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26,742 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12,797 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Sales and marketing expenses increased $13.9 million, or 109%, for the year ended December 31, 2025 compared to the same period in 2024, primarily due to (i) an increase in advertising spend related to our title sponsorship of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in June 2025, and (ii) an increase in time spent on sales and marketing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24815"/>
                <wp:effectExtent l="0" t="0" r="0" b="0"/>
                <wp:wrapNone/>
                <wp:docPr id="87" name="Frame8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(Expense), Net</w:t>
      </w:r>
    </w:p>
    <w:tbl>
      <w:tblPr>
        <w:tblW w:w="8427" w:type="dxa"/>
        <w:jc w:val="left"/>
        <w:tblInd w:w="0" w:type="dxa"/>
        <w:tblLayout w:type="fixed"/>
        <w:tblCellMar>
          <w:top w:w="28" w:type="dxa"/>
          <w:left w:w="28" w:type="dxa"/>
          <w:bottom w:w="28" w:type="dxa"/>
          <w:right w:w="28" w:type="dxa"/>
        </w:tblCellMar>
      </w:tblPr>
      <w:tblGrid>
        <w:gridCol w:w="1054"/>
        <w:gridCol w:w="926"/>
        <w:gridCol w:w="929"/>
        <w:gridCol w:w="268"/>
        <w:gridCol w:w="839"/>
        <w:gridCol w:w="129"/>
        <w:gridCol w:w="129"/>
        <w:gridCol w:w="129"/>
        <w:gridCol w:w="129"/>
        <w:gridCol w:w="268"/>
        <w:gridCol w:w="946"/>
        <w:gridCol w:w="129"/>
        <w:gridCol w:w="109"/>
        <w:gridCol w:w="109"/>
        <w:gridCol w:w="109"/>
        <w:gridCol w:w="226"/>
        <w:gridCol w:w="706"/>
        <w:gridCol w:w="109"/>
        <w:gridCol w:w="109"/>
        <w:gridCol w:w="109"/>
        <w:gridCol w:w="109"/>
        <w:gridCol w:w="263"/>
        <w:gridCol w:w="263"/>
        <w:gridCol w:w="331"/>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 net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9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 net changed by $3.3 million, or 210%, for the year ended December 31, 2025 compared to the same period in 2024 primarily due to (i) period-over-period favorability in net foreign currency gains/losses, (ii) a decrease in interest expense incurred due to the repayments of the revolving credit facility and amortizing term mortgage in 2024 discussed below under “Liquidity and Capital Resources—Credit Facilities”, and (iii) an increase in interest income.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Income Taxes</w:t>
      </w:r>
    </w:p>
    <w:tbl>
      <w:tblPr>
        <w:tblW w:w="8130" w:type="dxa"/>
        <w:jc w:val="left"/>
        <w:tblInd w:w="0" w:type="dxa"/>
        <w:tblLayout w:type="fixed"/>
        <w:tblCellMar>
          <w:top w:w="28" w:type="dxa"/>
          <w:left w:w="28" w:type="dxa"/>
          <w:bottom w:w="28" w:type="dxa"/>
          <w:right w:w="28" w:type="dxa"/>
        </w:tblCellMar>
      </w:tblPr>
      <w:tblGrid>
        <w:gridCol w:w="989"/>
        <w:gridCol w:w="869"/>
        <w:gridCol w:w="871"/>
        <w:gridCol w:w="259"/>
        <w:gridCol w:w="913"/>
        <w:gridCol w:w="125"/>
        <w:gridCol w:w="125"/>
        <w:gridCol w:w="125"/>
        <w:gridCol w:w="125"/>
        <w:gridCol w:w="259"/>
        <w:gridCol w:w="913"/>
        <w:gridCol w:w="125"/>
        <w:gridCol w:w="109"/>
        <w:gridCol w:w="109"/>
        <w:gridCol w:w="109"/>
        <w:gridCol w:w="226"/>
        <w:gridCol w:w="706"/>
        <w:gridCol w:w="109"/>
        <w:gridCol w:w="109"/>
        <w:gridCol w:w="109"/>
        <w:gridCol w:w="109"/>
        <w:gridCol w:w="203"/>
        <w:gridCol w:w="203"/>
        <w:gridCol w:w="3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(7,663)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recorded a provision for income taxes of $5.1 million for the year ended December 31, 2025 compared to a $7.7 million provision for income taxes for the year ended December 31, 2024. The change in provision is primarily due to an increase in loss before income taxes as a result of increased expenses related to our title sponsorship of F1® The Movie.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During the years ended December 31, 2025 and 2024, we recorded an incremental valuation allowance of $4.3 million and $0.9 million, respectively. The provision for income taxes reflects taxable income earned and taxed in U.S. federal and state, and non-U.S. jurisdictions.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effective income tax rate was (31.3)% and (320.4)%, for the years ended December 31, 2025 and 2024, respectively. The effective income tax rate differs from the statutory rate in 2025 primarily due to nondeductible stock-based compensation and the change in the valuation allowance. The effective income tax rate differs from the statutory rate in 2024 primarily due to nondeductible stock-based compensation, the compensation limits imposed by the Internal Revenue Code Section 162(m), and the change in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Liquidity and Capital Resources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our inception, we have financed our operations primarily through our cash flow from operations, sales of our equity securities and borrowings under our credit facilities. As of December 31, 2025, we had $63.1 million in cash and cash equivalents, with no outstanding indebtedness and a $7.5 million letter of credit outstanding.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24815"/>
                <wp:effectExtent l="0" t="0" r="0" b="0"/>
                <wp:wrapNone/>
                <wp:docPr id="88" name="Frame8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our cash flows for the periods indicated (in thousands):</w:t>
      </w:r>
    </w:p>
    <w:tbl>
      <w:tblPr>
        <w:tblW w:w="10205" w:type="dxa"/>
        <w:jc w:val="left"/>
        <w:tblInd w:w="0" w:type="dxa"/>
        <w:tblLayout w:type="fixed"/>
        <w:tblCellMar>
          <w:top w:w="28" w:type="dxa"/>
          <w:left w:w="28" w:type="dxa"/>
          <w:bottom w:w="28" w:type="dxa"/>
          <w:right w:w="28" w:type="dxa"/>
        </w:tblCellMar>
      </w:tblPr>
      <w:tblGrid>
        <w:gridCol w:w="2609"/>
        <w:gridCol w:w="2285"/>
        <w:gridCol w:w="2299"/>
        <w:gridCol w:w="252"/>
        <w:gridCol w:w="923"/>
        <w:gridCol w:w="121"/>
        <w:gridCol w:w="121"/>
        <w:gridCol w:w="121"/>
        <w:gridCol w:w="121"/>
        <w:gridCol w:w="252"/>
        <w:gridCol w:w="923"/>
        <w:gridCol w:w="178"/>
      </w:tblGrid>
      <w:tr>
        <w:trPr/>
        <w:tc>
          <w:tcPr>
            <w:tcW w:w="260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1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7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7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20,089 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23,877 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(3,555)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(7,628)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financing activities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(22,073)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increase (decrease) in cash and cash equivalents and restricted cash</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13,790 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(5,824)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OPERATING ACTIVITIES</w:t>
      </w:r>
    </w:p>
    <w:p>
      <w:pPr>
        <w:pStyle w:val="TextBody"/>
        <w:bidi w:val="0"/>
        <w:spacing w:lineRule="auto" w:line="288" w:before="0" w:after="160"/>
        <w:jc w:val="left"/>
        <w:rPr/>
      </w:pPr>
      <w:r>
        <w:rPr>
          <w:rFonts w:ascii="Expensify Neue;sans-serif" w:hAnsi="Expensify Neue;sans-serif"/>
          <w:b w:val="false"/>
          <w:color w:val="000000"/>
          <w:sz w:val="20"/>
        </w:rPr>
        <w:t xml:space="preserve">Net cash provided by operating activities was $20.1 million for the year ended December 31, 2025 as compared to $23.9 million for the same period in 2024, primarily due to (i) an increase in marketing and advertising spend related to our title sponsorship of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in June 2025, and (ii) a decrease in subscription revenue. This decrease was partially offset by (i) an increase in interchange revenue driven by the increased adoption and spend captured from members using the Expensify Card, and (ii) a decrease in SmartScan costs.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INVESTING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Net cash used in investing activities was $3.6 million for the year ended December 31, 2025, primarily consisting of software development costs.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 decreased for the year ended December 31, 2025 compared to the same period in 2024, primarily due to a decrease in employee and external contributor software development costs.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FINANCING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financing activities was $2.7 million for the year ended December 31, 2025, primarily consisting of the repurchase and retirement of common stock, partially offset by proceeds from common stock purchased under the 2021 Stock Purchase and Matching Plan (the “Matching Plan”).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financing activities was $22.1 million for the year ended December 31, 2024, primarily consisting of the repayment of the revolving credit facility and the amortizing term mortgage, and the repurchase and retirement of common stock, which was partially offset by proceeds from common stock purchased under the Matching Plan.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Share Repurchase Program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10, 2022, the Executive Committee of the Board of Directors (the “Executive Committee”) approved a share repurchase program with authorization to purchase up to $50.0 million of shares of Class A common stock (“2022 Share Repurchase Program”). The 2022 Share Repurchase Program authorized us to repurchase shares from time to time through open market purchases, in privately negotiated transactions or by other means, including the use of trading plans intended to qualify under Rule 10b5-1 of the Securities Exchange Act of 1934, as amended (the “Exchange Act”), in accordance with applicable securities laws and other restrictions. The 2022 Share Repurchase Program, which would have expired in March 2025, was replaced with the 2025 Share Repurchase Program described below.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February 25, 2025, the Executive Committee approved a new share repurchase program with authorization to purchase up to $50.0 million of shares of Class A common stock that expires on March 31, 2028 (“2025 Share Repurchase Program”). Under the 2025 Share Repurchase Program, we may repurchase shares from time to time through open market purchases, in privately negotiated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24815"/>
                <wp:effectExtent l="0" t="0" r="0" b="0"/>
                <wp:wrapNone/>
                <wp:docPr id="89" name="Frame8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or by other means, including through the use of trading plans intended to qualify under Rule 10b5-1 of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our current and future debt agreements and other considerations. The 2025 Share Repurchase Program does not obligate us to acquire any particular amount of Class A common stock, and the program may be suspended or terminated by us at any time at our discretion without prior notice.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2025, there was approximately $41.0 million remaining under the 2025 Share Repurchase Program, not including amounts used for net share settlement of vested equity incentive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Note 8 to our consolidated financial statements included elsewhere in this Annual Report on Form 10-K for further information.</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Amortizing Term Mortgage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August 2019, we entered into an $8.3 million amortizing term mortgage agreement with CIBC for our commercial building located in Portland, Oregon. The agreement required principal and interest payments due each month over a five-year period. Interest accrued at a fixed rate of 5.00% per year until August 2024, at which point the remaining outstanding principal balance on the amortizing term mortgage was due in full. The borrowings were secured by the building. On August 29, 2024, we repaid in full the then-outstanding balance of $7.6 million and an immaterial amount of accrued interest and terminated the associated mortgage agreement with CIBC and secured promissory note. See Note 7 to our consolidated financial statements included elsewhere in this Annual Report on Form 10-K for further information.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Loan and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February 2024, we entered into a Second Amended and Restated Loan and Security Agreement (as amended by the amendments described below, the “2024 Amended Loan and Security Agreement”) with CIBC. The 2024 Amended Loan and Security Agreement provided for a $25.0 million revolving credit facility that was set to expire in September 2025. Borrowings under the revolving credit facility accrued interest at CIBC’s reference rate plus 1.00% and were secured by substantially all of our assets.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2024 Amended Loan and Security Agreement was amended (i) in May 2024 to amend the covenant restricting the amount of repurchases of common stock to allow for certain additional repurchase activity and provide a waiver for our non-compliance during prior periods, (ii) in August 2024 to permit our wholly-owned subsidiary, 401 SW 5th Ave LLC, to remain an excluded subsidiary, and (iii) in February 2025 to amend the covenant restricting the amount of repurchases of common stock to allow for certain additional net share settlement activity.</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In April 2024, we entered into an irrevocable standby letter of credit (the “Letter of Credit”) issued under the 2024 Amended Loan and Security Agreement to reduce cash collateral requirements in connection with the Updated Card Program. The Letter of Credit was issued in the amount of </w:t>
      </w:r>
      <w:r>
        <w:rPr>
          <w:rFonts w:ascii="Expensify Neue;sans-serif" w:hAnsi="Expensify Neue;sans-serif"/>
          <w:b w:val="false"/>
          <w:color w:val="000000"/>
          <w:sz w:val="20"/>
        </w:rPr>
        <w:t>$1.0 million</w:t>
      </w:r>
      <w:r>
        <w:rPr>
          <w:color w:val="000000"/>
          <w:shd w:fill="FFFFFF" w:val="clear"/>
        </w:rPr>
        <w:t xml:space="preserve"> </w:t>
      </w:r>
      <w:r>
        <w:rPr>
          <w:rFonts w:ascii="Expensify Neue;sans-serif" w:hAnsi="Expensify Neue;sans-serif"/>
          <w:b w:val="false"/>
          <w:color w:val="000000"/>
          <w:sz w:val="20"/>
          <w:shd w:fill="FFFFFF" w:val="clear"/>
        </w:rPr>
        <w:t xml:space="preserve">for the benefit of Bancorp. The Letter of Credit was renewed on </w:t>
      </w:r>
      <w:r>
        <w:rPr>
          <w:rFonts w:ascii="Expensify Neue;sans-serif" w:hAnsi="Expensify Neue;sans-serif"/>
          <w:b w:val="false"/>
          <w:color w:val="000000"/>
          <w:sz w:val="20"/>
        </w:rPr>
        <w:t>February 28, 2025 and expires on March 20, 2026.</w:t>
      </w:r>
      <w:r>
        <w:rPr>
          <w:color w:val="000000"/>
          <w:shd w:fill="FFFFFF" w:val="clear"/>
        </w:rPr>
        <w:t xml:space="preserve"> </w:t>
      </w:r>
      <w:r>
        <w:rPr>
          <w:rFonts w:ascii="Expensify Neue;sans-serif" w:hAnsi="Expensify Neue;sans-serif"/>
          <w:b w:val="false"/>
          <w:color w:val="000000"/>
          <w:sz w:val="20"/>
        </w:rPr>
        <w:t xml:space="preserve">On April 16, 2025, we entered into an amendment to the irrevocable standby letter of credit to increase the Letter of Credit to $7.5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10, 2024, the then-outstanding balance of $15.0 million and an immaterial amount of accrued interest under the revolving credit facility were repaid in full.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July 1, 2025, we terminated the revolving credit facility under the 2024 Amended Loan and Security Agreement. At the time of such termination, we had no borrowings under the revolving credit facility, and certain terms of the 2024 Amended Loan and Security Agreement, including collateral security, survived the termination with respect to outstanding Contingent Obligations (as defined in the 2024 Amended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24815"/>
                <wp:effectExtent l="0" t="0" r="0" b="0"/>
                <wp:wrapNone/>
                <wp:docPr id="90" name="Frame8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and Security Agreement) arising from Bank Services (as defined in the 2024 Amended Loan and Security Agreement). The Letter of Credit, which had no amounts drawn, also remained outstanding. There were no penalties incurred by us as a result of the termination of the revolving credit facility.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See Note 7 to our consolidated financial statements included elsewhere in this Annual Report on Form 10-K for further information.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Letter of Credit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October 9, 2025, we entered into a Letter of Credit Facility and Security Agreement (the “LOC Security Agreement”) with CIBC. The LOC Security Agreement, among other things, provides for the issuance of additional irrevocable standby letters of credit, governs the terms of the outstanding Letter of Credit originally issued under the 2024 Amended Loan and Security Agreement, and grants to CIBC, for the ratable benefit of the lenders, a security interest in substantially all of our assets and its subsidiaries, and also replaces the 2024 Amended Loan and Security Agreement with respect to the Contingent Obligations described above. Under the LOC Security Agreement, the Letter of Credit remained at $7.5 million with an expiration date of March 20, 2026. No amounts had been drawn on the Letter of Credit as of December 31,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Certain Covenants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are subject to customary covenants under the LOC Security Agreement which, unless waived by CIBC, restrict our and our subsidiaries’ ability to, among other things, incur certain additional indebtedness, create or incur certain liens, permit a change of control, sell or transfer assets, pay dividends or make distributions, subject to certain exceptions.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December 31, 2025, we were in compliance with all debt covenants under the LOC Security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Key Business Metrics and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24815"/>
                <wp:effectExtent l="0" t="0" r="0" b="0"/>
                <wp:wrapNone/>
                <wp:docPr id="91" name="Frame8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KEY BUSINESS METRICS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Paid Members</w:t>
      </w:r>
    </w:p>
    <w:p>
      <w:pPr>
        <w:pStyle w:val="TextBody"/>
        <w:bidi w:val="0"/>
        <w:spacing w:lineRule="auto" w:line="288" w:before="0" w:after="160"/>
        <w:jc w:val="left"/>
        <w:rPr/>
      </w:pPr>
      <w:r>
        <w:rPr>
          <w:rFonts w:ascii="Expensify Neue;sans-serif" w:hAnsi="Expensify Neue;sans-serif"/>
          <w:b w:val="false"/>
          <w:color w:val="000000"/>
          <w:sz w:val="20"/>
        </w:rPr>
        <w:t xml:space="preserve">We believe that our ability to increase the number of paid members on our platform will drive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or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plans during any particular quarter. For SMBs or sole proprietors with only one employee, the business owner may also be the only paid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average number of paid members for the quarters ended March 31, 2024 through December 31, 2025 (in thousands):</w:t>
      </w:r>
    </w:p>
    <w:tbl>
      <w:tblPr>
        <w:tblW w:w="4152"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509"/>
        <w:gridCol w:w="509"/>
        <w:gridCol w:w="722"/>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Quarter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color w:val="000000"/>
                <w:sz w:val="20"/>
              </w:rPr>
            </w:pPr>
            <w:r>
              <w:rPr>
                <w:rFonts w:ascii="Expensify Neue;sans-serif" w:hAnsi="Expensify Neue;sans-serif"/>
                <w:b/>
                <w:color w:val="000000"/>
                <w:sz w:val="20"/>
              </w:rPr>
              <w:t>Paid members</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688</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684</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684</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687</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657</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642</w:t>
            </w:r>
          </w:p>
        </w:tc>
      </w:tr>
      <w:tr>
        <w:trPr/>
        <w:tc>
          <w:tcPr>
            <w:tcW w:w="20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December 31, 2025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650</w:t>
            </w:r>
          </w:p>
        </w:tc>
      </w:tr>
    </w:tbl>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NON-GAAP FINANCIAL MEASURES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Limitations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24815"/>
                <wp:effectExtent l="0" t="0" r="0" b="0"/>
                <wp:wrapNone/>
                <wp:docPr id="92" name="Frame9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87</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Reconciliations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tables reconcile the most directly comparable GAAP financial measure to each of these non-GAAP financial measures.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Adjusted EBITDA and Adjusted EBITDA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adjusted EBITDA as net loss excluding provision for income taxes, other (income) expense, net, depreciation and amortization and stock-based compensation expense. We define adjusted EBITDA margin as adjusted EBITDA divided by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tbl>
      <w:tblPr>
        <w:tblW w:w="7706" w:type="dxa"/>
        <w:jc w:val="left"/>
        <w:tblInd w:w="0" w:type="dxa"/>
        <w:tblLayout w:type="fixed"/>
        <w:tblCellMar>
          <w:top w:w="28" w:type="dxa"/>
          <w:left w:w="28" w:type="dxa"/>
          <w:bottom w:w="28" w:type="dxa"/>
          <w:right w:w="28" w:type="dxa"/>
        </w:tblCellMar>
      </w:tblPr>
      <w:tblGrid>
        <w:gridCol w:w="1320"/>
        <w:gridCol w:w="1156"/>
        <w:gridCol w:w="1169"/>
        <w:gridCol w:w="284"/>
        <w:gridCol w:w="1153"/>
        <w:gridCol w:w="360"/>
        <w:gridCol w:w="137"/>
        <w:gridCol w:w="137"/>
        <w:gridCol w:w="137"/>
        <w:gridCol w:w="284"/>
        <w:gridCol w:w="1153"/>
        <w:gridCol w:w="416"/>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(21,389)</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(10,055)</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7,663 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 net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(1,726)</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Depreciation and amortization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8,299 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6,655 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26,578 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16,858 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39,372 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4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12 </w:t>
            </w:r>
          </w:p>
        </w:tc>
        <w:tc>
          <w:tcPr>
            <w:tcW w:w="3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28 </w:t>
            </w:r>
          </w:p>
        </w:tc>
        <w:tc>
          <w:tcPr>
            <w:tcW w:w="4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24815"/>
                <wp:effectExtent l="0" t="0" r="0" b="0"/>
                <wp:wrapNone/>
                <wp:docPr id="93" name="Frame9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Non-GAAP Net Income and Non-GAAP Net Income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non-GAAP net income as net loss excluding stock-based compensation expense. We define non-GAAP net income margin as non-GAAP net income divided by revenue for the same period. We are focused on profitable growth and we consider non-GAAP net income to be an important measure because it helps illustrate underlying trends in our business that could otherwise be masked by the effect of stock-based compensation, which is not considered indicative of the core operating performance of our business.</w:t>
      </w:r>
    </w:p>
    <w:tbl>
      <w:tblPr>
        <w:tblW w:w="7706" w:type="dxa"/>
        <w:jc w:val="left"/>
        <w:tblInd w:w="0" w:type="dxa"/>
        <w:tblLayout w:type="fixed"/>
        <w:tblCellMar>
          <w:top w:w="28" w:type="dxa"/>
          <w:left w:w="28" w:type="dxa"/>
          <w:bottom w:w="28" w:type="dxa"/>
          <w:right w:w="28" w:type="dxa"/>
        </w:tblCellMar>
      </w:tblPr>
      <w:tblGrid>
        <w:gridCol w:w="1320"/>
        <w:gridCol w:w="1156"/>
        <w:gridCol w:w="1169"/>
        <w:gridCol w:w="284"/>
        <w:gridCol w:w="1153"/>
        <w:gridCol w:w="360"/>
        <w:gridCol w:w="137"/>
        <w:gridCol w:w="137"/>
        <w:gridCol w:w="137"/>
        <w:gridCol w:w="284"/>
        <w:gridCol w:w="1153"/>
        <w:gridCol w:w="416"/>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(21,389)</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(10,055)</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26,578 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33,537 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5,189 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23,482 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 margin</w:t>
            </w:r>
          </w:p>
        </w:tc>
        <w:tc>
          <w:tcPr>
            <w:tcW w:w="14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4 </w:t>
            </w:r>
          </w:p>
        </w:tc>
        <w:tc>
          <w:tcPr>
            <w:tcW w:w="3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17 </w:t>
            </w:r>
          </w:p>
        </w:tc>
        <w:tc>
          <w:tcPr>
            <w:tcW w:w="4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Free Cash Flow and Free Cash Flow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free cash flow as net cash provided by operating activities excluding changes in settlement assets, net and settlement liabilities, which represent funds held for customers and customer funds in transit, respectively, reduced by the purchases of property and equipment and software development costs. We define free cash flow margin as free cash flow divided by revenue for the same period. We are focused on profitable growth and we consider free cash flow to be an important measure because it helps illustrate underlying trends in our business that could otherwise be masked by the effect of the cash flows that are not indicative of the core operating performance of our business.</w:t>
      </w:r>
    </w:p>
    <w:tbl>
      <w:tblPr>
        <w:tblW w:w="8515" w:type="dxa"/>
        <w:jc w:val="left"/>
        <w:tblInd w:w="0" w:type="dxa"/>
        <w:tblLayout w:type="fixed"/>
        <w:tblCellMar>
          <w:top w:w="28" w:type="dxa"/>
          <w:left w:w="28" w:type="dxa"/>
          <w:bottom w:w="28" w:type="dxa"/>
          <w:right w:w="28" w:type="dxa"/>
        </w:tblCellMar>
      </w:tblPr>
      <w:tblGrid>
        <w:gridCol w:w="1615"/>
        <w:gridCol w:w="1415"/>
        <w:gridCol w:w="1424"/>
        <w:gridCol w:w="301"/>
        <w:gridCol w:w="1101"/>
        <w:gridCol w:w="381"/>
        <w:gridCol w:w="145"/>
        <w:gridCol w:w="145"/>
        <w:gridCol w:w="145"/>
        <w:gridCol w:w="301"/>
        <w:gridCol w:w="1101"/>
        <w:gridCol w:w="441"/>
      </w:tblGrid>
      <w:tr>
        <w:trPr/>
        <w:tc>
          <w:tcPr>
            <w:tcW w:w="16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20,089 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23,877 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 margin</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Changes in settlement assets and liabilities:</w:t>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assets, net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2,054 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2,469 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liabilities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5,145 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w:t>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Purchase of property and equipment</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Software development costs</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(3,538)</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(7,628)</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19,888 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23,863 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Free cash flow margin</w:t>
            </w:r>
          </w:p>
        </w:tc>
        <w:tc>
          <w:tcPr>
            <w:tcW w:w="14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3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17 </w:t>
            </w:r>
          </w:p>
        </w:tc>
        <w:tc>
          <w:tcPr>
            <w:tcW w:w="4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4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24815"/>
                <wp:effectExtent l="0" t="0" r="0" b="0"/>
                <wp:wrapNone/>
                <wp:docPr id="94" name="Frame9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89</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Contractual Obligations and Commitments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our contractual obligations and commitments as of December 31, 2025 (in thousands):</w:t>
      </w:r>
    </w:p>
    <w:tbl>
      <w:tblPr>
        <w:tblW w:w="10205" w:type="dxa"/>
        <w:jc w:val="center"/>
        <w:tblInd w:w="0" w:type="dxa"/>
        <w:tblLayout w:type="fixed"/>
        <w:tblCellMar>
          <w:top w:w="28" w:type="dxa"/>
          <w:left w:w="28" w:type="dxa"/>
          <w:bottom w:w="28" w:type="dxa"/>
          <w:right w:w="28" w:type="dxa"/>
        </w:tblCellMar>
      </w:tblPr>
      <w:tblGrid>
        <w:gridCol w:w="1099"/>
        <w:gridCol w:w="966"/>
        <w:gridCol w:w="969"/>
        <w:gridCol w:w="413"/>
        <w:gridCol w:w="1291"/>
        <w:gridCol w:w="198"/>
        <w:gridCol w:w="109"/>
        <w:gridCol w:w="109"/>
        <w:gridCol w:w="109"/>
        <w:gridCol w:w="243"/>
        <w:gridCol w:w="761"/>
        <w:gridCol w:w="116"/>
        <w:gridCol w:w="109"/>
        <w:gridCol w:w="109"/>
        <w:gridCol w:w="109"/>
        <w:gridCol w:w="451"/>
        <w:gridCol w:w="1410"/>
        <w:gridCol w:w="217"/>
        <w:gridCol w:w="109"/>
        <w:gridCol w:w="109"/>
        <w:gridCol w:w="109"/>
        <w:gridCol w:w="226"/>
        <w:gridCol w:w="706"/>
        <w:gridCol w:w="158"/>
      </w:tblGrid>
      <w:tr>
        <w:trPr/>
        <w:tc>
          <w:tcPr>
            <w:tcW w:w="109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1"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Payments due by period</w:t>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More than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commitments</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commitments</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4,499 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1,120 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4,499 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 xml:space="preserve">Indemnification Agreements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Changes in Stockholders' Equity, or Consolidated Statements of Cash Flows.</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Off-Balance Sheet Arrangements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Critical Accounting Policies and Estimates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consolidated financial statements included elsewhere herein have been prepared in accordance with GAAP.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For our accounting policies, see Note 2 to our consolidated financial statements contained elsewhere herein for a description of our significant accounting policies.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REVENUE RECOGNITION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generate revenue from subscription fees paid by our customers to access and use our hosted software services, as well as standard customer support.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is recognized when control of the promised goods or services is transferred to customers, in an amount that reflects the consideration we expect to be entitled to in exchange for those goods or services.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contracts are either month-to-month arrangements billed monthly in arrears based on a specified number of members or annual arrangements billed monthly in arrears based on a minimum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24815"/>
                <wp:effectExtent l="0" t="0" r="0" b="0"/>
                <wp:wrapNone/>
                <wp:docPr id="95" name="Frame9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90</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monthly members.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charge customers subscription fees for access to our platform based on the number of monthly members and level of service. The contractual price per member is based on either negotiated fees or rates published on our website. Our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We satisfy our performance obligation over time each month as it provides the SaaS and support services to customers and as such recognizes revenue monthly based on the number of monthly members and contractual rate per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is recognized net of applicable taxes imposed on the related transaction. We charge customers on a monthly basis, in arrears, with typical payment terms being 30 days. Since our performance obligation is satisfied monthly, at any reporting period, we have no unsatisfied, or partially unsatisfied, performance obligations.</w:t>
      </w:r>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 xml:space="preserve">Under the Updated Card Program, we generate revenue from the authorization and settlement of Expensify Card transactions. We partner with an issuing bank to issue Expensify Cards to customers as a feature of the Company’s SaaS. Our agreement with the issuing bank allows for card transactions to be authorized and settled on the Visa network. We are contractually entitled to all interchange generated on Expensify Card transactions based on our agreement with the issuing bank. Based on our agreements with the payment processor and issuing bank, we are the principal in the transaction. As such, we recognize interchange as revenue on a gross basis within Revenue on the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Expensify Neue;sans-serif" w:hAnsi="Expensify Neue;sans-serif"/>
          <w:b/>
          <w:color w:val="002E22"/>
          <w:sz w:val="32"/>
        </w:rPr>
        <w:t>Recent Accounting Pronouncements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Note 2 to our consolidated financial statements in this Annual Report on Form 10-K for recently issued and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24815"/>
                <wp:effectExtent l="0" t="0" r="0" b="0"/>
                <wp:wrapNone/>
                <wp:docPr id="96" name="Frame9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7A. Quantitative and Qualitative Disclosures About Market Risk</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FOREIGN CURRENCY EXCHANGE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end-of-period exchange rates except for prepaid expenses, property and equipment and related depreciation and amortization and lease right-of-use assets and related amortization, which are remeasured at historical exchange rates. Revenues and expenses are remeasured at average exchange rates in effect during each period. Gains or losses from foreign currency transactions are included in the Consolidated Statements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If the value of the U.S. dollar weakens relative to foreign currencies, this may have an unfavorable impact on our cash flows and operating results. We do not believe that a 10% change in the relative value of the U.S. dollar to other foreign currencies would have a material effect on our cash flows and operating results. </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INFLATION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do not believe that inflation has had a material impact on our business, results of operations or financial condition. Nonetheless, if our costs were to become subject to significant inflationary pressures, we may not be able to fully offset such higher costs through price increases. Our inability or failure to do so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24815"/>
                <wp:effectExtent l="0" t="0" r="0" b="0"/>
                <wp:wrapNone/>
                <wp:docPr id="97" name="Frame9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2924"/>
        <w:gridCol w:w="2399"/>
        <w:gridCol w:w="2399"/>
        <w:gridCol w:w="725"/>
        <w:gridCol w:w="725"/>
        <w:gridCol w:w="1033"/>
      </w:tblGrid>
      <w:tr>
        <w:trPr/>
        <w:tc>
          <w:tcPr>
            <w:tcW w:w="2924"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2E22"/>
                <w:sz w:val="24"/>
              </w:rPr>
            </w:pPr>
            <w:r>
              <w:rPr>
                <w:rFonts w:ascii="Expensify Neue;sans-serif" w:hAnsi="Expensify Neue;sans-serif"/>
                <w:b/>
                <w:color w:val="002E22"/>
                <w:sz w:val="24"/>
              </w:rPr>
              <w:t>Index to Consolidated Financial Statements</w:t>
            </w:r>
          </w:p>
        </w:tc>
      </w:tr>
      <w:tr>
        <w:trPr/>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535661967b491095a00c60e2250cef_848">
              <w:r>
                <w:rPr>
                  <w:rStyle w:val="InternetLink"/>
                  <w:rFonts w:ascii="Expensify Neue;sans-serif" w:hAnsi="Expensify Neue;sans-serif"/>
                  <w:b w:val="false"/>
                  <w:strike w:val="false"/>
                  <w:dstrike w:val="false"/>
                  <w:color w:val="000080"/>
                  <w:sz w:val="20"/>
                  <w:u w:val="single"/>
                  <w:effect w:val="none"/>
                </w:rPr>
                <w:t>Report</w:t>
              </w:r>
            </w:hyperlink>
            <w:hyperlink w:anchor="ib7535661967b491095a00c60e2250cef_848">
              <w:r>
                <w:rPr>
                  <w:rStyle w:val="InternetLink"/>
                  <w:rFonts w:ascii="Expensify Neue;sans-serif" w:hAnsi="Expensify Neue;sans-serif"/>
                  <w:b w:val="false"/>
                  <w:strike w:val="false"/>
                  <w:dstrike w:val="false"/>
                  <w:color w:val="000080"/>
                  <w:sz w:val="20"/>
                  <w:u w:val="single"/>
                  <w:effect w:val="none"/>
                </w:rPr>
                <w:t xml:space="preserve"> of Independent Registered Public Accounting Firm (</w:t>
              </w:r>
            </w:hyperlink>
            <w:r>
              <w:rPr>
                <w:rFonts w:ascii="Expensify Neue;sans-serif" w:hAnsi="Expensify Neue;sans-serif"/>
                <w:b w:val="false"/>
                <w:color w:val="03D47C"/>
                <w:sz w:val="20"/>
              </w:rPr>
              <w:t>KPMG LLP</w:t>
            </w:r>
            <w:hyperlink w:anchor="ib7535661967b491095a00c60e2250cef_848">
              <w:r>
                <w:rPr>
                  <w:rStyle w:val="InternetLink"/>
                  <w:rFonts w:ascii="Expensify Neue;sans-serif" w:hAnsi="Expensify Neue;sans-serif"/>
                  <w:b w:val="false"/>
                  <w:strike w:val="false"/>
                  <w:dstrike w:val="false"/>
                  <w:color w:val="03D47C"/>
                  <w:sz w:val="20"/>
                  <w:u w:val="none"/>
                  <w:effect w:val="none"/>
                </w:rPr>
                <w:t xml:space="preserve">, </w:t>
              </w:r>
            </w:hyperlink>
            <w:r>
              <w:rPr>
                <w:rFonts w:ascii="Expensify Neue;sans-serif" w:hAnsi="Expensify Neue;sans-serif"/>
                <w:b w:val="false"/>
                <w:color w:val="03D47C"/>
                <w:sz w:val="20"/>
              </w:rPr>
              <w:t>Philadelphia, PA</w:t>
            </w:r>
            <w:hyperlink w:anchor="ib7535661967b491095a00c60e2250cef_848">
              <w:r>
                <w:rPr>
                  <w:rStyle w:val="InternetLink"/>
                  <w:rFonts w:ascii="Expensify Neue;sans-serif" w:hAnsi="Expensify Neue;sans-serif"/>
                  <w:b w:val="false"/>
                  <w:strike w:val="false"/>
                  <w:dstrike w:val="false"/>
                  <w:color w:val="000080"/>
                  <w:sz w:val="20"/>
                  <w:u w:val="single"/>
                  <w:effect w:val="none"/>
                </w:rPr>
                <w:t>, Auditor Firm</w:t>
              </w:r>
            </w:hyperlink>
            <w:hyperlink w:anchor="ib7535661967b491095a00c60e2250cef_848">
              <w:r>
                <w:rPr>
                  <w:rStyle w:val="InternetLink"/>
                  <w:rFonts w:ascii="Expensify Neue;sans-serif" w:hAnsi="Expensify Neue;sans-serif"/>
                  <w:b w:val="false"/>
                  <w:strike w:val="false"/>
                  <w:dstrike w:val="false"/>
                  <w:color w:val="000080"/>
                  <w:sz w:val="20"/>
                  <w:u w:val="single"/>
                  <w:effect w:val="none"/>
                </w:rPr>
                <w:t xml:space="preserve"> </w:t>
              </w:r>
            </w:hyperlink>
            <w:hyperlink w:anchor="ib7535661967b491095a00c60e2250cef_848">
              <w:r>
                <w:rPr>
                  <w:rStyle w:val="InternetLink"/>
                  <w:rFonts w:ascii="Expensify Neue;sans-serif" w:hAnsi="Expensify Neue;sans-serif"/>
                  <w:b w:val="false"/>
                  <w:strike w:val="false"/>
                  <w:dstrike w:val="false"/>
                  <w:color w:val="000080"/>
                  <w:sz w:val="20"/>
                  <w:u w:val="single"/>
                  <w:effect w:val="none"/>
                </w:rPr>
                <w:t>ID:</w:t>
              </w:r>
            </w:hyperlink>
            <w:hyperlink w:anchor="ib7535661967b491095a00c60e2250cef_848">
              <w:r>
                <w:rPr>
                  <w:rStyle w:val="InternetLink"/>
                  <w:rFonts w:ascii="Expensify Neue;sans-serif" w:hAnsi="Expensify Neue;sans-serif"/>
                  <w:b w:val="false"/>
                  <w:strike w:val="false"/>
                  <w:dstrike w:val="false"/>
                  <w:color w:val="000080"/>
                  <w:sz w:val="20"/>
                  <w:u w:val="single"/>
                  <w:effect w:val="none"/>
                </w:rPr>
                <w:t xml:space="preserve"> </w:t>
              </w:r>
            </w:hyperlink>
            <w:r>
              <w:rPr>
                <w:rFonts w:ascii="Expensify Neue;sans-serif" w:hAnsi="Expensify Neue;sans-serif"/>
                <w:b w:val="false"/>
                <w:color w:val="03D47C"/>
                <w:sz w:val="20"/>
              </w:rPr>
              <w:t>185</w:t>
            </w:r>
            <w:hyperlink w:anchor="ib7535661967b491095a00c60e2250cef_848">
              <w:r>
                <w:rPr>
                  <w:rStyle w:val="InternetLink"/>
                  <w:rFonts w:ascii="Expensify Neue;sans-serif" w:hAnsi="Expensify Neue;sans-serif"/>
                  <w:b w:val="false"/>
                  <w:strike w:val="false"/>
                  <w:dstrike w:val="false"/>
                  <w:color w:val="03D47C"/>
                  <w:sz w:val="20"/>
                  <w:u w:val="none"/>
                  <w:effect w:val="none"/>
                </w:rPr>
                <w:t>)</w:t>
              </w:r>
            </w:hyperlink>
          </w:p>
        </w:tc>
        <w:tc>
          <w:tcPr>
            <w:tcW w:w="2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848">
              <w:r>
                <w:rPr>
                  <w:rStyle w:val="InternetLink"/>
                  <w:rFonts w:ascii="Expensify Neue;sans-serif" w:hAnsi="Expensify Neue;sans-serif"/>
                  <w:b w:val="false"/>
                  <w:strike w:val="false"/>
                  <w:dstrike w:val="false"/>
                  <w:color w:val="03D47C"/>
                  <w:sz w:val="20"/>
                  <w:u w:val="none"/>
                  <w:effect w:val="none"/>
                </w:rPr>
                <w:t>94</w:t>
              </w:r>
            </w:hyperlink>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535661967b491095a00c60e2250cef_91">
              <w:r>
                <w:rPr>
                  <w:rStyle w:val="InternetLink"/>
                  <w:rFonts w:ascii="Expensify Neue;sans-serif" w:hAnsi="Expensify Neue;sans-serif"/>
                  <w:b w:val="false"/>
                  <w:strike w:val="false"/>
                  <w:dstrike w:val="false"/>
                  <w:color w:val="03D47C"/>
                  <w:sz w:val="20"/>
                  <w:u w:val="none"/>
                  <w:effect w:val="none"/>
                </w:rPr>
                <w:t xml:space="preserve">Report of Independent Registered Public Accounting Firm (PCAOB ID: </w:t>
              </w:r>
            </w:hyperlink>
            <w:r>
              <w:rPr>
                <w:rFonts w:ascii="Expensify Neue;sans-serif" w:hAnsi="Expensify Neue;sans-serif"/>
                <w:b w:val="false"/>
                <w:color w:val="03D47C"/>
                <w:sz w:val="20"/>
              </w:rPr>
              <w:t>42</w:t>
            </w:r>
            <w:hyperlink w:anchor="ib7535661967b491095a00c60e2250cef_91">
              <w:r>
                <w:rPr>
                  <w:rStyle w:val="InternetLink"/>
                  <w:rFonts w:ascii="Expensify Neue;sans-serif" w:hAnsi="Expensify Neue;sans-serif"/>
                  <w:b w:val="false"/>
                  <w:strike w:val="false"/>
                  <w:dstrike w:val="false"/>
                  <w:color w:val="03D47C"/>
                  <w:sz w:val="20"/>
                  <w:u w:val="none"/>
                  <w:effect w:val="none"/>
                </w:rPr>
                <w:t>)</w:t>
              </w:r>
            </w:hyperlink>
          </w:p>
        </w:tc>
        <w:tc>
          <w:tcPr>
            <w:tcW w:w="2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91">
              <w:r>
                <w:rPr>
                  <w:rStyle w:val="InternetLink"/>
                  <w:rFonts w:ascii="Expensify Neue;sans-serif" w:hAnsi="Expensify Neue;sans-serif"/>
                  <w:b w:val="false"/>
                  <w:strike w:val="false"/>
                  <w:dstrike w:val="false"/>
                  <w:color w:val="03D47C"/>
                  <w:sz w:val="20"/>
                  <w:u w:val="none"/>
                  <w:effect w:val="none"/>
                </w:rPr>
                <w:t>97</w:t>
              </w:r>
            </w:hyperlink>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color w:val="002E22"/>
                <w:sz w:val="20"/>
              </w:rPr>
              <w:t>Consolidated Financial Statements</w:t>
            </w:r>
            <w:r>
              <w:rPr>
                <w:color w:val="002E22"/>
              </w:rPr>
              <w:t xml:space="preserve"> </w:t>
            </w:r>
          </w:p>
        </w:tc>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535661967b491095a00c60e2250cef_97">
              <w:r>
                <w:rPr>
                  <w:rStyle w:val="InternetLink"/>
                  <w:rFonts w:ascii="Expensify Neue;sans-serif" w:hAnsi="Expensify Neue;sans-serif"/>
                  <w:b w:val="false"/>
                  <w:strike w:val="false"/>
                  <w:dstrike w:val="false"/>
                  <w:color w:val="03D47C"/>
                  <w:sz w:val="20"/>
                  <w:u w:val="none"/>
                  <w:effect w:val="none"/>
                </w:rPr>
                <w:t>Consolidated Balance Sheets</w:t>
              </w:r>
            </w:hyperlink>
          </w:p>
        </w:tc>
        <w:tc>
          <w:tcPr>
            <w:tcW w:w="2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97">
              <w:r>
                <w:rPr>
                  <w:rStyle w:val="InternetLink"/>
                  <w:rFonts w:ascii="Expensify Neue;sans-serif" w:hAnsi="Expensify Neue;sans-serif"/>
                  <w:b w:val="false"/>
                  <w:strike w:val="false"/>
                  <w:dstrike w:val="false"/>
                  <w:color w:val="03D47C"/>
                  <w:sz w:val="20"/>
                  <w:u w:val="none"/>
                  <w:effect w:val="none"/>
                </w:rPr>
                <w:t>98</w:t>
              </w:r>
            </w:hyperlink>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535661967b491095a00c60e2250cef_100">
              <w:r>
                <w:rPr>
                  <w:rStyle w:val="InternetLink"/>
                  <w:rFonts w:ascii="Expensify Neue;sans-serif" w:hAnsi="Expensify Neue;sans-serif"/>
                  <w:b w:val="false"/>
                  <w:strike w:val="false"/>
                  <w:dstrike w:val="false"/>
                  <w:color w:val="03D47C"/>
                  <w:sz w:val="20"/>
                  <w:u w:val="none"/>
                  <w:effect w:val="none"/>
                </w:rPr>
                <w:t>Consolidated Statements of Operations</w:t>
              </w:r>
            </w:hyperlink>
          </w:p>
        </w:tc>
        <w:tc>
          <w:tcPr>
            <w:tcW w:w="2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100">
              <w:r>
                <w:rPr>
                  <w:rStyle w:val="InternetLink"/>
                  <w:rFonts w:ascii="Expensify Neue;sans-serif" w:hAnsi="Expensify Neue;sans-serif"/>
                  <w:b w:val="false"/>
                  <w:strike w:val="false"/>
                  <w:dstrike w:val="false"/>
                  <w:color w:val="03D47C"/>
                  <w:sz w:val="20"/>
                  <w:u w:val="none"/>
                  <w:effect w:val="none"/>
                </w:rPr>
                <w:t>99</w:t>
              </w:r>
            </w:hyperlink>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535661967b491095a00c60e2250cef_103">
              <w:r>
                <w:rPr>
                  <w:rStyle w:val="InternetLink"/>
                  <w:rFonts w:ascii="Expensify Neue;sans-serif" w:hAnsi="Expensify Neue;sans-serif"/>
                  <w:b w:val="false"/>
                  <w:strike w:val="false"/>
                  <w:dstrike w:val="false"/>
                  <w:color w:val="03D47C"/>
                  <w:sz w:val="20"/>
                  <w:u w:val="none"/>
                  <w:effect w:val="none"/>
                </w:rPr>
                <w:t>Consolidated Statements of Changes in Stockholders’ Equity</w:t>
              </w:r>
            </w:hyperlink>
          </w:p>
        </w:tc>
        <w:tc>
          <w:tcPr>
            <w:tcW w:w="2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103">
              <w:r>
                <w:rPr>
                  <w:rStyle w:val="InternetLink"/>
                  <w:rFonts w:ascii="Expensify Neue;sans-serif" w:hAnsi="Expensify Neue;sans-serif"/>
                  <w:b w:val="false"/>
                  <w:strike w:val="false"/>
                  <w:dstrike w:val="false"/>
                  <w:color w:val="03D47C"/>
                  <w:sz w:val="20"/>
                  <w:u w:val="none"/>
                  <w:effect w:val="none"/>
                </w:rPr>
                <w:t>100</w:t>
              </w:r>
            </w:hyperlink>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535661967b491095a00c60e2250cef_106">
              <w:r>
                <w:rPr>
                  <w:rStyle w:val="InternetLink"/>
                  <w:rFonts w:ascii="Expensify Neue;sans-serif" w:hAnsi="Expensify Neue;sans-serif"/>
                  <w:b w:val="false"/>
                  <w:strike w:val="false"/>
                  <w:dstrike w:val="false"/>
                  <w:color w:val="03D47C"/>
                  <w:sz w:val="20"/>
                  <w:u w:val="none"/>
                  <w:effect w:val="none"/>
                </w:rPr>
                <w:t>Consolidated Statements of Cash Flows</w:t>
              </w:r>
            </w:hyperlink>
          </w:p>
        </w:tc>
        <w:tc>
          <w:tcPr>
            <w:tcW w:w="2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106">
              <w:r>
                <w:rPr>
                  <w:rStyle w:val="InternetLink"/>
                  <w:rFonts w:ascii="Expensify Neue;sans-serif" w:hAnsi="Expensify Neue;sans-serif"/>
                  <w:b w:val="false"/>
                  <w:strike w:val="false"/>
                  <w:dstrike w:val="false"/>
                  <w:color w:val="03D47C"/>
                  <w:sz w:val="20"/>
                  <w:u w:val="none"/>
                  <w:effect w:val="none"/>
                </w:rPr>
                <w:t>101</w:t>
              </w:r>
            </w:hyperlink>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535661967b491095a00c60e2250cef_109">
              <w:r>
                <w:rPr>
                  <w:rStyle w:val="InternetLink"/>
                  <w:rFonts w:ascii="Expensify Neue;sans-serif" w:hAnsi="Expensify Neue;sans-serif"/>
                  <w:b w:val="false"/>
                  <w:strike w:val="false"/>
                  <w:dstrike w:val="false"/>
                  <w:color w:val="03D47C"/>
                  <w:sz w:val="20"/>
                  <w:u w:val="none"/>
                  <w:effect w:val="none"/>
                </w:rPr>
                <w:t>Notes to Consolidated Financial Statements</w:t>
              </w:r>
            </w:hyperlink>
          </w:p>
        </w:tc>
        <w:tc>
          <w:tcPr>
            <w:tcW w:w="2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535661967b491095a00c60e2250cef_109">
              <w:r>
                <w:rPr>
                  <w:rStyle w:val="InternetLink"/>
                  <w:rFonts w:ascii="Expensify Neue;sans-serif" w:hAnsi="Expensify Neue;sans-serif"/>
                  <w:b w:val="false"/>
                  <w:strike w:val="false"/>
                  <w:dstrike w:val="false"/>
                  <w:color w:val="03D47C"/>
                  <w:sz w:val="20"/>
                  <w:u w:val="none"/>
                  <w:effect w:val="none"/>
                </w:rPr>
                <w:t>103</w:t>
              </w:r>
            </w:hyperlink>
          </w:p>
        </w:tc>
      </w:tr>
      <w:tr>
        <w:trPr/>
        <w:tc>
          <w:tcPr>
            <w:tcW w:w="77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24815"/>
                <wp:effectExtent l="0" t="0" r="0" b="0"/>
                <wp:wrapNone/>
                <wp:docPr id="98" name="Frame9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Report of Independent Registered Public Accounting Firm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the Stockholders and the Board of Directors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Inc.:</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Opinions on the Consolidated Financial Statements and Internal Control Over Financial Reporting</w:t>
      </w:r>
    </w:p>
    <w:p>
      <w:pPr>
        <w:pStyle w:val="TextBody"/>
        <w:bidi w:val="0"/>
        <w:spacing w:lineRule="auto" w:line="288" w:before="0" w:after="160"/>
        <w:jc w:val="left"/>
        <w:rPr/>
      </w:pPr>
      <w:r>
        <w:rPr>
          <w:rFonts w:ascii="Expensify Neue;sans-serif" w:hAnsi="Expensify Neue;sans-serif"/>
          <w:b w:val="false"/>
          <w:color w:val="000000"/>
          <w:sz w:val="20"/>
        </w:rPr>
        <w:t xml:space="preserve">We have audited the accompanying consolidated balance sheet of Expensify, Inc. and subsidiaries (the Company) as of December 31, 2025, the related consolidated statements of operations, changes in stockholders’ equity, and cash flows for the year then ended, and the related notes (collectively, the consolidated financial statements). We also have audited the Company’s internal control over financial reporting as of December 31, 2025, based on criteria established in </w:t>
      </w:r>
      <w:r>
        <w:rPr>
          <w:rFonts w:ascii="Expensify Neue;sans-serif" w:hAnsi="Expensify Neue;sans-serif"/>
          <w:b w:val="false"/>
          <w:i/>
          <w:color w:val="000000"/>
          <w:sz w:val="20"/>
        </w:rPr>
        <w:t>Internal Control – Integrated Framework (2013)</w:t>
      </w:r>
      <w:r>
        <w:rPr>
          <w:color w:val="000000"/>
        </w:rPr>
        <w:t xml:space="preserve"> </w:t>
      </w:r>
      <w:r>
        <w:rPr>
          <w:rFonts w:ascii="Expensify Neue;sans-serif" w:hAnsi="Expensify Neue;sans-serif"/>
          <w:b w:val="false"/>
          <w:color w:val="000000"/>
          <w:sz w:val="20"/>
        </w:rPr>
        <w:t>issued by the Committee of Sponsoring Organizations of the Treadway Commission.</w:t>
      </w:r>
    </w:p>
    <w:p>
      <w:pPr>
        <w:pStyle w:val="TextBody"/>
        <w:bidi w:val="0"/>
        <w:spacing w:lineRule="auto" w:line="288" w:before="0" w:after="160"/>
        <w:jc w:val="left"/>
        <w:rPr/>
      </w:pPr>
      <w:r>
        <w:rPr>
          <w:rFonts w:ascii="Expensify Neue;sans-serif" w:hAnsi="Expensify Neue;sans-serif"/>
          <w:b w:val="false"/>
          <w:color w:val="000000"/>
          <w:sz w:val="20"/>
        </w:rPr>
        <w:t xml:space="preserve">In our opinion, the consolidated financial statements referred to above present fairly, in all material respects, the financial position of the Company as of December 31, 2025, and the results of its operations and its cash flows for the year then ended, in conformity with U.S. generally accepted accounting principles. Also in our opinion, the Company maintained, in all material respects, effective internal control over financial reporting as of December 31, 2025 based on criteria established in </w:t>
      </w:r>
      <w:r>
        <w:rPr>
          <w:rFonts w:ascii="Expensify Neue;sans-serif" w:hAnsi="Expensify Neue;sans-serif"/>
          <w:b w:val="false"/>
          <w:i/>
          <w:color w:val="000000"/>
          <w:sz w:val="20"/>
        </w:rPr>
        <w:t>Internal Control – Integrated Framework (2013)</w:t>
      </w:r>
      <w:r>
        <w:rPr>
          <w:color w:val="000000"/>
        </w:rPr>
        <w:t xml:space="preserve"> </w:t>
      </w:r>
      <w:r>
        <w:rPr>
          <w:rFonts w:ascii="Expensify Neue;sans-serif" w:hAnsi="Expensify Neue;sans-serif"/>
          <w:b w:val="false"/>
          <w:color w:val="000000"/>
          <w:sz w:val="20"/>
        </w:rPr>
        <w:t>issued by the Committee of Sponsoring Organizations of the Treadway Commission.</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Basis for Opinions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Definition and Limitations of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24815"/>
                <wp:effectExtent l="0" t="0" r="0" b="0"/>
                <wp:wrapNone/>
                <wp:docPr id="99" name="Frame9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Critical Audit Matter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60"/>
        <w:ind w:left="0" w:right="0" w:firstLine="720"/>
        <w:jc w:val="left"/>
        <w:rPr>
          <w:rFonts w:ascii="Expensify Neue;sans-serif" w:hAnsi="Expensify Neue;sans-serif"/>
          <w:b w:val="false"/>
          <w:i/>
          <w:color w:val="000000"/>
          <w:sz w:val="20"/>
        </w:rPr>
      </w:pPr>
      <w:r>
        <w:rPr>
          <w:rFonts w:ascii="Expensify Neue;sans-serif" w:hAnsi="Expensify Neue;sans-serif"/>
          <w:b w:val="false"/>
          <w:i/>
          <w:color w:val="000000"/>
          <w:sz w:val="20"/>
        </w:rPr>
        <w:t>Evaluation of the sufficiency of audit evidence over subscription fee revenue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discussed in Note 2 to the consolidated financial statements, the Company generates revenue from subscription fees paid by its customers to access and use the Company’s hosted software services, as well as standard customer support. Subscription fee revenue is recognized monthly based on the number of monthly members and the contractual rate per member. The Company recorded $130.5 million of subscription fee revenue for the year ended December 31, 2025.</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identified the evaluation of the sufficiency of audit evidence over subscription fee revenue as a critical audit matter. Subjective auditor judgment was required to evaluate the sufficiency of audit evidence obtained due to the highly automated nature of the process to record subscription fee revenue, which involves interfacing high volumes of data across multiple information technology (IT) systems. IT professionals with specialized skills and knowledge were also required to assess the IT environment in the subscription fee revenue process.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are the primary procedures we performed to address this critical audit matter. We applied auditor judgment to determine the nature and extent of audit procedures over subscription fee revenue. We evaluated the design and tested the operating effectiveness of certain internal controls related to the subscription fee revenue process. We involved IT professionals with specialized skills and knowledge, who assisted in the testing of certain general IT controls and IT application controls, including data interfaces, used in the Company’s subscription fee revenue process. We performed a software-assisted data analysis to test relationships among certain subscription fee revenue transactions. In addition, we evaluated the sufficiency of audit evidence obtained over subscription fee revenue by assessing the results of procedures performed, including the appropriateness of the nature and extent of such evidence.</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24815"/>
                <wp:effectExtent l="0" t="0" r="0" b="0"/>
                <wp:wrapNone/>
                <wp:docPr id="100" name="Frame9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Expensify Neue;sans-serif" w:hAnsi="Expensify Neue;sans-serif"/>
          <w:b w:val="false"/>
          <w:color w:val="000000"/>
          <w:sz w:val="20"/>
        </w:rPr>
      </w:pPr>
      <w:r>
        <w:rPr>
          <w:rFonts w:ascii="Expensify Neue;sans-serif" w:hAnsi="Expensify Neue;sans-serif"/>
          <w:b w:val="false"/>
          <w:color w:val="000000"/>
          <w:sz w:val="20"/>
        </w:rPr>
        <w:t>/s/ KPMG LLP</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served as the Company’s auditor since 2025.</w:t>
      </w:r>
    </w:p>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Philadelphia, Pennsylvania</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February 26, 2026</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24815"/>
                <wp:effectExtent l="0" t="0" r="0" b="0"/>
                <wp:wrapNone/>
                <wp:docPr id="101" name="Frame9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96</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Report of Independent Registered Public Accounting Firm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the Stockholders and the Board of Directors of Expensify, Inc.</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Opinion on the Financial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audited the accompanying consolidated balance sheet of Expensify, Inc. (the Company) as of December 31, 2024, the related consolidated statements of operations, changes in stockholders’ equity and cash flows for the year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the year ended December 31, 2024, in conformity with U.S. generally accepted accounting principles.</w:t>
      </w:r>
    </w:p>
    <w:p>
      <w:pPr>
        <w:pStyle w:val="TextBody"/>
        <w:bidi w:val="0"/>
        <w:spacing w:lineRule="auto" w:line="288" w:before="0" w:after="160"/>
        <w:jc w:val="left"/>
        <w:rPr/>
      </w:pPr>
      <w:r>
        <w:rPr>
          <w:rFonts w:ascii="Expensify Neue;sans-serif" w:hAnsi="Expensify Neue;sans-serif"/>
          <w:b/>
          <w:color w:val="03D47C"/>
          <w:sz w:val="20"/>
        </w:rPr>
        <w:t>Basis for Opinion</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60"/>
        <w:jc w:val="left"/>
        <w:rPr/>
      </w:pPr>
      <w:r>
        <w:rPr/>
      </w:r>
    </w:p>
    <w:tbl>
      <w:tblPr>
        <w:tblW w:w="6224" w:type="dxa"/>
        <w:jc w:val="left"/>
        <w:tblInd w:w="0" w:type="dxa"/>
        <w:tblLayout w:type="fixed"/>
        <w:tblCellMar>
          <w:top w:w="28" w:type="dxa"/>
          <w:left w:w="28" w:type="dxa"/>
          <w:bottom w:w="28" w:type="dxa"/>
          <w:right w:w="28" w:type="dxa"/>
        </w:tblCellMar>
      </w:tblPr>
      <w:tblGrid>
        <w:gridCol w:w="1990"/>
        <w:gridCol w:w="1747"/>
        <w:gridCol w:w="2487"/>
      </w:tblGrid>
      <w:tr>
        <w:trPr/>
        <w:tc>
          <w:tcPr>
            <w:tcW w:w="1990"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 Ernst &amp; Young LLP</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served as the Company’s auditor from 2020 to 2025.</w:t>
            </w:r>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San Francisco, California</w:t>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February 27,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24815"/>
                <wp:effectExtent l="0" t="0" r="0" b="0"/>
                <wp:wrapNone/>
                <wp:docPr id="102" name="Frame10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Consolidated Balance Sheets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(in thousands, except share and per share data)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827"/>
        <w:gridCol w:w="2343"/>
        <w:gridCol w:w="2369"/>
        <w:gridCol w:w="211"/>
        <w:gridCol w:w="826"/>
        <w:gridCol w:w="109"/>
        <w:gridCol w:w="109"/>
        <w:gridCol w:w="109"/>
        <w:gridCol w:w="109"/>
        <w:gridCol w:w="211"/>
        <w:gridCol w:w="826"/>
        <w:gridCol w:w="156"/>
      </w:tblGrid>
      <w:tr>
        <w:trPr/>
        <w:tc>
          <w:tcPr>
            <w:tcW w:w="282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48,772 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42,406 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20,908 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136,876 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Capitalized software,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Deferred tax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185,989 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173,680 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28,845 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46,405 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38,010 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53,244 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45,437 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Commitments and contingencies (Note 12)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Preferred stock, par value $0.0001; 10,000,000 shares of preferred stock authorized; no shares of preferred stock issued and outstanding as of December 31, 2025 and 2024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Common stock, par value $0.0001;</w:t>
            </w:r>
          </w:p>
          <w:p>
            <w:pPr>
              <w:pStyle w:val="TableContents"/>
              <w:bidi w:val="0"/>
              <w:spacing w:lineRule="auto" w:line="240" w:before="0" w:after="6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Class A common stock; 1,000,000,000 shares authorized; 80,767,385 and 79,471,414 shares issued and outstanding as of December 31, 2025 and 2024, respectively</w:t>
            </w:r>
          </w:p>
          <w:p>
            <w:pPr>
              <w:pStyle w:val="TableContents"/>
              <w:bidi w:val="0"/>
              <w:spacing w:lineRule="auto" w:line="240" w:before="0" w:after="6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LT10 common stock; 21,871,197 shares authorized; 4,209,827 shares issued and outstanding as of December 31, 2025 and 2024</w:t>
            </w:r>
          </w:p>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LT50 common stock; 24,967,114 shares authorized; 8,083,690 and 7,695,524 shares issued and outstanding as of December 31, 2025 and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304,953 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279,062 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(172,217)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(150,828)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 and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185,989 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173,680 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54430"/>
                <wp:effectExtent l="0" t="0" r="0" b="0"/>
                <wp:wrapNone/>
                <wp:docPr id="103" name="Frame101"/>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98</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98</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Consolidated Statements of Operations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(in thousands, except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519"/>
        <w:gridCol w:w="2174"/>
        <w:gridCol w:w="2196"/>
        <w:gridCol w:w="240"/>
        <w:gridCol w:w="1006"/>
        <w:gridCol w:w="111"/>
        <w:gridCol w:w="111"/>
        <w:gridCol w:w="111"/>
        <w:gridCol w:w="111"/>
        <w:gridCol w:w="240"/>
        <w:gridCol w:w="1006"/>
        <w:gridCol w:w="111"/>
        <w:gridCol w:w="109"/>
        <w:gridCol w:w="160"/>
      </w:tblGrid>
      <w:tr>
        <w:trPr/>
        <w:tc>
          <w:tcPr>
            <w:tcW w:w="251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9" w:type="dxa"/>
            <w:gridSpan w:val="2"/>
            <w:tcBorders/>
          </w:tcPr>
          <w:p>
            <w:pPr>
              <w:pStyle w:val="TableContents"/>
              <w:bidi w:val="0"/>
              <w:spacing w:before="0" w:after="283"/>
              <w:jc w:val="left"/>
              <w:rPr>
                <w:sz w:val="4"/>
                <w:szCs w:val="4"/>
              </w:rPr>
            </w:pPr>
            <w:r>
              <w:rPr>
                <w:sz w:val="4"/>
                <w:szCs w:val="4"/>
              </w:rPr>
            </w:r>
          </w:p>
        </w:tc>
      </w:tr>
      <w:tr>
        <w:trPr/>
        <w:tc>
          <w:tcPr>
            <w:tcW w:w="6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142,101 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139,236 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Cost of revenue,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70,574 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64,239 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71,527 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74,997 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Operating expenses:</w:t>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Research and development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20,683 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24,638 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42,121 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38,382 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Sales and marketing</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26,742 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12,797 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89,546 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75,817 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(18,019)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income (expense),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(16,293)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(2,392)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Provision for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(5,096)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(7,663)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(21,389)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(10,055)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per share:</w:t>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Basic and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Weighted average shares of common stock used to compute net loss per share:</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92,283,974 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87,380,708 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54430"/>
                <wp:effectExtent l="0" t="0" r="0" b="0"/>
                <wp:wrapNone/>
                <wp:docPr id="104" name="Frame102"/>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99</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99</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pPr>
      <w:r>
        <w:rPr>
          <w:rFonts w:ascii="Expensify Neue;sans-serif" w:hAnsi="Expensify Neue;sans-serif"/>
          <w:b/>
          <w:color w:val="000000"/>
          <w:sz w:val="24"/>
        </w:rPr>
        <w:t>Consolidated Statements of Changes in Stockholders’ Equity</w:t>
        <w:br/>
      </w:r>
      <w:r>
        <w:rPr>
          <w:rFonts w:ascii="Expensify Neue;sans-serif" w:hAnsi="Expensify Neue;sans-serif"/>
          <w:b/>
          <w:color w:val="000000"/>
          <w:sz w:val="20"/>
        </w:rPr>
        <w:t>(in thousands, except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tbl>
      <w:tblPr>
        <w:tblW w:w="11473" w:type="dxa"/>
        <w:jc w:val="left"/>
        <w:tblInd w:w="0" w:type="dxa"/>
        <w:tblLayout w:type="fixed"/>
        <w:tblCellMar>
          <w:top w:w="28" w:type="dxa"/>
          <w:left w:w="28" w:type="dxa"/>
          <w:bottom w:w="28" w:type="dxa"/>
          <w:right w:w="28" w:type="dxa"/>
        </w:tblCellMar>
      </w:tblPr>
      <w:tblGrid>
        <w:gridCol w:w="929"/>
        <w:gridCol w:w="315"/>
        <w:gridCol w:w="317"/>
        <w:gridCol w:w="245"/>
        <w:gridCol w:w="245"/>
        <w:gridCol w:w="246"/>
        <w:gridCol w:w="109"/>
        <w:gridCol w:w="109"/>
        <w:gridCol w:w="109"/>
        <w:gridCol w:w="244"/>
        <w:gridCol w:w="470"/>
        <w:gridCol w:w="127"/>
        <w:gridCol w:w="109"/>
        <w:gridCol w:w="109"/>
        <w:gridCol w:w="109"/>
        <w:gridCol w:w="109"/>
        <w:gridCol w:w="109"/>
        <w:gridCol w:w="109"/>
        <w:gridCol w:w="540"/>
        <w:gridCol w:w="541"/>
        <w:gridCol w:w="246"/>
        <w:gridCol w:w="109"/>
        <w:gridCol w:w="109"/>
        <w:gridCol w:w="109"/>
        <w:gridCol w:w="308"/>
        <w:gridCol w:w="373"/>
        <w:gridCol w:w="160"/>
        <w:gridCol w:w="109"/>
        <w:gridCol w:w="109"/>
        <w:gridCol w:w="109"/>
        <w:gridCol w:w="211"/>
        <w:gridCol w:w="826"/>
        <w:gridCol w:w="109"/>
        <w:gridCol w:w="109"/>
        <w:gridCol w:w="109"/>
        <w:gridCol w:w="109"/>
        <w:gridCol w:w="240"/>
        <w:gridCol w:w="956"/>
        <w:gridCol w:w="125"/>
        <w:gridCol w:w="109"/>
        <w:gridCol w:w="109"/>
        <w:gridCol w:w="109"/>
        <w:gridCol w:w="249"/>
        <w:gridCol w:w="978"/>
        <w:gridCol w:w="184"/>
      </w:tblGrid>
      <w:tr>
        <w:trPr/>
        <w:tc>
          <w:tcPr>
            <w:tcW w:w="9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Balance at December 31, 2023</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85,225,328 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241,509 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(140,773)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100,744 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Issuance of common stock upon exercise of stock options, net of shares exchanged for payment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1,915,660 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431 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Vesting of early exercised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426 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Issuance of restricted stock units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35,808 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70 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Repurchases of early exercised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(32,954)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Issuance of common stock under Matching Plan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4,084,514 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4,091 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Issuance of common stock in connection with restricted stock units vesting</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1,441,804 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Shares withheld from common stock issued to pay employee payroll taxes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(647,457)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(2,179)</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Repurchase and retirement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(645,938)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(1,510)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36,225 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(10,055)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(10,055)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Balance at December 31, 2024</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91,376,765 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279,062 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(150,828)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128,243 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Issuance of common stock upon exercise of stock options</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361,924 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323 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11,218 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33 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of liability-classified restricted common shares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628,359 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4,493,975 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6,321 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1,011,779 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Repurchase and retirement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(4,823,118)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(9,095)</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28,196 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(21,389)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(21,389)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Balance at December 31, 2025</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93,060,902 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304,953 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(172,217)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132,745 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54430"/>
                <wp:effectExtent l="0" t="0" r="0" b="0"/>
                <wp:wrapNone/>
                <wp:docPr id="105" name="Frame103"/>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8817" w:type="dxa"/>
                              <w:jc w:val="center"/>
                              <w:tblInd w:w="0" w:type="dxa"/>
                              <w:tblLayout w:type="fixed"/>
                              <w:tblCellMar>
                                <w:top w:w="28" w:type="dxa"/>
                                <w:left w:w="28" w:type="dxa"/>
                                <w:bottom w:w="28" w:type="dxa"/>
                                <w:right w:w="28" w:type="dxa"/>
                              </w:tblCellMar>
                            </w:tblPr>
                            <w:tblGrid>
                              <w:gridCol w:w="925"/>
                              <w:gridCol w:w="809"/>
                              <w:gridCol w:w="809"/>
                              <w:gridCol w:w="1153"/>
                              <w:gridCol w:w="1153"/>
                              <w:gridCol w:w="1164"/>
                              <w:gridCol w:w="809"/>
                              <w:gridCol w:w="809"/>
                              <w:gridCol w:w="1186"/>
                            </w:tblGrid>
                            <w:tr>
                              <w:trPr/>
                              <w:tc>
                                <w:tcPr>
                                  <w:tcW w:w="9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100</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7"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8817" w:type="dxa"/>
                        <w:jc w:val="center"/>
                        <w:tblInd w:w="0" w:type="dxa"/>
                        <w:tblLayout w:type="fixed"/>
                        <w:tblCellMar>
                          <w:top w:w="28" w:type="dxa"/>
                          <w:left w:w="28" w:type="dxa"/>
                          <w:bottom w:w="28" w:type="dxa"/>
                          <w:right w:w="28" w:type="dxa"/>
                        </w:tblCellMar>
                      </w:tblPr>
                      <w:tblGrid>
                        <w:gridCol w:w="925"/>
                        <w:gridCol w:w="809"/>
                        <w:gridCol w:w="809"/>
                        <w:gridCol w:w="1153"/>
                        <w:gridCol w:w="1153"/>
                        <w:gridCol w:w="1164"/>
                        <w:gridCol w:w="809"/>
                        <w:gridCol w:w="809"/>
                        <w:gridCol w:w="1186"/>
                      </w:tblGrid>
                      <w:tr>
                        <w:trPr/>
                        <w:tc>
                          <w:tcPr>
                            <w:tcW w:w="9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100</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7"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Consolidated Statements of Cash Flows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(in thousands)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054" w:type="dxa"/>
        <w:jc w:val="left"/>
        <w:tblInd w:w="0" w:type="dxa"/>
        <w:tblLayout w:type="fixed"/>
        <w:tblCellMar>
          <w:top w:w="28" w:type="dxa"/>
          <w:left w:w="28" w:type="dxa"/>
          <w:bottom w:w="28" w:type="dxa"/>
          <w:right w:w="28" w:type="dxa"/>
        </w:tblCellMar>
      </w:tblPr>
      <w:tblGrid>
        <w:gridCol w:w="2472"/>
        <w:gridCol w:w="2169"/>
        <w:gridCol w:w="2183"/>
        <w:gridCol w:w="234"/>
        <w:gridCol w:w="983"/>
        <w:gridCol w:w="113"/>
        <w:gridCol w:w="113"/>
        <w:gridCol w:w="113"/>
        <w:gridCol w:w="113"/>
        <w:gridCol w:w="234"/>
        <w:gridCol w:w="951"/>
        <w:gridCol w:w="113"/>
        <w:gridCol w:w="109"/>
        <w:gridCol w:w="154"/>
      </w:tblGrid>
      <w:tr>
        <w:trPr/>
        <w:tc>
          <w:tcPr>
            <w:tcW w:w="247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flows from operating activities:</w:t>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(21,389)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(10,055)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Adjustments to reconcile net loss to cash provided by operating activities:</w:t>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Depreciation and amortization</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8,460 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6,814 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 xml:space="preserve">Reduction of operating lease right-of-use assets </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Loss on impairment, receivables and sale or disposal of equipment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26,578 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33,537 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Amortization of debt issuance costs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Deferred tax assets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Changes in assets and liabilities:</w:t>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Accounts receivable, net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(355)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assets, net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Prepaid expenses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6,501 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current assets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(6,852)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assets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Accounts payable</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Accrued expenses and other liabilities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Operating lease liabilities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liabilities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Other liabilities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cash provided by operating activities</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20,089 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23,877 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flows from investing activities:</w:t>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Purchase of property and equipment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Software development costs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(3,538)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(7,628)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cash used in investing activities</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(3,555)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(7,628)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flows from financing activities:</w:t>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Principal payments of finance leases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Principal payments of outstanding debt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(22,671)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Payments for debt issuance costs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Proceeds from common stock purchased under Matching Plan</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6,321 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4,091 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Proceeds from issuance of common stock on exercise of stock options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Payments for employee taxes withheld from stock-based awards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(9,095)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cash used in financing activities</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(2,744)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(22,073)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increase (decrease) in cash and cash equivalents and restricted cash</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13,790 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(5,824)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and cash equivalents and restricted cash, beginning of period</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90,834 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96,658 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and cash equivalents and restricted cash, end of period</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104,624 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90,834 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54430"/>
                <wp:effectExtent l="0" t="0" r="0" b="0"/>
                <wp:wrapNone/>
                <wp:docPr id="106" name="Frame104"/>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8817" w:type="dxa"/>
                              <w:jc w:val="center"/>
                              <w:tblInd w:w="0" w:type="dxa"/>
                              <w:tblLayout w:type="fixed"/>
                              <w:tblCellMar>
                                <w:top w:w="28" w:type="dxa"/>
                                <w:left w:w="28" w:type="dxa"/>
                                <w:bottom w:w="28" w:type="dxa"/>
                                <w:right w:w="28" w:type="dxa"/>
                              </w:tblCellMar>
                            </w:tblPr>
                            <w:tblGrid>
                              <w:gridCol w:w="925"/>
                              <w:gridCol w:w="809"/>
                              <w:gridCol w:w="809"/>
                              <w:gridCol w:w="1153"/>
                              <w:gridCol w:w="1153"/>
                              <w:gridCol w:w="1164"/>
                              <w:gridCol w:w="809"/>
                              <w:gridCol w:w="809"/>
                              <w:gridCol w:w="1186"/>
                            </w:tblGrid>
                            <w:tr>
                              <w:trPr/>
                              <w:tc>
                                <w:tcPr>
                                  <w:tcW w:w="9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101</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7"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8817" w:type="dxa"/>
                        <w:jc w:val="center"/>
                        <w:tblInd w:w="0" w:type="dxa"/>
                        <w:tblLayout w:type="fixed"/>
                        <w:tblCellMar>
                          <w:top w:w="28" w:type="dxa"/>
                          <w:left w:w="28" w:type="dxa"/>
                          <w:bottom w:w="28" w:type="dxa"/>
                          <w:right w:w="28" w:type="dxa"/>
                        </w:tblCellMar>
                      </w:tblPr>
                      <w:tblGrid>
                        <w:gridCol w:w="925"/>
                        <w:gridCol w:w="809"/>
                        <w:gridCol w:w="809"/>
                        <w:gridCol w:w="1153"/>
                        <w:gridCol w:w="1153"/>
                        <w:gridCol w:w="1164"/>
                        <w:gridCol w:w="809"/>
                        <w:gridCol w:w="809"/>
                        <w:gridCol w:w="1186"/>
                      </w:tblGrid>
                      <w:tr>
                        <w:trPr/>
                        <w:tc>
                          <w:tcPr>
                            <w:tcW w:w="9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101</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7"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49"/>
        <w:gridCol w:w="2258"/>
        <w:gridCol w:w="2264"/>
        <w:gridCol w:w="226"/>
        <w:gridCol w:w="946"/>
        <w:gridCol w:w="109"/>
        <w:gridCol w:w="109"/>
        <w:gridCol w:w="109"/>
        <w:gridCol w:w="109"/>
        <w:gridCol w:w="226"/>
        <w:gridCol w:w="826"/>
        <w:gridCol w:w="109"/>
        <w:gridCol w:w="109"/>
        <w:gridCol w:w="156"/>
      </w:tblGrid>
      <w:tr>
        <w:trPr/>
        <w:tc>
          <w:tcPr>
            <w:tcW w:w="264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Supplemental disclosure of cash flow information:</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paid for interest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Noncash investing and financing items: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 capitalized as software development costs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Purchases of property and equipment and capitalized software in accounts payable and accrued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Fair value of common stock issued to settle liability-classified restricted stock units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Cashless exercise of stock options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Reconciliation of cash and cash equivalents and restricted cash to the Consolidated Balance Sheets: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Restricted cash included in other 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Restricted cash included in settlement assets,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cash and cash equivalents and restricted cash</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104,624 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90,834 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54430"/>
                <wp:effectExtent l="0" t="0" r="0" b="0"/>
                <wp:wrapNone/>
                <wp:docPr id="107" name="Frame105"/>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tbl>
                            <w:tblPr>
                              <w:tblW w:w="8817" w:type="dxa"/>
                              <w:jc w:val="center"/>
                              <w:tblInd w:w="0" w:type="dxa"/>
                              <w:tblLayout w:type="fixed"/>
                              <w:tblCellMar>
                                <w:top w:w="28" w:type="dxa"/>
                                <w:left w:w="28" w:type="dxa"/>
                                <w:bottom w:w="28" w:type="dxa"/>
                                <w:right w:w="28" w:type="dxa"/>
                              </w:tblCellMar>
                            </w:tblPr>
                            <w:tblGrid>
                              <w:gridCol w:w="925"/>
                              <w:gridCol w:w="809"/>
                              <w:gridCol w:w="809"/>
                              <w:gridCol w:w="1153"/>
                              <w:gridCol w:w="1153"/>
                              <w:gridCol w:w="1164"/>
                              <w:gridCol w:w="809"/>
                              <w:gridCol w:w="809"/>
                              <w:gridCol w:w="1186"/>
                            </w:tblGrid>
                            <w:tr>
                              <w:trPr/>
                              <w:tc>
                                <w:tcPr>
                                  <w:tcW w:w="9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102</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7"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tbl>
                      <w:tblPr>
                        <w:tblW w:w="8817" w:type="dxa"/>
                        <w:jc w:val="center"/>
                        <w:tblInd w:w="0" w:type="dxa"/>
                        <w:tblLayout w:type="fixed"/>
                        <w:tblCellMar>
                          <w:top w:w="28" w:type="dxa"/>
                          <w:left w:w="28" w:type="dxa"/>
                          <w:bottom w:w="28" w:type="dxa"/>
                          <w:right w:w="28" w:type="dxa"/>
                        </w:tblCellMar>
                      </w:tblPr>
                      <w:tblGrid>
                        <w:gridCol w:w="925"/>
                        <w:gridCol w:w="809"/>
                        <w:gridCol w:w="809"/>
                        <w:gridCol w:w="1153"/>
                        <w:gridCol w:w="1153"/>
                        <w:gridCol w:w="1164"/>
                        <w:gridCol w:w="809"/>
                        <w:gridCol w:w="809"/>
                        <w:gridCol w:w="1186"/>
                      </w:tblGrid>
                      <w:tr>
                        <w:trPr/>
                        <w:tc>
                          <w:tcPr>
                            <w:tcW w:w="9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102</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7"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1 – DESCRIPTION OF BUSINESS AND BASIS OF PRESENTATION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Description of the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and enterprises primarily on a per-active-member basis. Expensify has subsidiaries in the United States (“U.S.”), Australia, Canada, Netherlands and the United Kingdom (“UK”).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also offers an Expensify charge card (the “Expensify Card”), which is primarily distributed to corporate customers in the U.S. who subsequently distribute the card to their employees for business use. The Expensify Card allows customers to have real-time control over their employees' spending and compliance with spending limits in addition to eReceipt reporting on purchases.</w:t>
      </w:r>
    </w:p>
    <w:p>
      <w:pPr>
        <w:pStyle w:val="TextBody"/>
        <w:bidi w:val="0"/>
        <w:spacing w:lineRule="auto" w:line="288" w:before="0" w:after="160"/>
        <w:jc w:val="left"/>
        <w:rPr/>
      </w:pPr>
      <w:r>
        <w:rPr>
          <w:rFonts w:ascii="Expensify Neue;sans-serif" w:hAnsi="Expensify Neue;sans-serif"/>
          <w:b w:val="false"/>
          <w:color w:val="000000"/>
          <w:sz w:val="20"/>
        </w:rPr>
        <w:t xml:space="preserve">As of December 31, 2025, </w:t>
      </w:r>
      <w:r>
        <w:rPr>
          <w:rFonts w:ascii="Expensify Neue;sans-serif" w:hAnsi="Expensify Neue;sans-serif"/>
          <w:b w:val="false"/>
          <w:color w:val="000000"/>
          <w:sz w:val="20"/>
          <w:shd w:fill="FFFFFF" w:val="clear"/>
        </w:rPr>
        <w:t xml:space="preserve">the Expensify Card substantially consisted of a single card program that launched in February 2024 (the “Updated Card Program”). </w:t>
      </w:r>
      <w:r>
        <w:rPr>
          <w:rFonts w:ascii="Expensify Neue;sans-serif" w:hAnsi="Expensify Neue;sans-serif"/>
          <w:b w:val="false"/>
          <w:color w:val="000000"/>
          <w:sz w:val="20"/>
        </w:rPr>
        <w:t xml:space="preserve">The Updated Card Program operates under an agreement with the issuing bank, </w:t>
      </w:r>
      <w:r>
        <w:rPr>
          <w:rFonts w:ascii="Expensify Neue;sans-serif" w:hAnsi="Expensify Neue;sans-serif"/>
          <w:b w:val="false"/>
          <w:color w:val="000000"/>
          <w:sz w:val="20"/>
          <w:shd w:fill="FFFFFF" w:val="clear"/>
        </w:rPr>
        <w:t>The Bancorp Bank, N.A. (“Bancorp”),</w:t>
      </w:r>
      <w:r>
        <w:rPr>
          <w:color w:val="000000"/>
        </w:rPr>
        <w:t xml:space="preserve"> </w:t>
      </w:r>
      <w:r>
        <w:rPr>
          <w:rFonts w:ascii="Expensify Neue;sans-serif" w:hAnsi="Expensify Neue;sans-serif"/>
          <w:b w:val="false"/>
          <w:color w:val="000000"/>
          <w:sz w:val="20"/>
        </w:rPr>
        <w:t>to issue Expensify Cards to customers and authorize and settle transactions on the Visa card network.</w:t>
      </w:r>
    </w:p>
    <w:p>
      <w:pPr>
        <w:pStyle w:val="TextBody"/>
        <w:bidi w:val="0"/>
        <w:spacing w:lineRule="auto" w:line="288" w:before="0" w:after="160"/>
        <w:jc w:val="left"/>
        <w:rPr/>
      </w:pPr>
      <w:r>
        <w:rPr>
          <w:rFonts w:ascii="Expensify Neue;sans-serif" w:hAnsi="Expensify Neue;sans-serif"/>
          <w:b/>
          <w:color w:val="000000"/>
          <w:sz w:val="20"/>
        </w:rPr>
        <w:t>Basis of Presentation and Principles of Consolidation</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accompanying consolidated financial statements include the accounts of Expensify, its wholly-owned subsidiaries, and Expensify.org (collectively, the “Company”) and have been prepared in accordance with U.S. generally accepted accounting principles (“GAAP”). All intercompany transactions and balances have been eliminated in consolidation. In the opinion of management, the accompanying consolidated financial statements reflect all normal and recurring adjustments that are necessary for the fair presentation of the Company's financial position, results of operations, equity, and cash flows for the periods presented.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Reclassification Presentation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Certain prior period amounts have been reclassified for consistency with the current period presentation. These reclassifications had no effect on the reported results of financial position,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2 – SUMMARY OF SIGNIFICANT ACCOUNTING POLICIES</w:t>
      </w:r>
    </w:p>
    <w:p>
      <w:pPr>
        <w:pStyle w:val="TextBody"/>
        <w:bidi w:val="0"/>
        <w:spacing w:lineRule="auto" w:line="288" w:before="0" w:after="160"/>
        <w:jc w:val="left"/>
        <w:rPr/>
      </w:pPr>
      <w:r>
        <w:rPr>
          <w:rFonts w:ascii="Expensify Neue;sans-serif" w:hAnsi="Expensify Neue;sans-serif"/>
          <w:b/>
          <w:color w:val="000000"/>
          <w:sz w:val="20"/>
        </w:rPr>
        <w:t>Use of Estimates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preparation of consolidated financial statements in conformity with GAAP requires management to make estimates and 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7955"/>
                <wp:effectExtent l="0" t="0" r="0" b="0"/>
                <wp:wrapNone/>
                <wp:docPr id="108" name="Frame10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Estimates and assumptions by management affect the Company’s classification of employee and employee-related expenses, the useful lives and recoverability of long-lived assets and deferred contract acquisition costs, income taxes, capitalization of internal-use software costs, and stock-based compensation.</w:t>
      </w:r>
    </w:p>
    <w:p>
      <w:pPr>
        <w:pStyle w:val="TextBody"/>
        <w:bidi w:val="0"/>
        <w:spacing w:lineRule="auto" w:line="288" w:before="0" w:after="160"/>
        <w:jc w:val="left"/>
        <w:rPr/>
      </w:pPr>
      <w:r>
        <w:rPr>
          <w:rFonts w:ascii="Expensify Neue;sans-serif" w:hAnsi="Expensify Neue;sans-serif"/>
          <w:b/>
          <w:color w:val="000000"/>
          <w:sz w:val="20"/>
        </w:rPr>
        <w:t>Foreign Currency</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uses the U.S. dollar as its functional currency. Foreign currency assets and liabilities are remeasured into the U.S. dollar at the end-of-period exchange rates except for prepaid expenses, property and equipment and related depreciation and amortization, and lease ROU assets and related amortization, which are remeasured at the historical exchange rates. Revenues and expenses are remeasured at average exchange rates in effect during each period. Gains or losses from foreign currency transactions are included within Other income (expense), net on the Consolidated Statements of Operations.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Comprehensive Loss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has no components of other comprehensive loss. Therefore, net loss equals comprehensive loss for all periods presented.</w:t>
      </w:r>
    </w:p>
    <w:p>
      <w:pPr>
        <w:pStyle w:val="TextBody"/>
        <w:bidi w:val="0"/>
        <w:spacing w:lineRule="auto" w:line="288" w:before="0" w:after="160"/>
        <w:jc w:val="left"/>
        <w:rPr/>
      </w:pPr>
      <w:r>
        <w:rPr>
          <w:rFonts w:ascii="Expensify Neue;sans-serif" w:hAnsi="Expensify Neue;sans-serif"/>
          <w:b/>
          <w:color w:val="000000"/>
          <w:sz w:val="20"/>
        </w:rPr>
        <w:t>Cash and Cash Equivalents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Cash consists of funds deposited with banks. The Company considers all highly liquid investments with an original maturity of three months or less at the date of purchase to be cash equivalents. The recorded carrying amount of cash equivalents, which is cost plus accrued interest, if any, approximates fair value. As of December 31, 2025 and 2024, the Company had no cash equivalents.</w:t>
      </w:r>
    </w:p>
    <w:p>
      <w:pPr>
        <w:pStyle w:val="TextBody"/>
        <w:bidi w:val="0"/>
        <w:spacing w:lineRule="auto" w:line="288" w:before="0" w:after="160"/>
        <w:jc w:val="left"/>
        <w:rPr/>
      </w:pPr>
      <w:r>
        <w:rPr>
          <w:rFonts w:ascii="Expensify Neue;sans-serif" w:hAnsi="Expensify Neue;sans-serif"/>
          <w:b/>
          <w:color w:val="000000"/>
          <w:sz w:val="20"/>
        </w:rPr>
        <w:t>Restricted Cash</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Restricted cash primarily includes Expensify Card posted collateral, cash held by Expensify.org for social justice and equity efforts of Expensify.org, and earned interchange held for the benefit of the Company until released by the issuing bank. Refer to Note 6 for the breakout of these amounts within Other current assets as of December 31, 2025 and 2024.</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Restricted cash also includes amounts within Settlement assets, net for funds held for customers that are deposited into a commercial bank account held by the Company for the benefit of the customers until remitted to the customer's members. Refer to the settlement assets and liabilities policy note below for further detail.</w:t>
      </w:r>
    </w:p>
    <w:p>
      <w:pPr>
        <w:pStyle w:val="TextBody"/>
        <w:bidi w:val="0"/>
        <w:spacing w:lineRule="auto" w:line="288" w:before="0" w:after="160"/>
        <w:jc w:val="left"/>
        <w:rPr/>
      </w:pPr>
      <w:r>
        <w:rPr>
          <w:rFonts w:ascii="Expensify Neue;sans-serif" w:hAnsi="Expensify Neue;sans-serif"/>
          <w:b/>
          <w:color w:val="000000"/>
          <w:sz w:val="20"/>
        </w:rPr>
        <w:t>Accounts Receivable and Allowance for Expected Credit Losses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Accounts receivable are recorded at the invoiced amount, net of an allowance for expected credit losses. The allowance for expected credit losses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The Company recorded an immaterial allowance for expected credit losses as of December 31, 2025 and 2024. </w:t>
      </w:r>
    </w:p>
    <w:p>
      <w:pPr>
        <w:pStyle w:val="TextBody"/>
        <w:bidi w:val="0"/>
        <w:spacing w:lineRule="auto" w:line="288" w:before="0" w:after="160"/>
        <w:jc w:val="left"/>
        <w:rPr/>
      </w:pPr>
      <w:r>
        <w:rPr>
          <w:rFonts w:ascii="Expensify Neue;sans-serif" w:hAnsi="Expensify Neue;sans-serif"/>
          <w:b/>
          <w:color w:val="000000"/>
          <w:sz w:val="20"/>
        </w:rPr>
        <w:t>Concentrations of Credit Risk</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Financial instruments that potentially subject the Company to credit risk consist primarily of cash and cash equivalents and 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restricted cash policy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7955"/>
                <wp:effectExtent l="0" t="0" r="0" b="0"/>
                <wp:wrapNone/>
                <wp:docPr id="109" name="Frame10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above. No customer represented 10% or more of revenue during the years ended December 31, 2025 and 2024. In addition, there were no customers representing 10% or more of accounts receivable as of December 31, 2025 and 2024.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Settlement Assets, Net and Liabilities and Allowance for Expected Credit Losses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Upon an approved request for expense reimbursement from customers, the Company initiates a transaction facilitated by a third-party vendor to collect funds from customers that are deposited into a commercial bank account held by the Company for the benefit of the customers until remitted to the customer’s members after a clearing period of up to three business days. The Company records a settlement receivable upon approval of the expense reimbursement until funds are cleared in the Company’s commercial bank account. A corresponding liability is recorded upon approval of the expense reimbursement until funds are remitted from the Company’s commercial bank account to the customer’s members.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customer transactions incurred through the Expensify Card, the Company initiates a transaction facilitated by a third-party vendor to collect funds from customers that are deposited into a commercial bank account held by the Company until remitted to the issuing bank. The majority of customers settle Expensify Card transactions on a daily basis while certain customers settle Expensify Card transactions on a monthly basis. The Company records a settlement receivable for Expensify Card transactions until funds are cleared in the Company’s commercial bank account. A corresponding liability is recorded until funds are remitted from the Company’s commercial bank account to the issuing bank.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Settlement receivables are recorded net of an allowance for expected credit losses. The allowance for expected credit losses is based on the Company’s assessment of the collectability of the settlement receivables. Management considers the following factors when determining the collectability of specific customer accounts: customer creditworthiness, past transaction history with the customer, current economic industry trends and changes in customer settlement terms. The Company recorded a $0.1 million allowance for expected credit losses as of December 31, 2025 and 2024. During the years ended December 31, 2025 and 2024, the Company recorded credit losses of $2.3 million and $0.3 million, respectively, net of recoveries of $0.8 million for both years.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Leases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determines if an arrangement is or contains a lease at inception by evaluating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Operating and finance leases are included in Lease right-of-use assets, Lease liabilities, current and Lease liabilities, non-current on the Consolidated Balance Sheets. Right-of-use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 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Company’s lease terms may include options to extend or terminate the lease, and the Company includes those options in the lease terms when it is reasonably certain it will exercise them. Lease expense for operating lease payments is recognized on a straight-line basis over the lease term. Lease expense for finance lease payments is recognized on a straight-line basis over the lesser of the lease term or the estimated useful life of the asset. The Company made the policy election to account for short-term leases by recognizing the lease payments in the Consolidated Statements of Operations on a straight-line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7955"/>
                <wp:effectExtent l="0" t="0" r="0" b="0"/>
                <wp:wrapNone/>
                <wp:docPr id="110" name="Frame10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basis over the lease term rather than recognizing these leases on the Company’s Consolidated Balance Sheets. Variable lease payments are recognized in the Consolidated Statements of Operations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 Modifications are assessed to determine whether incremental differences result in new contract terms to be accounted for as a new lease or whether the additional right-of-use should be included in the original lease and continue to be accounted with the remaining ROU asset.</w:t>
      </w:r>
    </w:p>
    <w:p>
      <w:pPr>
        <w:pStyle w:val="TextBody"/>
        <w:bidi w:val="0"/>
        <w:spacing w:lineRule="auto" w:line="288" w:before="0" w:after="160"/>
        <w:jc w:val="left"/>
        <w:rPr/>
      </w:pPr>
      <w:r>
        <w:rPr>
          <w:rFonts w:ascii="Expensify Neue;sans-serif" w:hAnsi="Expensify Neue;sans-serif"/>
          <w:b/>
          <w:color w:val="000000"/>
          <w:sz w:val="20"/>
        </w:rPr>
        <w:t>Property and Equipment, Net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 are stated at cost, less accumulated depreciation and amortization. Depreciation and amortization are computed using the straight-line method over the estimated useful lives of the respective assets, typically three years for computer equipment, five years for furniture and fixtures and thirty years for buildings. Land has an indefinite useful life and is not depreciated. Leasehold improvements are amortized over the lesser of the lease term or the estimated useful life of the asset. Expenditures for repairs and maintenance are charged to expense as incurred. Upon disposal, the cost and related accumulated depreciation and amortization are removed from the Consolidated Balance Sheets and the resulting gain or loss is reflected in the Consolidated Statements of Operations. Gains or losses from disposition of property and equipment for each of the years ended December 31, 2025 and 2024 have been immaterial.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Construction in progress is stated at cost, which includes the cost of construction and other direct costs attributable to the construction. No depreciation is recorded for construction in progress until the relevant assets are completed and put into use. There was no construction in progress as of December 31, 2025. Construction in progress as of December 31, 2024 represents leasehold improvements under installation.</w:t>
      </w:r>
    </w:p>
    <w:p>
      <w:pPr>
        <w:pStyle w:val="TextBody"/>
        <w:bidi w:val="0"/>
        <w:spacing w:lineRule="auto" w:line="288" w:before="0" w:after="160"/>
        <w:jc w:val="left"/>
        <w:rPr/>
      </w:pPr>
      <w:r>
        <w:rPr>
          <w:rFonts w:ascii="Expensify Neue;sans-serif" w:hAnsi="Expensify Neue;sans-serif"/>
          <w:b/>
          <w:color w:val="000000"/>
          <w:sz w:val="20"/>
        </w:rPr>
        <w:t>Capitalized Software Development Costs, Net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capitalizes internal and external costs directly related to obtaining or developing internal-use software during the application development stage of the projects. Additionally, the Company capitalizes qualifying costs incurred for upgrades and enhancements that result in additional functionality to existing software. Maintenance activities or minor upgrades are expensed in the period performed. The Company's internal-use software is reported at cost less accumulated amortization. Amortization begins once the project is ready for its intended use, which is usually when the software code goes into production. The Company amortizes the asset on a straight-line basis over a period of three years, which is the estimated useful life. During the years ended December 31, 2025 and 2024, the Company capitalized $5.3 million and $10.4 million, respectively, in software development costs. </w:t>
      </w:r>
    </w:p>
    <w:p>
      <w:pPr>
        <w:pStyle w:val="TextBody"/>
        <w:bidi w:val="0"/>
        <w:spacing w:lineRule="auto" w:line="288" w:before="0" w:after="160"/>
        <w:jc w:val="left"/>
        <w:rPr/>
      </w:pPr>
      <w:r>
        <w:rPr>
          <w:rFonts w:ascii="Expensify Neue;sans-serif" w:hAnsi="Expensify Neue;sans-serif"/>
          <w:b/>
          <w:color w:val="000000"/>
          <w:sz w:val="20"/>
        </w:rPr>
        <w:t>Long-Lived Assets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Long-lived assets, primarily capitalized software development costs, property and equipment and lease right-of-use assets, are evaluated for impairment when events or changes in circumstances indicate that the carrying amount of the asset may not be recoverable. When indications of impairment are present and the estimated undiscounted future cash flows from the use of the asset are less than the asset's carrying value, the related asset will be written down to fair value. Any impairment losses are included in the same financial statement caption as the related depreciation and amortization for the respective asset class on the Consolidated Statements of Operations. Impairment losses on long-lived assets were immaterial for each of the years ended December 31, 2025 and 2024.</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Revenue Recognition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generates revenue from subscription fees paid by its customers to access and use the Company’s hosted software services, as well as standard customer support. Revenue is recognized when control of the promised goods or services is transferred to customers in an amount that reflects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7955"/>
                <wp:effectExtent l="0" t="0" r="0" b="0"/>
                <wp:wrapNone/>
                <wp:docPr id="111" name="Frame10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consideration the Company expects to be entitled to receive in exchange for those goods or services. Revenue is recognized net of applicable taxes imposed on the related transaction.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contracts are either month-to-month arrangements billed monthly in arrears based on a specified number of members or annual arrangements billed monthly in arrears based on a minimum number of monthly members, with typical payment terms being 30 days.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The Company satisfies its performance obligation over time each month as it provides the SaaS and support services to customers and, as such, recognizes revenue monthly based on the number of monthly members and contractual rate per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Under the Updated Card Program, the Company generates revenue from the authorization and settlement of Expensify Card transactions and is contractually entitled to all interchange generated on Expensify Card transactions based on its agreement with the issuing bank. The Company has a stand-ready performance obligation to customers to provide card program management services as part of its SaaS offering, which includes card transaction authorization and settlement services. Interchange fees earned by the Company represent variable consideration. The Company satisfies its performance obligation daily as transactions are authorized and settled, with customers simultaneously receiving and consuming the benefits of these services. Accordingly, interchange fees earned for transactions settled on a given day are recognized as revenue on that day. Based on the Company's agreements with the payment processor and issuing bank, the Company controls the services provided to customers and is the principal in the transaction. As such, the Company recognizes interchange as revenue on a gross basis within Revenue on the Consolidated Statements of Operations.</w:t>
      </w:r>
    </w:p>
    <w:p>
      <w:pPr>
        <w:pStyle w:val="TextBody"/>
        <w:bidi w:val="0"/>
        <w:spacing w:lineRule="auto" w:line="288" w:before="0" w:after="160"/>
        <w:jc w:val="left"/>
        <w:rPr/>
      </w:pPr>
      <w:r>
        <w:rPr>
          <w:rFonts w:ascii="Expensify Neue;sans-serif" w:hAnsi="Expensify Neue;sans-serif"/>
          <w:b/>
          <w:color w:val="000000"/>
          <w:sz w:val="20"/>
        </w:rPr>
        <w:t>Cashback Rewards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offers a cashback rewards program to all customers based on volume of Expensify Card transactions. Cashback rewards are earned on a monthly basis and are applied against outstanding customer receivables or are paid out the following month. The Company considers cashback rewards as consideration payable to a customer and it is recorded as contra revenue within Revenue on the Consolidated Statements of Operations. Cashback rewards are variable based on the volume of customer spend. Cashback rewards liability was $0.6 million and $0.5 million as of December 31, 2025 and 2024, respectively, and is recorded within Accrued expenses and other liabilities on the Consolidated Balance Sheets. Cashback rewards offset against outstanding customer receivables were $0.4 million and $0.3 million as of December 31, 2025 and 2024, respectively, and are reflected as a reduction to Accounts receivable, net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7955"/>
                <wp:effectExtent l="0" t="0" r="0" b="0"/>
                <wp:wrapNone/>
                <wp:docPr id="112" name="Frame1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Disaggregation of Revenue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provides information about disaggregated revenue from customers (in thousands):</w:t>
      </w:r>
    </w:p>
    <w:tbl>
      <w:tblPr>
        <w:tblW w:w="5136" w:type="dxa"/>
        <w:jc w:val="left"/>
        <w:tblInd w:w="0" w:type="dxa"/>
        <w:tblLayout w:type="fixed"/>
        <w:tblCellMar>
          <w:top w:w="28" w:type="dxa"/>
          <w:left w:w="28" w:type="dxa"/>
          <w:bottom w:w="28" w:type="dxa"/>
          <w:right w:w="28" w:type="dxa"/>
        </w:tblCellMar>
      </w:tblPr>
      <w:tblGrid>
        <w:gridCol w:w="689"/>
        <w:gridCol w:w="607"/>
        <w:gridCol w:w="609"/>
        <w:gridCol w:w="232"/>
        <w:gridCol w:w="972"/>
        <w:gridCol w:w="112"/>
        <w:gridCol w:w="112"/>
        <w:gridCol w:w="112"/>
        <w:gridCol w:w="112"/>
        <w:gridCol w:w="232"/>
        <w:gridCol w:w="972"/>
        <w:gridCol w:w="112"/>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Subscription fees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130,537 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138,822 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Interchange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21,284 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Cashback rewards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(10,085)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revenue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142,101 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139,236 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Deferred Contract Acquisition Costs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commissions that are incremental costs of the acquisition of contracts with customers are capitalized. These costs are recorded as deferred contract acquisition costs within Other current assets and Other assets on the Consolidated Balance Sheets. The Company determines whether costs should be deferred when the costs are incremental and would not have occurred if the customer contract had not been obtained. The deferred commission amounts are recoverable through future revenue from our customer contracts, all of which are non-cancelable.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Commissions paid upon the acquisition of an initial contract are amortized over an estimated period of benefit which has been determined to be three years based on historical analysis of average customer life, industry benchmarks, and useful life of our product offerings. Amortization is recognized on a straight-line basis and included within Sales and marketing on the Consolidated Statements of Operations. The Company periodically reviews these deferred costs to determine whether events or changes in circumstances have occurred that could impact the period of benefit. The Company did not recognize any impairment of deferred contract acquisition costs during the periods presented.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presents the change in deferred contract acquisition costs (in thousands):</w:t>
      </w:r>
    </w:p>
    <w:tbl>
      <w:tblPr>
        <w:tblW w:w="4898" w:type="dxa"/>
        <w:jc w:val="left"/>
        <w:tblInd w:w="0" w:type="dxa"/>
        <w:tblLayout w:type="fixed"/>
        <w:tblCellMar>
          <w:top w:w="28" w:type="dxa"/>
          <w:left w:w="28" w:type="dxa"/>
          <w:bottom w:w="28" w:type="dxa"/>
          <w:right w:w="28" w:type="dxa"/>
        </w:tblCellMar>
      </w:tblPr>
      <w:tblGrid>
        <w:gridCol w:w="1015"/>
        <w:gridCol w:w="893"/>
        <w:gridCol w:w="896"/>
        <w:gridCol w:w="226"/>
        <w:gridCol w:w="526"/>
        <w:gridCol w:w="109"/>
        <w:gridCol w:w="109"/>
        <w:gridCol w:w="109"/>
        <w:gridCol w:w="109"/>
        <w:gridCol w:w="226"/>
        <w:gridCol w:w="52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Balance as of January 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Added during the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Amortized during the year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Balance as of December 31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Stock-Based Compensation</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accounts for stock-based compensation under the fair value recognition and measurement provisions of GAAP. Those provisions require all stock-based awards granted to employees, including stock options and restricted stock units, to be measured based on fair value at the date of grant, with the resulting expense generally recognized in the Consolidated Statements of Operations over the period during which the employee is required to perform service in exchange for the award.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utilizes the Black-Scholes option pricing model to determine the estimated fair value of stock options. The Company recognizes stock-based compensation costs on a straight-line basis over the requisite service period of the award, which is generally the option vesting term of four years. Forfeitures are recorded as they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7955"/>
                <wp:effectExtent l="0" t="0" r="0" b="0"/>
                <wp:wrapNone/>
                <wp:docPr id="113" name="Frame1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fair value of the Company’s underlying common stock is determined by the closing price, on the date of grant, of its Class A common stock, which is traded on the Nasdaq Global Select Market (“Nasdaq”). Costs associated with restricted stock units (“RSUs”) granted to employees, consultants and directors (collectively, “Service Providers”) with a service condition only are recognized using the straight-line method over the requisite service period of the award. This includes RSUs granted to Service Providers with a service condition only that are subject to a graded vesting schedule, ensuring that the amount recognized is at least equal to the vested portion of the award at each reporting date. Costs associated with RSUs granted to Service Providers with both a performance condition and service condition are recognized using the accelerated graded method over the requisite service period of the award.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will grant RSUs to non-employee directors on an annual basis at each annual stockholders' meeting that will be recognized on a straight-line basis over the requisite service period of the award, which is one year. Furthermore, RSUs will be granted to non-employee directors on a quarterly basis as a retainer for their services, which will be recognized on a straight-line basis over the requisite service period of the award, which is three months.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Forfeitures are recorded as they occur for all RSUs. Refer to Note 9 for further detail over stock-based compensation and the stock incentive plans of the Company.</w:t>
      </w:r>
    </w:p>
    <w:p>
      <w:pPr>
        <w:pStyle w:val="TextBody"/>
        <w:bidi w:val="0"/>
        <w:spacing w:lineRule="auto" w:line="288" w:before="0" w:after="160"/>
        <w:jc w:val="left"/>
        <w:rPr/>
      </w:pPr>
      <w:r>
        <w:rPr>
          <w:rFonts w:ascii="Expensify Neue;sans-serif" w:hAnsi="Expensify Neue;sans-serif"/>
          <w:b/>
          <w:color w:val="000000"/>
          <w:sz w:val="20"/>
        </w:rPr>
        <w:t>Employee and Employee-Related Expenses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Allocating employee and employee-related expenses, which consist of contractor costs, employee salary and wages, stock-based compensation and travel and other employee-related costs, to their appropriate financial statement line items on the Consolidated Statements of Operations, requires the Company to make estimates and judgments as a result of a generalist model and organizational structure. The Company bases the estimates for allocating employee and employee-related expenses on defined teams. Management reviews the estimates each reporting period to evaluate the amounts allocated to Cost of revenue, net, Research and development, General and administrative, and Sales and marketing on the Consolidated Statements of Operations.</w:t>
      </w:r>
    </w:p>
    <w:p>
      <w:pPr>
        <w:pStyle w:val="TextBody"/>
        <w:bidi w:val="0"/>
        <w:spacing w:lineRule="auto" w:line="288" w:before="0" w:after="160"/>
        <w:jc w:val="left"/>
        <w:rPr/>
      </w:pPr>
      <w:r>
        <w:rPr>
          <w:rFonts w:ascii="Expensify Neue;sans-serif" w:hAnsi="Expensify Neue;sans-serif"/>
          <w:b/>
          <w:color w:val="000000"/>
          <w:sz w:val="20"/>
        </w:rPr>
        <w:t>Cost of Revenue, Net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Cost of revenue, net primarily consists of personnel-related expenses, including stock-based compensation, attributable to supporting customers and maintenance of the Company's platform, amortization expense on capitalized software development costs, expenses related to hosting the Company’s service, including the costs of data center capacity, credit card processing fees, third-party software license fees, amortization of finance lease right-of-use assets, outsourcing engineering costs to maintain the Company's platform, outsourcing costs to support customer service and outsourcing costs to support the Company's patented scanning technology SmartScan, net of consideration from a vendor under the Updated Card Program for certain volume-based incentives from Visa and consideration from a vendor under the previous card program (the “Legacy Card Program”), of which an immaterial number of cardholders continue to operate within, for monetizing Expensify Card activities.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This consideration under the Updated Card Program is included as a reduction to cost of revenue of $1.5 million and $0.3 million for years ended December 31, 2025 and 2024, respectively.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This consideration under the Legacy Card Program is included as a reduction to cost of revenue of an immaterial amount for the year ended December 31, 2025 and $7.2 million for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7955"/>
                <wp:effectExtent l="0" t="0" r="0" b="0"/>
                <wp:wrapNone/>
                <wp:docPr id="114" name="Frame1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Research and Development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expenses primarily consist of personnel-related expenses, including stock-based compensation, and external contributor expenses incurred in the planning and preliminary project stage of new products or enhancing existing products or services. The Company capitalizes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General and Administrative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on property and equipment, amortization of operating lease right-of-use assets, information technology, external professional services, including finance and accounting, audit, tax, legal and compliance, and human resources, third-party software license fees, settlement losses, net of recoveries, and legal settlements. General and administrative expenses are expensed as incurred.</w:t>
      </w:r>
    </w:p>
    <w:p>
      <w:pPr>
        <w:pStyle w:val="TextBody"/>
        <w:bidi w:val="0"/>
        <w:spacing w:lineRule="auto" w:line="288" w:before="0" w:after="160"/>
        <w:jc w:val="left"/>
        <w:rPr/>
      </w:pPr>
      <w:r>
        <w:rPr>
          <w:rFonts w:ascii="Expensify Neue;sans-serif" w:hAnsi="Expensify Neue;sans-serif"/>
          <w:b/>
          <w:color w:val="000000"/>
          <w:sz w:val="20"/>
        </w:rPr>
        <w:t>Sales and Marketing</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Sales and marketing expenses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the Company provides to its referral and affiliate partners. I</w:t>
      </w:r>
      <w:r>
        <w:rPr>
          <w:rFonts w:ascii="Expensify Neue;sans-serif" w:hAnsi="Expensify Neue;sans-serif"/>
          <w:b w:val="false"/>
          <w:color w:val="000000"/>
          <w:sz w:val="20"/>
          <w:shd w:fill="FFFFFF" w:val="clear"/>
        </w:rPr>
        <w:t>n general, the Company expenses the costs of sales and marketing, including promotional expenses, as incurred. For media advertising arrangements, the Company expenses the costs related to producing advertisements as incurred, and the costs related to communicating the advertisement when the advertisement first takes place or is released.</w:t>
      </w:r>
    </w:p>
    <w:p>
      <w:pPr>
        <w:pStyle w:val="TextBody"/>
        <w:bidi w:val="0"/>
        <w:spacing w:lineRule="auto" w:line="288" w:before="0" w:after="160"/>
        <w:jc w:val="left"/>
        <w:rPr/>
      </w:pPr>
      <w:r>
        <w:rPr>
          <w:rFonts w:ascii="Expensify Neue;sans-serif" w:hAnsi="Expensify Neue;sans-serif"/>
          <w:b w:val="false"/>
          <w:color w:val="000000"/>
          <w:sz w:val="20"/>
        </w:rPr>
        <w:t>Advertising costs were $12.7 million and $2.5 million for th</w:t>
      </w:r>
      <w:r>
        <w:rPr>
          <w:rFonts w:ascii="Expensify Neue;sans-serif" w:hAnsi="Expensify Neue;sans-serif"/>
          <w:b w:val="false"/>
          <w:color w:val="000000"/>
          <w:sz w:val="20"/>
          <w:shd w:fill="FFFFFF" w:val="clear"/>
        </w:rPr>
        <w:t xml:space="preserve">e years ended December 31, 2025 and 2024, respectively.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Other Income (Expense), Net</w:t>
      </w:r>
    </w:p>
    <w:p>
      <w:pPr>
        <w:pStyle w:val="TextBody"/>
        <w:bidi w:val="0"/>
        <w:spacing w:lineRule="auto" w:line="288" w:before="0" w:after="160"/>
        <w:jc w:val="left"/>
        <w:rPr/>
      </w:pPr>
      <w:r>
        <w:rPr>
          <w:rFonts w:ascii="Expensify Neue;sans-serif" w:hAnsi="Expensify Neue;sans-serif"/>
          <w:b w:val="false"/>
          <w:color w:val="000000"/>
          <w:sz w:val="20"/>
        </w:rPr>
        <w:t>Other income (expense), net</w:t>
      </w:r>
      <w:r>
        <w:rPr>
          <w:rFonts w:ascii="Expensify Neue;sans-serif" w:hAnsi="Expensify Neue;sans-serif"/>
          <w:b w:val="false"/>
          <w:color w:val="000000"/>
          <w:sz w:val="20"/>
          <w:shd w:fill="FFFFFF" w:val="clear"/>
        </w:rPr>
        <w:t xml:space="preserve">, primarily consists of interest income. It </w:t>
      </w:r>
      <w:r>
        <w:rPr>
          <w:rFonts w:ascii="Expensify Neue;sans-serif" w:hAnsi="Expensify Neue;sans-serif"/>
          <w:b w:val="false"/>
          <w:color w:val="000000"/>
          <w:sz w:val="20"/>
        </w:rPr>
        <w:t xml:space="preserve">also includes the results of operations of our Fifth &amp; Harvey, LLC subsidiary, realized gains and losses on foreign currency transactions, foreign currency remeasurement, and interest </w:t>
      </w:r>
      <w:r>
        <w:rPr>
          <w:rFonts w:ascii="Expensify Neue;sans-serif" w:hAnsi="Expensify Neue;sans-serif"/>
          <w:b w:val="false"/>
          <w:color w:val="000000"/>
          <w:sz w:val="20"/>
          <w:shd w:fill="FFFFFF" w:val="clear"/>
        </w:rPr>
        <w:t>paid under the Company's credit facilities with Canadian Imperial Bank of Commerce (“CIBC”)</w:t>
      </w:r>
      <w:r>
        <w:rPr>
          <w:rFonts w:ascii="Expensify Neue;sans-serif" w:hAnsi="Expensify Neue;sans-serif"/>
          <w:b w:val="false"/>
          <w:color w:val="000000"/>
          <w:sz w:val="20"/>
        </w:rPr>
        <w:t>.</w:t>
      </w:r>
    </w:p>
    <w:p>
      <w:pPr>
        <w:pStyle w:val="TextBody"/>
        <w:bidi w:val="0"/>
        <w:spacing w:lineRule="auto" w:line="288" w:before="0" w:after="160"/>
        <w:jc w:val="left"/>
        <w:rPr/>
      </w:pPr>
      <w:r>
        <w:rPr>
          <w:rFonts w:ascii="Expensify Neue;sans-serif" w:hAnsi="Expensify Neue;sans-serif"/>
          <w:b/>
          <w:color w:val="000000"/>
          <w:sz w:val="20"/>
          <w:shd w:fill="FFFFFF" w:val="clear"/>
        </w:rPr>
        <w:t>Income Taxes</w:t>
      </w:r>
      <w:r>
        <w:rPr>
          <w:color w:val="000000"/>
          <w:shd w:fill="FFFFFF" w:val="clear"/>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is subject to income taxes in the U.S. and several foreign jurisdictions. The Company records a provision for income taxes utilizing the asset and liability method. Deferred tax assets and liabilities are recognized for the expected future tax consequences of temporary differences between financial statement carrying amounts and the tax basis of assets and liabilities, as well as net operating losses (“NOL”) and tax credit carryforwards. Valuation allowances are established when necessary to reduce deferred tax assets to the amounts more likely than not expected to be realized.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examination,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7955"/>
                <wp:effectExtent l="0" t="0" r="0" b="0"/>
                <wp:wrapNone/>
                <wp:docPr id="115" name="Frame1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the extent that the Company anticipates payment (or receipt) of cash within one year. Interest and penalties related to uncertain tax positions are recognized in the provision for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is subject to the global intangible low-taxed income (“GILTI”) provisions of the Tax Cuts and Jobs Act (“TCJA”) due to its foreign operations. H.R.1 renamed GILTI to Net Controlled Foreign Corporation Tested Income (“NCTI”) for tax years beginning after December 31, 2025. The Company's accounting policy with respect to GILTI, or NCTI in future periods, is to account for it as a period cost.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Net Loss Per Share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Basic net loss per share is computed by dividing Net loss for the period by the weighted average number of outstanding shares of common stock during the period, less weighted average shares subject to repurchase. Diluted net loss per share is computed by dividing Net loss for the period by the weighted average number of outstanding shares of common stock and, when dilutive, potential shares of common stock outstanding during the period using the more dilutive of the treasury stock method or if-converted method, as applicable. For periods in which the Company reports net losses, diluted net loss per share is the same as basic net loss per share, because potentially dilutive common shares are anti-dilutive.</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Share Repurchases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When common stock is repurchased for retirement, the Company's policy is to allocate the excess of the repurchase price over the par value of shares acquired to both accumulated deficit and additional paid-in capital. The Company estimates the additional paid-in capital carrying value per common stock by dividing the Additional paid-in capital balance from our most recent quarterly financial statements preceding the repurchase by the number of common shares issued and outstanding from our most recent quarterly financial statements preceding the repurchase. The calculated additional paid-in capital carrying value per share is then applied to the number of shares to be retired to determine the portion to be allocated to additional paid-in capital.</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Segment Reporting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operates as one reportable segment because its chief operating decision maker (“CODM”), a committee that consists of the chief executive officer, the chief financial officer, and the chief strategy officer, reviews the Company’s financial information on a consolidated basis for purposes of making decisions regarding allocating resources and assessing performance. Accordingly, the CODM uses Net loss on a consolidated basis to measure segment profit or loss and reviews significant segment expenses on a consolidated basis to manage the Company's operations, which includes Cost of revenue, net, Research and development, General and administrative, and Sales and marketing. All significant segment expenses for the years ended December 31, 2025 and 2024 are presented on the Consolidated Statements of Operations. Interest income is recorded within Other income (expense), net on the Consolidated Statements of Operations. Interest income was $1.9 million and $1.1 million for the years ended December 31, 2025 and 2024, respectively. The measure of segment assets is Total assets as reported on the Consolidated Balance Sheets. Substantially all long-lived assets are located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7955"/>
                <wp:effectExtent l="0" t="0" r="0" b="0"/>
                <wp:wrapNone/>
                <wp:docPr id="116" name="Frame1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table below provides the Company’s revenue by geographic region based on the transaction currency (in thousands). No other individual country outside of the United States accounted for more than 10% of total revenue.</w:t>
      </w:r>
    </w:p>
    <w:tbl>
      <w:tblPr>
        <w:tblW w:w="5121" w:type="dxa"/>
        <w:jc w:val="left"/>
        <w:tblInd w:w="0" w:type="dxa"/>
        <w:tblLayout w:type="fixed"/>
        <w:tblCellMar>
          <w:top w:w="28" w:type="dxa"/>
          <w:left w:w="28" w:type="dxa"/>
          <w:bottom w:w="28" w:type="dxa"/>
          <w:right w:w="28" w:type="dxa"/>
        </w:tblCellMar>
      </w:tblPr>
      <w:tblGrid>
        <w:gridCol w:w="684"/>
        <w:gridCol w:w="602"/>
        <w:gridCol w:w="604"/>
        <w:gridCol w:w="232"/>
        <w:gridCol w:w="972"/>
        <w:gridCol w:w="112"/>
        <w:gridCol w:w="112"/>
        <w:gridCol w:w="112"/>
        <w:gridCol w:w="112"/>
        <w:gridCol w:w="232"/>
        <w:gridCol w:w="972"/>
        <w:gridCol w:w="112"/>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United States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129,638 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126,808 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All other locations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revenue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142,101 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139,236 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Recently Issued Accounting Pronouncements </w:t>
      </w:r>
    </w:p>
    <w:p>
      <w:pPr>
        <w:pStyle w:val="TextBody"/>
        <w:bidi w:val="0"/>
        <w:spacing w:lineRule="auto" w:line="288" w:before="0" w:after="160"/>
        <w:jc w:val="left"/>
        <w:rPr/>
      </w:pPr>
      <w:r>
        <w:rPr>
          <w:rFonts w:ascii="Expensify Neue;sans-serif" w:hAnsi="Expensify Neue;sans-serif"/>
          <w:b w:val="false"/>
          <w:color w:val="000000"/>
          <w:sz w:val="20"/>
        </w:rPr>
        <w:t xml:space="preserve">In November 2024, the FASB issued ASU 2024-03, </w:t>
      </w:r>
      <w:r>
        <w:rPr>
          <w:rFonts w:ascii="Expensify Neue;sans-serif" w:hAnsi="Expensify Neue;sans-serif"/>
          <w:b w:val="false"/>
          <w:i/>
          <w:color w:val="000000"/>
          <w:sz w:val="20"/>
        </w:rPr>
        <w:t xml:space="preserve">Income Statement - Reporting Comprehensive Income - Expense Disaggregation Disclosures (Subtopic 220-40): Disaggregation of Income Statement Expenses, </w:t>
      </w:r>
      <w:r>
        <w:rPr>
          <w:rFonts w:ascii="Expensify Neue;sans-serif" w:hAnsi="Expensify Neue;sans-serif"/>
          <w:b w:val="false"/>
          <w:color w:val="000000"/>
          <w:sz w:val="20"/>
        </w:rPr>
        <w:t>which requires the disaggregation, in the notes to the financial statements, of certain cost and expense captions presented on the face of the Company's Consolidated Statements of Income to provide enhanced transparency to investors. The ASU is effective for fiscal years beginning after December 15, 2026 and interim periods within fiscal years beginning after December 15, 2027 and allows for adoption on a prospective or retrospective basis. Early adoption is permitted. The Company is currently evaluating the impact of this update on its consolidated financial statements and related disclosures.</w:t>
      </w:r>
    </w:p>
    <w:p>
      <w:pPr>
        <w:pStyle w:val="TextBody"/>
        <w:bidi w:val="0"/>
        <w:spacing w:lineRule="auto" w:line="288" w:before="0" w:after="160"/>
        <w:jc w:val="left"/>
        <w:rPr/>
      </w:pPr>
      <w:r>
        <w:rPr>
          <w:rFonts w:ascii="Expensify Neue;sans-serif" w:hAnsi="Expensify Neue;sans-serif"/>
          <w:b w:val="false"/>
          <w:color w:val="000000"/>
          <w:sz w:val="20"/>
        </w:rPr>
        <w:t xml:space="preserve">In September 2025, the FASB issued ASU 2025-06, </w:t>
      </w:r>
      <w:r>
        <w:rPr>
          <w:rFonts w:ascii="Expensify Neue;sans-serif" w:hAnsi="Expensify Neue;sans-serif"/>
          <w:b w:val="false"/>
          <w:i/>
          <w:color w:val="000000"/>
          <w:sz w:val="20"/>
        </w:rPr>
        <w:t>Intangibles - Goodwill and Other - Internal Use Software (Subtopic 350-40): Targeted Improvements to the Accounting for Internal-Use Software</w:t>
      </w:r>
      <w:r>
        <w:rPr>
          <w:rFonts w:ascii="Expensify Neue;sans-serif" w:hAnsi="Expensify Neue;sans-serif"/>
          <w:b w:val="false"/>
          <w:color w:val="000000"/>
          <w:sz w:val="20"/>
        </w:rPr>
        <w:t>, which modernizes the accounting for internal-use software. The ASU removes all references to software development stages and requires capitalization of software costs when management has committed to the software project and it is probable the software will be completed and perform its intended use. The ASU is effective for annual periods beginning after December 15, 2027, and interim periods within those fiscal years, with early adoption permitted. The Company is currently evaluating the impact of this update on its consolidated financial statements and related disclosures.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Recently Adopted Accounting Pronouncements </w:t>
      </w:r>
    </w:p>
    <w:p>
      <w:pPr>
        <w:pStyle w:val="TextBody"/>
        <w:bidi w:val="0"/>
        <w:spacing w:lineRule="auto" w:line="288" w:before="0" w:after="160"/>
        <w:jc w:val="left"/>
        <w:rPr/>
      </w:pPr>
      <w:r>
        <w:rPr>
          <w:rFonts w:ascii="Expensify Neue;sans-serif" w:hAnsi="Expensify Neue;sans-serif"/>
          <w:b w:val="false"/>
          <w:color w:val="000000"/>
          <w:sz w:val="20"/>
        </w:rPr>
        <w:t xml:space="preserve">In December 2023, the FASB issued ASU 2023-09, </w:t>
      </w:r>
      <w:r>
        <w:rPr>
          <w:rFonts w:ascii="Expensify Neue;sans-serif" w:hAnsi="Expensify Neue;sans-serif"/>
          <w:b w:val="false"/>
          <w:i/>
          <w:color w:val="000000"/>
          <w:sz w:val="20"/>
        </w:rPr>
        <w:t>Improvements to Income Tax Disclosures</w:t>
      </w:r>
      <w:r>
        <w:rPr>
          <w:rFonts w:ascii="Expensify Neue;sans-serif" w:hAnsi="Expensify Neue;sans-serif"/>
          <w:b w:val="false"/>
          <w:color w:val="000000"/>
          <w:sz w:val="20"/>
        </w:rPr>
        <w:t>, which requires disclosure of disaggregated income taxes paid, prescribes standard categories for the components of the effective tax rate reconciliation, and modifies other income tax-related disclosures. The ASU is effective for annual periods beginning after December 15, 2024 and allows for adoption on a prospective or retrospective basis. The Company adopted this ASU for the 2025 annual period on a prospective basis. Refer to Note 10 to the consolidated financial statements for such new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7955"/>
                <wp:effectExtent l="0" t="0" r="0" b="0"/>
                <wp:wrapNone/>
                <wp:docPr id="117" name="Frame1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3 – CAPITALIZED SOFTWARE,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 consisted of the following (in thousands):</w:t>
      </w:r>
    </w:p>
    <w:tbl>
      <w:tblPr>
        <w:tblW w:w="6744" w:type="dxa"/>
        <w:jc w:val="center"/>
        <w:tblInd w:w="0" w:type="dxa"/>
        <w:tblLayout w:type="fixed"/>
        <w:tblCellMar>
          <w:top w:w="28" w:type="dxa"/>
          <w:left w:w="28" w:type="dxa"/>
          <w:bottom w:w="28" w:type="dxa"/>
          <w:right w:w="28" w:type="dxa"/>
        </w:tblCellMar>
      </w:tblPr>
      <w:tblGrid>
        <w:gridCol w:w="1467"/>
        <w:gridCol w:w="1289"/>
        <w:gridCol w:w="1294"/>
        <w:gridCol w:w="226"/>
        <w:gridCol w:w="826"/>
        <w:gridCol w:w="109"/>
        <w:gridCol w:w="109"/>
        <w:gridCol w:w="109"/>
        <w:gridCol w:w="109"/>
        <w:gridCol w:w="226"/>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development costs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Less: accumulated amortization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expense related to capitalized software development costs is recorded within Cost of revenue, net on the Consolidated Statements of Operations. Amortization expense for the years ended December 31, 2025 and 2024 was $7.7 million and $5.9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4 – PROPERTY AND EQUIPMENT,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 consisted of the following (in thousands):</w:t>
      </w:r>
    </w:p>
    <w:tbl>
      <w:tblPr>
        <w:tblW w:w="5903" w:type="dxa"/>
        <w:jc w:val="left"/>
        <w:tblInd w:w="0" w:type="dxa"/>
        <w:tblLayout w:type="fixed"/>
        <w:tblCellMar>
          <w:top w:w="28" w:type="dxa"/>
          <w:left w:w="28" w:type="dxa"/>
          <w:bottom w:w="28" w:type="dxa"/>
          <w:right w:w="28" w:type="dxa"/>
        </w:tblCellMar>
      </w:tblPr>
      <w:tblGrid>
        <w:gridCol w:w="1163"/>
        <w:gridCol w:w="1020"/>
        <w:gridCol w:w="1026"/>
        <w:gridCol w:w="226"/>
        <w:gridCol w:w="826"/>
        <w:gridCol w:w="109"/>
        <w:gridCol w:w="109"/>
        <w:gridCol w:w="109"/>
        <w:gridCol w:w="109"/>
        <w:gridCol w:w="226"/>
        <w:gridCol w:w="82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Computers and equipment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Furniture and fixtures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Leasehold improvements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Commercial building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Land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Construction in progress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property and equipment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accumulated depreciation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Depreciation expense related to property and equipment is recorded within General and administrative, Sales and marketing, and Other income (expense), net on the Consolidated Statements of Operations. Depreciation expense related to property and equipment for the years ended December 31, 2025 and 2024 was $0.6 million and $0.8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5 – LEASES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has operating leases for real estate and a finance lease for data center equipment. The operating and finance leases contain options to extend or terminate the leases. However, these were not included in the original accounting treatment of the leases as the Company is not reasonably certain to exercise these options.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the years ended December 31, 2025 and 2024, the Company did not enter into any new operating or finance lease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7955"/>
                <wp:effectExtent l="0" t="0" r="0" b="0"/>
                <wp:wrapNone/>
                <wp:docPr id="118" name="Frame1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components of lease cost reflected on the Consolidated Statements of Operations were as follows (in thousands):</w:t>
      </w:r>
    </w:p>
    <w:tbl>
      <w:tblPr>
        <w:tblW w:w="6108" w:type="dxa"/>
        <w:jc w:val="left"/>
        <w:tblInd w:w="0" w:type="dxa"/>
        <w:tblLayout w:type="fixed"/>
        <w:tblCellMar>
          <w:top w:w="28" w:type="dxa"/>
          <w:left w:w="28" w:type="dxa"/>
          <w:bottom w:w="28" w:type="dxa"/>
          <w:right w:w="28" w:type="dxa"/>
        </w:tblCellMar>
      </w:tblPr>
      <w:tblGrid>
        <w:gridCol w:w="1041"/>
        <w:gridCol w:w="916"/>
        <w:gridCol w:w="922"/>
        <w:gridCol w:w="278"/>
        <w:gridCol w:w="870"/>
        <w:gridCol w:w="134"/>
        <w:gridCol w:w="134"/>
        <w:gridCol w:w="134"/>
        <w:gridCol w:w="134"/>
        <w:gridCol w:w="278"/>
        <w:gridCol w:w="870"/>
        <w:gridCol w:w="134"/>
        <w:gridCol w:w="109"/>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cost:</w:t>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of ROU assets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on lease liabilities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finance lease cost</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cost</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Short-term lease cost</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lease cost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1,636 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information related to leases was as follows (in thousands, except percentages or as noted within):</w:t>
      </w:r>
    </w:p>
    <w:tbl>
      <w:tblPr>
        <w:tblW w:w="9767" w:type="dxa"/>
        <w:jc w:val="left"/>
        <w:tblInd w:w="0" w:type="dxa"/>
        <w:tblLayout w:type="fixed"/>
        <w:tblCellMar>
          <w:top w:w="28" w:type="dxa"/>
          <w:left w:w="28" w:type="dxa"/>
          <w:bottom w:w="28" w:type="dxa"/>
          <w:right w:w="28" w:type="dxa"/>
        </w:tblCellMar>
      </w:tblPr>
      <w:tblGrid>
        <w:gridCol w:w="2522"/>
        <w:gridCol w:w="2213"/>
        <w:gridCol w:w="2224"/>
        <w:gridCol w:w="226"/>
        <w:gridCol w:w="706"/>
        <w:gridCol w:w="286"/>
        <w:gridCol w:w="109"/>
        <w:gridCol w:w="109"/>
        <w:gridCol w:w="109"/>
        <w:gridCol w:w="226"/>
        <w:gridCol w:w="706"/>
        <w:gridCol w:w="331"/>
      </w:tblGrid>
      <w:tr>
        <w:trPr/>
        <w:tc>
          <w:tcPr>
            <w:tcW w:w="252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ROU asset (included within Lease right-of-use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ROU asset (included within Lease right-of-use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remaining lease term (in years):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leases</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1.67</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leases</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8.32</w:t>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discount rate:</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9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2530"/>
        <w:gridCol w:w="2224"/>
        <w:gridCol w:w="2234"/>
        <w:gridCol w:w="299"/>
        <w:gridCol w:w="935"/>
        <w:gridCol w:w="144"/>
        <w:gridCol w:w="144"/>
        <w:gridCol w:w="144"/>
        <w:gridCol w:w="144"/>
        <w:gridCol w:w="299"/>
        <w:gridCol w:w="697"/>
        <w:gridCol w:w="144"/>
        <w:gridCol w:w="109"/>
        <w:gridCol w:w="158"/>
      </w:tblGrid>
      <w:tr>
        <w:trPr/>
        <w:tc>
          <w:tcPr>
            <w:tcW w:w="2530"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7" w:type="dxa"/>
            <w:gridSpan w:val="2"/>
            <w:tcBorders/>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 paid for amounts included in the measurement of lease liabilities:</w:t>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flows from operating leases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flows from finance leases</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Financing cash flows from finance leases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7955"/>
                <wp:effectExtent l="0" t="0" r="0" b="0"/>
                <wp:wrapNone/>
                <wp:docPr id="119" name="Frame1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Maturities of lease liabilities as of December 31, 2025 were as follows (in thousands):</w:t>
      </w:r>
    </w:p>
    <w:tbl>
      <w:tblPr>
        <w:tblW w:w="7372" w:type="dxa"/>
        <w:jc w:val="left"/>
        <w:tblInd w:w="0" w:type="dxa"/>
        <w:tblLayout w:type="fixed"/>
        <w:tblCellMar>
          <w:top w:w="28" w:type="dxa"/>
          <w:left w:w="28" w:type="dxa"/>
          <w:bottom w:w="28" w:type="dxa"/>
          <w:right w:w="28" w:type="dxa"/>
        </w:tblCellMar>
      </w:tblPr>
      <w:tblGrid>
        <w:gridCol w:w="1075"/>
        <w:gridCol w:w="943"/>
        <w:gridCol w:w="951"/>
        <w:gridCol w:w="109"/>
        <w:gridCol w:w="109"/>
        <w:gridCol w:w="109"/>
        <w:gridCol w:w="456"/>
        <w:gridCol w:w="1063"/>
        <w:gridCol w:w="221"/>
        <w:gridCol w:w="109"/>
        <w:gridCol w:w="109"/>
        <w:gridCol w:w="109"/>
        <w:gridCol w:w="418"/>
        <w:gridCol w:w="1306"/>
        <w:gridCol w:w="285"/>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For the year ending: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Finance leases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Operating leases</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1,095 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2,562 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7,613 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(1,974)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(578)</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5,061 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6 – SIGNIFICANT BALANCE SHEET COMPONENTS</w:t>
      </w:r>
    </w:p>
    <w:p>
      <w:pPr>
        <w:pStyle w:val="TextBody"/>
        <w:bidi w:val="0"/>
        <w:spacing w:lineRule="auto" w:line="288" w:before="0" w:after="160"/>
        <w:jc w:val="left"/>
        <w:rPr/>
      </w:pPr>
      <w:r>
        <w:rPr>
          <w:rFonts w:ascii="Expensify Neue;sans-serif" w:hAnsi="Expensify Neue;sans-serif"/>
          <w:b/>
          <w:color w:val="000000"/>
          <w:sz w:val="20"/>
        </w:rPr>
        <w:t>Other Current Assets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 consisted of the following (in thousands):</w:t>
      </w:r>
    </w:p>
    <w:tbl>
      <w:tblPr>
        <w:tblW w:w="8799" w:type="dxa"/>
        <w:jc w:val="center"/>
        <w:tblInd w:w="0" w:type="dxa"/>
        <w:tblLayout w:type="fixed"/>
        <w:tblCellMar>
          <w:top w:w="28" w:type="dxa"/>
          <w:left w:w="28" w:type="dxa"/>
          <w:bottom w:w="28" w:type="dxa"/>
          <w:right w:w="28" w:type="dxa"/>
        </w:tblCellMar>
      </w:tblPr>
      <w:tblGrid>
        <w:gridCol w:w="2210"/>
        <w:gridCol w:w="1942"/>
        <w:gridCol w:w="1953"/>
        <w:gridCol w:w="226"/>
        <w:gridCol w:w="826"/>
        <w:gridCol w:w="109"/>
        <w:gridCol w:w="109"/>
        <w:gridCol w:w="109"/>
        <w:gridCol w:w="109"/>
        <w:gridCol w:w="226"/>
        <w:gridCol w:w="826"/>
        <w:gridCol w:w="154"/>
      </w:tblGrid>
      <w:tr>
        <w:trPr/>
        <w:tc>
          <w:tcPr>
            <w:tcW w:w="221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Card posted collateral for funds held for customers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Expected insurance recoveries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Expensify.org restricted cash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Earned interchange 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contract acquisition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restricted cash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7955"/>
                <wp:effectExtent l="0" t="0" r="0" b="0"/>
                <wp:wrapNone/>
                <wp:docPr id="120" name="Frame1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Accrued Expenses and Other Liabilities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 consisted of the following (in thousands):</w:t>
      </w:r>
    </w:p>
    <w:tbl>
      <w:tblPr>
        <w:tblW w:w="6564" w:type="dxa"/>
        <w:jc w:val="center"/>
        <w:tblInd w:w="0" w:type="dxa"/>
        <w:tblLayout w:type="fixed"/>
        <w:tblCellMar>
          <w:top w:w="28" w:type="dxa"/>
          <w:left w:w="28" w:type="dxa"/>
          <w:bottom w:w="28" w:type="dxa"/>
          <w:right w:w="28" w:type="dxa"/>
        </w:tblCellMar>
      </w:tblPr>
      <w:tblGrid>
        <w:gridCol w:w="1444"/>
        <w:gridCol w:w="1271"/>
        <w:gridCol w:w="1275"/>
        <w:gridCol w:w="226"/>
        <w:gridCol w:w="826"/>
        <w:gridCol w:w="109"/>
        <w:gridCol w:w="109"/>
        <w:gridCol w:w="109"/>
        <w:gridCol w:w="109"/>
        <w:gridCol w:w="226"/>
        <w:gridCol w:w="706"/>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Estimated putative class action liability</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Professional fees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Partner payouts and advertising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payroll and other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Matching Plan payroll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Cashback rewards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Credit card processing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7 – FINANCING ARRANGEMENTS</w:t>
      </w:r>
    </w:p>
    <w:p>
      <w:pPr>
        <w:pStyle w:val="TextBody"/>
        <w:bidi w:val="0"/>
        <w:spacing w:lineRule="auto" w:line="288" w:before="0" w:after="160"/>
        <w:jc w:val="left"/>
        <w:rPr/>
      </w:pPr>
      <w:r>
        <w:rPr>
          <w:rFonts w:ascii="Expensify Neue;sans-serif" w:hAnsi="Expensify Neue;sans-serif"/>
          <w:b/>
          <w:color w:val="000000"/>
          <w:sz w:val="20"/>
        </w:rPr>
        <w:t>Amortizing Term Mortgage</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In August 2019, the Company entered into an $8.3 million amortizing term mortgage agreement with CIBC for the Company's commercial building located in Portland, Oregon. The agreement required principal and interest payments to be made each month over a five-year period. Interest accrued at a fixed rate of 5.00% per year until August 2024, at which point the remaining outstanding principal balance on the amortizing term mortgage was due in full</w:t>
      </w:r>
      <w:r>
        <w:rPr>
          <w:rFonts w:ascii="Expensify Neue;sans-serif" w:hAnsi="Expensify Neue;sans-serif"/>
          <w:b w:val="false"/>
          <w:color w:val="000000"/>
          <w:sz w:val="20"/>
          <w:shd w:fill="FFFFFF" w:val="clear"/>
        </w:rPr>
        <w:t>. The borrowings were secured by the building. O</w:t>
      </w:r>
      <w:r>
        <w:rPr>
          <w:rFonts w:ascii="Expensify Neue;sans-serif" w:hAnsi="Expensify Neue;sans-serif"/>
          <w:b w:val="false"/>
          <w:color w:val="000000"/>
          <w:sz w:val="20"/>
        </w:rPr>
        <w:t xml:space="preserve">n August 29, 2024, the Company repaid in full the then-outstanding balance of $7.6 million and terminated the associated mortgage agreement with CIBC and secured promissory note. </w:t>
      </w:r>
    </w:p>
    <w:p>
      <w:pPr>
        <w:pStyle w:val="TextBody"/>
        <w:bidi w:val="0"/>
        <w:spacing w:lineRule="auto" w:line="288" w:before="0" w:after="160"/>
        <w:jc w:val="left"/>
        <w:rPr/>
      </w:pPr>
      <w:r>
        <w:rPr>
          <w:rFonts w:ascii="Expensify Neue;sans-serif" w:hAnsi="Expensify Neue;sans-serif"/>
          <w:b/>
          <w:color w:val="000000"/>
          <w:sz w:val="20"/>
        </w:rPr>
        <w:t>Loan and Security Agreement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February 2024, the Company entered into a Second Amended and Restated Loan and Security Agreement (as amended by the amendments described below, the “2024 Amended Loan and Security Agreement”) with CIBC. The 2024 Amended Loan and Security Agreement provided for a $25.0 million revolving credit facility that was set to expire in September 2025. Borrowings under the revolving credit facility accrued interest at CIBC’s reference rate plus 1.00% and were secured by substantially all of the Company's assets.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In April 2024, the Company entered into an irrevocable standby letter of credit (the “Letter of Credit”) issued under the 2024 Amended Loan and Security Agreement to reduce cash collateral requirements in connection with the Updated Card Program. The Letter of Credit was issued in the amount of </w:t>
      </w:r>
      <w:r>
        <w:rPr>
          <w:rFonts w:ascii="Expensify Neue;sans-serif" w:hAnsi="Expensify Neue;sans-serif"/>
          <w:b w:val="false"/>
          <w:color w:val="000000"/>
          <w:sz w:val="20"/>
        </w:rPr>
        <w:t>$1.0 million</w:t>
      </w:r>
      <w:r>
        <w:rPr>
          <w:color w:val="000000"/>
          <w:shd w:fill="FFFFFF" w:val="clear"/>
        </w:rPr>
        <w:t xml:space="preserve"> </w:t>
      </w:r>
      <w:r>
        <w:rPr>
          <w:rFonts w:ascii="Expensify Neue;sans-serif" w:hAnsi="Expensify Neue;sans-serif"/>
          <w:b w:val="false"/>
          <w:color w:val="000000"/>
          <w:sz w:val="20"/>
          <w:shd w:fill="FFFFFF" w:val="clear"/>
        </w:rPr>
        <w:t xml:space="preserve">for the benefit of Bancorp. The Letter of Credit was renewed on </w:t>
      </w:r>
      <w:r>
        <w:rPr>
          <w:rFonts w:ascii="Expensify Neue;sans-serif" w:hAnsi="Expensify Neue;sans-serif"/>
          <w:b w:val="false"/>
          <w:color w:val="000000"/>
          <w:sz w:val="20"/>
        </w:rPr>
        <w:t>February 28, 2025 and expires on March 20, 2026.</w:t>
      </w:r>
      <w:r>
        <w:rPr>
          <w:color w:val="000000"/>
          <w:shd w:fill="FFFFFF" w:val="clear"/>
        </w:rPr>
        <w:t xml:space="preserve"> </w:t>
      </w:r>
      <w:r>
        <w:rPr>
          <w:rFonts w:ascii="Expensify Neue;sans-serif" w:hAnsi="Expensify Neue;sans-serif"/>
          <w:b w:val="false"/>
          <w:color w:val="000000"/>
          <w:sz w:val="20"/>
        </w:rPr>
        <w:t xml:space="preserve">On April 16, 2025, the Company entered into an amendment to the irrevocable standby letter of credit to increase the Letter of Credit to $7.5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10, 2024, the then-outstanding balance of $15.0 million and an immaterial amount of accrued interest under the revolving credit facility were repaid in full.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7955"/>
                <wp:effectExtent l="0" t="0" r="0" b="0"/>
                <wp:wrapNone/>
                <wp:docPr id="121" name="Frame1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1, 2025, the Company terminated the revolving credit facility under the 2024 Amended Loan and Security Agreement. At the time of such termination, the Company had no borrowings under the revolving credit facility, and certain terms of the 2024 Amended Loan and Security Agreement, including collateral security, survived the termination with respect to outstanding Contingent Obligations (as defined in the 2024 Amended Loan and Security Agreement) arising from Bank Services (as defined in the 2024 Amended Loan and Security Agreement). The Letter of Credit, which had no amounts drawn, also remained outstanding. There were no penalties incurred by the Company as a result of the termination of the revolving credit facility.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2024, there were no borrowings outstanding under the revolving credit facility Interest expense included within Other income (expense), net on the Consolidated Statements of Operations for the years ended December 31, 2025 and 2024 was $0.1 million and $1.1 million, respectively.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Letter of Credit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October 9, 2025, the Company entered into a Letter of Credit Facility and Security Agreement (the “LOC Security Agreement”) with CIBC. The LOC Security Agreement, among other things, provides for the issuance of additional irrevocable standby letters of credit, governs the terms of the outstanding Letter of Credit originally issued under the 2024 Amended Loan and Security Agreement, and grants to CIBC, for the ratable benefit of the lenders, a security interest in substantially all of the assets of the Company and its subsidiaries, and also replaces the 2024 Amended Loan and Security Agreement with respect to the Contingent Obligations described above. Under the LOC Security Agreement, the Letter of Credit remained at $7.5 million with an expiration date of March 20, 2026. No amounts had been drawn on the Letter of Credit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8 – STOCKHOLDERS’ EQUITY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Share Repurchase Program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10, 2022, the Executive Committee of our Board of Directors (the “Executive Committee”) approved a share repurchase program with authorization to purchase up to $50.0 million of shares of Class A common stock (“2022 Share Repurchase Program”). The 2022 Share Repurchase Program authorized the Company to repurchase shares from time to time through open market purchases, in privately negotiated transactions or by other means, including the use of trading plans intended to qualify under Rule 10b5-1 of the Securities Exchange Act of 1934, as amended (the “Exchange Act”), in accordance with applicable securities laws and other restrictions. The 2022 Share Repurchase Program, which would have expired in March 2025, was replaced with the 2025 Share Repurchase Program described below.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25, 2025, the Executive Committee approved a new share repurchase program with authorization to purchase up to $50.0 million of shares of Class A common stock that expires on March 31, 2028 (“2025 Share Repurchase Program”). Under the 2025 Share Repurchase Program, the Company may repurchase shares from time to time through open market purchases, in privately negotiated transactions or by other means, including through the use of trading plans intended to qualify under Rule 10b5-1 of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the Company's current and future debt agreements and other considerations. The 2025 Share Repurchase Program does not obligate the Company to acquire any particular amount of Class A common stock, and the program may be suspended or terminated by the Company at any time at its discretion without prior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7955"/>
                <wp:effectExtent l="0" t="0" r="0" b="0"/>
                <wp:wrapNone/>
                <wp:docPr id="122" name="Frame1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the year ended December 31, 2025, the Company repurchased 4,823,118 shares of Class A common stock at a total cost of $9.1 million under the 2025 Share Repurchase Program.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 ended December 31, 2024, the Company repurchased 645,938 shares of Class A common stock at a total cost of $1.5 million under the 2022 Share Repurchase Program. These shares were repurchased from the Company's Chief Executive Officer, David Barrett, at a price of $2.34 per share, which represented a weighted average price for the Class A Common Stock of the Company for the three trading-day period ended August 27, 2024 as reported by Nasdaq.</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2025, the Company had approximately $41.0 million remaining under the 2025 Share Repurchase Program, not including amounts used for net share settlement of vested equity incentive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9 – STOCK INCENTIVE PLANS</w:t>
      </w:r>
    </w:p>
    <w:p>
      <w:pPr>
        <w:pStyle w:val="TextBody"/>
        <w:bidi w:val="0"/>
        <w:spacing w:lineRule="auto" w:line="288" w:before="0" w:after="160"/>
        <w:jc w:val="left"/>
        <w:rPr/>
      </w:pPr>
      <w:r>
        <w:rPr>
          <w:rFonts w:ascii="Expensify Neue;sans-serif" w:hAnsi="Expensify Neue;sans-serif"/>
          <w:b/>
          <w:color w:val="000000"/>
          <w:sz w:val="20"/>
        </w:rPr>
        <w:t>2009 and 2019 Stock Plans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On November 9, 2021, the Board of Directors amended and restated the 2019 Stock Plan to, among other things, increase the common stock reserved for issuance under the 2019 Stock Plan to an aggregate of 16,856,770 shares of Class A and LT50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Stock Purchase and Matching Plan (“Matching Plan” and together with the 2021 Plan, “2021 Incentive Plans”).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2021 Incentive Plans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November 2021, the Board of Directors adopted, and the Company's stockholders approved, the 2021 Incentive Plans, which both became effective immediately before the effectiveness of the Company's initial public offering (“IPO”) Registration Statement on Form S-1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and available for issuance under the 2021 Incentive Plans as of December 31, 2025 and 2024 was 20,992,688 shares and 20,879,081 shares, respectively. The number of shares will automatically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7955"/>
                <wp:effectExtent l="0" t="0" r="0" b="0"/>
                <wp:wrapNone/>
                <wp:docPr id="123" name="Frame1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each subsequent January 1 through January 1, 2031, by the lesser of (A) 6% of the aggregate number of shares of all classes of common stock outstanding on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 Purchase and Matching Plan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Matching Plan operates using consecutive three-month offering periods that commenced on March 15, 2022. Service Providers of the Company can participate in the Matching Plan by electing to contribute compensation through deductions from payroll or fee payments, or by receiving discretionary awards under the plan. On the last day of the offering period, the contributions made during the offering period are used to purchase shares of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or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closing price of the Company's Class A common stock on Nasdaq on the date of grant. The Company recognizes stock-based compensation expense related to the matched shares pursuant to its Matching Plan on a straight-line basis over the applicable three-month offering period.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Service Providers who participated in the Matching Plan during 2025 purchased a total of 3,061,193 Class A common shares, based on a purchase price of $2.06, resulting in gross cash proceeds to the Company of $6.3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Service Providers who participated in the Matching Plan during 2024 purchased a total of 1,922,139 Class A common shares, based on a purchase price of $2.13, resulting in gross cash proceeds to the Company of $4.1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has historically elected to match each share of Class A common stock purchased or issued under the Matching Plan with 1/20 of a share of Class A common stock. During 2025 and 2024, the Company granted 1,118,124 and 638,850 shares of Class A common stock under the Matching Plan,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has made discretionary contributions under the Matching Plan to eligible Service Providers. During 2025 and 2024, the Company granted 314,658 and 1,523,525 shares of Class A common stock as discretionary contributions under the Matching Plan, respectively.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Restricted Stock Units </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Equity-Classified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2019 Stock Plan and the 2021 Plan authorize the grant of RSUs. In September 2021, under the 2019 Stock Plan, the Company's Board of Directors approved and authorized 8,679,380 restricted stock units to be granted, which consisted of an aggregate of 4,339,690 shares each of Class A and LT50 common stock effective as of immediately prior to the effectiveness of the Company's IPO Registration Statement. Of this total, 2,980,260 RSUs, comprised of 1,490,130 shares of each of Class A and LT50 common stock were considered granted for accounting purposes in September 2021 to the Company's named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7955"/>
                <wp:effectExtent l="0" t="0" r="0" b="0"/>
                <wp:wrapNone/>
                <wp:docPr id="124" name="Frame1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officers and certain members of management as the Company and these certain Service Providers had a mutual understanding of the key terms and conditions of the award on the board approval date, which occurred on September 24, 2021. RSUs granted to Service Providers in September 2021 vest upon the satisfaction of both a performance and service condition. The performance condition was satisfied immediately prior to the effectiveness of the IPO Registration Statement. The service condition for these awards is satisfied over eight years with a cliff vest for 1/8 of the grant on September 15, 2022 and quarterly vesting of 1/32 of the grant every December 15, March 15, June 15 and September 15 thereafter until fully vested. All remaining stock-based compensation for these awards will be recognized over the remaining service period using the accelerated graded method.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November 2021, the Company granted 5,666,260 RSUs, comprised of 2,833,130 shares of each of Class A common stock and LT50 common stock, to certain Service Providers that were not included in the September RSU grant. These RSUs only have a service condition, which is equivalent with the service condition of the awards granted in September 2021, and were deemed granted for accounting purposes on November 10, 2021, the date these certain Service Providers had a mutual understanding of the key terms and conditions of the award.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March 28, 2022, the Company granted a Service Provider 43,060 Class A common stock RSUs at a grant date fair value of $18.93 per share. These RSUs only have a service condition, which is satisfied over approximately eight years with a cliff vest for 1/8 of the grant on September 15, 2022 and quarterly vesting of 1/32 of the grant every December 15, March 15, June 15 and September 15 thereafter until fully vested.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December 2, 2024 the Company granted Service Providers 400,675 RSUs, net of 159,841 shares withheld for taxes, comprised fully of Class A common stock at a grant date fair value of $3.40 per share. These RSUs have no future service requirement and were fully vested on the grant date.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Pursuant to the Company's Non-Employee Director Compensation Program, which was adopted under the 2021 Incentive Plans, the Company granted 153,690 Class A common stock RSUs during the year ended December 31, 2025. A total of 230,064 Class A common stock RSUs vested during the year ended December 31, 2025 related to previously-granted RSU awards as the quarterly service conditions were satisfied.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granted 27,780 Class A common stock RSUs to members of the Company's Audit Committee during November 2021 in connection with each member's initial appointment to the Board of Directors and the consummation of the IPO. For accounting purposes, the grant date was considered to be November 12, 2021, as this was the date the Company filed its final prospectus pursuant to Rule 424(b)(4) related to the pricing of the IPO. The IPO price was a key determination of the number of RSUs awarded to members of the Audit Committee and therefore on this date the Company and each Audit Committee member had a mutual understanding of the key terms and conditions of the awards granted. The RSUs granted were fully vested as of December 31, 2024 upon satisfaction of the three year service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7955"/>
                <wp:effectExtent l="0" t="0" r="0" b="0"/>
                <wp:wrapNone/>
                <wp:docPr id="125" name="Frame1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 ended December 31, 2025, RSU activity was as follows:</w:t>
      </w:r>
    </w:p>
    <w:tbl>
      <w:tblPr>
        <w:tblW w:w="10205" w:type="dxa"/>
        <w:jc w:val="left"/>
        <w:tblInd w:w="0" w:type="dxa"/>
        <w:tblLayout w:type="fixed"/>
        <w:tblCellMar>
          <w:top w:w="28" w:type="dxa"/>
          <w:left w:w="28" w:type="dxa"/>
          <w:bottom w:w="28" w:type="dxa"/>
          <w:right w:w="28" w:type="dxa"/>
        </w:tblCellMar>
      </w:tblPr>
      <w:tblGrid>
        <w:gridCol w:w="876"/>
        <w:gridCol w:w="770"/>
        <w:gridCol w:w="774"/>
        <w:gridCol w:w="820"/>
        <w:gridCol w:w="600"/>
        <w:gridCol w:w="601"/>
        <w:gridCol w:w="109"/>
        <w:gridCol w:w="109"/>
        <w:gridCol w:w="109"/>
        <w:gridCol w:w="776"/>
        <w:gridCol w:w="556"/>
        <w:gridCol w:w="558"/>
        <w:gridCol w:w="109"/>
        <w:gridCol w:w="109"/>
        <w:gridCol w:w="109"/>
        <w:gridCol w:w="666"/>
        <w:gridCol w:w="2090"/>
        <w:gridCol w:w="464"/>
      </w:tblGrid>
      <w:tr>
        <w:trPr/>
        <w:tc>
          <w:tcPr>
            <w:tcW w:w="87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Class A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LT50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Weighted average grant date fair value per share</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2024</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2,150,101 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1,894,470 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30.21 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granted</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153,690 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2.23 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vested</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(623,613)</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(388,166)</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24.82 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cancelled/forfeited/expired</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(132,502)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(132,502)</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33.65 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2025</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1,547,676 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1,373,802 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30.30 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fair value of RSUs on their vesting dates during the years ended December 31, 2025 and 2024 was $2.3 million and $3.9 million, respectively. The weighted average grant date fair value per share of RSUs granted during the years ended December 31, 2025 and 2024 was $2.23 and $2.82,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December 31, 2025, the Company had $70.0 million of unrecognized stock-based compensation expense related to unvested equity-classified RSUs, which is expected to be recognized over the remaining weighted average life of 3.56 years. </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Liability-Classified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June 20, 2025, pursuant to the 2021 Incentive Plans, the Company's compensation committee approved and authorized the grant of Class A common stock RSUs to certain Service Providers, to be issued on a quarterly basis through March 2029. Issuances of the Class A common stock RSUs will occur automatically each quarter using a predetermined fixed dollar amount that gradually decreases over time. Each RSU will vest immediately on the date it is issued, and both the issuance and vesting are subject to a service condition that will ultimately be satisfied over four years. The first quarterly automatic issuance occurred on June 20, 2025 and the remaining RSUs will be subject to quarterly issuance and vesting thereon until fully issued. The number of RSUs to be automatically issued on each issuance date will be determined based on the closing price of the Company's Class A common stock on Nasdaq on the 15th calendar day of the month during which the RSU award is issued, or the immediately preceding trading day. The awards are accounted for as liability awards and will be recognized on a straight-line basis over the life of the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 ended December 31, 2025, the Company issued 628,359 Class A common stock RSUs and settled liability-classified awards with a fair value of $1.2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2025, the Company had $2.6 million of unrecognized stock-based compensation expense related to unvested liability-classified RSUs, which is expected to be recognized over the remaining weighted average life of 1.22 years.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Options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Stock Plans and the 2021 Plan provide for the grant of incentive and nonstatutory stock options to Service Providers.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7955"/>
                <wp:effectExtent l="0" t="0" r="0" b="0"/>
                <wp:wrapNone/>
                <wp:docPr id="126" name="Frame1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w:t>
      </w:r>
      <w:r>
        <w:rPr>
          <w:rFonts w:ascii="Expensify Neue;sans-serif" w:hAnsi="Expensify Neue;sans-serif"/>
          <w:b w:val="false"/>
          <w:color w:val="000000"/>
          <w:sz w:val="20"/>
          <w:shd w:fill="FFFFFF" w:val="clear"/>
        </w:rPr>
        <w:t>.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liability accounting. There were</w:t>
      </w:r>
      <w:r>
        <w:rPr>
          <w:color w:val="000000"/>
        </w:rPr>
        <w:t xml:space="preserve"> </w:t>
      </w:r>
      <w:r>
        <w:rPr>
          <w:rFonts w:ascii="Expensify Neue;sans-serif" w:hAnsi="Expensify Neue;sans-serif"/>
          <w:b w:val="false"/>
          <w:color w:val="000000"/>
          <w:sz w:val="20"/>
        </w:rPr>
        <w:t xml:space="preserve">no repurchases of exercised restricted common stock during the year ended December 31, 2025 and an immaterial amount during </w:t>
      </w:r>
      <w:r>
        <w:rPr>
          <w:rFonts w:ascii="Expensify Neue;sans-serif" w:hAnsi="Expensify Neue;sans-serif"/>
          <w:b w:val="false"/>
          <w:color w:val="000000"/>
          <w:sz w:val="20"/>
          <w:shd w:fill="FFFFFF" w:val="clear"/>
        </w:rPr>
        <w:t xml:space="preserve">year ended </w:t>
      </w:r>
      <w:r>
        <w:rPr>
          <w:rFonts w:ascii="Expensify Neue;sans-serif" w:hAnsi="Expensify Neue;sans-serif"/>
          <w:b w:val="false"/>
          <w:color w:val="000000"/>
          <w:sz w:val="20"/>
        </w:rPr>
        <w:t>December 31, 2024.</w:t>
      </w:r>
    </w:p>
    <w:p>
      <w:pPr>
        <w:pStyle w:val="TextBody"/>
        <w:bidi w:val="0"/>
        <w:spacing w:lineRule="auto" w:line="288" w:before="0" w:after="160"/>
        <w:jc w:val="left"/>
        <w:rPr/>
      </w:pPr>
      <w:r>
        <w:rPr>
          <w:rFonts w:ascii="Expensify Neue;sans-serif" w:hAnsi="Expensify Neue;sans-serif"/>
          <w:b w:val="false"/>
          <w:color w:val="000000"/>
          <w:sz w:val="20"/>
        </w:rPr>
        <w:t xml:space="preserve">As of December 31, 2025, there were no shares subject to repurchase related to unvested stock options that had been early exercised. As of December 31, 2024, there were 92,230 shares subject to repurchase related to unvested stock options that had been early exercised for which the Company recorded a liability of $0.1 million, which </w:t>
      </w:r>
      <w:r>
        <w:rPr>
          <w:rFonts w:ascii="Expensify Neue;sans-serif" w:hAnsi="Expensify Neue;sans-serif"/>
          <w:b w:val="false"/>
          <w:color w:val="000000"/>
          <w:sz w:val="20"/>
          <w:shd w:fill="FFFFFF" w:val="clear"/>
        </w:rPr>
        <w:t>is included within Accrued expenses and other liabilities on the Consolidated Balance Sheets</w:t>
      </w:r>
      <w:r>
        <w:rPr>
          <w:rFonts w:ascii="Expensify Neue;sans-serif" w:hAnsi="Expensify Neue;sans-serif"/>
          <w:b w:val="false"/>
          <w:color w:val="000000"/>
          <w:sz w:val="20"/>
        </w:rPr>
        <w:t xml:space="preserve">. This liability was reclassified to common stock and additional paid-in capital upon vesting of the underlying shares.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summary of the Company's stock option activity was as follows:</w:t>
      </w:r>
    </w:p>
    <w:tbl>
      <w:tblPr>
        <w:tblW w:w="10205" w:type="dxa"/>
        <w:jc w:val="left"/>
        <w:tblInd w:w="0" w:type="dxa"/>
        <w:tblLayout w:type="fixed"/>
        <w:tblCellMar>
          <w:top w:w="28" w:type="dxa"/>
          <w:left w:w="28" w:type="dxa"/>
          <w:bottom w:w="28" w:type="dxa"/>
          <w:right w:w="28" w:type="dxa"/>
        </w:tblCellMar>
      </w:tblPr>
      <w:tblGrid>
        <w:gridCol w:w="1138"/>
        <w:gridCol w:w="999"/>
        <w:gridCol w:w="1003"/>
        <w:gridCol w:w="563"/>
        <w:gridCol w:w="563"/>
        <w:gridCol w:w="286"/>
        <w:gridCol w:w="109"/>
        <w:gridCol w:w="109"/>
        <w:gridCol w:w="109"/>
        <w:gridCol w:w="693"/>
        <w:gridCol w:w="1802"/>
        <w:gridCol w:w="340"/>
        <w:gridCol w:w="109"/>
        <w:gridCol w:w="109"/>
        <w:gridCol w:w="109"/>
        <w:gridCol w:w="632"/>
        <w:gridCol w:w="632"/>
        <w:gridCol w:w="900"/>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Weighted average </w:t>
              <w:br/>
              <w:t xml:space="preserve">remaining contractual life </w:t>
              <w:br/>
              <w:t>(in years)</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Expensify Neue;sans-serif" w:hAnsi="Expensify Neue;sans-serif"/>
                <w:b w:val="false"/>
                <w:color w:val="000000"/>
                <w:sz w:val="20"/>
              </w:rPr>
              <w:t>Outstanding at December 31, 2024</w:t>
            </w:r>
            <w:r>
              <w:rPr>
                <w:color w:val="000000"/>
              </w:rPr>
              <w:t xml:space="preserve"> </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3,759,580 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4.11</w:t>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Options exercised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(361,924)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0.89 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Options cancelled/forfeited/expired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(149,283)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Expensify Neue;sans-serif" w:hAnsi="Expensify Neue;sans-serif"/>
                <w:b w:val="false"/>
                <w:color w:val="000000"/>
                <w:sz w:val="20"/>
              </w:rPr>
              <w:t>Outstanding and exercisable at December 31, 2025</w:t>
            </w:r>
            <w:r>
              <w:rPr>
                <w:color w:val="000000"/>
              </w:rPr>
              <w:t xml:space="preserve"> </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3,248,373 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3.49</w:t>
            </w:r>
          </w:p>
        </w:tc>
      </w:tr>
      <w:tr>
        <w:trPr/>
        <w:tc>
          <w:tcPr>
            <w:tcW w:w="31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The to</w:t>
      </w:r>
      <w:r>
        <w:rPr>
          <w:rFonts w:ascii="Expensify Neue;sans-serif" w:hAnsi="Expensify Neue;sans-serif"/>
          <w:b w:val="false"/>
          <w:color w:val="000000"/>
          <w:sz w:val="20"/>
          <w:shd w:fill="FFFFFF" w:val="clear"/>
        </w:rPr>
        <w:t xml:space="preserve">tal pretax intrinsic value of options exercised during the years ended </w:t>
      </w:r>
      <w:r>
        <w:rPr>
          <w:rFonts w:ascii="Expensify Neue;sans-serif" w:hAnsi="Expensify Neue;sans-serif"/>
          <w:b w:val="false"/>
          <w:color w:val="000000"/>
          <w:sz w:val="20"/>
        </w:rPr>
        <w:t>December 31, 2025 and</w:t>
      </w:r>
      <w:r>
        <w:rPr>
          <w:color w:val="000000"/>
          <w:shd w:fill="FFFFFF" w:val="clear"/>
        </w:rPr>
        <w:t xml:space="preserve"> </w:t>
      </w:r>
      <w:r>
        <w:rPr>
          <w:rFonts w:ascii="Expensify Neue;sans-serif" w:hAnsi="Expensify Neue;sans-serif"/>
          <w:b w:val="false"/>
          <w:color w:val="000000"/>
          <w:sz w:val="20"/>
        </w:rPr>
        <w:t xml:space="preserve">2024 </w:t>
      </w:r>
      <w:r>
        <w:rPr>
          <w:rFonts w:ascii="Expensify Neue;sans-serif" w:hAnsi="Expensify Neue;sans-serif"/>
          <w:b w:val="false"/>
          <w:color w:val="000000"/>
          <w:sz w:val="20"/>
          <w:shd w:fill="FFFFFF" w:val="clear"/>
        </w:rPr>
        <w:t>was $0.5 million and $5.6 million</w:t>
      </w:r>
      <w:r>
        <w:rPr>
          <w:rFonts w:ascii="Expensify Neue;sans-serif" w:hAnsi="Expensify Neue;sans-serif"/>
          <w:b w:val="false"/>
          <w:color w:val="000000"/>
          <w:sz w:val="20"/>
        </w:rPr>
        <w:t>, respectively</w:t>
      </w:r>
      <w:r>
        <w:rPr>
          <w:rFonts w:ascii="Expensify Neue;sans-serif" w:hAnsi="Expensify Neue;sans-serif"/>
          <w:b w:val="false"/>
          <w:color w:val="000000"/>
          <w:sz w:val="20"/>
          <w:shd w:fill="FFFFFF" w:val="clear"/>
        </w:rPr>
        <w:t xml:space="preserve">. The total pretax intrinsic value of options outstanding and exercisable at </w:t>
      </w:r>
      <w:r>
        <w:rPr>
          <w:rFonts w:ascii="Expensify Neue;sans-serif" w:hAnsi="Expensify Neue;sans-serif"/>
          <w:b w:val="false"/>
          <w:color w:val="000000"/>
          <w:sz w:val="20"/>
        </w:rPr>
        <w:t>December 31, 2025 and</w:t>
      </w:r>
      <w:r>
        <w:rPr>
          <w:color w:val="000000"/>
          <w:shd w:fill="FFFFFF" w:val="clear"/>
        </w:rPr>
        <w:t xml:space="preserve"> </w:t>
      </w:r>
      <w:r>
        <w:rPr>
          <w:rFonts w:ascii="Expensify Neue;sans-serif" w:hAnsi="Expensify Neue;sans-serif"/>
          <w:b w:val="false"/>
          <w:color w:val="000000"/>
          <w:sz w:val="20"/>
        </w:rPr>
        <w:t xml:space="preserve">2024, </w:t>
      </w:r>
      <w:r>
        <w:rPr>
          <w:rFonts w:ascii="Expensify Neue;sans-serif" w:hAnsi="Expensify Neue;sans-serif"/>
          <w:b w:val="false"/>
          <w:color w:val="000000"/>
          <w:sz w:val="20"/>
          <w:shd w:fill="FFFFFF" w:val="clear"/>
        </w:rPr>
        <w:t>was $1.3 million and $7.4 million</w:t>
      </w:r>
      <w:r>
        <w:rPr>
          <w:rFonts w:ascii="Expensify Neue;sans-serif" w:hAnsi="Expensify Neue;sans-serif"/>
          <w:b w:val="false"/>
          <w:color w:val="000000"/>
          <w:sz w:val="20"/>
        </w:rPr>
        <w:t>, respectively.</w:t>
      </w:r>
      <w:r>
        <w:rPr>
          <w:color w:val="000000"/>
          <w:shd w:fill="FFFFFF" w:val="clear"/>
        </w:rPr>
        <w:t xml:space="preserve"> </w:t>
      </w:r>
      <w:r>
        <w:rPr>
          <w:rFonts w:ascii="Expensify Neue;sans-serif" w:hAnsi="Expensify Neue;sans-serif"/>
          <w:b w:val="false"/>
          <w:color w:val="000000"/>
          <w:sz w:val="20"/>
          <w:shd w:fill="FFFFFF" w:val="clear"/>
        </w:rPr>
        <w:t xml:space="preserve">The intrinsic value is the difference between the estimated fair market value of the Company’s common stock at the date of exercise and the exercise price for in-the-money options. No options were granted during the years ended </w:t>
      </w:r>
      <w:r>
        <w:rPr>
          <w:rFonts w:ascii="Expensify Neue;sans-serif" w:hAnsi="Expensify Neue;sans-serif"/>
          <w:b w:val="false"/>
          <w:color w:val="000000"/>
          <w:sz w:val="20"/>
        </w:rPr>
        <w:t>December 31, 2025 and 2024</w:t>
      </w:r>
      <w:r>
        <w:rPr>
          <w:rFonts w:ascii="Expensify Neue;sans-serif" w:hAnsi="Expensify Neue;sans-serif"/>
          <w:b w:val="false"/>
          <w:color w:val="000000"/>
          <w:sz w:val="2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total grant date fair value of options vested during the years ended </w:t>
      </w:r>
      <w:r>
        <w:rPr>
          <w:rFonts w:ascii="Expensify Neue;sans-serif" w:hAnsi="Expensify Neue;sans-serif"/>
          <w:b w:val="false"/>
          <w:color w:val="000000"/>
          <w:sz w:val="20"/>
        </w:rPr>
        <w:t>December 31, 2025 and</w:t>
      </w:r>
      <w:r>
        <w:rPr>
          <w:color w:val="000000"/>
          <w:shd w:fill="FFFFFF" w:val="clear"/>
        </w:rPr>
        <w:t xml:space="preserve"> </w:t>
      </w:r>
      <w:r>
        <w:rPr>
          <w:rFonts w:ascii="Expensify Neue;sans-serif" w:hAnsi="Expensify Neue;sans-serif"/>
          <w:b w:val="false"/>
          <w:color w:val="000000"/>
          <w:sz w:val="20"/>
        </w:rPr>
        <w:t>2024</w:t>
      </w:r>
      <w:r>
        <w:rPr>
          <w:color w:val="000000"/>
          <w:shd w:fill="FFFFFF" w:val="clear"/>
        </w:rPr>
        <w:t xml:space="preserve"> </w:t>
      </w:r>
      <w:r>
        <w:rPr>
          <w:rFonts w:ascii="Expensify Neue;sans-serif" w:hAnsi="Expensify Neue;sans-serif"/>
          <w:b w:val="false"/>
          <w:color w:val="000000"/>
          <w:sz w:val="20"/>
          <w:shd w:fill="FFFFFF" w:val="clear"/>
        </w:rPr>
        <w:t>was $1.1 million and $2.8 million, respectively.</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December 31, 2025</w:t>
      </w:r>
      <w:r>
        <w:rPr>
          <w:rFonts w:ascii="Expensify Neue;sans-serif" w:hAnsi="Expensify Neue;sans-serif"/>
          <w:b w:val="false"/>
          <w:color w:val="000000"/>
          <w:sz w:val="20"/>
          <w:shd w:fill="FFFFFF" w:val="clear"/>
        </w:rPr>
        <w:t>, there was no unrecognized stock-based compensation cost related to unvested stock options.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Cash received from option exercises and purchases of shares under the Stock Plans for the years ended </w:t>
      </w:r>
      <w:r>
        <w:rPr>
          <w:rFonts w:ascii="Expensify Neue;sans-serif" w:hAnsi="Expensify Neue;sans-serif"/>
          <w:b w:val="false"/>
          <w:color w:val="000000"/>
          <w:sz w:val="20"/>
        </w:rPr>
        <w:t>December 31, 2025 and 2024</w:t>
      </w:r>
      <w:r>
        <w:rPr>
          <w:color w:val="000000"/>
          <w:shd w:fill="FFFFFF" w:val="clear"/>
        </w:rPr>
        <w:t xml:space="preserve"> </w:t>
      </w:r>
      <w:r>
        <w:rPr>
          <w:rFonts w:ascii="Expensify Neue;sans-serif" w:hAnsi="Expensify Neue;sans-serif"/>
          <w:b w:val="false"/>
          <w:color w:val="000000"/>
          <w:sz w:val="20"/>
          <w:shd w:fill="FFFFFF" w:val="clear"/>
        </w:rPr>
        <w:t>was $0.3 million and $0.4 million, re</w:t>
      </w:r>
      <w:r>
        <w:rPr>
          <w:rFonts w:ascii="Expensify Neue;sans-serif" w:hAnsi="Expensify Neue;sans-serif"/>
          <w:b w:val="false"/>
          <w:color w:val="000000"/>
          <w:sz w:val="20"/>
        </w:rPr>
        <w:t>spectively.</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During the year ended </w:t>
      </w:r>
      <w:r>
        <w:rPr>
          <w:rFonts w:ascii="Expensify Neue;sans-serif" w:hAnsi="Expensify Neue;sans-serif"/>
          <w:b w:val="false"/>
          <w:color w:val="000000"/>
          <w:sz w:val="20"/>
        </w:rPr>
        <w:t>December 31, 2025</w:t>
      </w:r>
      <w:r>
        <w:rPr>
          <w:rFonts w:ascii="Expensify Neue;sans-serif" w:hAnsi="Expensify Neue;sans-serif"/>
          <w:b w:val="false"/>
          <w:color w:val="000000"/>
          <w:sz w:val="20"/>
          <w:shd w:fill="FFFFFF" w:val="clear"/>
        </w:rPr>
        <w:t xml:space="preserve">, </w:t>
      </w:r>
      <w:r>
        <w:rPr>
          <w:rFonts w:ascii="Expensify Neue;sans-serif" w:hAnsi="Expensify Neue;sans-serif"/>
          <w:b w:val="false"/>
          <w:color w:val="000000"/>
          <w:sz w:val="20"/>
        </w:rPr>
        <w:t>no</w:t>
      </w:r>
      <w:r>
        <w:rPr>
          <w:color w:val="000000"/>
          <w:shd w:fill="FFFFFF" w:val="clear"/>
        </w:rPr>
        <w:t xml:space="preserve"> </w:t>
      </w:r>
      <w:r>
        <w:rPr>
          <w:rFonts w:ascii="Expensify Neue;sans-serif" w:hAnsi="Expensify Neue;sans-serif"/>
          <w:b w:val="false"/>
          <w:color w:val="000000"/>
          <w:sz w:val="20"/>
          <w:shd w:fill="FFFFFF" w:val="clear"/>
        </w:rPr>
        <w:t>shares were withheld for the cashless exercise of stock options.</w:t>
      </w:r>
      <w:r>
        <w:rPr>
          <w:color w:val="000000"/>
        </w:rPr>
        <w:t xml:space="preserve"> </w:t>
      </w:r>
      <w:r>
        <w:rPr>
          <w:rFonts w:ascii="Expensify Neue;sans-serif" w:hAnsi="Expensify Neue;sans-serif"/>
          <w:b w:val="false"/>
          <w:color w:val="000000"/>
          <w:sz w:val="20"/>
        </w:rPr>
        <w:t>During the year ended December 31, 2024</w:t>
      </w:r>
      <w:r>
        <w:rPr>
          <w:rFonts w:ascii="Expensify Neue;sans-serif" w:hAnsi="Expensify Neue;sans-serif"/>
          <w:b w:val="false"/>
          <w:color w:val="000000"/>
          <w:sz w:val="20"/>
          <w:shd w:fill="FFFFFF" w:val="clear"/>
        </w:rPr>
        <w:t>,</w:t>
      </w:r>
      <w:r>
        <w:rPr>
          <w:color w:val="000000"/>
        </w:rPr>
        <w:t xml:space="preserve"> </w:t>
      </w:r>
      <w:r>
        <w:rPr>
          <w:rFonts w:ascii="Expensify Neue;sans-serif" w:hAnsi="Expensify Neue;sans-serif"/>
          <w:b w:val="false"/>
          <w:color w:val="000000"/>
          <w:sz w:val="20"/>
        </w:rPr>
        <w:t>there were 98,403</w:t>
      </w:r>
      <w:r>
        <w:rPr>
          <w:color w:val="000000"/>
          <w:shd w:fill="FFFFFF" w:val="clear"/>
        </w:rPr>
        <w:t xml:space="preserve"> </w:t>
      </w:r>
      <w:r>
        <w:rPr>
          <w:rFonts w:ascii="Expensify Neue;sans-serif" w:hAnsi="Expensify Neue;sans-serif"/>
          <w:b w:val="false"/>
          <w:color w:val="000000"/>
          <w:sz w:val="20"/>
          <w:shd w:fill="FFFFFF" w:val="clear"/>
        </w:rPr>
        <w:t>shares withheld for the cashless exercises of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7955"/>
                <wp:effectExtent l="0" t="0" r="0" b="0"/>
                <wp:wrapNone/>
                <wp:docPr id="127" name="Frame1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Stock-Based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the stock-based compensation expense recognized for awards granted under the Company's authorized stock incentive plans (in thousands):</w:t>
      </w:r>
    </w:p>
    <w:tbl>
      <w:tblPr>
        <w:tblW w:w="10205" w:type="dxa"/>
        <w:jc w:val="left"/>
        <w:tblInd w:w="0" w:type="dxa"/>
        <w:tblLayout w:type="fixed"/>
        <w:tblCellMar>
          <w:top w:w="28" w:type="dxa"/>
          <w:left w:w="28" w:type="dxa"/>
          <w:bottom w:w="28" w:type="dxa"/>
          <w:right w:w="28" w:type="dxa"/>
        </w:tblCellMar>
      </w:tblPr>
      <w:tblGrid>
        <w:gridCol w:w="2523"/>
        <w:gridCol w:w="2197"/>
        <w:gridCol w:w="2179"/>
        <w:gridCol w:w="249"/>
        <w:gridCol w:w="914"/>
        <w:gridCol w:w="120"/>
        <w:gridCol w:w="120"/>
        <w:gridCol w:w="120"/>
        <w:gridCol w:w="120"/>
        <w:gridCol w:w="249"/>
        <w:gridCol w:w="914"/>
        <w:gridCol w:w="120"/>
        <w:gridCol w:w="109"/>
        <w:gridCol w:w="109"/>
        <w:gridCol w:w="162"/>
      </w:tblGrid>
      <w:tr>
        <w:trPr/>
        <w:tc>
          <w:tcPr>
            <w:tcW w:w="2523"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Equity-classified restricted stock units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of liability-classified restricted stock units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 options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28,196 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36,225 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stock-based compensation capitalized as software development costs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26,578 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 is allocated based on the cost center to which the award holder spent time during the reported periods. Stock-based compensation is included within the following components of expenses on the Consolidated Statements of Operations (in thousands):</w:t>
      </w:r>
    </w:p>
    <w:tbl>
      <w:tblPr>
        <w:tblW w:w="7415" w:type="dxa"/>
        <w:jc w:val="left"/>
        <w:tblInd w:w="0" w:type="dxa"/>
        <w:tblLayout w:type="fixed"/>
        <w:tblCellMar>
          <w:top w:w="28" w:type="dxa"/>
          <w:left w:w="28" w:type="dxa"/>
          <w:bottom w:w="28" w:type="dxa"/>
          <w:right w:w="28" w:type="dxa"/>
        </w:tblCellMar>
      </w:tblPr>
      <w:tblGrid>
        <w:gridCol w:w="1513"/>
        <w:gridCol w:w="1333"/>
        <w:gridCol w:w="1338"/>
        <w:gridCol w:w="253"/>
        <w:gridCol w:w="926"/>
        <w:gridCol w:w="122"/>
        <w:gridCol w:w="122"/>
        <w:gridCol w:w="122"/>
        <w:gridCol w:w="122"/>
        <w:gridCol w:w="253"/>
        <w:gridCol w:w="926"/>
        <w:gridCol w:w="122"/>
        <w:gridCol w:w="109"/>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12,506 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26,578 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10 –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components of the Company's loss before income taxes consisted of the following (in thousands):</w:t>
      </w:r>
    </w:p>
    <w:tbl>
      <w:tblPr>
        <w:tblW w:w="6362" w:type="dxa"/>
        <w:jc w:val="left"/>
        <w:tblInd w:w="0" w:type="dxa"/>
        <w:tblLayout w:type="fixed"/>
        <w:tblCellMar>
          <w:top w:w="28" w:type="dxa"/>
          <w:left w:w="28" w:type="dxa"/>
          <w:bottom w:w="28" w:type="dxa"/>
          <w:right w:w="28" w:type="dxa"/>
        </w:tblCellMar>
      </w:tblPr>
      <w:tblGrid>
        <w:gridCol w:w="1136"/>
        <w:gridCol w:w="996"/>
        <w:gridCol w:w="1002"/>
        <w:gridCol w:w="247"/>
        <w:gridCol w:w="1004"/>
        <w:gridCol w:w="119"/>
        <w:gridCol w:w="119"/>
        <w:gridCol w:w="119"/>
        <w:gridCol w:w="119"/>
        <w:gridCol w:w="247"/>
        <w:gridCol w:w="872"/>
        <w:gridCol w:w="119"/>
        <w:gridCol w:w="109"/>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Domestic</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(17,784)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(3,399)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loss before income taxes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(16,293)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(2,392)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7955"/>
                <wp:effectExtent l="0" t="0" r="0" b="0"/>
                <wp:wrapNone/>
                <wp:docPr id="128" name="Frame1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components of the Company’s provision for income taxes are as follows (in thousands):</w:t>
      </w:r>
    </w:p>
    <w:tbl>
      <w:tblPr>
        <w:tblW w:w="6517" w:type="dxa"/>
        <w:jc w:val="left"/>
        <w:tblInd w:w="0" w:type="dxa"/>
        <w:tblLayout w:type="fixed"/>
        <w:tblCellMar>
          <w:top w:w="28" w:type="dxa"/>
          <w:left w:w="28" w:type="dxa"/>
          <w:bottom w:w="28" w:type="dxa"/>
          <w:right w:w="28" w:type="dxa"/>
        </w:tblCellMar>
      </w:tblPr>
      <w:tblGrid>
        <w:gridCol w:w="1187"/>
        <w:gridCol w:w="1047"/>
        <w:gridCol w:w="1051"/>
        <w:gridCol w:w="259"/>
        <w:gridCol w:w="913"/>
        <w:gridCol w:w="125"/>
        <w:gridCol w:w="125"/>
        <w:gridCol w:w="125"/>
        <w:gridCol w:w="125"/>
        <w:gridCol w:w="259"/>
        <w:gridCol w:w="913"/>
        <w:gridCol w:w="125"/>
        <w:gridCol w:w="109"/>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Current:</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Federal</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(2,573)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(4,849)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current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(7,705)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deferred</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provision for income taxes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(7,663)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7955"/>
                <wp:effectExtent l="0" t="0" r="0" b="0"/>
                <wp:wrapNone/>
                <wp:docPr id="129" name="Frame1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The Company adopted ASU 2023-09, </w:t>
      </w:r>
      <w:r>
        <w:rPr>
          <w:rFonts w:ascii="Expensify Neue;sans-serif" w:hAnsi="Expensify Neue;sans-serif"/>
          <w:b w:val="false"/>
          <w:i/>
          <w:color w:val="000000"/>
          <w:sz w:val="20"/>
        </w:rPr>
        <w:t>Improvements to Income Tax Disclosures</w:t>
      </w:r>
      <w:r>
        <w:rPr>
          <w:rFonts w:ascii="Expensify Neue;sans-serif" w:hAnsi="Expensify Neue;sans-serif"/>
          <w:b w:val="false"/>
          <w:color w:val="000000"/>
          <w:sz w:val="20"/>
        </w:rPr>
        <w:t>, on a prospective basis beginning with the year ended December 31, 2025. The following table presents required disclosures pursuant to ASU 2023-09 and reconciles the U.S. statutory federal income tax amount and rate to the Company's effective income tax amount and rate for the year ended December 31, 2025 (in thousands, except for percentages):</w:t>
      </w:r>
    </w:p>
    <w:tbl>
      <w:tblPr>
        <w:tblW w:w="9728" w:type="dxa"/>
        <w:jc w:val="left"/>
        <w:tblInd w:w="0" w:type="dxa"/>
        <w:tblLayout w:type="fixed"/>
        <w:tblCellMar>
          <w:top w:w="28" w:type="dxa"/>
          <w:left w:w="28" w:type="dxa"/>
          <w:bottom w:w="28" w:type="dxa"/>
          <w:right w:w="28" w:type="dxa"/>
        </w:tblCellMar>
      </w:tblPr>
      <w:tblGrid>
        <w:gridCol w:w="2228"/>
        <w:gridCol w:w="1959"/>
        <w:gridCol w:w="1963"/>
        <w:gridCol w:w="342"/>
        <w:gridCol w:w="1205"/>
        <w:gridCol w:w="165"/>
        <w:gridCol w:w="165"/>
        <w:gridCol w:w="165"/>
        <w:gridCol w:w="165"/>
        <w:gridCol w:w="337"/>
        <w:gridCol w:w="338"/>
        <w:gridCol w:w="433"/>
        <w:gridCol w:w="109"/>
        <w:gridCol w:w="154"/>
      </w:tblGrid>
      <w:tr>
        <w:trPr/>
        <w:tc>
          <w:tcPr>
            <w:tcW w:w="2228"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Statutory tax</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(3,422)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State and local income tax, net of federal income tax effect</w:t>
            </w:r>
            <w:r>
              <w:rPr>
                <w:rFonts w:ascii="Expensify Neue;sans-serif" w:hAnsi="Expensify Neue;sans-serif"/>
                <w:b w:val="false"/>
                <w:color w:val="000000"/>
                <w:sz w:val="13"/>
              </w:rPr>
              <w:t>(1)</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Nontaxable or nondeductible items:</w:t>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162(m) limitation</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nondeductible items</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Change in valuation allowance</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(21.8)</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Tax credits:</w:t>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credit</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 tax credit</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Effects of cross-border tax laws:</w:t>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GILTI</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 tax effects:</w:t>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United Kingdom</w:t>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Nondeductible stock-based compensation</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(0.9)</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Australia</w:t>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Nondeductible stock-based compensation</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Statutory income tax rate differential</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Canada</w:t>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Nondeductible stock-based compensation</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(0.5)</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Netherlands</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Changes in unrecognized tax benefits</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Effective income tax</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(31.3)</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13"/>
        </w:rPr>
      </w:pPr>
      <w:r>
        <w:rPr>
          <w:rFonts w:ascii="Expensify Neue;sans-serif" w:hAnsi="Expensify Neue;sans-serif"/>
          <w:b w:val="false"/>
          <w:color w:val="000000"/>
          <w:sz w:val="13"/>
        </w:rPr>
        <w:t>(1) The states and local jurisdictions that contribute to the majority (greater than 50%) of the tax effect in this category include New York, Massachusetts, Colorado, New York City, and District of Columbia.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7955"/>
                <wp:effectExtent l="0" t="0" r="0" b="0"/>
                <wp:wrapNone/>
                <wp:docPr id="130" name="Frame1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presents the required disclosures prior to the Company's adoption of ASU 2023-09 and reconciles the U.S. statutory federal income tax rate to the Company's effective income tax rate as follows:</w:t>
      </w:r>
    </w:p>
    <w:tbl>
      <w:tblPr>
        <w:tblW w:w="10205" w:type="dxa"/>
        <w:jc w:val="left"/>
        <w:tblInd w:w="0" w:type="dxa"/>
        <w:tblLayout w:type="fixed"/>
        <w:tblCellMar>
          <w:top w:w="28" w:type="dxa"/>
          <w:left w:w="28" w:type="dxa"/>
          <w:bottom w:w="28" w:type="dxa"/>
          <w:right w:w="28" w:type="dxa"/>
        </w:tblCellMar>
      </w:tblPr>
      <w:tblGrid>
        <w:gridCol w:w="2549"/>
        <w:gridCol w:w="2226"/>
        <w:gridCol w:w="2221"/>
        <w:gridCol w:w="109"/>
        <w:gridCol w:w="109"/>
        <w:gridCol w:w="611"/>
        <w:gridCol w:w="582"/>
        <w:gridCol w:w="1531"/>
        <w:gridCol w:w="109"/>
        <w:gridCol w:w="158"/>
      </w:tblGrid>
      <w:tr>
        <w:trPr/>
        <w:tc>
          <w:tcPr>
            <w:tcW w:w="254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7" w:type="dxa"/>
            <w:gridSpan w:val="2"/>
            <w:tcBorders/>
          </w:tcPr>
          <w:p>
            <w:pPr>
              <w:pStyle w:val="TableContents"/>
              <w:bidi w:val="0"/>
              <w:spacing w:before="0" w:after="283"/>
              <w:jc w:val="left"/>
              <w:rPr>
                <w:sz w:val="4"/>
                <w:szCs w:val="4"/>
              </w:rPr>
            </w:pPr>
            <w:r>
              <w:rPr>
                <w:sz w:val="4"/>
                <w:szCs w:val="4"/>
              </w:rPr>
            </w:r>
          </w:p>
        </w:tc>
      </w:tr>
      <w:tr>
        <w:trPr/>
        <w:tc>
          <w:tcPr>
            <w:tcW w:w="6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21.0 </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(22.9)</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48.5 </w:t>
            </w:r>
          </w:p>
        </w:tc>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GILTI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(33.4)</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 tax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33.2 </w:t>
            </w:r>
          </w:p>
        </w:tc>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Rate differentials for controlled foreign corporations and charitable organizations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Permanent items and others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1.6 </w:t>
            </w:r>
          </w:p>
        </w:tc>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(235.6)</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(55.4)</w:t>
            </w:r>
          </w:p>
        </w:tc>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162(m) limitation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(63.1)</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(320.4)</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Upon adoption of ASU 2023-09, cash paid for income taxes, net of refunds received, were as follows (in thousands):</w:t>
      </w:r>
    </w:p>
    <w:tbl>
      <w:tblPr>
        <w:tblW w:w="8249" w:type="dxa"/>
        <w:jc w:val="left"/>
        <w:tblInd w:w="0" w:type="dxa"/>
        <w:tblLayout w:type="fixed"/>
        <w:tblCellMar>
          <w:top w:w="28" w:type="dxa"/>
          <w:left w:w="28" w:type="dxa"/>
          <w:bottom w:w="28" w:type="dxa"/>
          <w:right w:w="28" w:type="dxa"/>
        </w:tblCellMar>
      </w:tblPr>
      <w:tblGrid>
        <w:gridCol w:w="1734"/>
        <w:gridCol w:w="1531"/>
        <w:gridCol w:w="1534"/>
        <w:gridCol w:w="109"/>
        <w:gridCol w:w="109"/>
        <w:gridCol w:w="644"/>
        <w:gridCol w:w="2012"/>
        <w:gridCol w:w="313"/>
        <w:gridCol w:w="109"/>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Federal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3,203 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State and local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Netherlands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cash paid for income taxes, net of refunds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5,691 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amount of cash paid for income taxes during the year ended December 31, 2024 was $5.1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7955"/>
                <wp:effectExtent l="0" t="0" r="0" b="0"/>
                <wp:wrapNone/>
                <wp:docPr id="131" name="Frame1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Significant components of the Company's deferred tax assets and liabilities are as follows (in thousands):</w:t>
      </w:r>
    </w:p>
    <w:tbl>
      <w:tblPr>
        <w:tblW w:w="7449" w:type="dxa"/>
        <w:jc w:val="left"/>
        <w:tblInd w:w="0" w:type="dxa"/>
        <w:tblLayout w:type="fixed"/>
        <w:tblCellMar>
          <w:top w:w="28" w:type="dxa"/>
          <w:left w:w="28" w:type="dxa"/>
          <w:bottom w:w="28" w:type="dxa"/>
          <w:right w:w="28" w:type="dxa"/>
        </w:tblCellMar>
      </w:tblPr>
      <w:tblGrid>
        <w:gridCol w:w="1720"/>
        <w:gridCol w:w="1516"/>
        <w:gridCol w:w="1519"/>
        <w:gridCol w:w="226"/>
        <w:gridCol w:w="826"/>
        <w:gridCol w:w="109"/>
        <w:gridCol w:w="109"/>
        <w:gridCol w:w="109"/>
        <w:gridCol w:w="109"/>
        <w:gridCol w:w="226"/>
        <w:gridCol w:w="826"/>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Deferred tax assets: </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research and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Stock-based compensation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Accruals, reserves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Estimated putative class action liability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Tax credit carryforwards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Net operating loss carryforwards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deferred tax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valuation allowance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tax assets, net of valuation allowance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tax liabilities: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development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 right-of-use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commissions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deferred tax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tax assets, net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H.R.1, enacted on July 4, 2025, introduced provisions that modified the Internal Revenue Code (“IRC”), including the immediate expensing of domestic research and development expenditures for tax purposes. As previously required under the TCJA, the Company capitalized and amortized research and experimental (“R&amp;D”) expenditures under IRC Section 174 for tax years beginning after December 31, 2021. With the enactment of H.R.1 in 2025, the Company began deducting domestic Section 174 costs in the year they were incurred. The Company will continue to capitalize and amortize R&amp;D costs over 15 years for R&amp;D performed outside of the U.S. During the years ended December 31, 2025 and 2024, the Company capitalized R&amp;D costs of $25.0 million and $17.7 million, respectively. The deferred tax assets related to unamortized Section 174 costs are offset by a valuation allowance as of December 31, 2025 and 2024. </w:t>
      </w:r>
    </w:p>
    <w:p>
      <w:pPr>
        <w:pStyle w:val="TextBody"/>
        <w:bidi w:val="0"/>
        <w:spacing w:lineRule="auto" w:line="288" w:before="0" w:after="160"/>
        <w:jc w:val="left"/>
        <w:rPr/>
      </w:pPr>
      <w:r>
        <w:rPr>
          <w:rFonts w:ascii="Expensify Neue;sans-serif" w:hAnsi="Expensify Neue;sans-serif"/>
          <w:b w:val="false"/>
          <w:color w:val="000000"/>
          <w:sz w:val="20"/>
        </w:rPr>
        <w:t xml:space="preserve">Under the provisions of ASC 740, </w:t>
      </w:r>
      <w:r>
        <w:rPr>
          <w:rFonts w:ascii="Expensify Neue;sans-serif" w:hAnsi="Expensify Neue;sans-serif"/>
          <w:b w:val="false"/>
          <w:i/>
          <w:color w:val="000000"/>
          <w:sz w:val="20"/>
        </w:rPr>
        <w:t>Income Taxes,</w:t>
      </w:r>
      <w:r>
        <w:rPr>
          <w:color w:val="000000"/>
        </w:rPr>
        <w:t xml:space="preserve"> </w:t>
      </w:r>
      <w:r>
        <w:rPr>
          <w:rFonts w:ascii="Expensify Neue;sans-serif" w:hAnsi="Expensify Neue;sans-serif"/>
          <w:b w:val="false"/>
          <w:color w:val="000000"/>
          <w:sz w:val="20"/>
        </w:rPr>
        <w:t xml:space="preserve">the Company assessed its ability to realize the benefits of its deferred tax assets by evaluating all available positive and negative evidence, objective and subjective in nature, including cumulative results of operations in recent years, sources of recent pre-tax income, projected reversals of existing taxable temporary differences, and estimates of future taxable income. As of December 31, 2025, the Company concluded it is more likely than not that the Company will not have the ability to realize the benefits of its domestic deferred tax assets in excess of existing taxable temporary differences and therefore recorded a valuation allowance on the remaining domestic deferred tax assets.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December 31, 2025 and 2024, the Company had $1.5 million available net operating loss carryforwards for state tax purposes, which expire in 2046. As of December 31, 2025 and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7955"/>
                <wp:effectExtent l="0" t="0" r="0" b="0"/>
                <wp:wrapNone/>
                <wp:docPr id="132" name="Frame1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Company had state research and development tax credit carryforwards of $1.2 million and $0.8 million, respectively. The state tax credits do not expire and will carry forward indefinitely until utilized.</w:t>
      </w:r>
    </w:p>
    <w:p>
      <w:pPr>
        <w:pStyle w:val="TextBody"/>
        <w:bidi w:val="0"/>
        <w:spacing w:lineRule="auto" w:line="288" w:before="0" w:after="160"/>
        <w:jc w:val="left"/>
        <w:rPr/>
      </w:pPr>
      <w:r>
        <w:rPr>
          <w:rFonts w:ascii="Expensify Neue;sans-serif" w:hAnsi="Expensify Neue;sans-serif"/>
          <w:b w:val="false"/>
          <w:color w:val="000000"/>
          <w:sz w:val="20"/>
        </w:rPr>
        <w:t xml:space="preserve">The Company follows the provisions of ASC 740-10, </w:t>
      </w:r>
      <w:r>
        <w:rPr>
          <w:rFonts w:ascii="Expensify Neue;sans-serif" w:hAnsi="Expensify Neue;sans-serif"/>
          <w:b w:val="false"/>
          <w:i/>
          <w:color w:val="000000"/>
          <w:sz w:val="20"/>
        </w:rPr>
        <w:t>Accounting for Uncertainty in Income Taxes</w:t>
      </w:r>
      <w:r>
        <w:rPr>
          <w:rFonts w:ascii="Expensify Neue;sans-serif" w:hAnsi="Expensify Neue;sans-serif"/>
          <w:b w:val="false"/>
          <w:color w:val="000000"/>
          <w:sz w:val="20"/>
        </w:rPr>
        <w:t>. ASC 740-10 prescribes a comprehensive model for the recognition, measurement, presentation and disclosure in financial statements of uncertain tax positions that have been taken or expected to be taken on a tax return. As of December 31, 2025 and 2024, the Company recorded an uncertain tax position liability of $1.6 million and $1.5 million, respectively, within Other liabilities on the Consolidated Balance Sheets.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Approximately $1.6 million and $1.5 million of the unrecognized tax benefits for the years ended December 31, 2025 and 2024, respectively, if recognized, would affect the effective tax rate. A reconciliation of the amount of unrecognized tax benefits is as follows (in thousands):</w:t>
      </w:r>
    </w:p>
    <w:tbl>
      <w:tblPr>
        <w:tblW w:w="8778" w:type="dxa"/>
        <w:jc w:val="left"/>
        <w:tblInd w:w="0" w:type="dxa"/>
        <w:tblLayout w:type="fixed"/>
        <w:tblCellMar>
          <w:top w:w="28" w:type="dxa"/>
          <w:left w:w="28" w:type="dxa"/>
          <w:bottom w:w="28" w:type="dxa"/>
          <w:right w:w="28" w:type="dxa"/>
        </w:tblCellMar>
      </w:tblPr>
      <w:tblGrid>
        <w:gridCol w:w="2008"/>
        <w:gridCol w:w="1767"/>
        <w:gridCol w:w="1774"/>
        <w:gridCol w:w="278"/>
        <w:gridCol w:w="870"/>
        <w:gridCol w:w="134"/>
        <w:gridCol w:w="134"/>
        <w:gridCol w:w="134"/>
        <w:gridCol w:w="134"/>
        <w:gridCol w:w="278"/>
        <w:gridCol w:w="870"/>
        <w:gridCol w:w="134"/>
        <w:gridCol w:w="109"/>
        <w:gridCol w:w="154"/>
      </w:tblGrid>
      <w:tr>
        <w:trPr/>
        <w:tc>
          <w:tcPr>
            <w:tcW w:w="200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Balance as of January 1</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1,942 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Additions based on tax positions related to current year</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Additions based on tax positions related to prior year</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Reductions based on tax positions related to prior year</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Expiration of the statute of limitations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Balance as of December 31</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1,900 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1,942 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recognizes penalties and interest expense related to income taxes as a component of tax expense. There are immaterial amounts of interest and penalties recorded in the Consolidated Statements of Operations for each of the years ended December 31, 2025 and 2024, and $0.3 million and an immaterial amount on the Consolidated Balance Sheets as of December 31, 2025 and 2024, respectively. The Company anticipates that it is reasonably possible its unrecognized benefits will decrease by $0.4 million, exclusive of interest and penalties, within 2026 mainly due to the expiration of the statute of limitations.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federal and state returns for the tax years ended from December 2018 to December 2025 remain open to examination.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 examination of the Company's 2021 federal tax return by the Internal Revenue Service (“IRS”) commenced in Q4 2024. The IRS concluded this examination as of June 30, 2025. There were no adjustments proposed by the IRS as a result of the examination.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7955"/>
                <wp:effectExtent l="0" t="0" r="0" b="0"/>
                <wp:wrapNone/>
                <wp:docPr id="133" name="Frame1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11 – NET LOSS PER SHARE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38"/>
        <w:gridCol w:w="1218"/>
        <w:gridCol w:w="1221"/>
        <w:gridCol w:w="263"/>
        <w:gridCol w:w="983"/>
        <w:gridCol w:w="109"/>
        <w:gridCol w:w="109"/>
        <w:gridCol w:w="109"/>
        <w:gridCol w:w="109"/>
        <w:gridCol w:w="307"/>
        <w:gridCol w:w="819"/>
        <w:gridCol w:w="109"/>
        <w:gridCol w:w="109"/>
        <w:gridCol w:w="109"/>
        <w:gridCol w:w="109"/>
        <w:gridCol w:w="268"/>
        <w:gridCol w:w="858"/>
        <w:gridCol w:w="109"/>
        <w:gridCol w:w="109"/>
        <w:gridCol w:w="109"/>
        <w:gridCol w:w="109"/>
        <w:gridCol w:w="263"/>
        <w:gridCol w:w="983"/>
        <w:gridCol w:w="176"/>
      </w:tblGrid>
      <w:tr>
        <w:trPr/>
        <w:tc>
          <w:tcPr>
            <w:tcW w:w="153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Year Ended December 31, 2025</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(21,389)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80,213,321 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4,209,827 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7,860,826 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92,283,974 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8"/>
        <w:gridCol w:w="1218"/>
        <w:gridCol w:w="1221"/>
        <w:gridCol w:w="297"/>
        <w:gridCol w:w="949"/>
        <w:gridCol w:w="109"/>
        <w:gridCol w:w="109"/>
        <w:gridCol w:w="109"/>
        <w:gridCol w:w="109"/>
        <w:gridCol w:w="307"/>
        <w:gridCol w:w="819"/>
        <w:gridCol w:w="109"/>
        <w:gridCol w:w="109"/>
        <w:gridCol w:w="109"/>
        <w:gridCol w:w="109"/>
        <w:gridCol w:w="307"/>
        <w:gridCol w:w="819"/>
        <w:gridCol w:w="109"/>
        <w:gridCol w:w="109"/>
        <w:gridCol w:w="109"/>
        <w:gridCol w:w="109"/>
        <w:gridCol w:w="263"/>
        <w:gridCol w:w="983"/>
        <w:gridCol w:w="176"/>
      </w:tblGrid>
      <w:tr>
        <w:trPr/>
        <w:tc>
          <w:tcPr>
            <w:tcW w:w="153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Year Ended December 31, 2024</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74,080,426 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5,833,311 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7,466,971 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87,380,708 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ten-month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will be the same for the Class A, LT10 and LT50 common stock on an individual or combined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7955"/>
                <wp:effectExtent l="0" t="0" r="0" b="0"/>
                <wp:wrapNone/>
                <wp:docPr id="134" name="Frame1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potentially dilutive shares were not included in the calculation of diluted shares outstanding as the effect would have been anti-dilutive:</w:t>
      </w:r>
    </w:p>
    <w:tbl>
      <w:tblPr>
        <w:tblW w:w="8841" w:type="dxa"/>
        <w:jc w:val="center"/>
        <w:tblInd w:w="0" w:type="dxa"/>
        <w:tblLayout w:type="fixed"/>
        <w:tblCellMar>
          <w:top w:w="28" w:type="dxa"/>
          <w:left w:w="28" w:type="dxa"/>
          <w:bottom w:w="28" w:type="dxa"/>
          <w:right w:w="28" w:type="dxa"/>
        </w:tblCellMar>
      </w:tblPr>
      <w:tblGrid>
        <w:gridCol w:w="1185"/>
        <w:gridCol w:w="1039"/>
        <w:gridCol w:w="1045"/>
        <w:gridCol w:w="563"/>
        <w:gridCol w:w="563"/>
        <w:gridCol w:w="266"/>
        <w:gridCol w:w="143"/>
        <w:gridCol w:w="143"/>
        <w:gridCol w:w="143"/>
        <w:gridCol w:w="203"/>
        <w:gridCol w:w="203"/>
        <w:gridCol w:w="191"/>
        <w:gridCol w:w="143"/>
        <w:gridCol w:w="143"/>
        <w:gridCol w:w="143"/>
        <w:gridCol w:w="203"/>
        <w:gridCol w:w="203"/>
        <w:gridCol w:w="191"/>
        <w:gridCol w:w="143"/>
        <w:gridCol w:w="143"/>
        <w:gridCol w:w="143"/>
        <w:gridCol w:w="563"/>
        <w:gridCol w:w="563"/>
        <w:gridCol w:w="573"/>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2"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Year Ended December 31, 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1,411,778 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1,411,778 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38,361 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38,361 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1,450,139 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1,450,139 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8841" w:type="dxa"/>
        <w:jc w:val="left"/>
        <w:tblInd w:w="0" w:type="dxa"/>
        <w:tblLayout w:type="fixed"/>
        <w:tblCellMar>
          <w:top w:w="28" w:type="dxa"/>
          <w:left w:w="28" w:type="dxa"/>
          <w:bottom w:w="28" w:type="dxa"/>
          <w:right w:w="28" w:type="dxa"/>
        </w:tblCellMar>
      </w:tblPr>
      <w:tblGrid>
        <w:gridCol w:w="1185"/>
        <w:gridCol w:w="1039"/>
        <w:gridCol w:w="1045"/>
        <w:gridCol w:w="563"/>
        <w:gridCol w:w="563"/>
        <w:gridCol w:w="266"/>
        <w:gridCol w:w="143"/>
        <w:gridCol w:w="143"/>
        <w:gridCol w:w="143"/>
        <w:gridCol w:w="203"/>
        <w:gridCol w:w="203"/>
        <w:gridCol w:w="191"/>
        <w:gridCol w:w="143"/>
        <w:gridCol w:w="143"/>
        <w:gridCol w:w="143"/>
        <w:gridCol w:w="203"/>
        <w:gridCol w:w="203"/>
        <w:gridCol w:w="191"/>
        <w:gridCol w:w="143"/>
        <w:gridCol w:w="143"/>
        <w:gridCol w:w="143"/>
        <w:gridCol w:w="563"/>
        <w:gridCol w:w="563"/>
        <w:gridCol w:w="573"/>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2"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Year Ended December 31,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2,050,684 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2,050,684 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2,050,684 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2,050,684 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12 – COMMITMENTS AND CONTINGENCIES</w:t>
      </w:r>
    </w:p>
    <w:p>
      <w:pPr>
        <w:pStyle w:val="TextBody"/>
        <w:bidi w:val="0"/>
        <w:spacing w:lineRule="auto" w:line="288" w:before="0" w:after="160"/>
        <w:jc w:val="left"/>
        <w:rPr/>
      </w:pPr>
      <w:r>
        <w:rPr>
          <w:rFonts w:ascii="Expensify Neue;sans-serif" w:hAnsi="Expensify Neue;sans-serif"/>
          <w:b/>
          <w:color w:val="000000"/>
          <w:sz w:val="20"/>
        </w:rPr>
        <w:t>Litigation</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these provisions at least quarterly and adjusts such provisions to reflect the impact of negotiations, settlements, rulings, advice of legal counsel and other information and events pertaining to a particular case.</w:t>
      </w:r>
    </w:p>
    <w:p>
      <w:pPr>
        <w:pStyle w:val="TextBody"/>
        <w:bidi w:val="0"/>
        <w:spacing w:lineRule="auto" w:line="288" w:before="0" w:after="160"/>
        <w:jc w:val="left"/>
        <w:rPr/>
      </w:pPr>
      <w:r>
        <w:rPr>
          <w:rFonts w:ascii="Expensify Neue;sans-serif" w:hAnsi="Expensify Neue;sans-serif"/>
          <w:b w:val="false"/>
          <w:color w:val="000000"/>
          <w:sz w:val="20"/>
        </w:rPr>
        <w:t>On November 29, 2023, a putative securities class action (the “Putative Class Action”) was filed in the United States District Court for the District of Oregon captioned Wilhite v. Expensify, Inc., et al., Case No. 3:23-cv-01784-JR, naming the Company, the Company's executive officers and several of the Company's current and former directors as defendants (collectively, the “Defendants”). The lawsuit is purportedly brought on behalf of all those who purchased or acquired the Company's stock pursuant or traceable to its IPO. The complaint alleges claims under Sections 11 and 15 of the Securities Act of 1933 based on allegedly false or misleading statements in the offering documents filed in connection with the IPO. The lawsuit seeks unspecified damages and other relief. On December 17, 2025, after conducting mediation within the current discovery phase of the lawsuit, the parties reached an agreement-in-principle to settle all claims in the Putative Class Action for an aggregate sum of $9.5 million. Plaintiff filed a stipulation of settlement and motion for preliminary approval of settlement on February 12, 2026. On February 23, 2026, the Court granted preliminary approval of the settlement and set a final approval hearing for June 30, 2026. As of December 31, 2025, this liability amount is includ</w:t>
      </w:r>
      <w:r>
        <w:rPr>
          <w:rFonts w:ascii="Expensify Neue;sans-serif" w:hAnsi="Expensify Neue;sans-serif"/>
          <w:b w:val="false"/>
          <w:color w:val="000000"/>
          <w:sz w:val="20"/>
          <w:shd w:fill="FFFFFF" w:val="clear"/>
        </w:rPr>
        <w:t>ed within Accrued expenses and other liabilities on the Consolidated Balance Sheets</w:t>
      </w:r>
      <w:r>
        <w:rPr>
          <w:rFonts w:ascii="Expensify Neue;sans-serif" w:hAnsi="Expensify Neue;sans-serif"/>
          <w:b w:val="false"/>
          <w:color w:val="000000"/>
          <w:sz w:val="20"/>
        </w:rPr>
        <w:t>. The settlement accrual is partially offset by a receivable of $6.7 million for amounts recoverable under the Company's applicable insurance policies</w:t>
      </w:r>
      <w:r>
        <w:rPr>
          <w:rFonts w:ascii="Expensify Neue;sans-serif" w:hAnsi="Expensify Neue;sans-serif"/>
          <w:b/>
          <w:color w:val="000000"/>
          <w:sz w:val="20"/>
        </w:rPr>
        <w:t xml:space="preserve">, </w:t>
      </w:r>
      <w:r>
        <w:rPr>
          <w:rFonts w:ascii="Expensify Neue;sans-serif" w:hAnsi="Expensify Neue;sans-serif"/>
          <w:b w:val="false"/>
          <w:color w:val="000000"/>
          <w:sz w:val="20"/>
        </w:rPr>
        <w:t>which is included within Other current assets on the Consolidated Balance Sheets as of December 31, 2025.</w:t>
      </w:r>
      <w:r>
        <w:rPr>
          <w:color w:val="000000"/>
        </w:rPr>
        <w:t xml:space="preserve"> </w:t>
      </w:r>
      <w:r>
        <w:rPr>
          <w:rFonts w:ascii="Expensify Neue;sans-serif" w:hAnsi="Expensify Neue;sans-serif"/>
          <w:b w:val="false"/>
          <w:color w:val="000000"/>
          <w:sz w:val="20"/>
        </w:rPr>
        <w:t>During the year ended December 31, 2025, the Company recorded an expense of $2.8 million for the proposed settlement, net of the Company's expected insurance recoveries, which is included within General and administrative on the Consolidated Statements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shareholder derivative lawsuits filed during the years ended December 31, 2025 and 2024 in the United States District Court for the District of Oregon naming the Company as nominal defendant, with the Company's executive officers and several of the Company's current and former directors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7955"/>
                <wp:effectExtent l="0" t="0" r="0" b="0"/>
                <wp:wrapNone/>
                <wp:docPr id="135" name="Frame1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defendants (collectively, the “Derivative Defendants”) remain pending. The Derivative Defendants deny the allegations of wrongdoing and will continue to vigorously defend against the claims in the shareholder derivative lawsuits. At this time, the Company is unable to estimate the probability or the amount of liability, if any, related to these matters.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2025 and 2024, there were no other legal contingency matters, either individually or in aggregate, that would have a material adverse effect on the Company's financial position, results of operations or cash flows.</w:t>
      </w:r>
    </w:p>
    <w:p>
      <w:pPr>
        <w:pStyle w:val="TextBody"/>
        <w:bidi w:val="0"/>
        <w:spacing w:lineRule="auto" w:line="288" w:before="0" w:after="160"/>
        <w:jc w:val="left"/>
        <w:rPr/>
      </w:pPr>
      <w:r>
        <w:rPr>
          <w:rFonts w:ascii="Expensify Neue;sans-serif" w:hAnsi="Expensify Neue;sans-serif"/>
          <w:b/>
          <w:color w:val="000000"/>
          <w:sz w:val="20"/>
        </w:rPr>
        <w:t>Indemnification</w:t>
      </w:r>
      <w:r>
        <w:rPr>
          <w:color w:val="000000"/>
        </w:rPr>
        <w:t xml:space="preserve"> </w:t>
      </w:r>
      <w:r>
        <w:rPr>
          <w:rFonts w:ascii="Expensify Neue;sans-serif" w:hAnsi="Expensify Neue;sans-serif"/>
          <w:b/>
          <w:color w:val="000000"/>
          <w:sz w:val="20"/>
        </w:rPr>
        <w:t>Agreements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ordinary course of business, the Company enters into agreements of varying scope and terms whereby the Company agrees to indemnify customers, issuing banks, card networks, vendors and other parties with respect to certain matters, including, but not limited to, losses arising out of the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the Consolidated Balance Sheets, Consolidated Statements of Operations, Consolidated Statements of Changes in Stockholders' Equity, or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13 – EMPLOYEE BENEFIT PLANS</w:t>
      </w:r>
    </w:p>
    <w:p>
      <w:pPr>
        <w:pStyle w:val="TextBody"/>
        <w:bidi w:val="0"/>
        <w:spacing w:lineRule="auto" w:line="288" w:before="0" w:after="160"/>
        <w:jc w:val="left"/>
        <w:rPr/>
      </w:pPr>
      <w:r>
        <w:rPr>
          <w:rFonts w:ascii="Expensify Neue;sans-serif" w:hAnsi="Expensify Neue;sans-serif"/>
          <w:b/>
          <w:color w:val="000000"/>
          <w:sz w:val="20"/>
        </w:rPr>
        <w:t>401(k) Plan</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In fiscal 2009, the Company sponsored a U.S. 401(k) defined contribution plan covering eligible employees who elect to participate. The Company is allowed to make discretionary profit sharing and 401(k) matching contributions as defined in the plan and as approved by the Board of Directors. Effective January 1, 2018, the Company matches up to 4.50% of each participant’s eligible compensation. No discretionary profit-sharing contributions were made for the years ended December 31, 2025 and</w:t>
      </w:r>
      <w:r>
        <w:rPr>
          <w:color w:val="000000"/>
          <w:shd w:fill="FFFFFF" w:val="clear"/>
        </w:rPr>
        <w:t xml:space="preserve"> </w:t>
      </w:r>
      <w:r>
        <w:rPr>
          <w:rFonts w:ascii="Expensify Neue;sans-serif" w:hAnsi="Expensify Neue;sans-serif"/>
          <w:b w:val="false"/>
          <w:color w:val="000000"/>
          <w:sz w:val="20"/>
        </w:rPr>
        <w:t>2024. The Company’s 401(k) matching contributions for both years ended December 31, 2025 and 2024 were $0.8 million.</w:t>
      </w:r>
    </w:p>
    <w:p>
      <w:pPr>
        <w:pStyle w:val="TextBody"/>
        <w:bidi w:val="0"/>
        <w:spacing w:lineRule="auto" w:line="288" w:before="0" w:after="160"/>
        <w:jc w:val="left"/>
        <w:rPr/>
      </w:pPr>
      <w:r>
        <w:rPr>
          <w:rFonts w:ascii="Expensify Neue;sans-serif" w:hAnsi="Expensify Neue;sans-serif"/>
          <w:b w:val="false"/>
          <w:color w:val="000000"/>
          <w:sz w:val="20"/>
        </w:rPr>
        <w:t>In accordance with local laws and customs of the UK, the Company sponsors a UK pension plan covering eligible employees who elect to participate. The Company is allowed to make discretionary profit sharing and matching contributions as defined in the plan and as approved by the Board of Directors. The Company matches up to 4.50% of each participant's eligible compensation. No discretionary profit-sharing contributions were made for the years ended December 31, 2025 and 2024. The discretionary matching contributions for both years ended December 31, 2025 and</w:t>
      </w:r>
      <w:r>
        <w:rPr>
          <w:color w:val="000000"/>
          <w:shd w:fill="FFFFFF" w:val="clear"/>
        </w:rPr>
        <w:t xml:space="preserve"> </w:t>
      </w:r>
      <w:r>
        <w:rPr>
          <w:rFonts w:ascii="Expensify Neue;sans-serif" w:hAnsi="Expensify Neue;sans-serif"/>
          <w:b w:val="false"/>
          <w:color w:val="000000"/>
          <w:sz w:val="20"/>
        </w:rPr>
        <w:t>2024</w:t>
      </w:r>
      <w:r>
        <w:rPr>
          <w:color w:val="000000"/>
          <w:shd w:fill="FFFFFF" w:val="clear"/>
        </w:rPr>
        <w:t xml:space="preserve"> </w:t>
      </w:r>
      <w:r>
        <w:rPr>
          <w:rFonts w:ascii="Expensify Neue;sans-serif" w:hAnsi="Expensify Neue;sans-serif"/>
          <w:b w:val="false"/>
          <w:color w:val="000000"/>
          <w:sz w:val="20"/>
        </w:rPr>
        <w:t>were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7955"/>
                <wp:effectExtent l="0" t="0" r="0" b="0"/>
                <wp:wrapNone/>
                <wp:docPr id="136" name="Frame1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131</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9. Changes in and Disagreements With Accountants on Accounting and Financial Disclosure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9A. Controls and Procedures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EVALUATION OF DISCLOSURE CONTROLS AND PROCEDURES</w:t>
      </w:r>
    </w:p>
    <w:p>
      <w:pPr>
        <w:pStyle w:val="TextBody"/>
        <w:bidi w:val="0"/>
        <w:spacing w:lineRule="auto" w:line="26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on Form 10-K.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Based on such evaluation, our chief executive officer and chief financial officer have concluded that as of December 31, 2025, our disclosure controls and procedures were effective at a reasonable assurance level. </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MANAGEMENT'S ANNUAL REPORT ON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GAAP.</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under the supervision of our chief executive officer and our chief financial officer, conducted an evaluation of the effectiveness of our internal control over financial reporting as of December 31, 2025 based on the framework in Internal Control-Integrated Framework (2013), issued by the Committee of Sponsoring Organizations of the Treadway Commission. Based on this evaluation, management, including our chief executive officer and chief financial officer, concluded that our internal control over financial reporting was effective as of December 31, 2025.</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REPORT OF INDEPENDENT REGISTERED PUBLIC ACCOUNTING FIRM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effectiveness of our internal control over financial reporting as of December 31, 2025 has been audited by KPMG LLP, an independent registered public accounting firm, as stated in its report included in Part II, Item 8 “Financial Statements and Supplementary Data” of this Annual Report on Form 10-K. </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CHANGES IN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were no changes in our internal control over financial reporting identified in connection with the evaluation required by Rules 13a-15(d) and 15d-15(d) of the Exchange Act that occurred during the quarter ended December 31, 2025 that has materially affected, or is reasonably likely to materially affect, our internal control over financial reporting.</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LIMITATIONS OF EFFECTIVENESS OF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7955"/>
                <wp:effectExtent l="0" t="0" r="0" b="0"/>
                <wp:wrapNone/>
                <wp:docPr id="137" name="Frame1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132</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9B. Other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Insider Trading Arrangements</w:t>
      </w:r>
    </w:p>
    <w:tbl>
      <w:tblPr>
        <w:tblW w:w="10205" w:type="dxa"/>
        <w:jc w:val="left"/>
        <w:tblInd w:w="0" w:type="dxa"/>
        <w:tblLayout w:type="fixed"/>
        <w:tblCellMar>
          <w:top w:w="28" w:type="dxa"/>
          <w:left w:w="28" w:type="dxa"/>
          <w:bottom w:w="28" w:type="dxa"/>
          <w:right w:w="28" w:type="dxa"/>
        </w:tblCellMar>
      </w:tblPr>
      <w:tblGrid>
        <w:gridCol w:w="504"/>
        <w:gridCol w:w="442"/>
        <w:gridCol w:w="445"/>
        <w:gridCol w:w="265"/>
        <w:gridCol w:w="265"/>
        <w:gridCol w:w="266"/>
        <w:gridCol w:w="109"/>
        <w:gridCol w:w="109"/>
        <w:gridCol w:w="109"/>
        <w:gridCol w:w="445"/>
        <w:gridCol w:w="445"/>
        <w:gridCol w:w="450"/>
        <w:gridCol w:w="109"/>
        <w:gridCol w:w="109"/>
        <w:gridCol w:w="109"/>
        <w:gridCol w:w="317"/>
        <w:gridCol w:w="317"/>
        <w:gridCol w:w="318"/>
        <w:gridCol w:w="109"/>
        <w:gridCol w:w="109"/>
        <w:gridCol w:w="109"/>
        <w:gridCol w:w="453"/>
        <w:gridCol w:w="453"/>
        <w:gridCol w:w="454"/>
        <w:gridCol w:w="109"/>
        <w:gridCol w:w="109"/>
        <w:gridCol w:w="109"/>
        <w:gridCol w:w="440"/>
        <w:gridCol w:w="440"/>
        <w:gridCol w:w="442"/>
        <w:gridCol w:w="109"/>
        <w:gridCol w:w="109"/>
        <w:gridCol w:w="109"/>
        <w:gridCol w:w="410"/>
        <w:gridCol w:w="410"/>
        <w:gridCol w:w="589"/>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Trading Arrangement</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Rule 10b5-1</w:t>
            </w:r>
            <w:r>
              <w:rPr>
                <w:rFonts w:ascii="Expensify Neue;sans-serif" w:hAnsi="Expensify Neue;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Non-Rule 10b5-1</w:t>
            </w:r>
            <w:r>
              <w:rPr>
                <w:rFonts w:ascii="Expensify Neue;sans-serif" w:hAnsi="Expensify Neue;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Total 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Expiration Date</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Carlos Alvarez Divo, Director</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Adopt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66,428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July 15, 2026</w:t>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(1)Intended to satisfy the affirmative defense of Rule 10b5-1(c).</w:t>
      </w:r>
    </w:p>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(2)Not intended to satisfy the affirmative defense of Rule 10b5-1(c).</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Certificate of Retirement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26, 2026 the Company filed a Certificate of Retirement with the Secretary of State of the State of Delaware to retire 74,047 shares of LT50 common stock, par value $0.0001 per share, of the Company (“LT50 Common Stock”). All 74,047 shares of LT50 Common Stock were converted into 74,047 shares of Class A common stock, par value $0.0001 per share, of the Company (the “Class A Common Stock”). The Company’s Amended and Restated Certificate of Incorporation requires that any shares of LT50 Common Stock that are converted into shares of Class A Common Stock be retired and may not be reissued.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Effective upon filing, the Certificate of Retirement amended the Amended and Restated Certificate of Incorporation of the Company to reduce the total authorized number of shares of capital stock of the Company by 74,047 shares. The total number of authorized shares of the Company is now 1,056,764,264, such shares consisting of 1,000,000,000 shares designated Class A Common Stock, 21,871,197 shares designated LT10 Common Stock, 24,893,067 shares designated LT50 Common Stock, each with a par value of $0.0001 per share, of the Company, and 10,000,000 shares designated preferred stock, par value $0.0001 per share,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9C. Disclosure Regarding Foreign Jurisdictions that Prevent Inspections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7955"/>
                <wp:effectExtent l="0" t="0" r="0" b="0"/>
                <wp:wrapNone/>
                <wp:docPr id="138" name="Frame1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133</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10. Directors, Executive Officers and Corporate Governance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information with respect to our board of directors and executive officers is presented as of February 26, 2026:</w:t>
      </w:r>
    </w:p>
    <w:tbl>
      <w:tblPr>
        <w:tblW w:w="10205" w:type="dxa"/>
        <w:jc w:val="left"/>
        <w:tblInd w:w="0" w:type="dxa"/>
        <w:tblLayout w:type="fixed"/>
        <w:tblCellMar>
          <w:top w:w="28" w:type="dxa"/>
          <w:left w:w="28" w:type="dxa"/>
          <w:bottom w:w="28" w:type="dxa"/>
          <w:right w:w="28" w:type="dxa"/>
        </w:tblCellMar>
      </w:tblPr>
      <w:tblGrid>
        <w:gridCol w:w="471"/>
        <w:gridCol w:w="321"/>
        <w:gridCol w:w="325"/>
        <w:gridCol w:w="109"/>
        <w:gridCol w:w="109"/>
        <w:gridCol w:w="109"/>
        <w:gridCol w:w="175"/>
        <w:gridCol w:w="175"/>
        <w:gridCol w:w="176"/>
        <w:gridCol w:w="109"/>
        <w:gridCol w:w="109"/>
        <w:gridCol w:w="109"/>
        <w:gridCol w:w="644"/>
        <w:gridCol w:w="561"/>
        <w:gridCol w:w="563"/>
        <w:gridCol w:w="109"/>
        <w:gridCol w:w="109"/>
        <w:gridCol w:w="109"/>
        <w:gridCol w:w="1701"/>
        <w:gridCol w:w="1701"/>
        <w:gridCol w:w="2411"/>
      </w:tblGrid>
      <w:tr>
        <w:trPr/>
        <w:tc>
          <w:tcPr>
            <w:tcW w:w="4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Position at Expensify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Principal Employment</w:t>
            </w:r>
          </w:p>
        </w:tc>
      </w:tr>
      <w:tr>
        <w:trPr/>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Executive Officer of Expensify</w:t>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 of Expensify</w:t>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Jason Mills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Product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Product Officer of Expensify</w:t>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Daniel Vidal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Strategy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Strategy Officer of Expensify</w:t>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Carlos Alvarez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 of Engineering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 of Engineering of Expensify</w:t>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Timothy Christen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Chairman of the Board at Mayville Engineering Company, a value-added manufacturer providing prototyping and tooling, production fabrication, coating, assembly, and aftermarket services across diverse industries</w:t>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Ellen Pao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Cofounder and Chief Executive Officer of Project Include, a nonprofit advocating for diversity, equity and inclusion in technology companies</w:t>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Ying (Vivian) Liu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 of Proficium, Inc. since April 2025. Prior to Proficium, Inc., served as President, Chief Operating Officer, and Chief Financial Officer of ContextLogic, Inc. (d/b/a Wish), a mobile e-commerce platform</w:t>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adopted an insider trading policy that governs the purchase, sale, and/or other dispositions of our securities by officers, directors, contractors, consultants and employees that is reasonably designed to promote compliance with insider trading laws, rules and regulations, and the listing requirements of Nasdaq. A copy of our insider trading policy is filed as Exhibit 19.1 to this Annual Report on Form 10-K.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other information required by this Item will be set forth in, and is incorporated by reference to, our 2026 Proxy Statement (the “2026 Proxy Statement”) to be filed with the SEC within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7955"/>
                <wp:effectExtent l="0" t="0" r="0" b="0"/>
                <wp:wrapNone/>
                <wp:docPr id="139" name="Frame1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134</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11. Executive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information required by this Item will be set forth in, and is incorporated by reference to, the 2026 Proxy Statement to be filed with the SEC within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12. Security Ownership of Certain Beneficial Owners and Management and Related Stockholder Matters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information required by this Item will be set forth in, and is incorporated by reference to, the 2026 Proxy Statement to be filed with the SEC within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13. Certain Relationships and Related Transactions, and Director Independence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information required by this Item will be set forth in, and is incorporated by reference to, the 2026 Proxy Statement to be filed with the SEC within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14. Principal Accountant Fees and Services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information required by this Item will be set forth in, and is incorporated by reference to, the 2026 Proxy Statement to be filed with the SEC within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7955"/>
                <wp:effectExtent l="0" t="0" r="0" b="0"/>
                <wp:wrapNone/>
                <wp:docPr id="140" name="Frame1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135</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Expensify Neue;sans-serif" w:hAnsi="Expensify Neue;sans-serif"/>
          <w:b/>
          <w:color w:val="002E22"/>
          <w:sz w:val="32"/>
        </w:rPr>
      </w:pPr>
      <w:r>
        <w:rPr>
          <w:rFonts w:ascii="Expensify Neue;sans-serif" w:hAnsi="Expensify Neue;sans-serif"/>
          <w:b/>
          <w:color w:val="002E22"/>
          <w:sz w:val="32"/>
        </w:rPr>
        <w:t>Item 15. Exhibit and Financial Statement Schedules</w:t>
      </w:r>
    </w:p>
    <w:p>
      <w:pPr>
        <w:pStyle w:val="TextBody"/>
        <w:bidi w:val="0"/>
        <w:spacing w:lineRule="auto" w:line="288" w:before="0" w:after="60"/>
        <w:ind w:left="0" w:right="0" w:hanging="360"/>
        <w:jc w:val="left"/>
        <w:rPr>
          <w:rFonts w:ascii="Expensify Neue;sans-serif" w:hAnsi="Expensify Neue;sans-serif"/>
          <w:b w:val="false"/>
          <w:color w:val="000000"/>
          <w:sz w:val="20"/>
        </w:rPr>
      </w:pPr>
      <w:r>
        <w:rPr>
          <w:rFonts w:ascii="Expensify Neue;sans-serif" w:hAnsi="Expensify Neue;sans-serif"/>
          <w:b w:val="false"/>
          <w:color w:val="000000"/>
          <w:sz w:val="20"/>
        </w:rPr>
        <w:t>(a) The following documents are refiled as part of this report: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1.Financial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Index to Financial Statements in Part II, Item 8 “Financial Statements and Supplementary Data” of this report.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2.Financial Statement Schedules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All financial statement schedules have been omitted as the information is not required under the related instructions or is not applicable or because the information required is already included in the financial statements or the notes to those financial statements.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3.Exhibits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documents set forth below are filed herewith or incorporated herein by reference to the location indicated.</w:t>
      </w:r>
    </w:p>
    <w:tbl>
      <w:tblPr>
        <w:tblW w:w="10205" w:type="dxa"/>
        <w:jc w:val="left"/>
        <w:tblInd w:w="0" w:type="dxa"/>
        <w:tblLayout w:type="fixed"/>
        <w:tblCellMar>
          <w:top w:w="28" w:type="dxa"/>
          <w:left w:w="28" w:type="dxa"/>
          <w:bottom w:w="28" w:type="dxa"/>
          <w:right w:w="28" w:type="dxa"/>
        </w:tblCellMar>
      </w:tblPr>
      <w:tblGrid>
        <w:gridCol w:w="341"/>
        <w:gridCol w:w="301"/>
        <w:gridCol w:w="302"/>
        <w:gridCol w:w="109"/>
        <w:gridCol w:w="109"/>
        <w:gridCol w:w="109"/>
        <w:gridCol w:w="1625"/>
        <w:gridCol w:w="1625"/>
        <w:gridCol w:w="1640"/>
        <w:gridCol w:w="109"/>
        <w:gridCol w:w="109"/>
        <w:gridCol w:w="109"/>
        <w:gridCol w:w="229"/>
        <w:gridCol w:w="229"/>
        <w:gridCol w:w="187"/>
        <w:gridCol w:w="385"/>
        <w:gridCol w:w="348"/>
        <w:gridCol w:w="199"/>
        <w:gridCol w:w="275"/>
        <w:gridCol w:w="275"/>
        <w:gridCol w:w="276"/>
        <w:gridCol w:w="415"/>
        <w:gridCol w:w="415"/>
        <w:gridCol w:w="484"/>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Incorporated by Reference</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Form</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File No.</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Exhibit</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Filing Date</w:t>
            </w:r>
          </w:p>
        </w:tc>
      </w:tr>
      <w:tr>
        <w:trPr/>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31-10xk2025.htm">
              <w:r>
                <w:rPr>
                  <w:rStyle w:val="InternetLink"/>
                  <w:rFonts w:ascii="Expensify Neue;sans-serif" w:hAnsi="Expensify Neue;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Expensify Neue;sans-serif" w:hAnsi="Expensify Neue;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15, 2021</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Expensify Neue;sans-serif" w:hAnsi="Expensify Neue;sans-serif"/>
                  <w:b w:val="false"/>
                  <w:color w:val="0000FF"/>
                  <w:sz w:val="18"/>
                  <w:u w:val="single"/>
                </w:rPr>
                <w:t>Form of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4.1</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Expensify Neue;sans-serif" w:hAnsi="Expensify Neue;sans-serif"/>
                  <w:b w:val="false"/>
                  <w:color w:val="0000FF"/>
                  <w:sz w:val="18"/>
                  <w:u w:val="single"/>
                </w:rPr>
                <w:t>Amended and Restated Investors’ Rights Agreement, dated as of January 22, 2015, by and among the Registrant and certain of its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4.2</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18, 2021</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3-10xk2025.htm">
              <w:r>
                <w:rPr>
                  <w:rStyle w:val="InternetLink"/>
                  <w:rFonts w:ascii="Expensify Neue;sans-serif" w:hAnsi="Expensify Neue;sans-serif"/>
                  <w:b w:val="false"/>
                  <w:color w:val="0000FF"/>
                  <w:sz w:val="18"/>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Expensify Neue;sans-serif" w:hAnsi="Expensify Neue;sans-serif"/>
                  <w:b w:val="false"/>
                  <w:color w:val="0000FF"/>
                  <w:sz w:val="18"/>
                  <w:u w:val="single"/>
                </w:rPr>
                <w:t>Expensify Voting Trust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10-K</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9.1</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March 31, 2022</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Expensify Neue;sans-serif" w:hAnsi="Expensify Neue;sans-serif"/>
                  <w:b w:val="false"/>
                  <w:color w:val="0000FF"/>
                  <w:sz w:val="18"/>
                  <w:u w:val="single"/>
                </w:rPr>
                <w:t>Letter of Credit Security Agreement, dated as of October 9, 2025, by and among the Registrant, the Lenders party thereto, and Canadian Imperial Bank of Commerce.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October 15, 2025</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Expensify Neue;sans-serif" w:hAnsi="Expensify Neue;sans-serif"/>
                  <w:b w:val="false"/>
                  <w:color w:val="0000FF"/>
                  <w:sz w:val="18"/>
                  <w:u w:val="single"/>
                </w:rPr>
                <w:t>Employment Agreement by and between the Registrant and David Barrett.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10.3</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18, 2021</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10.3</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Expensify Neue;sans-serif" w:hAnsi="Expensify Neue;sans-serif"/>
                  <w:b w:val="false"/>
                  <w:color w:val="0000FF"/>
                  <w:sz w:val="18"/>
                  <w:u w:val="single"/>
                </w:rPr>
                <w:t>Employment Agreement by and between the Registrant and Ryan Schaffer.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10.4</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18, 2021</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10.4</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Expensify Neue;sans-serif" w:hAnsi="Expensify Neue;sans-serif"/>
                  <w:b w:val="false"/>
                  <w:color w:val="0000FF"/>
                  <w:sz w:val="18"/>
                  <w:u w:val="single"/>
                </w:rPr>
                <w:t>2009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10.6</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10.5</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Expensify Neue;sans-serif" w:hAnsi="Expensify Neue;sans-serif"/>
                  <w:b w:val="false"/>
                  <w:color w:val="0000FF"/>
                  <w:sz w:val="18"/>
                  <w:u w:val="single"/>
                </w:rPr>
                <w:t>2009 Stock Plan – Form of Notice of Stock Option Grant (EMI)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10.7</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7955"/>
                <wp:effectExtent l="0" t="0" r="0" b="0"/>
                <wp:wrapNone/>
                <wp:docPr id="141" name="Frame1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color w:val="03D47C"/>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248"/>
        <w:gridCol w:w="218"/>
        <w:gridCol w:w="220"/>
        <w:gridCol w:w="109"/>
        <w:gridCol w:w="109"/>
        <w:gridCol w:w="109"/>
        <w:gridCol w:w="2077"/>
        <w:gridCol w:w="1749"/>
        <w:gridCol w:w="1752"/>
        <w:gridCol w:w="109"/>
        <w:gridCol w:w="109"/>
        <w:gridCol w:w="109"/>
        <w:gridCol w:w="189"/>
        <w:gridCol w:w="127"/>
        <w:gridCol w:w="127"/>
        <w:gridCol w:w="305"/>
        <w:gridCol w:w="305"/>
        <w:gridCol w:w="306"/>
        <w:gridCol w:w="214"/>
        <w:gridCol w:w="214"/>
        <w:gridCol w:w="218"/>
        <w:gridCol w:w="373"/>
        <w:gridCol w:w="373"/>
        <w:gridCol w:w="536"/>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10.6</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Expensify Neue;sans-serif" w:hAnsi="Expensify Neue;sans-serif"/>
                  <w:b w:val="false"/>
                  <w:color w:val="0000FF"/>
                  <w:sz w:val="18"/>
                  <w:u w:val="single"/>
                </w:rPr>
                <w:t>2009 Stock Plan – Form of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10.8</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10.7</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Expensify Neue;sans-serif" w:hAnsi="Expensify Neue;sans-serif"/>
                  <w:b w:val="false"/>
                  <w:color w:val="0000FF"/>
                  <w:sz w:val="18"/>
                  <w:u w:val="single"/>
                </w:rPr>
                <w:t>2019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10.9</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10.8</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Expensify Neue;sans-serif" w:hAnsi="Expensify Neue;sans-serif"/>
                  <w:b w:val="false"/>
                  <w:color w:val="0000FF"/>
                  <w:sz w:val="18"/>
                  <w:u w:val="single"/>
                </w:rPr>
                <w:t>2019 Stock Plan – Form of Early Exercise Notice and Restricted Stock Purchase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10.10</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10.9</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Expensify Neue;sans-serif" w:hAnsi="Expensify Neue;sans-serif"/>
                  <w:b w:val="false"/>
                  <w:color w:val="0000FF"/>
                  <w:sz w:val="18"/>
                  <w:u w:val="single"/>
                </w:rPr>
                <w:t>2019 Stock Plan – Form of Exercise Agreement (EMI)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10.11</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10.10</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Expensify Neue;sans-serif" w:hAnsi="Expensify Neue;sans-serif"/>
                  <w:b w:val="false"/>
                  <w:color w:val="0000FF"/>
                  <w:sz w:val="18"/>
                  <w:u w:val="single"/>
                </w:rPr>
                <w:t>2019 Stock Plan – Form of Exercise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10.12</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Expensify Neue;sans-serif" w:hAnsi="Expensify Neue;sans-serif"/>
                  <w:b w:val="false"/>
                  <w:color w:val="0000FF"/>
                  <w:sz w:val="18"/>
                  <w:u w:val="single"/>
                </w:rPr>
                <w:t>2019 Stock Plan – Form of Option Agreement (early exercise) (Reg 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10.13</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Expensify Neue;sans-serif" w:hAnsi="Expensify Neue;sans-serif"/>
                  <w:b w:val="false"/>
                  <w:color w:val="0000FF"/>
                  <w:sz w:val="18"/>
                  <w:u w:val="single"/>
                </w:rPr>
                <w:t>2019 Stock Plan – Form of Option Agreement (early exercise)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10.14</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10.13</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Expensify Neue;sans-serif" w:hAnsi="Expensify Neue;sans-serif"/>
                  <w:b w:val="false"/>
                  <w:color w:val="0000FF"/>
                  <w:sz w:val="18"/>
                  <w:u w:val="single"/>
                </w:rPr>
                <w:t>2019 Stock Plan – Form of Notice of Stock Option Grant (EMI)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10.15</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10.14</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Expensify Neue;sans-serif" w:hAnsi="Expensify Neue;sans-serif"/>
                  <w:b w:val="false"/>
                  <w:color w:val="0000FF"/>
                  <w:sz w:val="18"/>
                  <w:u w:val="single"/>
                </w:rPr>
                <w:t>2019 Stock Plan - Form of Contingent Exercise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10.16</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10.15</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Expensify Neue;sans-serif" w:hAnsi="Expensify Neue;sans-serif"/>
                  <w:b w:val="false"/>
                  <w:color w:val="0000FF"/>
                  <w:sz w:val="18"/>
                  <w:u w:val="single"/>
                </w:rPr>
                <w:t>2019 Plan - Form of RSU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10.17</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10.16</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Expensify Neue;sans-serif" w:hAnsi="Expensify Neue;sans-serif"/>
                  <w:b w:val="false"/>
                  <w:color w:val="0000FF"/>
                  <w:sz w:val="18"/>
                  <w:u w:val="single"/>
                </w:rPr>
                <w:t>2021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10.18</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10.17</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Expensify Neue;sans-serif" w:hAnsi="Expensify Neue;sans-serif"/>
                  <w:b w:val="false"/>
                  <w:color w:val="0000FF"/>
                  <w:sz w:val="18"/>
                  <w:u w:val="single"/>
                </w:rPr>
                <w:t>2021 Plan - Form of RSU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10.20</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10.18</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Expensify Neue;sans-serif" w:hAnsi="Expensify Neue;sans-serif"/>
                  <w:b w:val="false"/>
                  <w:color w:val="0000FF"/>
                  <w:sz w:val="18"/>
                  <w:u w:val="single"/>
                </w:rPr>
                <w:t>2021 Plan - Form of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10.21</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10.19</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Expensify Neue;sans-serif" w:hAnsi="Expensify Neue;sans-serif"/>
                  <w:b w:val="false"/>
                  <w:color w:val="0000FF"/>
                  <w:sz w:val="18"/>
                  <w:u w:val="single"/>
                </w:rPr>
                <w:t>2021 Stock Purchase and Matching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10-K</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10.19</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March 31, 2022</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10.20</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Expensify Neue;sans-serif" w:hAnsi="Expensify Neue;sans-serif"/>
                  <w:b w:val="false"/>
                  <w:color w:val="0000FF"/>
                  <w:sz w:val="18"/>
                  <w:u w:val="single"/>
                </w:rPr>
                <w:t>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10.22</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Expensify Neue;sans-serif" w:hAnsi="Expensify Neue;sans-serif"/>
                  <w:b w:val="false"/>
                  <w:color w:val="0000FF"/>
                  <w:sz w:val="18"/>
                  <w:u w:val="single"/>
                </w:rPr>
                <w:t>Form of Indemnification Agreement for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10.23</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Expensify Neue;sans-serif" w:hAnsi="Expensify Neue;sans-serif"/>
                  <w:b w:val="false"/>
                  <w:color w:val="0000FF"/>
                  <w:sz w:val="18"/>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10-K</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19.1</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February 27, 2025</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10xk2025.htm">
              <w:r>
                <w:rPr>
                  <w:rStyle w:val="InternetLink"/>
                  <w:rFonts w:ascii="Expensify Neue;sans-serif" w:hAnsi="Expensify Neue;sans-serif"/>
                  <w:b w:val="false"/>
                  <w:color w:val="0000FF"/>
                  <w:sz w:val="18"/>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10xk2025.htm">
              <w:r>
                <w:rPr>
                  <w:rStyle w:val="InternetLink"/>
                  <w:rFonts w:ascii="Expensify Neue;sans-serif" w:hAnsi="Expensify Neue;sans-serif"/>
                  <w:b w:val="false"/>
                  <w:color w:val="0000FF"/>
                  <w:sz w:val="18"/>
                  <w:u w:val="single"/>
                </w:rPr>
                <w:t>Consent of KPMG LLP as to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10xk2025.htm">
              <w:r>
                <w:rPr>
                  <w:rStyle w:val="InternetLink"/>
                  <w:rFonts w:ascii="Expensify Neue;sans-serif" w:hAnsi="Expensify Neue;sans-serif"/>
                  <w:b w:val="false"/>
                  <w:color w:val="0000FF"/>
                  <w:sz w:val="18"/>
                  <w:u w:val="single"/>
                </w:rPr>
                <w:t>Consent of Ernst &amp; Young LLP as to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xk2025.htm">
              <w:r>
                <w:rPr>
                  <w:rStyle w:val="InternetLink"/>
                  <w:rFonts w:ascii="Expensify Neue;sans-serif" w:hAnsi="Expensify Neue;sans-serif"/>
                  <w:b w:val="false"/>
                  <w:color w:val="0000FF"/>
                  <w:sz w:val="18"/>
                  <w:u w:val="single"/>
                </w:rPr>
                <w:t>Certification of the Principal Executive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7955"/>
                <wp:effectExtent l="0" t="0" r="0" b="0"/>
                <wp:wrapNone/>
                <wp:docPr id="142" name="Frame1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b7535661967b491095a00c60e2250cef_7">
        <w:r>
          <w:rPr>
            <w:rStyle w:val="InternetLink"/>
            <w:rFonts w:ascii="Expensify Neue;sans-serif" w:hAnsi="Expensify Neue;sans-serif"/>
            <w:b/>
            <w:color w:val="03D47C"/>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236"/>
        <w:gridCol w:w="207"/>
        <w:gridCol w:w="208"/>
        <w:gridCol w:w="109"/>
        <w:gridCol w:w="109"/>
        <w:gridCol w:w="109"/>
        <w:gridCol w:w="1983"/>
        <w:gridCol w:w="1983"/>
        <w:gridCol w:w="1987"/>
        <w:gridCol w:w="109"/>
        <w:gridCol w:w="109"/>
        <w:gridCol w:w="109"/>
        <w:gridCol w:w="144"/>
        <w:gridCol w:w="144"/>
        <w:gridCol w:w="145"/>
        <w:gridCol w:w="268"/>
        <w:gridCol w:w="268"/>
        <w:gridCol w:w="269"/>
        <w:gridCol w:w="175"/>
        <w:gridCol w:w="175"/>
        <w:gridCol w:w="176"/>
        <w:gridCol w:w="344"/>
        <w:gridCol w:w="344"/>
        <w:gridCol w:w="495"/>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xk2025.htm">
              <w:r>
                <w:rPr>
                  <w:rStyle w:val="InternetLink"/>
                  <w:rFonts w:ascii="Expensify Neue;sans-serif" w:hAnsi="Expensify Neue;sans-serif"/>
                  <w:b w:val="false"/>
                  <w:color w:val="0000FF"/>
                  <w:sz w:val="18"/>
                  <w:u w:val="single"/>
                </w:rPr>
                <w:t>Certification of the Principal Financial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xk2025.htm">
              <w:r>
                <w:rPr>
                  <w:rStyle w:val="InternetLink"/>
                  <w:rFonts w:ascii="Expensify Neue;sans-serif" w:hAnsi="Expensify Neue;sans-serif"/>
                  <w:b w:val="false"/>
                  <w:color w:val="0000FF"/>
                  <w:sz w:val="18"/>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xk2025.htm">
              <w:r>
                <w:rPr>
                  <w:rStyle w:val="InternetLink"/>
                  <w:rFonts w:ascii="Expensify Neue;sans-serif" w:hAnsi="Expensify Neue;sans-serif"/>
                  <w:b w:val="false"/>
                  <w:color w:val="0000FF"/>
                  <w:sz w:val="18"/>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Expensify Neue;sans-serif" w:hAnsi="Expensify Neue;sans-serif"/>
                  <w:b w:val="false"/>
                  <w:color w:val="0000FF"/>
                  <w:sz w:val="18"/>
                  <w:u w:val="single"/>
                </w:rPr>
                <w:t xml:space="preserve">Expensify, Inc. Policy for Recovery of Erroneously Awarded Compensation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10-K</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97.1</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February 26, 2024</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Presentation Linkable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29"/>
        <w:gridCol w:w="2823"/>
        <w:gridCol w:w="40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xml:space="preserve">Indicates a management contract or compensatory plan or arrangement.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Furnished herewith. The certifications attached as Exhibits 32.1 and 32.2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16. Form 10-K Summary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7955"/>
                <wp:effectExtent l="0" t="0" r="0" b="0"/>
                <wp:wrapNone/>
                <wp:docPr id="143" name="Frame1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138</w:t>
                      </w:r>
                    </w:p>
                  </w:txbxContent>
                </v:textbox>
                <w10:wrap type="none"/>
              </v:rect>
            </w:pict>
          </mc:Fallback>
        </mc:AlternateContent>
      </w:r>
    </w:p>
    <w:p>
      <w:pPr>
        <w:pStyle w:val="TextBody"/>
        <w:bidi w:val="0"/>
        <w:spacing w:lineRule="auto" w:line="288" w:before="0" w:after="160"/>
        <w:jc w:val="left"/>
        <w:rPr/>
      </w:pPr>
      <w:hyperlink w:anchor="ib7535661967b491095a00c60e2250cef_7">
        <w:r>
          <w:rPr>
            <w:rStyle w:val="InternetLink"/>
            <w:rFonts w:ascii="Expensify Neue;sans-serif" w:hAnsi="Expensify Neue;sans-serif"/>
            <w:b/>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Signatures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762" w:type="dxa"/>
        <w:jc w:val="left"/>
        <w:tblInd w:w="0" w:type="dxa"/>
        <w:tblLayout w:type="fixed"/>
        <w:tblCellMar>
          <w:top w:w="28" w:type="dxa"/>
          <w:left w:w="28" w:type="dxa"/>
          <w:bottom w:w="28" w:type="dxa"/>
          <w:right w:w="28" w:type="dxa"/>
        </w:tblCellMar>
      </w:tblPr>
      <w:tblGrid>
        <w:gridCol w:w="456"/>
        <w:gridCol w:w="400"/>
        <w:gridCol w:w="400"/>
        <w:gridCol w:w="400"/>
        <w:gridCol w:w="400"/>
        <w:gridCol w:w="400"/>
        <w:gridCol w:w="307"/>
        <w:gridCol w:w="307"/>
        <w:gridCol w:w="307"/>
        <w:gridCol w:w="694"/>
        <w:gridCol w:w="694"/>
        <w:gridCol w:w="997"/>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EXPENSIFY, INC.</w:t>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 David Barrett</w:t>
            </w:r>
          </w:p>
        </w:tc>
      </w:tr>
      <w:tr>
        <w:trPr/>
        <w:tc>
          <w:tcPr>
            <w:tcW w:w="24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Chief Executive Officer</w:t>
            </w:r>
          </w:p>
        </w:tc>
      </w:tr>
      <w:tr>
        <w:trPr/>
        <w:tc>
          <w:tcPr>
            <w:tcW w:w="24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February 26, 2026</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635"/>
        <w:gridCol w:w="557"/>
        <w:gridCol w:w="559"/>
        <w:gridCol w:w="109"/>
        <w:gridCol w:w="109"/>
        <w:gridCol w:w="109"/>
        <w:gridCol w:w="2051"/>
        <w:gridCol w:w="2021"/>
        <w:gridCol w:w="2044"/>
        <w:gridCol w:w="109"/>
        <w:gridCol w:w="109"/>
        <w:gridCol w:w="109"/>
        <w:gridCol w:w="491"/>
        <w:gridCol w:w="491"/>
        <w:gridCol w:w="702"/>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Date</w:t>
            </w:r>
          </w:p>
        </w:tc>
      </w:tr>
      <w:tr>
        <w:trPr/>
        <w:tc>
          <w:tcPr>
            <w:tcW w:w="1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David Barrett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2026</w:t>
            </w:r>
          </w:p>
        </w:tc>
      </w:tr>
      <w:tr>
        <w:trPr/>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David Barrett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Ryan Schaffer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Chief Financial Officer and Director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2026</w:t>
            </w:r>
          </w:p>
        </w:tc>
      </w:tr>
      <w:tr>
        <w:trPr/>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Ryan Schaffer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Carlos Alvarez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2026</w:t>
            </w:r>
          </w:p>
        </w:tc>
      </w:tr>
      <w:tr>
        <w:trPr/>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Carlos Alvarez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Daniel Vidal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2026</w:t>
            </w:r>
          </w:p>
        </w:tc>
      </w:tr>
      <w:tr>
        <w:trPr/>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Daniel Vidal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Jason Mills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2026</w:t>
            </w:r>
          </w:p>
        </w:tc>
      </w:tr>
      <w:tr>
        <w:trPr/>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Jason Mills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Tim Christen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2026</w:t>
            </w:r>
          </w:p>
        </w:tc>
      </w:tr>
      <w:tr>
        <w:trPr/>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Tim Christen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Ellen Pao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2026</w:t>
            </w:r>
          </w:p>
        </w:tc>
      </w:tr>
      <w:tr>
        <w:trPr/>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Ellen Pao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Ying (Vivian)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2026</w:t>
            </w:r>
          </w:p>
        </w:tc>
      </w:tr>
      <w:tr>
        <w:trPr/>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Ying (Vivian)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24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319" w:before="0" w:after="240"/>
        <w:jc w:val="center"/>
        <w:rPr>
          <w:rFonts w:ascii="Times New Roman;serif" w:hAnsi="Times New Roman;serif"/>
          <w:b/>
          <w:color w:val="000000"/>
          <w:sz w:val="24"/>
        </w:rPr>
      </w:pPr>
      <w:r>
        <w:rPr>
          <w:rFonts w:ascii="Times New Roman;serif" w:hAnsi="Times New Roman;serif"/>
          <w:b/>
          <w:color w:val="000000"/>
          <w:sz w:val="24"/>
        </w:rPr>
        <w:t>CERTIFICATE OF INCORPORATION OF</w:t>
      </w:r>
    </w:p>
    <w:p>
      <w:pPr>
        <w:pStyle w:val="TextBody"/>
        <w:bidi w:val="0"/>
        <w:spacing w:lineRule="auto" w:line="319" w:before="0" w:after="24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76" w:before="0" w:after="240"/>
        <w:jc w:val="center"/>
        <w:rPr/>
      </w:pPr>
      <w:r>
        <w:rPr>
          <w:rFonts w:ascii="Times New Roman;serif" w:hAnsi="Times New Roman;serif"/>
          <w:b w:val="false"/>
          <w:color w:val="000000"/>
          <w:sz w:val="24"/>
        </w:rPr>
        <w:t>Expensify, Inc., a corporation organized and existing under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hereby certifies as follows:</w:t>
      </w:r>
    </w:p>
    <w:p>
      <w:pPr>
        <w:pStyle w:val="TextBody"/>
        <w:bidi w:val="0"/>
        <w:spacing w:lineRule="auto" w:line="276" w:before="0" w:after="240"/>
        <w:jc w:val="center"/>
        <w:rPr>
          <w:rFonts w:ascii="Times New Roman;serif" w:hAnsi="Times New Roman;serif"/>
          <w:b w:val="false"/>
          <w:color w:val="000000"/>
          <w:sz w:val="24"/>
        </w:rPr>
      </w:pPr>
      <w:r>
        <w:rPr>
          <w:rFonts w:ascii="Times New Roman;serif" w:hAnsi="Times New Roman;serif"/>
          <w:b w:val="false"/>
          <w:color w:val="000000"/>
          <w:sz w:val="24"/>
        </w:rPr>
        <w:t>1. The name of the corporation is Expensify, Inc. The date of the filing of its original certificate of incorporation with the Secretary of State of the State of Delaware was April 29, 2009.</w:t>
      </w:r>
    </w:p>
    <w:p>
      <w:pPr>
        <w:pStyle w:val="TextBody"/>
        <w:bidi w:val="0"/>
        <w:spacing w:lineRule="auto" w:line="276" w:before="0" w:after="240"/>
        <w:jc w:val="center"/>
        <w:rPr/>
      </w:pPr>
      <w:r>
        <w:rPr>
          <w:rFonts w:ascii="Times New Roman;serif" w:hAnsi="Times New Roman;serif"/>
          <w:b w:val="false"/>
          <w:color w:val="000000"/>
          <w:sz w:val="24"/>
        </w:rPr>
        <w:t>2. This Amended and Restated Certificate of Incorporation (this “</w:t>
      </w:r>
      <w:r>
        <w:rPr>
          <w:rFonts w:ascii="Times New Roman;serif" w:hAnsi="Times New Roman;serif"/>
          <w:b w:val="false"/>
          <w:color w:val="000000"/>
          <w:sz w:val="24"/>
          <w:u w:val="single"/>
        </w:rPr>
        <w:t>Certificate of Incorporation</w:t>
      </w:r>
      <w:r>
        <w:rPr>
          <w:color w:val="000000"/>
        </w:rPr>
        <w:t>”</w:t>
      </w:r>
      <w:r>
        <w:rPr>
          <w:rFonts w:ascii="Times New Roman;serif" w:hAnsi="Times New Roman;serif"/>
          <w:b w:val="false"/>
          <w:color w:val="000000"/>
          <w:sz w:val="24"/>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 with Section 228 of the DGCL.</w:t>
      </w:r>
    </w:p>
    <w:p>
      <w:pPr>
        <w:pStyle w:val="TextBody"/>
        <w:bidi w:val="0"/>
        <w:spacing w:lineRule="auto" w:line="276" w:before="0" w:after="240"/>
        <w:jc w:val="center"/>
        <w:rPr>
          <w:rFonts w:ascii="Times New Roman;serif" w:hAnsi="Times New Roman;serif"/>
          <w:b w:val="false"/>
          <w:color w:val="000000"/>
          <w:sz w:val="24"/>
        </w:rPr>
      </w:pPr>
      <w:r>
        <w:rPr>
          <w:rFonts w:ascii="Times New Roman;serif" w:hAnsi="Times New Roman;serif"/>
          <w:b w:val="false"/>
          <w:color w:val="000000"/>
          <w:sz w:val="24"/>
        </w:rPr>
        <w:t>3. The certificate of incorporation of this corporation is hereby amended and restated in its entirety to read as follows: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NAME</w:t>
      </w:r>
    </w:p>
    <w:p>
      <w:pPr>
        <w:pStyle w:val="TextBody"/>
        <w:bidi w:val="0"/>
        <w:spacing w:lineRule="auto" w:line="276" w:before="0" w:after="240"/>
        <w:ind w:left="0" w:right="0" w:firstLine="720"/>
        <w:jc w:val="both"/>
        <w:rPr/>
      </w:pPr>
      <w:r>
        <w:rPr>
          <w:rFonts w:ascii="Times New Roman;serif" w:hAnsi="Times New Roman;serif"/>
          <w:b w:val="false"/>
          <w:color w:val="000000"/>
          <w:sz w:val="24"/>
        </w:rPr>
        <w:t>The name of the corporation is “Expensify, Inc.” (hereinafter called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REGISTERED OFFICE AND AGENT</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address of the Corporation’s registered office in the State of Delaware is 3500 South DuPont Highway, Dover, Delaware, County of Kent, 19901. The name of its registered agent at such address is Incorporating Services, Ltd.</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PURPOSE</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purpose of the Corporation is to engage in any lawful act or activity for which corporations may be organized under the DGCL.</w:t>
      </w:r>
    </w:p>
    <w:p>
      <w:pPr>
        <w:pStyle w:val="TextBody"/>
        <w:bidi w:val="0"/>
        <w:spacing w:before="0" w:after="20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CAPITAL STOCK</w: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1.    </w:t>
      </w:r>
      <w:r>
        <w:rPr>
          <w:rFonts w:ascii="Times New Roman;serif" w:hAnsi="Times New Roman;serif"/>
          <w:b w:val="false"/>
          <w:color w:val="000000"/>
          <w:sz w:val="24"/>
          <w:u w:val="single"/>
        </w:rPr>
        <w:t>Authorized Shares</w:t>
      </w:r>
      <w:r>
        <w:rPr>
          <w:rFonts w:ascii="Times New Roman;serif" w:hAnsi="Times New Roman;serif"/>
          <w:b w:val="false"/>
          <w:color w:val="000000"/>
          <w:sz w:val="24"/>
        </w:rPr>
        <w:t>.</w:t>
      </w:r>
    </w:p>
    <w:p>
      <w:pPr>
        <w:pStyle w:val="TextBody"/>
        <w:bidi w:val="0"/>
        <w:spacing w:lineRule="auto" w:line="276" w:before="0" w:after="240"/>
        <w:ind w:left="0" w:right="0" w:firstLine="720"/>
        <w:jc w:val="both"/>
        <w:rPr/>
      </w:pPr>
      <w:r>
        <w:rPr>
          <w:rFonts w:ascii="Times New Roman;serif" w:hAnsi="Times New Roman;serif"/>
          <w:b w:val="false"/>
          <w:color w:val="000000"/>
          <w:sz w:val="24"/>
        </w:rPr>
        <w:t>The total number of shares of all classes of capital stock which the Corporation shall have authority to issue is 1,060,000,000 shares, consisting of one billion (1,000,000,000) shares of Class A Common Stock, par value $0.0001 per share (“</w:t>
      </w:r>
      <w:r>
        <w:rPr>
          <w:rFonts w:ascii="Times New Roman;serif" w:hAnsi="Times New Roman;serif"/>
          <w:b w:val="false"/>
          <w:color w:val="000000"/>
          <w:sz w:val="24"/>
          <w:u w:val="single"/>
        </w:rPr>
        <w:t>Class A Common Stock</w:t>
      </w:r>
      <w:r>
        <w:rPr>
          <w:color w:val="000000"/>
        </w:rPr>
        <w:t>”</w:t>
      </w:r>
      <w:r>
        <w:rPr>
          <w:rFonts w:ascii="Times New Roman;serif" w:hAnsi="Times New Roman;serif"/>
          <w:b w:val="false"/>
          <w:color w:val="000000"/>
          <w:sz w:val="24"/>
        </w:rPr>
        <w:t>), 25 million (25,000,000) shares of LT10 Common Stock, par value $0.0001 per share (“</w:t>
      </w:r>
      <w:r>
        <w:rPr>
          <w:rFonts w:ascii="Times New Roman;serif" w:hAnsi="Times New Roman;serif"/>
          <w:b w:val="false"/>
          <w:color w:val="000000"/>
          <w:sz w:val="24"/>
          <w:u w:val="single"/>
        </w:rPr>
        <w:t>LT10 Common Stock</w:t>
      </w:r>
      <w:r>
        <w:rPr>
          <w:color w:val="000000"/>
        </w:rPr>
        <w:t>”</w:t>
      </w:r>
      <w:r>
        <w:rPr>
          <w:rFonts w:ascii="Times New Roman;serif" w:hAnsi="Times New Roman;serif"/>
          <w:b w:val="false"/>
          <w:color w:val="000000"/>
          <w:sz w:val="24"/>
        </w:rPr>
        <w:t>), 25 million (25,000,000) shares of LT50 Common Stock, par value $0.0001 per share (“</w:t>
      </w:r>
      <w:r>
        <w:rPr>
          <w:rFonts w:ascii="Times New Roman;serif" w:hAnsi="Times New Roman;serif"/>
          <w:b w:val="false"/>
          <w:color w:val="000000"/>
          <w:sz w:val="24"/>
          <w:u w:val="single"/>
        </w:rPr>
        <w:t>LT50 Common Stock</w:t>
      </w:r>
      <w:r>
        <w:rPr>
          <w:rFonts w:ascii="Times New Roman;serif" w:hAnsi="Times New Roman;serif"/>
          <w:b w:val="false"/>
          <w:color w:val="000000"/>
          <w:sz w:val="24"/>
        </w:rPr>
        <w:t>,” and together with the LT10 Common Stock, the “</w:t>
      </w:r>
      <w:r>
        <w:rPr>
          <w:rFonts w:ascii="Times New Roman;serif" w:hAnsi="Times New Roman;serif"/>
          <w:b w:val="false"/>
          <w:color w:val="000000"/>
          <w:sz w:val="24"/>
          <w:u w:val="single"/>
        </w:rPr>
        <w:t>LT Common Stock</w:t>
      </w:r>
      <w:r>
        <w:rPr>
          <w:rFonts w:ascii="Times New Roman;serif" w:hAnsi="Times New Roman;serif"/>
          <w:b w:val="false"/>
          <w:color w:val="000000"/>
          <w:sz w:val="24"/>
        </w:rPr>
        <w:t>,” and together with the Class A Common Stock,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and ten million (10,000,000) shares of Preferred Stock, par value $0.0001 per share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2.    </w:t>
      </w:r>
      <w:r>
        <w:rPr>
          <w:rFonts w:ascii="Times New Roman;serif" w:hAnsi="Times New Roman;serif"/>
          <w:b w:val="false"/>
          <w:color w:val="000000"/>
          <w:sz w:val="24"/>
          <w:u w:val="single"/>
        </w:rPr>
        <w:t>Preferred Stock</w:t>
      </w:r>
    </w:p>
    <w:p>
      <w:pPr>
        <w:pStyle w:val="TextBody"/>
        <w:bidi w:val="0"/>
        <w:spacing w:lineRule="auto" w:line="276" w:before="0" w:after="240"/>
        <w:ind w:left="0" w:right="0" w:firstLine="720"/>
        <w:jc w:val="both"/>
        <w:rPr/>
      </w:pPr>
      <w:r>
        <w:rPr>
          <w:rFonts w:ascii="Times New Roman;serif" w:hAnsi="Times New Roman;serif"/>
          <w:b w:val="false"/>
          <w:color w:val="000000"/>
          <w:sz w:val="24"/>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pStyle w:val="TextBody"/>
        <w:bidi w:val="0"/>
        <w:spacing w:before="0" w:after="20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3.    </w:t>
      </w:r>
      <w:r>
        <w:rPr>
          <w:rFonts w:ascii="Times New Roman;serif" w:hAnsi="Times New Roman;serif"/>
          <w:b w:val="false"/>
          <w:color w:val="000000"/>
          <w:sz w:val="24"/>
          <w:u w:val="single"/>
        </w:rPr>
        <w:t>Common Stock</w:t>
      </w:r>
    </w:p>
    <w:p>
      <w:pPr>
        <w:pStyle w:val="TextBody"/>
        <w:bidi w:val="0"/>
        <w:spacing w:lineRule="auto" w:line="276"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Equal Status</w:t>
      </w:r>
      <w:r>
        <w:rPr>
          <w:rFonts w:ascii="Times New Roman;serif" w:hAnsi="Times New Roman;serif"/>
          <w:b w:val="false"/>
          <w:color w:val="000000"/>
          <w:sz w:val="24"/>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pStyle w:val="TextBody"/>
        <w:bidi w:val="0"/>
        <w:spacing w:lineRule="auto" w:line="276"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Voting</w:t>
      </w:r>
      <w:r>
        <w:rPr>
          <w:rFonts w:ascii="Times New Roman;serif" w:hAnsi="Times New Roman;serif"/>
          <w:b w:val="false"/>
          <w:color w:val="000000"/>
          <w:sz w:val="24"/>
        </w:rPr>
        <w:t>. Except as otherwise required by applicable law, at all meetings of stockholders and on all matters submitted to a vote of stockholders of the Corporation generally, each holder of Class A Common Stock, as such, shall have the right to one (1) 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Times New Roman;serif" w:hAnsi="Times New Roman;serif"/>
          <w:b w:val="false"/>
          <w:color w:val="000000"/>
          <w:sz w:val="24"/>
          <w:u w:val="single"/>
        </w:rPr>
        <w:t>Bylaws</w:t>
      </w:r>
      <w:r>
        <w:rPr>
          <w:color w:val="000000"/>
        </w:rPr>
        <w:t>”</w:t>
      </w:r>
      <w:r>
        <w:rPr>
          <w:rFonts w:ascii="Times New Roman;serif" w:hAnsi="Times New Roman;serif"/>
          <w:b w:val="false"/>
          <w:color w:val="000000"/>
          <w:sz w:val="24"/>
        </w:rPr>
        <w:t xml:space="preserve">), and (iii) be entitled to vote upon such matters and in such manner as may be provided by applicable law;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 </w:t>
      </w:r>
    </w:p>
    <w:p>
      <w:pPr>
        <w:pStyle w:val="TextBody"/>
        <w:bidi w:val="0"/>
        <w:spacing w:lineRule="auto" w:line="276"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Dividend Rights</w:t>
      </w:r>
      <w:r>
        <w:rPr>
          <w:rFonts w:ascii="Times New Roman;serif" w:hAnsi="Times New Roman;serif"/>
          <w:b w:val="false"/>
          <w:color w:val="000000"/>
          <w:sz w:val="24"/>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 </w:t>
      </w:r>
    </w:p>
    <w:p>
      <w:pPr>
        <w:pStyle w:val="TextBody"/>
        <w:bidi w:val="0"/>
        <w:spacing w:before="0" w:after="20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pStyle w:val="TextBody"/>
        <w:bidi w:val="0"/>
        <w:spacing w:lineRule="auto" w:line="276"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Subdivisions, Combinations or Reclassifications</w:t>
      </w:r>
      <w:r>
        <w:rPr>
          <w:rFonts w:ascii="Times New Roman;serif" w:hAnsi="Times New Roman;serif"/>
          <w:b w:val="false"/>
          <w:color w:val="000000"/>
          <w:sz w:val="24"/>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pStyle w:val="TextBody"/>
        <w:bidi w:val="0"/>
        <w:spacing w:lineRule="auto" w:line="276"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Liquidation, Dissolution or Winding Up</w:t>
      </w:r>
      <w:r>
        <w:rPr>
          <w:rFonts w:ascii="Times New Roman;serif" w:hAnsi="Times New Roman;serif"/>
          <w:b w:val="false"/>
          <w:color w:val="000000"/>
          <w:sz w:val="24"/>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pStyle w:val="TextBody"/>
        <w:bidi w:val="0"/>
        <w:spacing w:lineRule="auto" w:line="276"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Restrictions on Transfers of Shares of LT Common Stock</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 </w:t>
      </w:r>
    </w:p>
    <w:p>
      <w:pPr>
        <w:pStyle w:val="TextBody"/>
        <w:bidi w:val="0"/>
        <w:spacing w:before="0" w:after="20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a “Transfer” shall not include: (1) the grant of a proxy to officers or directors of the Corporation at the request of the Board in connection with actions to be taken at an annual or special meeting of stockholders; (2) any Transfer to or by the trust (the “</w:t>
      </w:r>
      <w:r>
        <w:rPr>
          <w:rFonts w:ascii="Times New Roman;serif" w:hAnsi="Times New Roman;serif"/>
          <w:b w:val="false"/>
          <w:color w:val="000000"/>
          <w:sz w:val="24"/>
          <w:u w:val="single"/>
        </w:rPr>
        <w:t>Expensify Voting Trust</w:t>
      </w:r>
      <w:r>
        <w:rPr>
          <w:color w:val="000000"/>
        </w:rPr>
        <w:t>”</w:t>
      </w:r>
      <w:r>
        <w:rPr>
          <w:rFonts w:ascii="Times New Roman;serif" w:hAnsi="Times New Roman;serif"/>
          <w:b w:val="false"/>
          <w:color w:val="000000"/>
          <w:sz w:val="24"/>
        </w:rPr>
        <w:t>) established under that certain Voting Trust Agreement, dated as of November 9, 2021, by and between the Company and the holders named therein (as it may be amended and/or restated from time to time in accordance with its terms, the “</w:t>
      </w:r>
      <w:r>
        <w:rPr>
          <w:rFonts w:ascii="Times New Roman;serif" w:hAnsi="Times New Roman;serif"/>
          <w:b w:val="false"/>
          <w:color w:val="000000"/>
          <w:sz w:val="24"/>
          <w:u w:val="single"/>
        </w:rPr>
        <w:t>Voting Trust Agreement</w:t>
      </w:r>
      <w:r>
        <w:rPr>
          <w:color w:val="000000"/>
        </w:rPr>
        <w:t>”</w:t>
      </w:r>
      <w:r>
        <w:rPr>
          <w:rFonts w:ascii="Times New Roman;serif" w:hAnsi="Times New Roman;serif"/>
          <w:b w:val="false"/>
          <w:color w:val="000000"/>
          <w:sz w:val="24"/>
        </w:rPr>
        <w:t xml:space="preserve">);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 </w:t>
      </w:r>
    </w:p>
    <w:p>
      <w:pPr>
        <w:pStyle w:val="TextBody"/>
        <w:bidi w:val="0"/>
        <w:spacing w:lineRule="auto" w:line="276"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Notwithstanding the foregoing, the Board shall be able to waive, upon the affirmative vote of a majority of the members of the Board, any or all of the requirements of Section 3(H) of this Article IV with respect to the Transfer of any shares of LT Common Stock.</w:t>
      </w:r>
    </w:p>
    <w:p>
      <w:pPr>
        <w:pStyle w:val="TextBody"/>
        <w:bidi w:val="0"/>
        <w:spacing w:lineRule="auto" w:line="276" w:before="0" w:after="240"/>
        <w:ind w:left="0" w:right="0" w:firstLine="1440"/>
        <w:jc w:val="both"/>
        <w:rPr/>
      </w:pPr>
      <w:r>
        <w:rPr>
          <w:rFonts w:ascii="Times New Roman;serif" w:hAnsi="Times New Roman;serif"/>
          <w:b w:val="false"/>
          <w:color w:val="000000"/>
          <w:sz w:val="24"/>
        </w:rPr>
        <w:t xml:space="preserve">(iii)    Any Transfer of shares of LT Common Stock not made in accordance with this Section 3(F) and Section 3(H), or pursuant to Section 3(G), of this Article IV shall be void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and the Corporation shall not treat the transferee in such transaction as a holder of such shares for any purpose. </w:t>
      </w:r>
    </w:p>
    <w:p>
      <w:pPr>
        <w:pStyle w:val="TextBody"/>
        <w:bidi w:val="0"/>
        <w:spacing w:lineRule="auto" w:line="276"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Conversion of LT Common Stock</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Optional Conversion by Holder of LT Common Stock</w:t>
      </w:r>
      <w:r>
        <w:rPr>
          <w:rFonts w:ascii="Times New Roman;serif" w:hAnsi="Times New Roman;serif"/>
          <w:b w:val="false"/>
          <w:color w:val="000000"/>
          <w:sz w:val="24"/>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pStyle w:val="TextBody"/>
        <w:bidi w:val="0"/>
        <w:spacing w:lineRule="auto" w:line="276"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Automatic Conversion Upon Certain Transfers</w:t>
      </w:r>
      <w:r>
        <w:rPr>
          <w:rFonts w:ascii="Times New Roman;serif" w:hAnsi="Times New Roman;serif"/>
          <w:b w:val="false"/>
          <w:color w:val="000000"/>
          <w:sz w:val="24"/>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Times New Roman;serif" w:hAnsi="Times New Roman;serif"/>
          <w:b w:val="false"/>
          <w:color w:val="000000"/>
          <w:sz w:val="24"/>
          <w:u w:val="single"/>
        </w:rPr>
        <w:t>Non-Converting Transfer</w:t>
      </w:r>
      <w:r>
        <w:rPr>
          <w:color w:val="000000"/>
        </w:rPr>
        <w:t xml:space="preserve">” </w:t>
      </w:r>
      <w:r>
        <w:rPr>
          <w:rFonts w:ascii="Times New Roman;serif" w:hAnsi="Times New Roman;serif"/>
          <w:b w:val="false"/>
          <w:color w:val="000000"/>
          <w:sz w:val="24"/>
        </w:rPr>
        <w:t xml:space="preserve">means a Transfer of shares of LT Common Stock (i) to be held in trust by the Trustees of the Expensify Voting Trust; (ii) in an Exchange as defined in </w:t>
      </w:r>
    </w:p>
    <w:p>
      <w:pPr>
        <w:pStyle w:val="TextBody"/>
        <w:bidi w:val="0"/>
        <w:spacing w:before="0" w:after="20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and pursuant to Section 3(H)(iii) of this Article IV; (iii) to the estate of a decedent holder of LT Common Stock, upon such holder’s death; or (iv) approved in advance by the affirmative vote of a majority of the members of the Board.</w:t>
      </w:r>
    </w:p>
    <w:p>
      <w:pPr>
        <w:pStyle w:val="TextBody"/>
        <w:bidi w:val="0"/>
        <w:spacing w:lineRule="auto" w:line="276"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Automatic Conversion Upon Reduction in Outstanding Shares</w:t>
      </w:r>
      <w:r>
        <w:rPr>
          <w:rFonts w:ascii="Times New Roman;serif" w:hAnsi="Times New Roman;serif"/>
          <w:b w:val="false"/>
          <w:color w:val="000000"/>
          <w:sz w:val="24"/>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pStyle w:val="TextBody"/>
        <w:bidi w:val="0"/>
        <w:spacing w:lineRule="auto" w:line="276" w:before="0" w:after="240"/>
        <w:ind w:left="0" w:right="0" w:firstLine="144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Policies and Procedures</w:t>
      </w:r>
      <w:r>
        <w:rPr>
          <w:rFonts w:ascii="Times New Roman;serif" w:hAnsi="Times New Roman;serif"/>
          <w:b w:val="false"/>
          <w:color w:val="000000"/>
          <w:sz w:val="24"/>
        </w:rPr>
        <w:t xml:space="preserve">.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 </w:t>
      </w:r>
    </w:p>
    <w:p>
      <w:pPr>
        <w:pStyle w:val="TextBody"/>
        <w:bidi w:val="0"/>
        <w:spacing w:lineRule="auto" w:line="276"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Status of Converted Stock</w:t>
      </w:r>
      <w:r>
        <w:rPr>
          <w:rFonts w:ascii="Times New Roman;serif" w:hAnsi="Times New Roman;serif"/>
          <w:b w:val="false"/>
          <w:color w:val="000000"/>
          <w:sz w:val="24"/>
        </w:rPr>
        <w:t xml:space="preserve">. In the event any shares of LT Common Stock are converted into shares of Class A Common Stock pursuant to this Section 3, the shares of LT Common Stock so converted shall be retired and shall not be reissued by the Corporation. </w:t>
      </w:r>
    </w:p>
    <w:p>
      <w:pPr>
        <w:pStyle w:val="TextBody"/>
        <w:bidi w:val="0"/>
        <w:spacing w:lineRule="auto" w:line="276" w:before="0" w:after="240"/>
        <w:ind w:left="0" w:right="0" w:firstLine="144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Effect of Conversion on Payment of Dividends</w:t>
      </w:r>
      <w:r>
        <w:rPr>
          <w:rFonts w:ascii="Times New Roman;serif" w:hAnsi="Times New Roman;serif"/>
          <w:b w:val="false"/>
          <w:color w:val="000000"/>
          <w:sz w:val="24"/>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Times New Roman;serif" w:hAnsi="Times New Roman;serif"/>
          <w:b w:val="false"/>
          <w:i/>
          <w:color w:val="000000"/>
          <w:sz w:val="24"/>
        </w:rPr>
        <w:t>provided</w:t>
      </w:r>
      <w:r>
        <w:rPr>
          <w:rFonts w:ascii="Times New Roman;serif" w:hAnsi="Times New Roman;serif"/>
          <w:b w:val="false"/>
          <w:color w:val="000000"/>
          <w:sz w:val="24"/>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pStyle w:val="TextBody"/>
        <w:bidi w:val="0"/>
        <w:spacing w:lineRule="auto" w:line="276" w:before="0" w:after="240"/>
        <w:ind w:left="0" w:right="0" w:firstLine="1440"/>
        <w:jc w:val="both"/>
        <w:rPr/>
      </w:pPr>
      <w:r>
        <w:rPr>
          <w:rFonts w:ascii="Times New Roman;serif" w:hAnsi="Times New Roman;serif"/>
          <w:b w:val="false"/>
          <w:color w:val="000000"/>
          <w:sz w:val="24"/>
        </w:rPr>
        <w:t>(ix)    </w:t>
      </w:r>
      <w:r>
        <w:rPr>
          <w:rFonts w:ascii="Times New Roman;serif" w:hAnsi="Times New Roman;serif"/>
          <w:b w:val="false"/>
          <w:color w:val="000000"/>
          <w:sz w:val="24"/>
          <w:u w:val="single"/>
        </w:rPr>
        <w:t>Shares Reserved for Issuance</w:t>
      </w:r>
      <w:r>
        <w:rPr>
          <w:rFonts w:ascii="Times New Roman;serif" w:hAnsi="Times New Roman;serif"/>
          <w:b w:val="false"/>
          <w:color w:val="000000"/>
          <w:sz w:val="24"/>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pStyle w:val="TextBody"/>
        <w:bidi w:val="0"/>
        <w:spacing w:before="0" w:after="20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LT Common Stock Transfer and Conversion Requirements</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Notice Requirement</w:t>
      </w:r>
      <w:r>
        <w:rPr>
          <w:rFonts w:ascii="Times New Roman;serif" w:hAnsi="Times New Roman;serif"/>
          <w:b w:val="false"/>
          <w:color w:val="000000"/>
          <w:sz w:val="24"/>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pStyle w:val="TextBody"/>
        <w:bidi w:val="0"/>
        <w:spacing w:lineRule="auto" w:line="276"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Notice Period</w:t>
      </w:r>
      <w:r>
        <w:rPr>
          <w:rFonts w:ascii="Times New Roman;serif" w:hAnsi="Times New Roman;serif"/>
          <w:b w:val="false"/>
          <w:color w:val="000000"/>
          <w:sz w:val="24"/>
        </w:rPr>
        <w:t xml:space="preserve">. The “Notice Period” for each share of LT10 Common Stock shall be ten (10) months, and for each share of LT50 Common Stock shall be fifty (50) months, following the receipt of notice as set forth in Section 3(H)(i) of this Article IV. </w:t>
      </w:r>
    </w:p>
    <w:p>
      <w:pPr>
        <w:pStyle w:val="TextBody"/>
        <w:bidi w:val="0"/>
        <w:spacing w:lineRule="auto" w:line="276"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Exchange</w:t>
      </w:r>
      <w:r>
        <w:rPr>
          <w:rFonts w:ascii="Times New Roman;serif" w:hAnsi="Times New Roman;serif"/>
          <w:b w:val="false"/>
          <w:color w:val="000000"/>
          <w:sz w:val="24"/>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Times New Roman;serif" w:hAnsi="Times New Roman;serif"/>
          <w:b w:val="false"/>
          <w:color w:val="000000"/>
          <w:sz w:val="24"/>
          <w:u w:val="single"/>
        </w:rPr>
        <w:t>Class A Transferor</w:t>
      </w:r>
      <w:r>
        <w:rPr>
          <w:color w:val="000000"/>
        </w:rPr>
        <w:t>”</w:t>
      </w:r>
      <w:r>
        <w:rPr>
          <w:rFonts w:ascii="Times New Roman;serif" w:hAnsi="Times New Roman;serif"/>
          <w:b w:val="false"/>
          <w:color w:val="000000"/>
          <w:sz w:val="24"/>
        </w:rPr>
        <w:t>) for the shares of LT Common Stock subject to the notice, on a one-for-one basis (an “</w:t>
      </w:r>
      <w:r>
        <w:rPr>
          <w:rFonts w:ascii="Times New Roman;serif" w:hAnsi="Times New Roman;serif"/>
          <w:b w:val="false"/>
          <w:color w:val="000000"/>
          <w:sz w:val="24"/>
          <w:u w:val="single"/>
        </w:rPr>
        <w:t>Exchange</w:t>
      </w:r>
      <w:r>
        <w:rPr>
          <w:color w:val="000000"/>
        </w:rPr>
        <w:t>”</w:t>
      </w:r>
      <w:r>
        <w:rPr>
          <w:rFonts w:ascii="Times New Roman;serif" w:hAnsi="Times New Roman;serif"/>
          <w:b w:val="false"/>
          <w:color w:val="000000"/>
          <w:sz w:val="24"/>
        </w:rPr>
        <w:t>). If a Class A Transferor is identified, the Trustees shall provide written notice to the holder of shares of LT Common Stock seeking to convert or Transfer shares of LT Common Stock pursuant to this Section 3(H) (the “</w:t>
      </w:r>
      <w:r>
        <w:rPr>
          <w:rFonts w:ascii="Times New Roman;serif" w:hAnsi="Times New Roman;serif"/>
          <w:b w:val="false"/>
          <w:color w:val="000000"/>
          <w:sz w:val="24"/>
          <w:u w:val="single"/>
        </w:rPr>
        <w:t>LT Holder</w:t>
      </w:r>
      <w:r>
        <w:rPr>
          <w:color w:val="000000"/>
        </w:rPr>
        <w:t>”</w:t>
      </w:r>
      <w:r>
        <w:rPr>
          <w:rFonts w:ascii="Times New Roman;serif" w:hAnsi="Times New Roman;serif"/>
          <w:b w:val="false"/>
          <w:color w:val="000000"/>
          <w:sz w:val="24"/>
        </w:rPr>
        <w:t>), the Class A Transferor and the Corporation, at its principal corporate office, stating the names of such LT Holder and Class A Transferor, the date on which the applicable notice period expires (the “</w:t>
      </w:r>
      <w:r>
        <w:rPr>
          <w:rFonts w:ascii="Times New Roman;serif" w:hAnsi="Times New Roman;serif"/>
          <w:b w:val="false"/>
          <w:color w:val="000000"/>
          <w:sz w:val="24"/>
          <w:u w:val="single"/>
        </w:rPr>
        <w:t>Notice Expiration Date</w:t>
      </w:r>
      <w:r>
        <w:rPr>
          <w:color w:val="000000"/>
        </w:rPr>
        <w:t>”</w:t>
      </w:r>
      <w:r>
        <w:rPr>
          <w:rFonts w:ascii="Times New Roman;serif" w:hAnsi="Times New Roman;serif"/>
          <w:b w:val="false"/>
          <w:color w:val="000000"/>
          <w:sz w:val="24"/>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that the Corporation may extend such effective date by up to five (5) days if necessary to effectuate the Exchange (such date,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xml:space="preserve">). The Corporation shall, as soon as practicable after the Effective Date, issue and deliver to such LT Holder a certificate or certificates representing the number of shares of Class A Common Stock to which such holder is entitled upon the Exchange (if such shares of </w:t>
      </w:r>
    </w:p>
    <w:p>
      <w:pPr>
        <w:pStyle w:val="TextBody"/>
        <w:bidi w:val="0"/>
        <w:spacing w:before="0" w:after="20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pStyle w:val="TextBody"/>
        <w:bidi w:val="0"/>
        <w:spacing w:lineRule="auto" w:line="276" w:before="0" w:after="240"/>
        <w:ind w:left="0" w:right="0" w:firstLine="144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Conversion of LT Common Stock if No Exchange</w:t>
      </w:r>
      <w:r>
        <w:rPr>
          <w:rFonts w:ascii="Times New Roman;serif" w:hAnsi="Times New Roman;serif"/>
          <w:b w:val="false"/>
          <w:color w:val="000000"/>
          <w:sz w:val="24"/>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Times New Roman;serif" w:hAnsi="Times New Roman;serif"/>
          <w:b w:val="false"/>
          <w:color w:val="000000"/>
          <w:sz w:val="24"/>
          <w:u w:val="single"/>
        </w:rPr>
        <w:t>Conversion Notice</w:t>
      </w:r>
      <w:r>
        <w:rPr>
          <w:color w:val="000000"/>
        </w:rPr>
        <w:t>”</w:t>
      </w:r>
      <w:r>
        <w:rPr>
          <w:rFonts w:ascii="Times New Roman;serif" w:hAnsi="Times New Roman;serif"/>
          <w:b w:val="false"/>
          <w:color w:val="000000"/>
          <w:sz w:val="24"/>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Times New Roman;serif" w:hAnsi="Times New Roman;serif"/>
          <w:b w:val="false"/>
          <w:color w:val="000000"/>
          <w:sz w:val="24"/>
          <w:u w:val="single"/>
        </w:rPr>
        <w:t>Conversion Effective Time</w:t>
      </w:r>
      <w:r>
        <w:rPr>
          <w:color w:val="000000"/>
        </w:rPr>
        <w:t>”</w:t>
      </w:r>
      <w:r>
        <w:rPr>
          <w:rFonts w:ascii="Times New Roman;serif" w:hAnsi="Times New Roman;serif"/>
          <w:b w:val="false"/>
          <w:color w:val="000000"/>
          <w:sz w:val="24"/>
        </w:rPr>
        <w:t xml:space="preserve">),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 </w:t>
      </w:r>
    </w:p>
    <w:p>
      <w:pPr>
        <w:pStyle w:val="TextBody"/>
        <w:bidi w:val="0"/>
        <w:spacing w:lineRule="auto" w:line="319" w:before="0" w:after="24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319"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AMENDMENT OF THE CERTIFICATE OF INCORPORATION</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notwithstanding any other provision of this Certificate of Incorporation or any provision of law that might otherwise permit a lesser vote or no vote, but in addition to </w:t>
      </w:r>
    </w:p>
    <w:p>
      <w:pPr>
        <w:pStyle w:val="TextBody"/>
        <w:bidi w:val="0"/>
        <w:spacing w:before="0" w:after="20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any vote of the holders of shares of any class or series of capital stock of the Corporation required by law or by this Certificate of Incorporation:</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 </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 </w:t>
      </w:r>
    </w:p>
    <w:p>
      <w:pPr>
        <w:pStyle w:val="TextBody"/>
        <w:bidi w:val="0"/>
        <w:spacing w:before="0" w:after="20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and LT50 Common Stock voting together as a single class, other than as provided by this Certificate of Incorporation or required by the DGCL.</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AMENDMENT OF BYLAWS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BOARD OF DIRECTORS</w: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1.    </w:t>
      </w:r>
      <w:r>
        <w:rPr>
          <w:rFonts w:ascii="Times New Roman;serif" w:hAnsi="Times New Roman;serif"/>
          <w:b w:val="false"/>
          <w:color w:val="000000"/>
          <w:sz w:val="24"/>
          <w:u w:val="single"/>
        </w:rPr>
        <w:t>Number of Directors</w:t>
      </w:r>
      <w:r>
        <w:rPr>
          <w:rFonts w:ascii="Times New Roman;serif" w:hAnsi="Times New Roman;serif"/>
          <w:b w:val="false"/>
          <w:color w:val="000000"/>
          <w:sz w:val="24"/>
        </w:rPr>
        <w:t>.</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business and affairs of the Corporation shall be managed by or under the direction of the Board, except as otherwise provided by law. </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2.    </w:t>
      </w:r>
      <w:r>
        <w:rPr>
          <w:rFonts w:ascii="Times New Roman;serif" w:hAnsi="Times New Roman;serif"/>
          <w:b w:val="false"/>
          <w:color w:val="000000"/>
          <w:sz w:val="24"/>
          <w:u w:val="single"/>
        </w:rPr>
        <w:t>Terms of Office</w:t>
      </w:r>
      <w:r>
        <w:rPr>
          <w:rFonts w:ascii="Times New Roman;serif" w:hAnsi="Times New Roman;serif"/>
          <w:b w:val="false"/>
          <w:color w:val="000000"/>
          <w:sz w:val="24"/>
        </w:rPr>
        <w:t>.</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the term of each director shall continue until the election and qualification of his or her successor and be subject to his or her earlier death, disqualification, resignation or removal.</w: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3.    </w:t>
      </w:r>
      <w:r>
        <w:rPr>
          <w:rFonts w:ascii="Times New Roman;serif" w:hAnsi="Times New Roman;serif"/>
          <w:b w:val="false"/>
          <w:color w:val="000000"/>
          <w:sz w:val="24"/>
          <w:u w:val="single"/>
        </w:rPr>
        <w:t>Vacancies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pStyle w:val="TextBody"/>
        <w:bidi w:val="0"/>
        <w:spacing w:before="0" w:after="20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4.    </w:t>
      </w:r>
      <w:r>
        <w:rPr>
          <w:rFonts w:ascii="Times New Roman;serif" w:hAnsi="Times New Roman;serif"/>
          <w:b w:val="false"/>
          <w:color w:val="000000"/>
          <w:sz w:val="24"/>
          <w:u w:val="single"/>
        </w:rPr>
        <w:t>Removal</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5.    </w:t>
      </w:r>
      <w:r>
        <w:rPr>
          <w:rFonts w:ascii="Times New Roman;serif" w:hAnsi="Times New Roman;serif"/>
          <w:b w:val="false"/>
          <w:color w:val="000000"/>
          <w:sz w:val="24"/>
          <w:u w:val="single"/>
        </w:rPr>
        <w:t>Committees</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6.    </w:t>
      </w:r>
      <w:r>
        <w:rPr>
          <w:rFonts w:ascii="Times New Roman;serif" w:hAnsi="Times New Roman;serif"/>
          <w:b w:val="false"/>
          <w:color w:val="000000"/>
          <w:sz w:val="24"/>
          <w:u w:val="single"/>
        </w:rPr>
        <w:t>Stockholder Nominations and Introduction of Business</w:t>
      </w:r>
      <w:r>
        <w:rPr>
          <w:rFonts w:ascii="Times New Roman;serif" w:hAnsi="Times New Roman;serif"/>
          <w:b w:val="false"/>
          <w:color w:val="000000"/>
          <w:sz w:val="24"/>
        </w:rPr>
        <w:t>.</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Advance notice of stockholder nominations for election of directors and other business to be brought by stockholders before a meeting of stockholders shall be given in the manner provided by the Bylaws.</w:t>
      </w:r>
    </w:p>
    <w:p>
      <w:pPr>
        <w:pStyle w:val="TextBody"/>
        <w:bidi w:val="0"/>
        <w:spacing w:lineRule="auto" w:line="276" w:before="0" w:after="240"/>
        <w:ind w:left="0" w:right="0" w:firstLine="720"/>
        <w:jc w:val="both"/>
        <w:rPr/>
      </w:pPr>
      <w:r>
        <w:rPr>
          <w:rFonts w:ascii="Times New Roman;serif" w:hAnsi="Times New Roman;serif"/>
          <w:b w:val="false"/>
          <w:color w:val="000000"/>
          <w:sz w:val="24"/>
        </w:rPr>
        <w:t>Section 7.    </w:t>
      </w:r>
      <w:r>
        <w:rPr>
          <w:rFonts w:ascii="Times New Roman;serif" w:hAnsi="Times New Roman;serif"/>
          <w:b w:val="false"/>
          <w:color w:val="000000"/>
          <w:sz w:val="24"/>
          <w:u w:val="single"/>
        </w:rPr>
        <w:t>Preferred Stock Directors</w:t>
      </w:r>
      <w:r>
        <w:rPr>
          <w:rFonts w:ascii="Times New Roman;serif" w:hAnsi="Times New Roman;serif"/>
          <w:b w:val="false"/>
          <w:color w:val="000000"/>
          <w:sz w:val="24"/>
        </w:rPr>
        <w:t>.</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 </w:t>
      </w:r>
    </w:p>
    <w:p>
      <w:pPr>
        <w:pStyle w:val="TextBody"/>
        <w:bidi w:val="0"/>
        <w:spacing w:before="0" w:after="20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terms of office of all such directors shall forthwith terminate and the total authorized number of directors of the Corporation shall be reduced accordingly.</w:t>
      </w:r>
    </w:p>
    <w:p>
      <w:pPr>
        <w:pStyle w:val="TextBody"/>
        <w:bidi w:val="0"/>
        <w:spacing w:lineRule="auto" w:line="319" w:before="0" w:after="240"/>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LIMITATION OF DIRECTOR LIABILITY</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nothing contained in this Article VIII shall eliminate or limit the liability of a director (i) 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 </w:t>
      </w:r>
    </w:p>
    <w:p>
      <w:pPr>
        <w:pStyle w:val="TextBody"/>
        <w:bidi w:val="0"/>
        <w:spacing w:lineRule="auto" w:line="319" w:before="0" w:after="24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319"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INDEMNIFICATION</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pStyle w:val="TextBody"/>
        <w:bidi w:val="0"/>
        <w:spacing w:lineRule="auto" w:line="319" w:before="0" w:after="240"/>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CONSENT OF STOCKHOLDERS IN LIEU OF MEETING</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pStyle w:val="TextBody"/>
        <w:bidi w:val="0"/>
        <w:spacing w:before="0" w:after="20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ARTICLE XI</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SPECIAL MEETING OF STOCKHOLDERS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ARTICLE XII</w:t>
      </w:r>
    </w:p>
    <w:p>
      <w:pPr>
        <w:pStyle w:val="TextBody"/>
        <w:bidi w:val="0"/>
        <w:spacing w:lineRule="auto" w:line="276"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FORUM SELECTION</w:t>
      </w:r>
    </w:p>
    <w:p>
      <w:pPr>
        <w:pStyle w:val="TextBody"/>
        <w:bidi w:val="0"/>
        <w:spacing w:lineRule="auto" w:line="276" w:before="0" w:after="240"/>
        <w:ind w:left="0" w:right="0" w:firstLine="720"/>
        <w:jc w:val="both"/>
        <w:rPr/>
      </w:pPr>
      <w:r>
        <w:rPr>
          <w:rFonts w:ascii="Times New Roman;serif" w:hAnsi="Times New Roman;serif"/>
          <w:b w:val="false"/>
          <w:color w:val="000000"/>
          <w:sz w:val="24"/>
        </w:rPr>
        <w:t>Unless the Corporation consents in writing to the selection of an alternative forum, (a) the Court of Chancery (the “</w:t>
      </w:r>
      <w:r>
        <w:rPr>
          <w:rFonts w:ascii="Times New Roman;serif" w:hAnsi="Times New Roman;serif"/>
          <w:b w:val="false"/>
          <w:color w:val="000000"/>
          <w:sz w:val="24"/>
          <w:u w:val="single"/>
        </w:rPr>
        <w:t>Chancery Court</w:t>
      </w:r>
      <w:r>
        <w:rPr>
          <w:color w:val="000000"/>
        </w:rPr>
        <w:t>”</w:t>
      </w:r>
      <w:r>
        <w:rPr>
          <w:rFonts w:ascii="Times New Roman;serif" w:hAnsi="Times New Roman;serif"/>
          <w:b w:val="false"/>
          <w:color w:val="000000"/>
          <w:sz w:val="24"/>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w:t>
      </w:r>
      <w:r>
        <w:rPr>
          <w:color w:val="000000"/>
        </w:rPr>
        <w:t xml:space="preserve"> </w:t>
      </w:r>
      <w:r>
        <w:rPr>
          <w:rFonts w:ascii="Times New Roman;serif" w:hAnsi="Times New Roman;serif"/>
          <w:b w:val="false"/>
          <w:color w:val="000000"/>
          <w:sz w:val="24"/>
        </w:rPr>
        <w:t>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serif" w:hAnsi="Times New Roman;serif"/>
          <w:b w:val="false"/>
          <w:color w:val="000000"/>
          <w:sz w:val="24"/>
          <w:u w:val="single"/>
        </w:rPr>
        <w:t>Foreign Action</w:t>
      </w:r>
      <w:r>
        <w:rPr>
          <w:color w:val="000000"/>
        </w:rPr>
        <w:t>”</w:t>
      </w:r>
      <w:r>
        <w:rPr>
          <w:rFonts w:ascii="Times New Roman;serif" w:hAnsi="Times New Roman;serif"/>
          <w:b w:val="false"/>
          <w:color w:val="000000"/>
          <w:sz w:val="24"/>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pStyle w:val="TextBody"/>
        <w:bidi w:val="0"/>
        <w:spacing w:before="0" w:after="20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8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spacing w:lineRule="auto" w:line="319"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19" w:before="0" w:after="10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this Amended and Restated Certificate of Incorporation has been executed this 15th day of November, 2021.</w:t>
      </w:r>
    </w:p>
    <w:tbl>
      <w:tblPr>
        <w:tblW w:w="4276" w:type="dxa"/>
        <w:jc w:val="right"/>
        <w:tblInd w:w="0" w:type="dxa"/>
        <w:tblLayout w:type="fixed"/>
        <w:tblCellMar>
          <w:top w:w="28" w:type="dxa"/>
          <w:left w:w="28" w:type="dxa"/>
          <w:bottom w:w="28" w:type="dxa"/>
          <w:right w:w="28" w:type="dxa"/>
        </w:tblCellMar>
      </w:tblPr>
      <w:tblGrid>
        <w:gridCol w:w="197"/>
        <w:gridCol w:w="174"/>
        <w:gridCol w:w="174"/>
        <w:gridCol w:w="174"/>
        <w:gridCol w:w="174"/>
        <w:gridCol w:w="174"/>
        <w:gridCol w:w="265"/>
        <w:gridCol w:w="265"/>
        <w:gridCol w:w="265"/>
        <w:gridCol w:w="702"/>
        <w:gridCol w:w="702"/>
        <w:gridCol w:w="1010"/>
      </w:tblGrid>
      <w:tr>
        <w:trPr/>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27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EXPENSIFY, INC.</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David Barrett</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David Barrett</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670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1.670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670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670 shares of LT10 Common Stock that converted into 670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26th day of April,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830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1.830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830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830 shares of LT50 Common Stock that converted into 830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830 shares, such that the total number of authorized shares of the Corporation shall be 1,059,998,500, such shares consisting of 1,000,000,000 shares designated Class A Common Stock, 24,999,330 shares designated LT10 Common Stock, 24,999,170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27th day of May,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1,769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1.1,769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1,769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1,769 shares of LT10 Common Stock that converted into 1,769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1,769 shares, such that the total number of authorized shares of the Corporation shall be 1,059,996,731, such shares consisting of 1,000,000,000 shares designated Class A Common Stock, 24,997,561 shares designated LT10 Common Stock, 24,999,170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4th day of August,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150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1.150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150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150 shares of LT50 Common Stock that converted into 150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150 shares, such that the total number of authorized shares of the Corporation shall be 1,059,996,581, such shares consisting of 1,000,000,000 shares designated Class A Common Stock, 24,997,561 shares designated LT10 Common Stock, 24,999,020 shares designated LT50 Common Stock,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22nd day of November,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735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1.735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735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735 shares of LT10 Common Stock that converted into 735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735 shares, such that the total number of authorized shares of the Corporation shall be 1,059,995,846, such shares consisting of 1,000,000,000 shares designated Class A Common Stock, 24,996,826 shares designated LT10 Common Stock, 24,999,020 shares designated LT50 Common Stock,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8th day of February,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588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1.588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588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588 shares of LT10 Common Stock that converted into 588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588 shares, such that the total number of authorized shares of the Corporation shall be 1,059,995,258, such shares consisting of 1,000,000,000 shares designated Class A Common Stock, 24,996,238 shares designated LT10 Common Stock, 24,999,020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23rd day of June,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1,249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1.1,249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1,249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pPr>
      <w:r>
        <w:rPr>
          <w:rFonts w:ascii="Times New Roman;serif" w:hAnsi="Times New Roman;serif"/>
          <w:b w:val="false"/>
          <w:color w:val="000000"/>
          <w:sz w:val="20"/>
        </w:rPr>
        <w:t>2.79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79 shares of Class A Common Stock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Board of Directors of the Corporation has adopted resolutions retiring the 1,249 shares of LT10 Common Stock and the 79 shares of LT50 Common Stock that converted into 1,249 and 79 shares of Class A Common Stock, respectively, for a total of 1,328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1,328 shares, such that the total number of authorized shares of the Corporation shall be 1,059,993,930, such shares consisting of 1,000,000,000 shares designated Class A Common Stock, 24,994,989 shares designated LT10 Common Stock, 24,998,941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3rd day of August,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284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29,307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1.284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284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pPr>
      <w:r>
        <w:rPr>
          <w:rFonts w:ascii="Times New Roman;serif" w:hAnsi="Times New Roman;serif"/>
          <w:b w:val="false"/>
          <w:color w:val="000000"/>
          <w:sz w:val="20"/>
        </w:rPr>
        <w:t>2.29,307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29,307 shares of Class A Common Stock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Board of Directors of the Corporation has adopted resolutions retiring the 284 shares of LT10 Common Stock and the 29,307 shares of LT50 Common Stock that converted into 284 and 29,307 shares of Class A Common Stock, respectively, for a total of 29,591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29,591 shares, such that the total number of authorized shares of the Corporation shall be 1,059,964,339, such shares consisting of 1,000,000,000 shares designated Class A Common Stock, 24,994,705 shares designated LT10 Common Stock, 24,969,634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12th day of February, 2024.</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3,123,508 SHARES OF LT10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1.3,123,508 outstanding shares of LT10 Common Stock, par value $0.0001 per share (“</w:t>
      </w:r>
      <w:r>
        <w:rPr>
          <w:rFonts w:ascii="Times New Roman;serif" w:hAnsi="Times New Roman;serif"/>
          <w:b w:val="false"/>
          <w:color w:val="000000"/>
          <w:sz w:val="20"/>
          <w:u w:val="single"/>
        </w:rPr>
        <w:t>LT10 Common Stock”</w:t>
      </w:r>
      <w:r>
        <w:rPr>
          <w:rFonts w:ascii="Times New Roman;serif" w:hAnsi="Times New Roman;serif"/>
          <w:b w:val="false"/>
          <w:color w:val="000000"/>
          <w:sz w:val="20"/>
        </w:rPr>
        <w:t>), of the Corporation have been converted into 3,123,508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3,123,508 shares of LT10 Common Stock that converted into 3,123,508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3,123,508 shares, such that the total number of authorized shares of the Corporation shall be 1,056,840,831, such shares consisting of 1,000,000,000 shares designated Class A Common Stock, 21,871,197 shares designated LT10 Common Stock, 24,969,634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8th day of August, 2024.</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2,520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1.2,520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2,520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2,520 shares of LT50 Common Stock that converted into 2,520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2,520 shares, such that the total number of authorized shares of the Corporation shall be 1,056,838,311, such shares consisting of 1,000,000,000 shares designated Class A Common Stock, 21,871,197 shares designated LT10 Common Stock, 24,967,114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7th day of November, 2024.</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RETIREMENT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74,047 SHARES OF LT50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243(b)</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General Corporation Law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Expensify, Inc., a corporation organized and existing under the General Corporation Law of the State of Delaware (the “</w:t>
      </w:r>
      <w:r>
        <w:rPr>
          <w:rFonts w:ascii="Times New Roman;serif" w:hAnsi="Times New Roman;serif"/>
          <w:b w:val="false"/>
          <w:color w:val="000000"/>
          <w:sz w:val="20"/>
          <w:u w:val="single"/>
        </w:rPr>
        <w:t>DGCL”</w:t>
      </w:r>
      <w:r>
        <w:rPr>
          <w:rFonts w:ascii="Times New Roman;serif" w:hAnsi="Times New Roman;serif"/>
          <w:b w:val="false"/>
          <w:color w:val="000000"/>
          <w:sz w:val="20"/>
        </w:rPr>
        <w:t>) (hereinafter the “</w:t>
      </w:r>
      <w:r>
        <w:rPr>
          <w:rFonts w:ascii="Times New Roman;serif" w:hAnsi="Times New Roman;serif"/>
          <w:b w:val="false"/>
          <w:color w:val="000000"/>
          <w:sz w:val="20"/>
          <w:u w:val="single"/>
        </w:rPr>
        <w:t>Corporation”</w:t>
      </w:r>
      <w:r>
        <w:rPr>
          <w:rFonts w:ascii="Times New Roman;serif" w:hAnsi="Times New Roman;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0"/>
        </w:rPr>
        <w:t>1.74,047 outstanding shares of LT50 Common Stock, par value $0.0001 per share (“</w:t>
      </w:r>
      <w:r>
        <w:rPr>
          <w:rFonts w:ascii="Times New Roman;serif" w:hAnsi="Times New Roman;serif"/>
          <w:b w:val="false"/>
          <w:color w:val="000000"/>
          <w:sz w:val="20"/>
          <w:u w:val="single"/>
        </w:rPr>
        <w:t>LT50 Common Stock”</w:t>
      </w:r>
      <w:r>
        <w:rPr>
          <w:rFonts w:ascii="Times New Roman;serif" w:hAnsi="Times New Roman;serif"/>
          <w:b w:val="false"/>
          <w:color w:val="000000"/>
          <w:sz w:val="20"/>
        </w:rPr>
        <w:t>), of the Corporation have been converted into 74,047 shares of Class A Common Stock, par value $0.0001 per share (“</w:t>
      </w:r>
      <w:r>
        <w:rPr>
          <w:rFonts w:ascii="Times New Roman;serif" w:hAnsi="Times New Roman;serif"/>
          <w:b w:val="false"/>
          <w:color w:val="000000"/>
          <w:sz w:val="20"/>
          <w:u w:val="single"/>
        </w:rPr>
        <w:t>Class A Common Stock”</w:t>
      </w:r>
      <w:r>
        <w:rPr>
          <w:rFonts w:ascii="Times New Roman;serif" w:hAnsi="Times New Roman;serif"/>
          <w:b w:val="false"/>
          <w:color w:val="000000"/>
          <w:sz w:val="20"/>
        </w:rPr>
        <w:t>), of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Board of Directors of the Corporation has adopted resolutions retiring the the 74,047 shares of LT50 Common Stock that converted into 74,047 shares of Class A Common Stock.</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74,047 shares, such that the total number of authorized shares of the Corporation shall be 1,056,764,264, such shares consisting of 1,000,000,000 shares designated Class A Common Stock, 21,871,197 shares designated LT10 Common Stock, 24,893,067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Corporation has caused this Certificate of Retirement to be signed by its duly authorized officer, this 26th day of February, 2026.</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4.3</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THE REGISTRANT’S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REGISTERED PURSUANT TO SECTION 12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summary describes the capital stock of Expensify, Inc. (the “company,” “we,” “us,” and “our”). Because the following is only a summary, it does not contain all of the information that may be important to you and is qualified in its entirety by reference to the applicable provisions of the Delaware General Corporation Law (the “DGCL”) and by the full text of our amended and restated certificate of incorporation and amended and restated bylaws, copies of which have been filed as exhibits to our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February 26, 2026, the total number of shares of all classes of stock we are authorized to issue is 1,056,764,264, consisting of:</w:t>
      </w:r>
    </w:p>
    <w:p>
      <w:pPr>
        <w:pStyle w:val="TextBody"/>
        <w:bidi w:val="0"/>
        <w:spacing w:lineRule="auto" w:line="288" w:before="160" w:after="160"/>
        <w:jc w:val="left"/>
        <w:rPr/>
      </w:pPr>
      <w:r>
        <w:rPr>
          <w:color w:val="000000"/>
        </w:rPr>
        <w:t>•</w:t>
      </w:r>
      <w:r>
        <w:rPr>
          <w:rFonts w:ascii="Times New Roman;serif" w:hAnsi="Times New Roman;serif"/>
          <w:b w:val="false"/>
          <w:color w:val="000000"/>
          <w:sz w:val="20"/>
        </w:rPr>
        <w:t xml:space="preserve">1,000,000,000 shares of Class A common stock, par value $0.0001 per share; </w:t>
      </w:r>
    </w:p>
    <w:p>
      <w:pPr>
        <w:pStyle w:val="TextBody"/>
        <w:bidi w:val="0"/>
        <w:spacing w:lineRule="auto" w:line="288" w:before="0" w:after="160"/>
        <w:jc w:val="left"/>
        <w:rPr/>
      </w:pPr>
      <w:r>
        <w:rPr>
          <w:color w:val="000000"/>
        </w:rPr>
        <w:t>•</w:t>
      </w:r>
      <w:r>
        <w:rPr>
          <w:rFonts w:ascii="Times New Roman;serif" w:hAnsi="Times New Roman;serif"/>
          <w:b w:val="false"/>
          <w:color w:val="000000"/>
          <w:sz w:val="20"/>
        </w:rPr>
        <w:t xml:space="preserve">21,871,197 shares of LT10 common stock, par value $0.0001 per share; </w:t>
      </w:r>
    </w:p>
    <w:p>
      <w:pPr>
        <w:pStyle w:val="TextBody"/>
        <w:bidi w:val="0"/>
        <w:spacing w:lineRule="auto" w:line="288" w:before="0" w:after="160"/>
        <w:jc w:val="left"/>
        <w:rPr/>
      </w:pPr>
      <w:r>
        <w:rPr>
          <w:color w:val="000000"/>
        </w:rPr>
        <w:t>•</w:t>
      </w:r>
      <w:r>
        <w:rPr>
          <w:rFonts w:ascii="Times New Roman;serif" w:hAnsi="Times New Roman;serif"/>
          <w:b w:val="false"/>
          <w:color w:val="000000"/>
          <w:sz w:val="20"/>
        </w:rPr>
        <w:t>24,893,067 shares of LT50 common stock, par value $0.0001 per share; and</w:t>
      </w:r>
    </w:p>
    <w:p>
      <w:pPr>
        <w:pStyle w:val="TextBody"/>
        <w:bidi w:val="0"/>
        <w:spacing w:lineRule="auto" w:line="288" w:before="0" w:after="160"/>
        <w:jc w:val="left"/>
        <w:rPr/>
      </w:pPr>
      <w:r>
        <w:rPr>
          <w:color w:val="000000"/>
        </w:rPr>
        <w:t>•</w:t>
      </w:r>
      <w:r>
        <w:rPr>
          <w:rFonts w:ascii="Times New Roman;serif" w:hAnsi="Times New Roman;serif"/>
          <w:b w:val="false"/>
          <w:color w:val="000000"/>
          <w:sz w:val="20"/>
        </w:rPr>
        <w:t xml:space="preserve">10,000,000 shares of preferred stock, par value $0.0001 per share. </w: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three classes of authorized common stock: Class A common stock, LT10 common stock and LT50 common stock. The rights of the holders of Class A common stock, LT10 common stock and LT50 common stock are identical, except with respect to voting, conversion and transfer rights.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Voting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if we were to seek to amend our amended and restated certificate of incorporation to increase or decrease the par value of a class of our capital stock, then that class would be required to vote separately to approve the proposed amendment; and</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does not provide for cumulative voting for the election of directors.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Dividend Rights</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our Class A, LT10 and LT50 common stock are entitled to receive dividends if, as and when declared from time to time by our board of directors out of legally available funds. Subject to applicable law and the rights, if </w:t>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Conversion and Transfer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our Class A common stock are not convertible. Each share of Class A common stock is freely transferable, subject to compliance with any applicable lock-up, vesting requirements under our equity plans, laws, rules and regulations, and our insider trading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(as defined below), (ii) in an LT Exchange (as defined below) or (iii) approved by the affirmative vote of a majority of the members of our board of directors. Our amended and restated certificate of incorporation also permits a majority of the members of our board of directors to waive other requirements applicable to transfer or conversion of LT10 and LT50 common stock, including the notice period described below. Additionally, our amended and restated certificate of incorporation provides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If a holder proposes to convert or transfer any shares of LT10 or LT50 common stock, the holder (or the beneficial holder if such shares are held in the Voting Trust) must first provide written notice to us and a copy of such notice to the Trustees (as defined below)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from and after the time that a holder of shares of LT10 or LT50 common stock is no longer an employee of or service provider to Expensify, we will have the right to submit a written notice of conversion on such former employee or service provider's behalf, such that the shares of LT10 or LT50 common stock held by such former employee or service provider will be the subject of an LT Exchange or will convert into shares of Class A common stock following the applicable notice period.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Once converted into Class A common stock, the LT10 or LT50 common stock will not be reissued. Except for the issuance of shares of LT10 or LT50 common stock issuable in respect of any restricted stock unit outstanding at the time of our initial public offering, a dividend payable in shares of LT10 or LT50 common stock as permitted by the amended and restated certificate of incorporation, or a reclassification, subdivision, or combination of such shares, we are not permitted at any time to issue any additional shares of LT10 or LT50 common stock.</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Liquidation, Dissolution and Winding Up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No Preemptive or Similar Rights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Holders of shares of our common stock do not have preemptive, subscription or redemption rights, and our common stock is not subject to redemption or sinking fund provisions.</w:t>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Fully Paid and Non-Assessable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of the outstanding shares of our Class A, LT10 and LT50 common stock are fully paid and non-assessable.</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No shares of our preferred stock are currently outstanding. Pursuant to our amended and restated certificate of incorporation, our board of directors has the authority, without further action by our stockholders, to issue up to 10,000,000 shares of preferred stock in one or more series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w:t>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The Voting Trust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Upon issuance, all outstanding shares of our LT10 and LT50 common stock were immediately deposited into a voting trust (the “Voting Trust”) formed pursuant to a voting trust agreement (the “Voting Trust Agreement”). The Voting Trust Agreement is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of the Voting Trust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resulting from the conversion of LT10 or LT50 common stock in accordance with our amended and restated certificate of incorporation shall be deemed withdrawn from the Voting Trust automatically at the time of conversion.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February 26, 2026, the Trustees of the Voting Trust are David Barrett, our Chief Executive Officer, Garrett Knight, our Director of Sales,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 securities held by the Voting Trust who is then an employee of or 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Under the Voting Trust Agreement, the Trustees make all decisions with respect to the voting (but not the disposition) of the shares of common stock contributed to the Voting Trust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w:t>
      </w: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will preclude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Registration Rights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party to an investors’ rights agreement (the “Investors’ Rights Agreement”) that provides certain holders of our capital stock, including certain holders of at least 5% of our capital stock with certain registration rights. The registration of shares of our common stock by the exercise of registration rights described below would enable the holders to sell these shares without restrictions under the Securities Act of 1933, as amended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November 15, 2026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Demand Registration Rights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terms of the Investors’ Rights Agreement, the holders of registrable shares are entitled to demand registration rights may request that we register all or a portion of their registrable shares for sale under the Securities Act. Such holders are entitled to registration rights, on not more than two occasions, provided that such request for registration must cover shares with an anticipated aggregate offering price, net of underwriting discounts and commissions, of at least $10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Piggyback Registration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that we propose to register any of our securities under the Securities Act, either for our own account or for the account of other security holders, the holders of registrable securities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Form S-3 Registration Rights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registrable shares are also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w:t>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such shares, net of underwriting discounts and commissions, is at least $3 million, subject to exceptions set forth in the Investors’ Rights Agreement.</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Forum Selection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Although our amended and restated certificate of incorporation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Anti-Takeover Provisions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contain provisions that may delay, defer or discourage another party from acquiring control of us. These provisions may have the effect of discouraging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Section 203 of the DGCL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Multi-Series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above in the subsection titled “Common Stock—Voting,” our amended and restated certificate of incorporation provides for a multi-class stock structure, which provides our executive officers, employees and the Trustees with significant influence over all matters requiring stockholder approval, including the election of directors and significant corporate transactions, such as a merger or other sale of our company or its assets.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Undesignated Preferred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 xml:space="preserve">Stockholder Action; Special Meeting of Stockholders.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from and after the date the Voting Trust holds less than a majority of the voting power of our capital stock, no action may be taken by our stockholders by consent. Our amended and restated certificate of incorporation also provides that a special meeting of stockholders may only be called by our board of directors, the chairperson of our board 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Advance Notice Requirements for Stockholder Proposals and Director Nominations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Election and Removal of Directors; Filling Vacancies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our stockholders do not have cumulative voting rights, our stockholders holding a majority of the voting power of the then outstanding capital stock are able to elect all of our directors. Our amended and restated certificate of incorporation provides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Amendment of Certificate of Incorporation or Bylaws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Our bylaws may be amended or repealed by our board of directors or by the affirmative vote of the holders a majority in voting power of the outstanding shares of stock entitled to vote generally in the election of directors.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Transfer Agent and Registrar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Computershare Trust Company, N.A. The transfer agent and registrar’s address is 150 Royall Street, Canton, Massachusetts 02021.</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Listing</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Global Select Market under the symbol “EXFY.”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Subsidiaries of the Registrant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Expensify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Expensify Australia Pty Ltd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Expensify Canada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Expensify Netherlands B.V.</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401 SW 5th Ave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Expensify Payments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Expensify Lounge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Fifth &amp; Harvey LLC</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Damasko LLC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registration statements (No. 333-270371, 333-260933 and 333-260934) on Form S-8 of our report dated February 26, 2026, with respect to the consolidated financial statements of Expensify, Inc. and subsidiaries and the effectiveness of internal control over financial reporting.</w:t>
      </w:r>
    </w:p>
    <w:p>
      <w:pPr>
        <w:pStyle w:val="TextBody"/>
        <w:bidi w:val="0"/>
        <w:spacing w:before="0" w:after="0"/>
        <w:jc w:val="left"/>
        <w:rPr/>
      </w:pPr>
      <w:r>
        <w:rPr/>
      </w:r>
    </w:p>
    <w:p>
      <w:pPr>
        <w:pStyle w:val="TextBody"/>
        <w:bidi w:val="0"/>
        <w:spacing w:before="0" w:after="0"/>
        <w:jc w:val="left"/>
        <w:rPr/>
      </w:pPr>
      <w:r>
        <w:rPr/>
      </w:r>
    </w:p>
    <w:tbl>
      <w:tblPr>
        <w:tblW w:w="2744" w:type="dxa"/>
        <w:jc w:val="left"/>
        <w:tblInd w:w="0" w:type="dxa"/>
        <w:tblLayout w:type="fixed"/>
        <w:tblCellMar>
          <w:top w:w="28" w:type="dxa"/>
          <w:left w:w="28" w:type="dxa"/>
          <w:bottom w:w="28" w:type="dxa"/>
          <w:right w:w="28" w:type="dxa"/>
        </w:tblCellMar>
      </w:tblPr>
      <w:tblGrid>
        <w:gridCol w:w="879"/>
        <w:gridCol w:w="769"/>
        <w:gridCol w:w="1096"/>
      </w:tblGrid>
      <w:tr>
        <w:trPr/>
        <w:tc>
          <w:tcPr>
            <w:tcW w:w="87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KPMG LLP</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Philadelphia, Pennsylvania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February 26,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1.Registration Statement (Form S-8 No. 333-270371) pertaining to the Expensify, Inc. 2021 Incentive Award Plan and the Expensify, Inc. 2021 Stock Purchase and Matching Plan,</w:t>
      </w:r>
    </w:p>
    <w:p>
      <w:pPr>
        <w:pStyle w:val="TextBody"/>
        <w:bidi w:val="0"/>
        <w:spacing w:lineRule="auto" w:line="268"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2.Registration Statement (Form S-8 No. 333-260933) pertaining to the Expensify, Inc. 2009 Stock Plan, the Expensify, Inc. 2019 Stock Plan, the Expensify, Inc. 2021 Incentive Award Plan, and the Expensify, Inc. 2021 Non-Qualified Employee Stock Purchase and Matching Plan, and</w:t>
      </w:r>
    </w:p>
    <w:p>
      <w:pPr>
        <w:pStyle w:val="TextBody"/>
        <w:bidi w:val="0"/>
        <w:spacing w:lineRule="auto" w:line="268"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3.Registration Statement (Form S-8 No. 333-260934) pertaining to the Expensify, Inc. 2009 Stock Plan and the Expensify, Inc. 2019 Stock Plan;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of our reports dated February 27, 2025, with respect to the consolidated financial statements of Expensify, Inc. included in this Annual Report (Form 10-K) of Expensify, Inc. for the year ended December 31, 2025.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San Francisco, California</w:t>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 David Barrett, certify that: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465" w:type="dxa"/>
        <w:jc w:val="left"/>
        <w:tblInd w:w="0" w:type="dxa"/>
        <w:tblLayout w:type="fixed"/>
        <w:tblCellMar>
          <w:top w:w="28" w:type="dxa"/>
          <w:left w:w="28" w:type="dxa"/>
          <w:bottom w:w="28" w:type="dxa"/>
          <w:right w:w="28" w:type="dxa"/>
        </w:tblCellMar>
      </w:tblPr>
      <w:tblGrid>
        <w:gridCol w:w="411"/>
        <w:gridCol w:w="361"/>
        <w:gridCol w:w="361"/>
        <w:gridCol w:w="361"/>
        <w:gridCol w:w="361"/>
        <w:gridCol w:w="361"/>
        <w:gridCol w:w="109"/>
        <w:gridCol w:w="109"/>
        <w:gridCol w:w="109"/>
        <w:gridCol w:w="109"/>
        <w:gridCol w:w="109"/>
        <w:gridCol w:w="109"/>
        <w:gridCol w:w="758"/>
        <w:gridCol w:w="758"/>
        <w:gridCol w:w="1079"/>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2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Ryan Schaffer, certify that:</w:t>
      </w:r>
    </w:p>
    <w:p>
      <w:pPr>
        <w:pStyle w:val="TextBody"/>
        <w:bidi w:val="0"/>
        <w:spacing w:before="0" w:after="0"/>
        <w:jc w:val="left"/>
        <w:rPr/>
      </w:pPr>
      <w:r>
        <w:rPr/>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375" w:type="dxa"/>
        <w:jc w:val="left"/>
        <w:tblInd w:w="0" w:type="dxa"/>
        <w:tblLayout w:type="fixed"/>
        <w:tblCellMar>
          <w:top w:w="28" w:type="dxa"/>
          <w:left w:w="28" w:type="dxa"/>
          <w:bottom w:w="28" w:type="dxa"/>
          <w:right w:w="28" w:type="dxa"/>
        </w:tblCellMar>
      </w:tblPr>
      <w:tblGrid>
        <w:gridCol w:w="411"/>
        <w:gridCol w:w="361"/>
        <w:gridCol w:w="361"/>
        <w:gridCol w:w="361"/>
        <w:gridCol w:w="361"/>
        <w:gridCol w:w="361"/>
        <w:gridCol w:w="109"/>
        <w:gridCol w:w="109"/>
        <w:gridCol w:w="109"/>
        <w:gridCol w:w="109"/>
        <w:gridCol w:w="109"/>
        <w:gridCol w:w="109"/>
        <w:gridCol w:w="732"/>
        <w:gridCol w:w="732"/>
        <w:gridCol w:w="1041"/>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2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Annual Report on Form 10-K of the Company for the year ended December 31, 2025,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465" w:type="dxa"/>
        <w:jc w:val="left"/>
        <w:tblInd w:w="0" w:type="dxa"/>
        <w:tblLayout w:type="fixed"/>
        <w:tblCellMar>
          <w:top w:w="28" w:type="dxa"/>
          <w:left w:w="28" w:type="dxa"/>
          <w:bottom w:w="28" w:type="dxa"/>
          <w:right w:w="28" w:type="dxa"/>
        </w:tblCellMar>
      </w:tblPr>
      <w:tblGrid>
        <w:gridCol w:w="411"/>
        <w:gridCol w:w="361"/>
        <w:gridCol w:w="361"/>
        <w:gridCol w:w="361"/>
        <w:gridCol w:w="361"/>
        <w:gridCol w:w="361"/>
        <w:gridCol w:w="109"/>
        <w:gridCol w:w="109"/>
        <w:gridCol w:w="109"/>
        <w:gridCol w:w="109"/>
        <w:gridCol w:w="109"/>
        <w:gridCol w:w="109"/>
        <w:gridCol w:w="758"/>
        <w:gridCol w:w="758"/>
        <w:gridCol w:w="1079"/>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2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Annual Report on Form 10-K of the Company for the year ended December 31, 2025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375" w:type="dxa"/>
        <w:jc w:val="left"/>
        <w:tblInd w:w="0" w:type="dxa"/>
        <w:tblLayout w:type="fixed"/>
        <w:tblCellMar>
          <w:top w:w="28" w:type="dxa"/>
          <w:left w:w="28" w:type="dxa"/>
          <w:bottom w:w="28" w:type="dxa"/>
          <w:right w:w="28" w:type="dxa"/>
        </w:tblCellMar>
      </w:tblPr>
      <w:tblGrid>
        <w:gridCol w:w="411"/>
        <w:gridCol w:w="361"/>
        <w:gridCol w:w="361"/>
        <w:gridCol w:w="361"/>
        <w:gridCol w:w="361"/>
        <w:gridCol w:w="361"/>
        <w:gridCol w:w="109"/>
        <w:gridCol w:w="109"/>
        <w:gridCol w:w="109"/>
        <w:gridCol w:w="109"/>
        <w:gridCol w:w="109"/>
        <w:gridCol w:w="109"/>
        <w:gridCol w:w="732"/>
        <w:gridCol w:w="732"/>
        <w:gridCol w:w="1041"/>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2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Expensify Neue">
    <w:altName w:val="sans-serif"/>
    <w:charset w:val="01"/>
    <w:family w:val="auto"/>
    <w:pitch w:val="default"/>
  </w:font>
  <w:font w:name="Arial">
    <w:altName w:val="sans-serif"/>
    <w:charset w:val="01"/>
    <w:family w:val="auto"/>
    <w:pitch w:val="default"/>
  </w:font>
  <w:font w:name="Expensify New Kansas Medium">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0001476840/000162828021023404/exhibit32-8xkclosing.htm" TargetMode="External"/><Relationship Id="rId5" Type="http://schemas.openxmlformats.org/officeDocument/2006/relationships/hyperlink" Target="https://www.sec.gov/Archives/edgar/data/0001476840/000162828021020900/exhibit41-sx1a2.htm" TargetMode="External"/><Relationship Id="rId6" Type="http://schemas.openxmlformats.org/officeDocument/2006/relationships/hyperlink" Target="https://www.sec.gov/Archives/edgar/data/1476840/000162828021020137/exhibit42-sx1a1.htm" TargetMode="External"/><Relationship Id="rId7" Type="http://schemas.openxmlformats.org/officeDocument/2006/relationships/hyperlink" Target="https://www.sec.gov/Archives/edgar/data/0001476840/000147684022000016/exhibit91-10xk.htm" TargetMode="External"/><Relationship Id="rId8" Type="http://schemas.openxmlformats.org/officeDocument/2006/relationships/hyperlink" Target="https://www.sec.gov/Archives/edgar/data/0001476840/000147684025000131/exhibit101-8xklocxletterof.htm" TargetMode="External"/><Relationship Id="rId9" Type="http://schemas.openxmlformats.org/officeDocument/2006/relationships/hyperlink" Target="https://www.sec.gov/Archives/edgar/data/1476840/000162828021020137/exhibit103-sx1a1.htm" TargetMode="External"/><Relationship Id="rId10" Type="http://schemas.openxmlformats.org/officeDocument/2006/relationships/hyperlink" Target="https://www.sec.gov/Archives/edgar/data/1476840/000162828021020137/exhibit104-sx1a1.htm" TargetMode="External"/><Relationship Id="rId11" Type="http://schemas.openxmlformats.org/officeDocument/2006/relationships/hyperlink" Target="https://www.sec.gov/Archives/edgar/data/0001476840/000162828021020900/exhibit106-sx1a2.htm" TargetMode="External"/><Relationship Id="rId12" Type="http://schemas.openxmlformats.org/officeDocument/2006/relationships/hyperlink" Target="https://www.sec.gov/Archives/edgar/data/0001476840/000162828021020900/exhibit107-sx1a2.htm" TargetMode="External"/><Relationship Id="rId13" Type="http://schemas.openxmlformats.org/officeDocument/2006/relationships/hyperlink" Target="https://www.sec.gov/Archives/edgar/data/0001476840/000162828021020900/exhibit108-sx1a2.htm" TargetMode="External"/><Relationship Id="rId14" Type="http://schemas.openxmlformats.org/officeDocument/2006/relationships/hyperlink" Target="https://www.sec.gov/Archives/edgar/data/0001476840/000162828021020900/exhibit109-sx1a2.htm" TargetMode="External"/><Relationship Id="rId15" Type="http://schemas.openxmlformats.org/officeDocument/2006/relationships/hyperlink" Target="https://www.sec.gov/Archives/edgar/data/0001476840/000162828021020900/exhibit1010-sx1a2.htm" TargetMode="External"/><Relationship Id="rId16" Type="http://schemas.openxmlformats.org/officeDocument/2006/relationships/hyperlink" Target="https://www.sec.gov/Archives/edgar/data/0001476840/000162828021020900/exhibit1011s-1a2.htm" TargetMode="External"/><Relationship Id="rId17" Type="http://schemas.openxmlformats.org/officeDocument/2006/relationships/hyperlink" Target="https://www.sec.gov/Archives/edgar/data/0001476840/000162828021020900/exhibit1012-sx1a2.htm" TargetMode="External"/><Relationship Id="rId18" Type="http://schemas.openxmlformats.org/officeDocument/2006/relationships/hyperlink" Target="https://www.sec.gov/Archives/edgar/data/0001476840/000162828021020900/exhibit1013-sx1a2.htm" TargetMode="External"/><Relationship Id="rId19" Type="http://schemas.openxmlformats.org/officeDocument/2006/relationships/hyperlink" Target="https://www.sec.gov/Archives/edgar/data/0001476840/000162828021020900/exhibit1014-sx1a2.htm" TargetMode="External"/><Relationship Id="rId20" Type="http://schemas.openxmlformats.org/officeDocument/2006/relationships/hyperlink" Target="https://www.sec.gov/Archives/edgar/data/0001476840/000162828021020900/exhibit1015-sx1a2.htm" TargetMode="External"/><Relationship Id="rId21" Type="http://schemas.openxmlformats.org/officeDocument/2006/relationships/hyperlink" Target="https://www.sec.gov/Archives/edgar/data/0001476840/000162828021020900/exhibit1016-sx1a2.htm" TargetMode="External"/><Relationship Id="rId22" Type="http://schemas.openxmlformats.org/officeDocument/2006/relationships/hyperlink" Target="https://www.sec.gov/Archives/edgar/data/0001476840/000162828021020900/exhibit1017-sx1a2.htm" TargetMode="External"/><Relationship Id="rId23" Type="http://schemas.openxmlformats.org/officeDocument/2006/relationships/hyperlink" Target="https://www.sec.gov/Archives/edgar/data/0001476840/000162828021020900/exhibit1018-sx1a2.htm" TargetMode="External"/><Relationship Id="rId24" Type="http://schemas.openxmlformats.org/officeDocument/2006/relationships/hyperlink" Target="https://www.sec.gov/Archives/edgar/data/0001476840/000162828021020900/exhibit1020-sx1a2.htm" TargetMode="External"/><Relationship Id="rId25" Type="http://schemas.openxmlformats.org/officeDocument/2006/relationships/hyperlink" Target="https://www.sec.gov/Archives/edgar/data/0001476840/000162828021020900/exhibit1021-sx1a2.htm" TargetMode="External"/><Relationship Id="rId26" Type="http://schemas.openxmlformats.org/officeDocument/2006/relationships/hyperlink" Target="https://www.sec.gov/Archives/edgar/data/0001476840/000147684022000016/exhibit1019-10xk.htm" TargetMode="External"/><Relationship Id="rId27" Type="http://schemas.openxmlformats.org/officeDocument/2006/relationships/hyperlink" Target="https://www.sec.gov/Archives/edgar/data/0001476840/000162828021020900/exhibit1022-sx1a2.htm" TargetMode="External"/><Relationship Id="rId28" Type="http://schemas.openxmlformats.org/officeDocument/2006/relationships/hyperlink" Target="https://www.sec.gov/Archives/edgar/data/0001476840/000162828021020900/exhibit1023-sx1a2.htm" TargetMode="External"/><Relationship Id="rId29" Type="http://schemas.openxmlformats.org/officeDocument/2006/relationships/hyperlink" Target="https://www.sec.gov/Archives/edgar/data/0001476840/000147684025000018/exhibit191-10xk2024.htm" TargetMode="External"/><Relationship Id="rId30" Type="http://schemas.openxmlformats.org/officeDocument/2006/relationships/hyperlink" Target="https://www.sec.gov/Archives/edgar/data/0001476840/000147684024000016/exhibit971-10xk2023.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88050</Words>
  <Characters>485016</Characters>
  <CharactersWithSpaces>570162</CharactersWithSpaces>
  <Paragraphs>4102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