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0001891077</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2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240" w:type="dxa"/>
            <w:vAlign w:val="bottom"/>
          </w:tcPr>
          <w:p>
            <w:pPr>
              <w:spacing w:after="0"/>
              <w:rPr>
                <w:sz w:val="21"/>
                <w:szCs w:val="21"/>
                <w:color w:val="auto"/>
              </w:rPr>
            </w:pPr>
          </w:p>
        </w:tc>
        <w:tc>
          <w:tcPr>
            <w:tcW w:w="310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240" w:type="dxa"/>
            <w:vAlign w:val="bottom"/>
          </w:tcPr>
          <w:p>
            <w:pPr>
              <w:spacing w:after="0"/>
              <w:rPr>
                <w:sz w:val="13"/>
                <w:szCs w:val="13"/>
                <w:color w:val="auto"/>
              </w:rPr>
            </w:pPr>
          </w:p>
        </w:tc>
        <w:tc>
          <w:tcPr>
            <w:tcW w:w="3100" w:type="dxa"/>
            <w:vAlign w:val="bottom"/>
            <w:vMerge w:val="restart"/>
          </w:tcPr>
          <w:p>
            <w:pPr>
              <w:ind w:left="15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24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2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6"/>
              </w:rPr>
              <w:t>Anu Muralidharan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4019</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7997.81</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70580351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03/15/2024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03/15/2024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3411</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03/15/2024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03/15/2024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608</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03/15/2024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03/11/2024 16584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35489.76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03/13/2024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12/15/2023 584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1424.96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12/19/2023 2659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6142.29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Note for 3(e): As of February 21, 2024, as stated in Issuer's annual report on Form 10-K for the fiscal year ending</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December 31, 2023.</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03/15/2024</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attorney-in-fact</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6th day of June,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Anu Muralidharan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Anu Muralidharan</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2024-03-15T19:02:54Z</dcterms:created>
  <dcterms:modified xsi:type="dcterms:W3CDTF">2024-03-15T19:02:54Z</dcterms:modified>
</cp:coreProperties>
</file>