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1022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Barrett David Michael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EXPENSIFY,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401 SW 5TH AVE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Expensify,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EXFY</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03/09/2023</w:t>
      </w:r>
    </w:p>
    <w:p>
      <w:pPr>
        <w:spacing w:after="0" w:line="20" w:lineRule="exact"/>
        <w:rPr>
          <w:sz w:val="24"/>
          <w:szCs w:val="24"/>
          <w:color w:val="auto"/>
        </w:rPr>
      </w:pPr>
      <w:r>
        <w:rPr>
          <w:sz w:val="24"/>
          <w:szCs w:val="24"/>
          <w:color w:val="auto"/>
        </w:rPr>
        <w:br w:type="column"/>
      </w: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226"/>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19"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PORTLAND</w:t>
            </w: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OR</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97204</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6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gridSpan w:val="2"/>
            <w:vMerge w:val="restart"/>
          </w:tcPr>
          <w:p>
            <w:pPr>
              <w:ind w:left="620"/>
              <w:spacing w:after="0"/>
              <w:rPr>
                <w:sz w:val="20"/>
                <w:szCs w:val="20"/>
                <w:color w:val="auto"/>
              </w:rPr>
            </w:pPr>
            <w:r>
              <w:rPr>
                <w:rFonts w:ascii="Times New Roman" w:cs="Times New Roman" w:eastAsia="Times New Roman" w:hAnsi="Times New Roman"/>
                <w:sz w:val="17"/>
                <w:szCs w:val="17"/>
                <w:color w:val="0000FF"/>
              </w:rPr>
              <w:t>03/09/2023</w:t>
            </w: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30,000</w:t>
            </w:r>
          </w:p>
        </w:tc>
        <w:tc>
          <w:tcPr>
            <w:tcW w:w="44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Pr>
          <w:p>
            <w:pPr>
              <w:spacing w:after="0"/>
              <w:rPr>
                <w:sz w:val="21"/>
                <w:szCs w:val="21"/>
                <w:color w:val="auto"/>
              </w:rPr>
            </w:pPr>
          </w:p>
        </w:tc>
        <w:tc>
          <w:tcPr>
            <w:tcW w:w="620" w:type="dxa"/>
            <w:vAlign w:val="bottom"/>
            <w:gridSpan w:val="3"/>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8.28</w:t>
            </w:r>
            <w:r>
              <w:rPr>
                <w:rFonts w:ascii="Times New Roman" w:cs="Times New Roman" w:eastAsia="Times New Roman" w:hAnsi="Times New Roman"/>
                <w:sz w:val="22"/>
                <w:szCs w:val="22"/>
                <w:color w:val="008000"/>
                <w:vertAlign w:val="superscript"/>
              </w:rPr>
              <w:t>(2)</w:t>
            </w:r>
          </w:p>
        </w:tc>
        <w:tc>
          <w:tcPr>
            <w:tcW w:w="12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7"/>
                <w:szCs w:val="17"/>
                <w:color w:val="0000FF"/>
              </w:rPr>
              <w:t>3,412,003</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note</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640" w:type="dxa"/>
            <w:vAlign w:val="bottom"/>
            <w:tcBorders>
              <w:top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700" w:type="dxa"/>
            <w:vAlign w:val="bottom"/>
            <w:tcBorders>
              <w:top w:val="single" w:sz="8" w:color="2C2C2C"/>
            </w:tcBorders>
          </w:tcPr>
          <w:p>
            <w:pPr>
              <w:spacing w:after="0"/>
              <w:rPr>
                <w:sz w:val="23"/>
                <w:szCs w:val="23"/>
                <w:color w:val="auto"/>
              </w:rPr>
            </w:pPr>
          </w:p>
        </w:tc>
        <w:tc>
          <w:tcPr>
            <w:tcW w:w="800" w:type="dxa"/>
            <w:vAlign w:val="bottom"/>
            <w:tcBorders>
              <w:top w:val="single" w:sz="8" w:color="2C2C2C"/>
            </w:tcBorders>
          </w:tcPr>
          <w:p>
            <w:pPr>
              <w:spacing w:after="0"/>
              <w:rPr>
                <w:sz w:val="23"/>
                <w:szCs w:val="23"/>
                <w:color w:val="auto"/>
              </w:rPr>
            </w:pPr>
          </w:p>
        </w:tc>
        <w:tc>
          <w:tcPr>
            <w:tcW w:w="72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200" w:type="dxa"/>
            <w:vAlign w:val="bottom"/>
            <w:tcBorders>
              <w:top w:val="single" w:sz="8" w:color="2C2C2C"/>
            </w:tcBorders>
          </w:tcPr>
          <w:p>
            <w:pPr>
              <w:spacing w:after="0"/>
              <w:rPr>
                <w:sz w:val="23"/>
                <w:szCs w:val="23"/>
                <w:color w:val="auto"/>
              </w:rPr>
            </w:pPr>
          </w:p>
        </w:tc>
        <w:tc>
          <w:tcPr>
            <w:tcW w:w="34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200" w:type="dxa"/>
            <w:vAlign w:val="bottom"/>
            <w:tcBorders>
              <w:top w:val="single" w:sz="8" w:color="2C2C2C"/>
            </w:tcBorders>
          </w:tcPr>
          <w:p>
            <w:pPr>
              <w:spacing w:after="0"/>
              <w:rPr>
                <w:sz w:val="23"/>
                <w:szCs w:val="23"/>
                <w:color w:val="auto"/>
              </w:rPr>
            </w:pPr>
          </w:p>
        </w:tc>
        <w:tc>
          <w:tcPr>
            <w:tcW w:w="1200" w:type="dxa"/>
            <w:vAlign w:val="bottom"/>
            <w:tcBorders>
              <w:top w:val="single" w:sz="8" w:color="2C2C2C"/>
            </w:tcBorders>
            <w:gridSpan w:val="2"/>
          </w:tcPr>
          <w:p>
            <w:pPr>
              <w:jc w:val="right"/>
              <w:ind w:right="340"/>
              <w:spacing w:after="0"/>
              <w:rPr>
                <w:sz w:val="20"/>
                <w:szCs w:val="20"/>
                <w:color w:val="auto"/>
              </w:rPr>
            </w:pPr>
            <w:r>
              <w:rPr>
                <w:rFonts w:ascii="Times New Roman" w:cs="Times New Roman" w:eastAsia="Times New Roman" w:hAnsi="Times New Roman"/>
                <w:sz w:val="17"/>
                <w:szCs w:val="17"/>
                <w:color w:val="0000FF"/>
              </w:rPr>
              <w:t>44,878</w:t>
            </w:r>
          </w:p>
        </w:tc>
        <w:tc>
          <w:tcPr>
            <w:tcW w:w="920" w:type="dxa"/>
            <w:vAlign w:val="bottom"/>
            <w:tcBorders>
              <w:top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transactions reported on this Form 4 were effected pursuant to a Rule 10b5-1 trading plan adopted by the reporting person on June 10, 2022.</w:t>
      </w:r>
    </w:p>
    <w:p>
      <w:pPr>
        <w:spacing w:after="0" w:line="50" w:lineRule="exact"/>
        <w:rPr>
          <w:rFonts w:ascii="Times New Roman" w:cs="Times New Roman" w:eastAsia="Times New Roman" w:hAnsi="Times New Roman"/>
          <w:sz w:val="13"/>
          <w:szCs w:val="13"/>
          <w:color w:val="008000"/>
        </w:rPr>
      </w:pPr>
    </w:p>
    <w:p>
      <w:pPr>
        <w:jc w:val="both"/>
        <w:ind w:left="40" w:right="2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$8.04 to $8.60, inclusive. The reporting person undertakes to provide to Expensify, Inc., any security holder of Expensify, Inc., or the staff of the Securities and Exchange Commission, upon request, full information regarding the number of shares sold at each separate price within the ranges set forth in footnote (2) to this Form 4.</w:t>
      </w:r>
    </w:p>
    <w:p>
      <w:pPr>
        <w:spacing w:after="0" w:line="20" w:lineRule="exact"/>
        <w:rPr>
          <w:rFonts w:ascii="Times New Roman" w:cs="Times New Roman" w:eastAsia="Times New Roman" w:hAnsi="Times New Roman"/>
          <w:sz w:val="13"/>
          <w:szCs w:val="13"/>
          <w:color w:val="008000"/>
        </w:rPr>
      </w:pPr>
    </w:p>
    <w:p>
      <w:pPr>
        <w:ind w:left="40" w:right="5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By Barrett Trust LLC, a manager-managed limited liability company. The investment and voting decisions of Barrett Trust LLC are made by its manager, the Reporting Person, and its controlling member is the Barrett Family Trust, for which the Reporting Person serves as trustee.</w:t>
      </w:r>
    </w:p>
    <w:p>
      <w:pPr>
        <w:sectPr>
          <w:pgSz w:w="11900" w:h="16838" w:orient="portrait"/>
          <w:cols w:equalWidth="0" w:num="1">
            <w:col w:w="11080"/>
          </w:cols>
          <w:pgMar w:left="460" w:top="219" w:right="359" w:bottom="1440" w:gutter="0" w:footer="0" w:header="0"/>
          <w:type w:val="continuous"/>
        </w:sectPr>
      </w:pP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Ryan Schaffer, as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239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3975"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870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87020" cy="8255"/>
                    </a:xfrm>
                    <a:prstGeom prst="rect">
                      <a:avLst/>
                    </a:prstGeom>
                    <a:noFill/>
                  </pic:spPr>
                </pic:pic>
              </a:graphicData>
            </a:graphic>
          </wp:anchor>
        </w:drawing>
      </w:r>
    </w:p>
    <w:p>
      <w:pPr>
        <w:spacing w:after="0" w:line="40"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03/15/2023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680" w:space="10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92682" TargetMode="External"/><Relationship Id="rId13" Type="http://schemas.openxmlformats.org/officeDocument/2006/relationships/hyperlink" Target="http://www.sec.gov/cgi-bin/browse-edgar?action=getcompany&amp;CIK=00014768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2023-03-15T17:35:39Z</dcterms:created>
  <dcterms:modified xsi:type="dcterms:W3CDTF">2023-03-15T17:35:39Z</dcterms:modified>
</cp:coreProperties>
</file>