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08/08/2023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1002"/>
        <w:gridCol w:w="437"/>
        <w:gridCol w:w="700"/>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08/08/2023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159,159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w:t>
            </w:r>
            <w:r>
              <w:rPr>
                <w:rFonts w:ascii="Times;serif" w:hAnsi="Times;serif"/>
                <w:color w:val="008000"/>
                <w:position w:val="7"/>
                <w:sz w:val="16"/>
                <w:sz w:val="20"/>
                <w:shd w:fill="FFFFFF" w:val="clear"/>
              </w:rPr>
              <w:t>(1)</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5,926,131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08/09/2023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4.17</w:t>
            </w:r>
            <w:r>
              <w:rPr>
                <w:rFonts w:ascii="Times;serif" w:hAnsi="Times;serif"/>
                <w:color w:val="008000"/>
                <w:position w:val="7"/>
                <w:sz w:val="16"/>
                <w:sz w:val="20"/>
                <w:shd w:fill="FFFFFF" w:val="clear"/>
              </w:rPr>
              <w:t>(3)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6,376,131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$5.67 to $5.98,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purchase price for shares of Class A Common Stock purchased. Actual purchase price for shares purchased ranged from $4.07 to $4.35,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884</Words>
  <Characters>4779</Characters>
  <CharactersWithSpaces>5536</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