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288" w:before="0" w:after="120"/>
        <w:jc w:val="center"/>
        <w:rPr/>
      </w:pPr>
      <w:r>
        <w:rPr>
          <w:rFonts w:ascii="Times New Roman;sans-serif" w:hAnsi="Times New Roman;sans-serif"/>
          <w:b/>
          <w:color w:val="000000"/>
          <w:sz w:val="20"/>
        </w:rPr>
        <w:t xml:space="preserve">Date of report (Date of earliest event reported): </w:t>
      </w:r>
      <w:r>
        <w:rPr>
          <w:rFonts w:ascii="Times New Roman;sans-serif" w:hAnsi="Times New Roman;sans-serif"/>
          <w:b w:val="false"/>
          <w:color w:val="000000"/>
          <w:sz w:val="20"/>
        </w:rPr>
        <w:t>May 9, 2023</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811" w:type="dxa"/>
        <w:jc w:val="center"/>
        <w:tblInd w:w="0" w:type="dxa"/>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lineRule="auto" w:line="288" w:before="0" w:after="1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360" w:after="16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On May 9, 2023, Expensify, Inc. (“Expensify” or the “Company”) issued a press release announcing its financial results for the quarter ended March 31, 2023. A copy of this press release is furnished as Exhibit 99.1 to this current report on Form 8-K and is incorporated herein by reference.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On May 9, 2023,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spacing w:before="0" w:after="0"/>
        <w:rPr/>
      </w:pPr>
      <w:r>
        <w:rPr/>
      </w:r>
    </w:p>
    <w:p>
      <w:pPr>
        <w:pStyle w:val="TextBody"/>
        <w:spacing w:lineRule="auto" w:line="276" w:before="0" w:after="16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spacing w:lineRule="auto" w:line="276" w:before="0" w:after="160"/>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7916" w:type="dxa"/>
        <w:jc w:val="left"/>
        <w:tblInd w:w="0" w:type="dxa"/>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2766"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991-8xkq123earnings.htm">
              <w:r>
                <w:rPr>
                  <w:rStyle w:val="InternetLink"/>
                </w:rPr>
                <w:t xml:space="preserve">Press Release issued by Expensify, Inc., dated </w:t>
              </w:r>
            </w:hyperlink>
            <w:hyperlink w:anchor="exhibit991-8xkq123earnings.htm">
              <w:r>
                <w:rPr>
                  <w:rStyle w:val="InternetLink"/>
                </w:rPr>
                <w:t xml:space="preserve">May </w:t>
              </w:r>
            </w:hyperlink>
            <w:hyperlink w:anchor="exhibit991-8xkq123earnings.htm">
              <w:r>
                <w:rPr>
                  <w:rStyle w:val="InternetLink"/>
                </w:rPr>
                <w:t>9</w:t>
              </w:r>
            </w:hyperlink>
            <w:hyperlink w:anchor="exhibit991-8xkq123earnings.htm">
              <w:r>
                <w:rPr>
                  <w:rStyle w:val="InternetLink"/>
                </w:rPr>
                <w:t>, 2023</w:t>
              </w:r>
            </w:hyperlink>
            <w:hyperlink w:anchor="exhibit991-8xkq123earnings.htm">
              <w:r>
                <w:rPr>
                  <w:rStyle w:val="InternetLink"/>
                </w:rPr>
                <w:t>.</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992-8xkq123investor.htm">
              <w:r>
                <w:rPr>
                  <w:rStyle w:val="InternetLink"/>
                </w:rPr>
                <w:t xml:space="preserve">Investor Presentation, dated </w:t>
              </w:r>
            </w:hyperlink>
            <w:hyperlink w:anchor="exhibit992-8xkq123investor.htm">
              <w:r>
                <w:rPr>
                  <w:rStyle w:val="InternetLink"/>
                </w:rPr>
                <w:t xml:space="preserve">May </w:t>
              </w:r>
            </w:hyperlink>
            <w:hyperlink w:anchor="exhibit992-8xkq123investor.htm">
              <w:r>
                <w:rPr>
                  <w:rStyle w:val="InternetLink"/>
                </w:rPr>
                <w:t>9</w:t>
              </w:r>
            </w:hyperlink>
            <w:hyperlink w:anchor="exhibit992-8xkq123investor.htm">
              <w:r>
                <w:rPr>
                  <w:rStyle w:val="InternetLink"/>
                </w:rPr>
                <w:t>,</w:t>
              </w:r>
            </w:hyperlink>
            <w:hyperlink w:anchor="exhibit992-8xkq123investor.htm">
              <w:r>
                <w:rPr>
                  <w:rStyle w:val="InternetLink"/>
                </w:rPr>
                <w:t xml:space="preserve"> 2023</w:t>
              </w:r>
            </w:hyperlink>
            <w:hyperlink w:anchor="exhibit992-8xkq123investor.htm">
              <w:r>
                <w:rPr>
                  <w:rStyle w:val="InternetLink"/>
                </w:rPr>
                <w:t>.</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3086" w:type="dxa"/>
            <w:gridSpan w:val="9"/>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75260"/>
                <wp:effectExtent l="0" t="0" r="0" b="0"/>
                <wp:wrapNone/>
                <wp:docPr id="3"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EXPENSIFY ANNOUNCES Q1 2023 RESULTS</w:t>
      </w:r>
    </w:p>
    <w:p>
      <w:pPr>
        <w:pStyle w:val="TextBody"/>
        <w:spacing w:lineRule="auto" w:line="276" w:before="0" w:after="1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company had operating cash flows of $7.6 million and demonstrated strong free cash flow in Q1 of $10.2 million. The Expensify Card grew 85% compared to the same period last year, and the company continues share buybacks.</w:t>
      </w:r>
    </w:p>
    <w:p>
      <w:pPr>
        <w:pStyle w:val="TextBody"/>
        <w:spacing w:lineRule="auto" w:line="300" w:before="0" w:after="160"/>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WIRE)--May 9, 2023--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ended March 31, 2023.</w:t>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A Message From Our Founder</w:t>
      </w:r>
    </w:p>
    <w:p>
      <w:pPr>
        <w:pStyle w:val="TextBody"/>
        <w:spacing w:lineRule="auto" w:line="300"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When I started Expensify at the bottom of the 2008 recession, it was amongst the crashing of giants, towering redwoods buckling under the weight of their rotten unit economics. Today feels similar, in three ways.</w:t>
      </w:r>
    </w:p>
    <w:p>
      <w:pPr>
        <w:pStyle w:val="TextBody"/>
        <w:spacing w:lineRule="auto" w:line="300" w:before="0" w:after="160"/>
        <w:ind w:left="0" w:right="0" w:hanging="360"/>
        <w:rPr/>
      </w:pPr>
      <w:r>
        <w:rPr>
          <w:color w:val="000000"/>
        </w:rPr>
        <w:t>•</w:t>
      </w:r>
      <w:r>
        <w:rPr>
          <w:rFonts w:ascii="Times New Roman;sans-serif" w:hAnsi="Times New Roman;sans-serif"/>
          <w:b w:val="false"/>
          <w:i/>
          <w:color w:val="000000"/>
          <w:sz w:val="20"/>
        </w:rPr>
        <w:t>The first is the headlines are the same, where dotcom darlings nervously present their ability to lose money at increasing scale as a kind of perverse success. A decade of free money via zero interest rates – followed by staggering stimulus checks – has filled war chests to the brim (at the ironic cost to the same banks that served as war profiteers in the leadup). But losing money on every customer while attempting to make it up with scale wasn't a viable strategy then, and we're skeptical it is now. A longer runway doesn't help if your plane fundamentally can't fly.</w:t>
      </w:r>
    </w:p>
    <w:p>
      <w:pPr>
        <w:pStyle w:val="TextBody"/>
        <w:spacing w:lineRule="auto" w:line="300" w:before="0" w:after="160"/>
        <w:ind w:left="0" w:right="0" w:hanging="360"/>
        <w:rPr/>
      </w:pPr>
      <w:r>
        <w:rPr>
          <w:color w:val="000000"/>
        </w:rPr>
        <w:t>•</w:t>
      </w:r>
      <w:r>
        <w:rPr>
          <w:rFonts w:ascii="Times New Roman;sans-serif" w:hAnsi="Times New Roman;sans-serif"/>
          <w:b w:val="false"/>
          <w:i/>
          <w:color w:val="000000"/>
          <w:sz w:val="20"/>
        </w:rPr>
        <w:t>The second, more important similarity, is that our strategy then and now is the same. We believe addressable market size and unit economics are the only defensible long-term differentiation. It's true we've added SDRs and outbound calling to our toolbox (and the results aren't super noticeable yet, but are trending in promising ways). And these can help us navigate these really difficult near-term market conditions (as well as hold our own against competition increasingly willing to lose on every customer and hope nobody notices). But these tactical adjustments don't alter the high level strategy: viral growth is the only path to a billion user ambition.</w:t>
      </w:r>
    </w:p>
    <w:p>
      <w:pPr>
        <w:pStyle w:val="TextBody"/>
        <w:spacing w:lineRule="auto" w:line="300" w:before="0" w:after="160"/>
        <w:ind w:left="0" w:right="0" w:hanging="360"/>
        <w:rPr/>
      </w:pPr>
      <w:r>
        <w:rPr>
          <w:color w:val="000000"/>
        </w:rPr>
        <w:t>•</w:t>
      </w:r>
      <w:r>
        <w:rPr>
          <w:rFonts w:ascii="Times New Roman;sans-serif" w:hAnsi="Times New Roman;sans-serif"/>
          <w:b w:val="false"/>
          <w:i/>
          <w:color w:val="000000"/>
          <w:sz w:val="20"/>
        </w:rPr>
        <w:t>Which brings me to the third, and most important of all similarity between 2008 and now. There has never – truly never – been more excitement within the walls of Expensify for what we've been quietly building throughout this nuclear winter, and are finally beginning to roll out this year. It feels like the early days of having a bold, disruptive vision, but with the resources and scale to execute faster and more decisively than we could have ever dreamed then.</w:t>
      </w:r>
    </w:p>
    <w:p>
      <w:pPr>
        <w:pStyle w:val="TextBody"/>
        <w:spacing w:lineRule="auto" w:line="300"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Don't get me wrong, this quarter sucked. Yes customers were up, which is great. But the average activity per customer was down, which is not great. Additionally, yes card adoption is up, which is great. But our double-whammy of interchange not being revenue – and cashback being contra-revenue – means card growth contra-intuitively harms revenue… which is not great.</w:t>
      </w:r>
    </w:p>
    <w:p>
      <w:pPr>
        <w:pStyle w:val="TextBody"/>
        <w:spacing w:lineRule="auto" w:line="300"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Thankfully, it kind of doesn't matter. We have over $100MM in the bank, have strong cash flow, are buying back shares, and plan to pay off debt. We're shipping code faster than ever, with more engineers than ever, on a more amazing product than ever. When the economy comes back, all those new customers (and the old) will get active, and all will be well. More than well. Amazing. Because we have just started migrating users over to our eponymously named "New Expensify" (new.expensify.com), which is shaping up so much better than even we imagined. </w:t>
      </w:r>
    </w:p>
    <w:p>
      <w:pPr>
        <w:pStyle w:val="TextBody"/>
        <w:spacing w:lineRule="auto" w:line="300"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I know, it's hard to believe: a single app flexible enough to do everything from expense management to payroll, simple enough for your kid's summer block party but powerful enough for your multinational public CFO? Built by an open source community of a thousand developers, atop a hyper scalable blockchain database, using a single codebase that works across all platforms, including desktop and mobile, without needing to install anything, and without needing permission from your IT or accounting department? It's easy to be skeptical.</w:t>
      </w:r>
      <w:r>
        <w:br w:type="page"/>
      </w: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75260"/>
                <wp:effectExtent l="0" t="0" r="0" b="0"/>
                <wp:wrapNone/>
                <wp:docPr id="4" name="Frame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160"/>
        <w:rPr/>
      </w:pPr>
      <w:r>
        <w:rPr>
          <w:rFonts w:ascii="Times New Roman;sans-serif" w:hAnsi="Times New Roman;sans-serif"/>
          <w:b w:val="false"/>
          <w:i/>
          <w:color w:val="000000"/>
          <w:sz w:val="20"/>
        </w:rPr>
        <w:t>But we believe those skeptics are going to be kicking themselves. Google was the 25</w:t>
      </w:r>
      <w:r>
        <w:rPr>
          <w:rFonts w:ascii="Times New Roman;sans-serif" w:hAnsi="Times New Roman;sans-serif"/>
          <w:b w:val="false"/>
          <w:i/>
          <w:color w:val="000000"/>
          <w:sz w:val="13"/>
        </w:rPr>
        <w:t>th</w:t>
      </w:r>
      <w:r>
        <w:rPr>
          <w:color w:val="000000"/>
        </w:rPr>
        <w:t xml:space="preserve"> </w:t>
      </w:r>
      <w:r>
        <w:rPr>
          <w:rFonts w:ascii="Times New Roman;sans-serif" w:hAnsi="Times New Roman;sans-serif"/>
          <w:b w:val="false"/>
          <w:i/>
          <w:color w:val="000000"/>
          <w:sz w:val="20"/>
        </w:rPr>
        <w:t>search engine after all. That means 24 before it missed the Google-scale vision – right when everyone thought the market was over, they demonstrated that it had only barely begun. That's how we see expense management: only a rounding error of global businesses do their expenses on us or any of our competition, after all. If a billion people can chat about photos, we think a billion people can chat about money – especially since they already do, just pointlessly fragmented across a hundred niche platforms.</w:t>
      </w:r>
    </w:p>
    <w:p>
      <w:pPr>
        <w:pStyle w:val="TextBody"/>
        <w:spacing w:lineRule="auto" w:line="300"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Expensify can never be the first expense management player. The industry was largely defined and unchanged since before we arrived. But that's fine. We don't need to be the first. We are trying to be the last. And I've never been more excited for our prospects. Stay tuned!</w:t>
      </w:r>
    </w:p>
    <w:p>
      <w:pPr>
        <w:pStyle w:val="TextBody"/>
        <w:spacing w:lineRule="auto" w:line="300"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-david</w:t>
      </w:r>
    </w:p>
    <w:p>
      <w:pPr>
        <w:pStyle w:val="TextBody"/>
        <w:spacing w:lineRule="auto" w:line="300"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Founder and CEO of Expensify</w:t>
      </w:r>
    </w:p>
    <w:p>
      <w:pPr>
        <w:pStyle w:val="TextBody"/>
        <w:spacing w:lineRule="auto" w:line="300" w:before="0" w:after="2"/>
        <w:rPr>
          <w:rFonts w:ascii="Times New Roman;sans-serif" w:hAnsi="Times New Roman;sans-serif"/>
          <w:b/>
          <w:color w:val="000000"/>
          <w:sz w:val="20"/>
          <w:u w:val="single"/>
        </w:rPr>
      </w:pPr>
      <w:r>
        <w:rPr>
          <w:rFonts w:ascii="Times New Roman;sans-serif" w:hAnsi="Times New Roman;sans-serif"/>
          <w:b/>
          <w:color w:val="000000"/>
          <w:sz w:val="20"/>
          <w:u w:val="single"/>
        </w:rPr>
        <w:t>First Quarter 2023 Highlights</w:t>
      </w:r>
    </w:p>
    <w:p>
      <w:pPr>
        <w:pStyle w:val="TextBody"/>
        <w:spacing w:before="0" w:after="2"/>
        <w:rPr/>
      </w:pPr>
      <w:r>
        <w:rPr/>
      </w:r>
    </w:p>
    <w:p>
      <w:pPr>
        <w:pStyle w:val="TextBody"/>
        <w:spacing w:lineRule="auto" w:line="300" w:before="0" w:after="2"/>
        <w:rPr>
          <w:rFonts w:ascii="Times New Roman;sans-serif" w:hAnsi="Times New Roman;sans-serif"/>
          <w:b/>
          <w:color w:val="000000"/>
          <w:sz w:val="20"/>
        </w:rPr>
      </w:pPr>
      <w:r>
        <w:rPr>
          <w:rFonts w:ascii="Times New Roman;sans-serif" w:hAnsi="Times New Roman;sans-serif"/>
          <w:b/>
          <w:color w:val="000000"/>
          <w:sz w:val="20"/>
        </w:rPr>
        <w:t xml:space="preserve">Financial: </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Revenue was $40.1 million, a decrease of 1% compared to the same period last year.</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Generated $7.6 million cash provided by operating activities and $10.2 million of free cash flow.</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 xml:space="preserve">Net loss was $5.9 million, compared to $7.4 million for the same period last year. </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Non-GAAP net income was $4.1 million.</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Adjusted EBITDA was $8.7 million.</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Interchange derived from the Expensify Card grew to $2.3 million, an increase of 85% compared to the same period last year.</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Uses of Q1 Free Cash Flow:</w:t>
      </w:r>
    </w:p>
    <w:p>
      <w:pPr>
        <w:pStyle w:val="TextBody"/>
        <w:spacing w:lineRule="auto" w:line="268" w:before="0" w:after="160"/>
        <w:ind w:left="0" w:right="0" w:hanging="360"/>
        <w:rPr/>
      </w:pPr>
      <w:r>
        <w:rPr>
          <w:color w:val="000000"/>
        </w:rPr>
        <w:t>◦</w:t>
      </w:r>
      <w:r>
        <w:rPr>
          <w:rFonts w:ascii="Times New Roman;sans-serif" w:hAnsi="Times New Roman;sans-serif"/>
          <w:b w:val="false"/>
          <w:color w:val="000000"/>
          <w:sz w:val="20"/>
        </w:rPr>
        <w:t>Continued Buybacks - $0.7 million spent via net share settlement in Q1. Plan for a further $3.0 million of near-term share repurchases in the open market starting May 10</w:t>
      </w:r>
      <w:r>
        <w:rPr>
          <w:rFonts w:ascii="Times New Roman;sans-serif" w:hAnsi="Times New Roman;sans-serif"/>
          <w:b w:val="false"/>
          <w:color w:val="000000"/>
          <w:sz w:val="13"/>
        </w:rPr>
        <w:t>th</w:t>
      </w:r>
      <w:r>
        <w:rPr>
          <w:rFonts w:ascii="Times New Roman;sans-serif" w:hAnsi="Times New Roman;sans-serif"/>
          <w:b w:val="false"/>
          <w:color w:val="000000"/>
          <w:sz w:val="20"/>
        </w:rPr>
        <w:t>, 2023.</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 xml:space="preserve">Reducing Debt - Plan to deploy $8.0 million to reduce the company’s debt. </w:t>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Business</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Paid members</w:t>
      </w:r>
      <w:r>
        <w:rPr>
          <w:color w:val="000000"/>
        </w:rPr>
        <w:t xml:space="preserve"> </w:t>
      </w:r>
      <w:r>
        <w:rPr>
          <w:rFonts w:ascii="Times New Roman;sans-serif" w:hAnsi="Times New Roman;sans-serif"/>
          <w:b w:val="false"/>
          <w:color w:val="000000"/>
          <w:sz w:val="20"/>
        </w:rPr>
        <w:t>- Paid members grew to 747,000, an increase of 6% from the same period last year.</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Hosted ExpensiConX to strengthen workforce</w:t>
      </w:r>
      <w:r>
        <w:rPr>
          <w:color w:val="000000"/>
        </w:rPr>
        <w:t xml:space="preserve"> </w:t>
      </w:r>
      <w:r>
        <w:rPr>
          <w:rFonts w:ascii="Times New Roman;sans-serif" w:hAnsi="Times New Roman;sans-serif"/>
          <w:b w:val="false"/>
          <w:color w:val="000000"/>
          <w:sz w:val="20"/>
        </w:rPr>
        <w:t>- Many of the world’s top react native engineers and teams came together to discuss React Native and the future of the Expensify roadmap.</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Expensify also hosted its partner sales and support teams to further train and increase the efficiency of their roles.</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Continued to scale contributor program</w:t>
      </w:r>
      <w:r>
        <w:rPr>
          <w:color w:val="000000"/>
        </w:rPr>
        <w:t xml:space="preserve"> </w:t>
      </w:r>
      <w:r>
        <w:rPr>
          <w:rFonts w:ascii="Times New Roman;sans-serif" w:hAnsi="Times New Roman;sans-serif"/>
          <w:b w:val="false"/>
          <w:color w:val="000000"/>
          <w:sz w:val="20"/>
        </w:rPr>
        <w:t>- With a 322% increase in the number of jobs completed by contributors in April 2023 compared to April 2022</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Increased Sales Development Representative ("SDR") count to 100+ SDRs</w:t>
      </w:r>
      <w:r>
        <w:rPr>
          <w:color w:val="000000"/>
        </w:rPr>
        <w:t xml:space="preserve"> </w:t>
      </w:r>
      <w:r>
        <w:rPr>
          <w:rFonts w:ascii="Times New Roman;sans-serif" w:hAnsi="Times New Roman;sans-serif"/>
          <w:b w:val="false"/>
          <w:color w:val="000000"/>
          <w:sz w:val="20"/>
        </w:rPr>
        <w:t>- With multiple vendors in a built to scale fashion.</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Improved free trials</w:t>
      </w:r>
      <w:r>
        <w:rPr>
          <w:color w:val="000000"/>
        </w:rPr>
        <w:t xml:space="preserve"> </w:t>
      </w:r>
      <w:r>
        <w:rPr>
          <w:rFonts w:ascii="Times New Roman;sans-serif" w:hAnsi="Times New Roman;sans-serif"/>
          <w:b w:val="false"/>
          <w:color w:val="000000"/>
          <w:sz w:val="20"/>
        </w:rPr>
        <w:t>- Increasing monthly free trials by 79% y/y when looking at March 2023 compared to March 2022. This was done through product led growth and increasing SDR efficiency.</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 xml:space="preserve">Scaling outsourced setup specialists </w:t>
      </w:r>
      <w:r>
        <w:rPr>
          <w:rFonts w:ascii="Times New Roman;sans-serif" w:hAnsi="Times New Roman;sans-serif"/>
          <w:b w:val="false"/>
          <w:color w:val="000000"/>
          <w:sz w:val="20"/>
        </w:rPr>
        <w:t>- On average, annual seats closed by outsourced sales teams has doubled every month starting January 2023 compared to the previous month.</w:t>
      </w:r>
      <w:r>
        <w:br w:type="page"/>
      </w: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75260"/>
                <wp:effectExtent l="0" t="0" r="0" b="0"/>
                <wp:wrapNone/>
                <wp:docPr id="5" name="Frame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Strengthened partner channels</w:t>
      </w:r>
      <w:r>
        <w:rPr>
          <w:color w:val="000000"/>
        </w:rPr>
        <w:t xml:space="preserve"> </w:t>
      </w:r>
      <w:r>
        <w:rPr>
          <w:rFonts w:ascii="Times New Roman;sans-serif" w:hAnsi="Times New Roman;sans-serif"/>
          <w:b w:val="false"/>
          <w:color w:val="000000"/>
          <w:sz w:val="20"/>
        </w:rPr>
        <w:t>- Over 100+ invitees confirmed to ExpensiCon 3 from some of the world's best accounting firms.</w:t>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Financial Outlook</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spacing w:before="0" w:after="2"/>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reaffirm our long term guidance provided in connection with our fourth quarter 2022 results of 25-35% revenue growth over a multi-year period, which assumes an eventual return to normalcy of the world economy.</w:t>
      </w:r>
    </w:p>
    <w:p>
      <w:pPr>
        <w:pStyle w:val="TextBody"/>
        <w:spacing w:before="0" w:after="2"/>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Expensify is also providing an estimate on what stock based compensation is expected to look like for the next four fiscal quarters. Driven primarily by the pre-IPO grant of RSUs issued to all employees (which quarterly vest over 8 years with approximately 7 years remaining), stock based compensation is estimated as seen below:</w:t>
      </w:r>
    </w:p>
    <w:p>
      <w:pPr>
        <w:pStyle w:val="TextBody"/>
        <w:spacing w:before="0" w:after="2"/>
        <w:rPr/>
      </w:pPr>
      <w:r>
        <w:rPr/>
      </w:r>
    </w:p>
    <w:p>
      <w:pPr>
        <w:pStyle w:val="TextBody"/>
        <w:spacing w:lineRule="auto" w:line="300" w:before="0" w:after="2"/>
        <w:rPr>
          <w:rFonts w:ascii="Times New Roman;sans-serif" w:hAnsi="Times New Roman;sans-serif"/>
          <w:b/>
          <w:color w:val="000000"/>
          <w:sz w:val="20"/>
        </w:rPr>
      </w:pPr>
      <w:r>
        <w:rPr>
          <w:rFonts w:ascii="Times New Roman;sans-serif" w:hAnsi="Times New Roman;sans-serif"/>
          <w:b/>
          <w:color w:val="000000"/>
          <w:sz w:val="20"/>
        </w:rPr>
        <w:t>Est. stock-based compensation (millions)</w:t>
      </w:r>
    </w:p>
    <w:tbl>
      <w:tblPr>
        <w:tblW w:w="10539" w:type="dxa"/>
        <w:jc w:val="left"/>
        <w:tblInd w:w="0" w:type="dxa"/>
        <w:tblCellMar>
          <w:top w:w="28" w:type="dxa"/>
          <w:left w:w="28" w:type="dxa"/>
          <w:bottom w:w="28" w:type="dxa"/>
          <w:right w:w="28" w:type="dxa"/>
        </w:tblCellMar>
      </w:tblPr>
      <w:tblGrid>
        <w:gridCol w:w="804"/>
        <w:gridCol w:w="590"/>
        <w:gridCol w:w="581"/>
        <w:gridCol w:w="211"/>
        <w:gridCol w:w="406"/>
        <w:gridCol w:w="109"/>
        <w:gridCol w:w="109"/>
        <w:gridCol w:w="109"/>
        <w:gridCol w:w="109"/>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406"/>
        <w:gridCol w:w="109"/>
        <w:gridCol w:w="109"/>
        <w:gridCol w:w="109"/>
        <w:gridCol w:w="109"/>
        <w:gridCol w:w="211"/>
        <w:gridCol w:w="511"/>
        <w:gridCol w:w="156"/>
      </w:tblGrid>
      <w:tr>
        <w:trPr/>
        <w:tc>
          <w:tcPr>
            <w:tcW w:w="80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23" w:type="dxa"/>
            <w:gridSpan w:val="30"/>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Q2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Q3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Q4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Q1 2024</w:t>
            </w:r>
          </w:p>
        </w:tc>
      </w:tr>
      <w:tr>
        <w:trPr/>
        <w:tc>
          <w:tcPr>
            <w:tcW w:w="1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78"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Availability of Information on Expensify’s Website</w:t>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spacing w:before="0" w:after="0"/>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Conference Call </w:t>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measures prepared in accordance with U.S. generally accepted accounting principles (“GAAP”), we provide certain non-GAAP financial measures, including adjusted EBITDA, adjusted EBITDA margin, non-GAAP net income, and free cash flow.</w:t>
      </w:r>
    </w:p>
    <w:p>
      <w:pPr>
        <w:pStyle w:val="TextBody"/>
        <w:spacing w:before="0" w:after="0"/>
        <w:rPr/>
      </w:pPr>
      <w:r>
        <w:rPr/>
      </w:r>
    </w:p>
    <w:p>
      <w:pPr>
        <w:pStyle w:val="TextBody"/>
        <w:spacing w:lineRule="auto" w:line="30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w:t>
      </w:r>
      <w:r>
        <w:br w:type="page"/>
      </w: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75260"/>
                <wp:effectExtent l="0" t="0" r="0" b="0"/>
                <wp:wrapNone/>
                <wp:docPr id="6" name="Frame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spacing w:before="0" w:after="0"/>
        <w:rPr/>
      </w:pPr>
      <w:r>
        <w:rPr/>
      </w:r>
    </w:p>
    <w:p>
      <w:pPr>
        <w:pStyle w:val="TextBody"/>
        <w:spacing w:lineRule="auto" w:line="300" w:before="0" w:after="0"/>
        <w:rPr/>
      </w:pP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We define adjusted EBITDA as net income from operations excluding provision for income taxes, interest and other expenses, net, depreciation and amortization and stock based compensation.</w:t>
      </w:r>
    </w:p>
    <w:p>
      <w:pPr>
        <w:pStyle w:val="TextBody"/>
        <w:spacing w:before="0" w:after="0"/>
        <w:rPr/>
      </w:pPr>
      <w:r>
        <w:rPr/>
      </w:r>
    </w:p>
    <w:p>
      <w:pPr>
        <w:pStyle w:val="TextBody"/>
        <w:spacing w:lineRule="auto" w:line="268" w:before="0" w:after="0"/>
        <w:rPr/>
      </w:pPr>
      <w:r>
        <w:rPr>
          <w:rFonts w:ascii="Times New Roman;sans-serif" w:hAnsi="Times New Roman;sans-serif"/>
          <w:b/>
          <w:color w:val="000000"/>
          <w:sz w:val="20"/>
        </w:rPr>
        <w:t>Non-GAAP net income.</w:t>
      </w:r>
      <w:r>
        <w:rPr>
          <w:color w:val="000000"/>
        </w:rPr>
        <w:t xml:space="preserve"> </w:t>
      </w:r>
      <w:r>
        <w:rPr>
          <w:rFonts w:ascii="Times New Roman;sans-serif" w:hAnsi="Times New Roman;sans-serif"/>
          <w:b w:val="false"/>
          <w:color w:val="000000"/>
          <w:sz w:val="20"/>
        </w:rPr>
        <w:t>We define non-GAAP net income as net income from operations in accordance with US GAAP excluding stock-based compensation. Through the fourth quarter of 2021, non-GAAP net income also excluded bonus costs related to our IPO, which we consider to be the discretionary cash bonuses paid to our employees during 2021. These IPO-related bonus costs impacted the second, third and fourth fiscal quarters of 2021 but did not impact any subsequent quarters.</w:t>
      </w:r>
    </w:p>
    <w:p>
      <w:pPr>
        <w:pStyle w:val="TextBody"/>
        <w:spacing w:before="0" w:after="2"/>
        <w:rPr/>
      </w:pPr>
      <w:r>
        <w:rPr/>
      </w:r>
    </w:p>
    <w:p>
      <w:pPr>
        <w:pStyle w:val="TextBody"/>
        <w:spacing w:lineRule="auto" w:line="300" w:before="0" w:after="2"/>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We define Free cash flow as net cash (used in)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The tables at the end of the Condensed Consolidated Financial Statements provide reconciliations to the most directly comparable GAAP financial measure to each of these non-GAAP financial measures.</w:t>
      </w:r>
    </w:p>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spacing w:lineRule="auto" w:line="268"/>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product developments and their potential impact, our ability to meet our long-term guidance, the amount and timing of any share repurchases, our stock-based compensation estimates and the timing of when we expect the economy to return to normalcy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w:t>
      </w:r>
      <w:r>
        <w:br w:type="page"/>
      </w: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75260"/>
                <wp:effectExtent l="0" t="0" r="0" b="0"/>
                <wp:wrapNone/>
                <wp:docPr id="7" name="Frame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fund any stock repurchases; the war in Ukraine and escalating geopolitical tensions as a result of Russia's invasion of Ukraine;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spacing w:before="0" w:after="2"/>
        <w:rPr/>
      </w:pPr>
      <w:r>
        <w:rPr/>
      </w:r>
    </w:p>
    <w:p>
      <w:pPr>
        <w:pStyle w:val="TextBody"/>
        <w:spacing w:lineRule="auto" w:line="276" w:before="0" w:after="160"/>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Nick Tooker</w:t>
      </w:r>
    </w:p>
    <w:p>
      <w:pPr>
        <w:pStyle w:val="TextBody"/>
        <w:spacing w:lineRule="auto" w:line="276" w:before="0" w:after="240"/>
        <w:rPr>
          <w:rFonts w:ascii="Times New Roman;sans-serif" w:hAnsi="Times New Roman;sans-serif"/>
          <w:b w:val="false"/>
          <w:color w:val="000000"/>
          <w:sz w:val="20"/>
        </w:rPr>
      </w:pPr>
      <w:r>
        <w:rPr>
          <w:rFonts w:ascii="Times New Roman;sans-serif" w:hAnsi="Times New Roman;sans-serif"/>
          <w:b w:val="false"/>
          <w:color w:val="000000"/>
          <w:sz w:val="20"/>
        </w:rPr>
        <w:t>investors@expensify.com</w:t>
      </w:r>
    </w:p>
    <w:p>
      <w:pPr>
        <w:pStyle w:val="TextBody"/>
        <w:spacing w:lineRule="auto" w:line="276" w:before="0" w:after="160"/>
        <w:rPr>
          <w:rFonts w:ascii="Times New Roman;sans-serif" w:hAnsi="Times New Roman;sans-serif"/>
          <w:b/>
          <w:color w:val="000000"/>
          <w:sz w:val="20"/>
        </w:rPr>
      </w:pPr>
      <w:r>
        <w:rPr>
          <w:rFonts w:ascii="Times New Roman;sans-serif" w:hAnsi="Times New Roman;sans-serif"/>
          <w:b/>
          <w:color w:val="000000"/>
          <w:sz w:val="20"/>
        </w:rPr>
        <w:t>Press Contact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James Dean</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press@expensify.com</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75260"/>
                <wp:effectExtent l="0" t="0" r="0" b="0"/>
                <wp:wrapNone/>
                <wp:docPr id="8" name="Frame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539" w:type="dxa"/>
        <w:jc w:val="center"/>
        <w:tblInd w:w="0" w:type="dxa"/>
        <w:tblCellMar>
          <w:top w:w="28" w:type="dxa"/>
          <w:left w:w="28" w:type="dxa"/>
          <w:bottom w:w="28" w:type="dxa"/>
          <w:right w:w="28" w:type="dxa"/>
        </w:tblCellMar>
      </w:tblPr>
      <w:tblGrid>
        <w:gridCol w:w="3019"/>
        <w:gridCol w:w="2478"/>
        <w:gridCol w:w="2500"/>
        <w:gridCol w:w="201"/>
        <w:gridCol w:w="756"/>
        <w:gridCol w:w="111"/>
        <w:gridCol w:w="109"/>
        <w:gridCol w:w="109"/>
        <w:gridCol w:w="109"/>
        <w:gridCol w:w="206"/>
        <w:gridCol w:w="775"/>
        <w:gridCol w:w="166"/>
      </w:tblGrid>
      <w:tr>
        <w:trPr/>
        <w:tc>
          <w:tcPr>
            <w:tcW w:w="3019" w:type="dxa"/>
            <w:tcBorders/>
            <w:shd w:fill="auto" w:val="clear"/>
            <w:vAlign w:val="center"/>
          </w:tcPr>
          <w:p>
            <w:pPr>
              <w:pStyle w:val="TableContents"/>
              <w:spacing w:before="0" w:after="283"/>
              <w:rPr>
                <w:sz w:val="4"/>
                <w:szCs w:val="4"/>
              </w:rPr>
            </w:pPr>
            <w:r>
              <w:rPr>
                <w:sz w:val="4"/>
                <w:szCs w:val="4"/>
              </w:rPr>
            </w:r>
          </w:p>
        </w:tc>
        <w:tc>
          <w:tcPr>
            <w:tcW w:w="2478"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111,232 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assets, net</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187,115 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net</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right-of-use assets</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line of credit</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 of original issue discount and debt issuance costs</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liabilities</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non-current</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original issue discount and debt issuance costs</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51,297 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$0.0001; 10,000,000 shares of preferred stock authorized as of March 31, 2023 and December 31, 2022; no shares of preferred stock issued and outstanding as of March 31, 2023 and December 31, 2022</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1,000,000,000 shares of Class A common stock authorized as of March 31, 2023 and December 31, 2022; 68,496,251 and 68,238,245 shares of Class A common stock issued and outstanding as of March 31, 2023 and December 31, 2022, respectively; 24,996,826 and 24,997,561 shares of LT10 common stock authorized as of March 31, 2023 and December 31, 2022, respectively; 7,335,456 and 7,336,191 shares of LT10 common stock issued and outstanding as of March 31, 2023 and December 31, 2022, respectively; 24,999,020 shares of LT50 common stock authorized as of March 31, 2023 and December 31, 2022; 6,974,821 and 6,854,931 shares of LT50 common stock issued and outstanding as of March 31, 2023 and December 31, 2022, respectively</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5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206,207 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194,807 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5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(103,518)</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(97,573)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102,696 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97,241 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210,241 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75260"/>
                <wp:effectExtent l="0" t="0" r="0" b="0"/>
                <wp:wrapNone/>
                <wp:docPr id="9" name="Frame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9187" w:type="dxa"/>
        <w:jc w:val="center"/>
        <w:tblInd w:w="0" w:type="dxa"/>
        <w:tblCellMar>
          <w:top w:w="28" w:type="dxa"/>
          <w:left w:w="28" w:type="dxa"/>
          <w:bottom w:w="28" w:type="dxa"/>
          <w:right w:w="28" w:type="dxa"/>
        </w:tblCellMar>
      </w:tblPr>
      <w:tblGrid>
        <w:gridCol w:w="2328"/>
        <w:gridCol w:w="2049"/>
        <w:gridCol w:w="2058"/>
        <w:gridCol w:w="244"/>
        <w:gridCol w:w="837"/>
        <w:gridCol w:w="109"/>
        <w:gridCol w:w="109"/>
        <w:gridCol w:w="109"/>
        <w:gridCol w:w="109"/>
        <w:gridCol w:w="244"/>
        <w:gridCol w:w="837"/>
        <w:gridCol w:w="154"/>
      </w:tblGrid>
      <w:tr>
        <w:trPr/>
        <w:tc>
          <w:tcPr>
            <w:tcW w:w="2328"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Cost of revenue, net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expenses,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used to compute net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81,768,429 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80,147,208 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3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2"/>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p>
      <w:pPr>
        <w:pStyle w:val="TextBody"/>
        <w:spacing w:before="0" w:after="2"/>
        <w:ind w:left="0" w:right="0" w:firstLine="360"/>
        <w:rPr/>
      </w:pPr>
      <w:r>
        <w:rPr/>
      </w:r>
    </w:p>
    <w:tbl>
      <w:tblPr>
        <w:tblW w:w="5903" w:type="dxa"/>
        <w:jc w:val="center"/>
        <w:tblInd w:w="0" w:type="dxa"/>
        <w:tblCellMar>
          <w:top w:w="28" w:type="dxa"/>
          <w:left w:w="28" w:type="dxa"/>
          <w:bottom w:w="28" w:type="dxa"/>
          <w:right w:w="28" w:type="dxa"/>
        </w:tblCellMar>
      </w:tblPr>
      <w:tblGrid>
        <w:gridCol w:w="1251"/>
        <w:gridCol w:w="1096"/>
        <w:gridCol w:w="1102"/>
        <w:gridCol w:w="211"/>
        <w:gridCol w:w="721"/>
        <w:gridCol w:w="109"/>
        <w:gridCol w:w="109"/>
        <w:gridCol w:w="109"/>
        <w:gridCol w:w="109"/>
        <w:gridCol w:w="211"/>
        <w:gridCol w:w="721"/>
        <w:gridCol w:w="154"/>
      </w:tblGrid>
      <w:tr>
        <w:trPr/>
        <w:tc>
          <w:tcPr>
            <w:tcW w:w="125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12"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75260"/>
                <wp:effectExtent l="0" t="0" r="0" b="0"/>
                <wp:wrapNone/>
                <wp:docPr id="10" name="Frame1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10149" w:type="dxa"/>
        <w:jc w:val="left"/>
        <w:tblInd w:w="0" w:type="dxa"/>
        <w:tblCellMar>
          <w:top w:w="28" w:type="dxa"/>
          <w:left w:w="28" w:type="dxa"/>
          <w:bottom w:w="28" w:type="dxa"/>
          <w:right w:w="28" w:type="dxa"/>
        </w:tblCellMar>
      </w:tblPr>
      <w:tblGrid>
        <w:gridCol w:w="2788"/>
        <w:gridCol w:w="2443"/>
        <w:gridCol w:w="2464"/>
        <w:gridCol w:w="196"/>
        <w:gridCol w:w="736"/>
        <w:gridCol w:w="109"/>
        <w:gridCol w:w="109"/>
        <w:gridCol w:w="109"/>
        <w:gridCol w:w="109"/>
        <w:gridCol w:w="196"/>
        <w:gridCol w:w="736"/>
        <w:gridCol w:w="154"/>
      </w:tblGrid>
      <w:tr>
        <w:trPr/>
        <w:tc>
          <w:tcPr>
            <w:tcW w:w="2788"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24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7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of 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impairment, receivables and sale or disposal of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original issue discount and debt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assets,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loan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Software development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of finance leases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of term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early exercised stock options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units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early exercised stock options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common stock purchased under Matching Plan</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on exercise of stock options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employee taxes withheld from stock-based awards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and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19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investing and financing items: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capitalized as software development costs</w:t>
            </w:r>
          </w:p>
        </w:tc>
        <w:tc>
          <w:tcPr>
            <w:tcW w:w="19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acquired through operating leases</w:t>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and cash equivalents and restricted cash to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101,101 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settlement assets,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2"/>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75260"/>
                <wp:effectExtent l="0" t="0" r="0" b="0"/>
                <wp:wrapNone/>
                <wp:docPr id="11" name="Frame1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Reconciliation of GAAP to Non-GAAP Financial Measures</w:t>
      </w:r>
    </w:p>
    <w:p>
      <w:pPr>
        <w:pStyle w:val="TextBody"/>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percentages)</w:t>
      </w:r>
    </w:p>
    <w:p>
      <w:pPr>
        <w:pStyle w:val="TextBody"/>
        <w:spacing w:lineRule="auto" w:line="300" w:before="0" w:after="2"/>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Margin</w:t>
      </w:r>
    </w:p>
    <w:tbl>
      <w:tblPr>
        <w:tblW w:w="5738" w:type="dxa"/>
        <w:jc w:val="left"/>
        <w:tblInd w:w="0" w:type="dxa"/>
        <w:tblCellMar>
          <w:top w:w="28" w:type="dxa"/>
          <w:left w:w="28" w:type="dxa"/>
          <w:bottom w:w="28" w:type="dxa"/>
          <w:right w:w="28" w:type="dxa"/>
        </w:tblCellMar>
      </w:tblPr>
      <w:tblGrid>
        <w:gridCol w:w="1278"/>
        <w:gridCol w:w="892"/>
        <w:gridCol w:w="904"/>
        <w:gridCol w:w="226"/>
        <w:gridCol w:w="796"/>
        <w:gridCol w:w="109"/>
        <w:gridCol w:w="109"/>
        <w:gridCol w:w="109"/>
        <w:gridCol w:w="109"/>
        <w:gridCol w:w="226"/>
        <w:gridCol w:w="826"/>
        <w:gridCol w:w="154"/>
      </w:tblGrid>
      <w:tr>
        <w:trPr/>
        <w:tc>
          <w:tcPr>
            <w:tcW w:w="127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Provision for income taxes</w:t>
            </w:r>
          </w:p>
        </w:tc>
        <w:tc>
          <w:tcPr>
            <w:tcW w:w="10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and other expenses, net</w:t>
            </w:r>
          </w:p>
        </w:tc>
        <w:tc>
          <w:tcPr>
            <w:tcW w:w="10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and amortization</w:t>
            </w:r>
          </w:p>
        </w:tc>
        <w:tc>
          <w:tcPr>
            <w:tcW w:w="10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Stock-based compensation</w:t>
            </w:r>
          </w:p>
        </w:tc>
        <w:tc>
          <w:tcPr>
            <w:tcW w:w="10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14,667 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Adjusted EBITDA</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and Non-GAAP Net Income Margin</w:t>
      </w:r>
    </w:p>
    <w:tbl>
      <w:tblPr>
        <w:tblW w:w="5259" w:type="dxa"/>
        <w:jc w:val="left"/>
        <w:tblInd w:w="0" w:type="dxa"/>
        <w:tblCellMar>
          <w:top w:w="28" w:type="dxa"/>
          <w:left w:w="28" w:type="dxa"/>
          <w:bottom w:w="28" w:type="dxa"/>
          <w:right w:w="28" w:type="dxa"/>
        </w:tblCellMar>
      </w:tblPr>
      <w:tblGrid>
        <w:gridCol w:w="1092"/>
        <w:gridCol w:w="762"/>
        <w:gridCol w:w="771"/>
        <w:gridCol w:w="226"/>
        <w:gridCol w:w="796"/>
        <w:gridCol w:w="109"/>
        <w:gridCol w:w="109"/>
        <w:gridCol w:w="109"/>
        <w:gridCol w:w="109"/>
        <w:gridCol w:w="226"/>
        <w:gridCol w:w="796"/>
        <w:gridCol w:w="154"/>
      </w:tblGrid>
      <w:tr>
        <w:trPr/>
        <w:tc>
          <w:tcPr>
            <w:tcW w:w="109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Stock-based compensation</w:t>
            </w:r>
          </w:p>
        </w:tc>
        <w:tc>
          <w:tcPr>
            <w:tcW w:w="10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14,667 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net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Cash Flow and Free Cash Flow</w:t>
      </w:r>
    </w:p>
    <w:tbl>
      <w:tblPr>
        <w:tblW w:w="7883" w:type="dxa"/>
        <w:jc w:val="left"/>
        <w:tblInd w:w="0" w:type="dxa"/>
        <w:tblCellMar>
          <w:top w:w="28" w:type="dxa"/>
          <w:left w:w="28" w:type="dxa"/>
          <w:bottom w:w="28" w:type="dxa"/>
          <w:right w:w="28" w:type="dxa"/>
        </w:tblCellMar>
      </w:tblPr>
      <w:tblGrid>
        <w:gridCol w:w="1878"/>
        <w:gridCol w:w="1650"/>
        <w:gridCol w:w="1661"/>
        <w:gridCol w:w="226"/>
        <w:gridCol w:w="826"/>
        <w:gridCol w:w="109"/>
        <w:gridCol w:w="109"/>
        <w:gridCol w:w="109"/>
        <w:gridCol w:w="109"/>
        <w:gridCol w:w="226"/>
        <w:gridCol w:w="826"/>
        <w:gridCol w:w="154"/>
      </w:tblGrid>
      <w:tr>
        <w:trPr/>
        <w:tc>
          <w:tcPr>
            <w:tcW w:w="1878"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top w:val="single" w:sz="16"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cash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(Increase) decrease in changes in assets and liabilities:</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Settlement assets</w:t>
            </w:r>
          </w:p>
        </w:tc>
        <w:tc>
          <w:tcPr>
            <w:tcW w:w="105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(5,689)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Settlement liabilities</w:t>
            </w:r>
          </w:p>
        </w:tc>
        <w:tc>
          <w:tcPr>
            <w:tcW w:w="10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Adjusted operating cash flow</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Software development costs</w:t>
            </w:r>
          </w:p>
        </w:tc>
        <w:tc>
          <w:tcPr>
            <w:tcW w:w="10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Free cash flow</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75260"/>
                <wp:effectExtent l="0" t="0" r="0" b="0"/>
                <wp:wrapNone/>
                <wp:docPr id="12" name="Frame1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75260"/>
                <wp:effectExtent l="0" t="0" r="0" b="0"/>
                <wp:wrapNone/>
                <wp:docPr id="14" name="Frame1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75260"/>
                <wp:effectExtent l="0" t="0" r="0" b="0"/>
                <wp:wrapNone/>
                <wp:docPr id="16" name="Frame1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75260"/>
                <wp:effectExtent l="0" t="0" r="0" b="0"/>
                <wp:wrapNone/>
                <wp:docPr id="18" name="Frame1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75260"/>
                <wp:effectExtent l="0" t="0" r="0" b="0"/>
                <wp:wrapNone/>
                <wp:docPr id="20" name="Frame1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75260"/>
                <wp:effectExtent l="0" t="0" r="0" b="0"/>
                <wp:wrapNone/>
                <wp:docPr id="22" name="Frame1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75260"/>
                <wp:effectExtent l="0" t="0" r="0" b="0"/>
                <wp:wrapNone/>
                <wp:docPr id="24" name="Frame1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75260"/>
                <wp:effectExtent l="0" t="0" r="0" b="0"/>
                <wp:wrapNone/>
                <wp:docPr id="26" name="Frame1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75260"/>
                <wp:effectExtent l="0" t="0" r="0" b="0"/>
                <wp:wrapNone/>
                <wp:docPr id="28" name="Frame2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75260"/>
                <wp:effectExtent l="0" t="0" r="0" b="0"/>
                <wp:wrapNone/>
                <wp:docPr id="30" name="Frame2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75260"/>
                <wp:effectExtent l="0" t="0" r="0" b="0"/>
                <wp:wrapNone/>
                <wp:docPr id="32" name="Frame2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75260"/>
                <wp:effectExtent l="0" t="0" r="0" b="0"/>
                <wp:wrapNone/>
                <wp:docPr id="34" name="Frame2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75260"/>
                <wp:effectExtent l="0" t="0" r="0" b="0"/>
                <wp:wrapNone/>
                <wp:docPr id="36" name="Frame2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75260"/>
                <wp:effectExtent l="0" t="0" r="0" b="0"/>
                <wp:wrapNone/>
                <wp:docPr id="38" name="Frame2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lineRule="auto" w:line="288"/>
        <w:jc w:val="center"/>
        <w:rPr/>
      </w:pPr>
      <w:r>
        <w:rPr/>
        <w:drawing>
          <wp:inline distT="0" distB="63500" distL="0" distR="0">
            <wp:extent cx="9144000" cy="51435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r>
        <w:rPr>
          <w:color w:val="000000"/>
        </w:rPr>
        <w:t xml:space="preserve"> </w:t>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75260"/>
                <wp:effectExtent l="0" t="0" r="0" b="0"/>
                <wp:wrapNone/>
                <wp:docPr id="40" name="Frame2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75260"/>
                <wp:effectExtent l="0" t="0" r="0" b="0"/>
                <wp:wrapNone/>
                <wp:docPr id="42" name="Frame2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75260"/>
                <wp:effectExtent l="0" t="0" r="0" b="0"/>
                <wp:wrapNone/>
                <wp:docPr id="44" name="Frame2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75260"/>
                <wp:effectExtent l="0" t="0" r="0" b="0"/>
                <wp:wrapNone/>
                <wp:docPr id="46" name="Frame2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75260"/>
                <wp:effectExtent l="0" t="0" r="0" b="0"/>
                <wp:wrapNone/>
                <wp:docPr id="48" name="Frame3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75260"/>
                <wp:effectExtent l="0" t="0" r="0" b="0"/>
                <wp:wrapNone/>
                <wp:docPr id="50" name="Frame3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75260"/>
                <wp:effectExtent l="0" t="0" r="0" b="0"/>
                <wp:wrapNone/>
                <wp:docPr id="52" name="Frame3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75260"/>
                <wp:effectExtent l="0" t="0" r="0" b="0"/>
                <wp:wrapNone/>
                <wp:docPr id="54" name="Frame3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75260"/>
                <wp:effectExtent l="0" t="0" r="0" b="0"/>
                <wp:wrapNone/>
                <wp:docPr id="56" name="Frame3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75260"/>
                <wp:effectExtent l="0" t="0" r="0" b="0"/>
                <wp:wrapNone/>
                <wp:docPr id="58" name="Frame3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75260"/>
                <wp:effectExtent l="0" t="0" r="0" b="0"/>
                <wp:wrapNone/>
                <wp:docPr id="60" name="Frame3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5" descr=""/>
                    <pic:cNvPicPr>
                      <a:picLocks noChangeAspect="1" noChangeArrowheads="1"/>
                    </pic:cNvPicPr>
                  </pic:nvPicPr>
                  <pic:blipFill>
                    <a:blip r:embed="rId26"/>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75260"/>
                <wp:effectExtent l="0" t="0" r="0" b="0"/>
                <wp:wrapNone/>
                <wp:docPr id="62" name="Frame3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75260"/>
                <wp:effectExtent l="0" t="0" r="0" b="0"/>
                <wp:wrapNone/>
                <wp:docPr id="64" name="Frame3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28"/>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75260"/>
                <wp:effectExtent l="0" t="0" r="0" b="0"/>
                <wp:wrapNone/>
                <wp:docPr id="66" name="Frame3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75260"/>
                <wp:effectExtent l="0" t="0" r="0" b="0"/>
                <wp:wrapNone/>
                <wp:docPr id="68" name="Frame4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38</Pages>
  <Words>4874</Words>
  <CharactersWithSpaces>31539</CharactersWithSpaces>
  <Paragraphs>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