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David Barrett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2544</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3943.2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12/15/2025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2544</w:t>
            </w:r>
          </w:p>
        </w:tc>
        <w:tc>
          <w:tcPr>
            <w:tcW w:w="24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09/16/2025 2396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4552.4</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09/18/2025 10262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20010.9</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10/01/2025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53700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11/03/2025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48000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12/01/2025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45600</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 decisions of</w:t>
      </w:r>
    </w:p>
    <w:p>
      <w:pPr>
        <w:spacing w:after="0" w:line="14" w:lineRule="exact"/>
        <w:rPr>
          <w:sz w:val="20"/>
          <w:szCs w:val="20"/>
          <w:color w:val="auto"/>
        </w:rPr>
      </w:pPr>
    </w:p>
    <w:p>
      <w:pPr>
        <w:jc w:val="both"/>
        <w:ind w:left="940" w:right="1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Barrett Trust LLC are made by its manager, David Barrett, and its controlling member is the Barrett Family Trust, for which David Barrett serves as trustee. Note for 3(e): As of November 3, 2025, as stated in Issuer's quarterly report on</w:t>
      </w:r>
    </w:p>
    <w:p>
      <w:pPr>
        <w:ind w:left="940"/>
        <w:spacing w:after="0"/>
        <w:rPr>
          <w:sz w:val="20"/>
          <w:szCs w:val="20"/>
          <w:color w:val="auto"/>
        </w:rPr>
      </w:pPr>
      <w:r>
        <w:rPr>
          <w:rFonts w:ascii="Times New Roman" w:cs="Times New Roman" w:eastAsia="Times New Roman" w:hAnsi="Times New Roman"/>
          <w:sz w:val="22"/>
          <w:szCs w:val="22"/>
          <w:color w:val="auto"/>
        </w:rPr>
        <w:t>Form 10-Q for the fiscal quarter ending September 30, 2025.</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12/18/2025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Cole Eason as attorney-in-fact</w:t>
      </w:r>
    </w:p>
    <w:p>
      <w:pPr>
        <w:sectPr>
          <w:pgSz w:w="11900" w:h="16838" w:orient="portrait"/>
          <w:cols w:equalWidth="0" w:num="1">
            <w:col w:w="11240"/>
          </w:cols>
          <w:pgMar w:left="320" w:top="98" w:right="339" w:bottom="9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9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2025-12-18T20:09:55Z</dcterms:created>
  <dcterms:modified xsi:type="dcterms:W3CDTF">2025-12-18T20:09:55Z</dcterms:modified>
</cp:coreProperties>
</file>