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1160780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56"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001-41043</w:t>
      </w:r>
    </w:p>
    <w:p>
      <w:pPr>
        <w:spacing w:after="0" w:line="13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Expensify, Inc.</w:t>
      </w:r>
    </w:p>
    <w:p>
      <w:pPr>
        <w:spacing w:after="0" w:line="5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62" w:lineRule="exact"/>
        <w:rPr>
          <w:sz w:val="24"/>
          <w:szCs w:val="24"/>
          <w:color w:val="auto"/>
        </w:rPr>
      </w:pPr>
    </w:p>
    <w:tbl>
      <w:tblPr>
        <w:tblLayout w:type="fixed"/>
        <w:tblInd w:w="340" w:type="dxa"/>
        <w:tblCellMar>
          <w:top w:w="0" w:type="dxa"/>
          <w:left w:w="0" w:type="dxa"/>
          <w:bottom w:w="0" w:type="dxa"/>
          <w:right w:w="0" w:type="dxa"/>
        </w:tblCellMar>
      </w:tblPr>
      <w:tr>
        <w:trPr>
          <w:trHeight w:val="239"/>
        </w:trPr>
        <w:tc>
          <w:tcPr>
            <w:tcW w:w="5580" w:type="dxa"/>
            <w:vAlign w:val="bottom"/>
          </w:tcPr>
          <w:p>
            <w:pPr>
              <w:jc w:val="center"/>
              <w:ind w:right="874"/>
              <w:spacing w:after="0"/>
              <w:rPr>
                <w:sz w:val="20"/>
                <w:szCs w:val="20"/>
                <w:color w:val="auto"/>
              </w:rPr>
            </w:pPr>
            <w:r>
              <w:rPr>
                <w:rFonts w:ascii="Arial" w:cs="Arial" w:eastAsia="Arial" w:hAnsi="Arial"/>
                <w:sz w:val="18"/>
                <w:szCs w:val="18"/>
                <w:b w:val="1"/>
                <w:bCs w:val="1"/>
                <w:color w:val="auto"/>
                <w:w w:val="98"/>
              </w:rPr>
              <w:t>Delaware</w:t>
            </w:r>
          </w:p>
        </w:tc>
        <w:tc>
          <w:tcPr>
            <w:tcW w:w="3740" w:type="dxa"/>
            <w:vAlign w:val="bottom"/>
          </w:tcPr>
          <w:p>
            <w:pPr>
              <w:jc w:val="right"/>
              <w:ind w:right="812"/>
              <w:spacing w:after="0"/>
              <w:rPr>
                <w:sz w:val="20"/>
                <w:szCs w:val="20"/>
                <w:color w:val="auto"/>
              </w:rPr>
            </w:pPr>
            <w:r>
              <w:rPr>
                <w:rFonts w:ascii="Arial" w:cs="Arial" w:eastAsia="Arial" w:hAnsi="Arial"/>
                <w:sz w:val="18"/>
                <w:szCs w:val="18"/>
                <w:b w:val="1"/>
                <w:bCs w:val="1"/>
                <w:color w:val="auto"/>
              </w:rPr>
              <w:t>27-0239450</w:t>
            </w:r>
          </w:p>
        </w:tc>
      </w:tr>
      <w:tr>
        <w:trPr>
          <w:trHeight w:val="270"/>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(I.R.S. Employer Identification No.)</w:t>
            </w:r>
          </w:p>
        </w:tc>
      </w:tr>
      <w:tr>
        <w:trPr>
          <w:trHeight w:val="225"/>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401 SW 5th Ave</w:t>
            </w:r>
          </w:p>
        </w:tc>
        <w:tc>
          <w:tcPr>
            <w:tcW w:w="3740" w:type="dxa"/>
            <w:vAlign w:val="bottom"/>
          </w:tcPr>
          <w:p>
            <w:pPr>
              <w:spacing w:after="0"/>
              <w:rPr>
                <w:sz w:val="19"/>
                <w:szCs w:val="19"/>
                <w:color w:val="auto"/>
              </w:rPr>
            </w:pPr>
          </w:p>
        </w:tc>
      </w:tr>
      <w:tr>
        <w:trPr>
          <w:trHeight w:val="228"/>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Portland Oregon</w:t>
            </w:r>
          </w:p>
        </w:tc>
        <w:tc>
          <w:tcPr>
            <w:tcW w:w="3740" w:type="dxa"/>
            <w:vAlign w:val="bottom"/>
          </w:tcPr>
          <w:p>
            <w:pPr>
              <w:jc w:val="right"/>
              <w:ind w:right="1072"/>
              <w:spacing w:after="0"/>
              <w:rPr>
                <w:sz w:val="20"/>
                <w:szCs w:val="20"/>
                <w:color w:val="auto"/>
              </w:rPr>
            </w:pPr>
            <w:r>
              <w:rPr>
                <w:rFonts w:ascii="Arial" w:cs="Arial" w:eastAsia="Arial" w:hAnsi="Arial"/>
                <w:sz w:val="16"/>
                <w:szCs w:val="16"/>
                <w:b w:val="1"/>
                <w:bCs w:val="1"/>
                <w:color w:val="auto"/>
              </w:rPr>
              <w:t>97204</w:t>
            </w:r>
          </w:p>
        </w:tc>
      </w:tr>
      <w:tr>
        <w:trPr>
          <w:trHeight w:val="263"/>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(Address of Principal Executive Offices)</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(Zip Code)</w:t>
            </w: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(475) 221-8402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Title of each class</w:t>
            </w:r>
          </w:p>
        </w:tc>
        <w:tc>
          <w:tcPr>
            <w:tcW w:w="2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 Symbol(s)</w:t>
            </w:r>
          </w:p>
        </w:tc>
        <w:tc>
          <w:tcPr>
            <w:tcW w:w="4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
        </w:trPr>
        <w:tc>
          <w:tcPr>
            <w:tcW w:w="4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rPr>
              <w:t>Class A Common Stock, par value $0.0001 per</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217"/>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share</w:t>
            </w:r>
          </w:p>
        </w:tc>
        <w:tc>
          <w:tcPr>
            <w:tcW w:w="24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EXFY</w:t>
            </w:r>
          </w:p>
        </w:tc>
        <w:tc>
          <w:tcPr>
            <w:tcW w:w="454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229"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w:t>
      </w:r>
    </w:p>
    <w:p>
      <w:pPr>
        <w:spacing w:after="0" w:line="90" w:lineRule="exact"/>
        <w:rPr>
          <w:sz w:val="24"/>
          <w:szCs w:val="24"/>
          <w:color w:val="auto"/>
        </w:rPr>
      </w:pPr>
    </w:p>
    <w:p>
      <w:pPr>
        <w:ind w:right="1200"/>
        <w:spacing w:after="0" w:line="261" w:lineRule="auto"/>
        <w:rPr>
          <w:sz w:val="20"/>
          <w:szCs w:val="20"/>
          <w:color w:val="auto"/>
        </w:rPr>
      </w:pPr>
      <w:r>
        <w:rPr>
          <w:rFonts w:ascii="Arial" w:cs="Arial" w:eastAsia="Arial" w:hAnsi="Arial"/>
          <w:sz w:val="18"/>
          <w:szCs w:val="18"/>
          <w:color w:val="auto"/>
        </w:rPr>
        <w:t>period that the registrant was required to file such reports), and (2) has been subject to such filing requirements for the past 90 days. Yes x No o</w:t>
      </w:r>
    </w:p>
    <w:p>
      <w:pPr>
        <w:spacing w:after="0" w:line="90" w:lineRule="exact"/>
        <w:rPr>
          <w:sz w:val="24"/>
          <w:szCs w:val="24"/>
          <w:color w:val="auto"/>
        </w:rPr>
      </w:pPr>
    </w:p>
    <w:p>
      <w:pPr>
        <w:ind w:right="4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to Rule 405 of Regulation S-T (§232.405 of this chapter) during the preceding 12 months (or for such shorter period that the registrant was required to submit such files). Yes x No o</w:t>
      </w:r>
    </w:p>
    <w:p>
      <w:pPr>
        <w:spacing w:after="0" w:line="94" w:lineRule="exact"/>
        <w:rPr>
          <w:sz w:val="24"/>
          <w:szCs w:val="24"/>
          <w:color w:val="auto"/>
        </w:rPr>
      </w:pPr>
    </w:p>
    <w:p>
      <w:pPr>
        <w:ind w:right="3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350"/>
        </w:trPr>
        <w:tc>
          <w:tcPr>
            <w:tcW w:w="346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Accelerated filer</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1"/>
        </w:trPr>
        <w:tc>
          <w:tcPr>
            <w:tcW w:w="3460" w:type="dxa"/>
            <w:vAlign w:val="bottom"/>
            <w:vMerge w:val="continue"/>
          </w:tcPr>
          <w:p>
            <w:pPr>
              <w:spacing w:after="0"/>
              <w:rPr>
                <w:sz w:val="5"/>
                <w:szCs w:val="5"/>
                <w:color w:val="auto"/>
              </w:rPr>
            </w:pPr>
          </w:p>
        </w:tc>
        <w:tc>
          <w:tcPr>
            <w:tcW w:w="1980" w:type="dxa"/>
            <w:vAlign w:val="bottom"/>
          </w:tcPr>
          <w:p>
            <w:pPr>
              <w:spacing w:after="0"/>
              <w:rPr>
                <w:sz w:val="5"/>
                <w:szCs w:val="5"/>
                <w:color w:val="auto"/>
              </w:rPr>
            </w:pPr>
          </w:p>
        </w:tc>
        <w:tc>
          <w:tcPr>
            <w:tcW w:w="3800" w:type="dxa"/>
            <w:vAlign w:val="bottom"/>
            <w:vMerge w:val="continue"/>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346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1660"/>
              <w:spacing w:after="0"/>
              <w:rPr>
                <w:sz w:val="20"/>
                <w:szCs w:val="20"/>
                <w:color w:val="auto"/>
              </w:rPr>
            </w:pPr>
            <w:r>
              <w:rPr>
                <w:rFonts w:ascii="Arial" w:cs="Arial" w:eastAsia="Arial" w:hAnsi="Arial"/>
                <w:sz w:val="18"/>
                <w:szCs w:val="18"/>
                <w:color w:val="auto"/>
              </w:rPr>
              <w:t>x</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Smaller reporting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1"/>
        </w:trPr>
        <w:tc>
          <w:tcPr>
            <w:tcW w:w="34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1660" w:type="dxa"/>
            <w:vAlign w:val="bottom"/>
          </w:tcPr>
          <w:p>
            <w:pPr>
              <w:ind w:left="1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29"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41" w:orient="portrait"/>
          <w:cols w:equalWidth="0" w:num="1">
            <w:col w:w="11240"/>
          </w:cols>
          <w:pgMar w:left="320" w:top="1440"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Yes o No x</w:t>
      </w:r>
    </w:p>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registrant had outstanding 68,598,512 shares of Class A common stock, par value of $0.0001 per share, 7,336,191 shares of LT10 common stock, par value $0.0001 per share, and 6,732,693 shares of LT50 common stock, par value $0.0001 per share, as of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8380" w:type="dxa"/>
            <w:vAlign w:val="bottom"/>
            <w:gridSpan w:val="22"/>
          </w:tcPr>
          <w:p>
            <w:pPr>
              <w:spacing w:after="0" w:line="189" w:lineRule="exact"/>
              <w:rPr>
                <w:sz w:val="20"/>
                <w:szCs w:val="20"/>
                <w:color w:val="auto"/>
              </w:rPr>
            </w:pPr>
            <w:r>
              <w:rPr>
                <w:rFonts w:ascii="Arial" w:cs="Arial" w:eastAsia="Arial" w:hAnsi="Arial"/>
                <w:sz w:val="18"/>
                <w:szCs w:val="18"/>
                <w:color w:val="0000FF"/>
              </w:rPr>
              <w:t>Special Note Regarding Forward-Looking Statements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4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9"/>
              </w:rPr>
              <w:t>Part I - Financial Information</w:t>
            </w:r>
          </w:p>
        </w:tc>
        <w:tc>
          <w:tcPr>
            <w:tcW w:w="7140" w:type="dxa"/>
            <w:vAlign w:val="bottom"/>
            <w:gridSpan w:val="16"/>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26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Condensed Financial Statements</w:t>
            </w:r>
          </w:p>
        </w:tc>
        <w:tc>
          <w:tcPr>
            <w:tcW w:w="5720" w:type="dxa"/>
            <w:vAlign w:val="bottom"/>
            <w:gridSpan w:val="10"/>
          </w:tcPr>
          <w:p>
            <w:pPr>
              <w:spacing w:after="0"/>
              <w:rPr>
                <w:sz w:val="18"/>
                <w:szCs w:val="18"/>
                <w:color w:val="auto"/>
              </w:rPr>
            </w:pPr>
          </w:p>
        </w:tc>
        <w:tc>
          <w:tcPr>
            <w:tcW w:w="15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w:t>
            </w:r>
          </w:p>
        </w:tc>
        <w:tc>
          <w:tcPr>
            <w:tcW w:w="162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w:t>
            </w:r>
          </w:p>
        </w:tc>
        <w:tc>
          <w:tcPr>
            <w:tcW w:w="162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Convertible Preferred Stock and Stockholders' Equity</w:t>
            </w:r>
          </w:p>
        </w:tc>
        <w:tc>
          <w:tcPr>
            <w:tcW w:w="162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30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(Deficit)</w:t>
            </w:r>
          </w:p>
        </w:tc>
        <w:tc>
          <w:tcPr>
            <w:tcW w:w="580" w:type="dxa"/>
            <w:vAlign w:val="bottom"/>
          </w:tcPr>
          <w:p>
            <w:pPr>
              <w:spacing w:after="0"/>
              <w:rPr>
                <w:sz w:val="13"/>
                <w:szCs w:val="13"/>
                <w:color w:val="auto"/>
              </w:rPr>
            </w:pPr>
          </w:p>
        </w:tc>
        <w:tc>
          <w:tcPr>
            <w:tcW w:w="16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420" w:type="dxa"/>
            <w:vAlign w:val="bottom"/>
            <w:tcBorders>
              <w:left w:val="single" w:sz="8" w:color="0000FF"/>
            </w:tcBorders>
            <w:gridSpan w:val="3"/>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40" w:type="dxa"/>
            <w:vAlign w:val="bottom"/>
            <w:gridSpan w:val="5"/>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Cash Flows</w:t>
            </w:r>
          </w:p>
        </w:tc>
        <w:tc>
          <w:tcPr>
            <w:tcW w:w="162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62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20" w:type="dxa"/>
            <w:vAlign w:val="bottom"/>
            <w:gridSpan w:val="3"/>
          </w:tcPr>
          <w:p>
            <w:pPr>
              <w:jc w:val="right"/>
              <w:spacing w:after="0"/>
              <w:rPr>
                <w:sz w:val="20"/>
                <w:szCs w:val="20"/>
                <w:color w:val="auto"/>
              </w:rPr>
            </w:pPr>
            <w:r>
              <w:rPr>
                <w:rFonts w:ascii="Arial" w:cs="Arial" w:eastAsia="Arial" w:hAnsi="Arial"/>
                <w:sz w:val="18"/>
                <w:szCs w:val="18"/>
                <w:color w:val="0000FF"/>
              </w:rPr>
              <w:t>24</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3"/>
          </w:tcPr>
          <w:p>
            <w:pPr>
              <w:spacing w:after="0"/>
              <w:rPr>
                <w:sz w:val="18"/>
                <w:szCs w:val="18"/>
                <w:color w:val="auto"/>
              </w:rPr>
            </w:pPr>
          </w:p>
        </w:tc>
        <w:tc>
          <w:tcPr>
            <w:tcW w:w="130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6380" w:type="dxa"/>
            <w:vAlign w:val="bottom"/>
            <w:gridSpan w:val="12"/>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479"/>
        </w:trPr>
        <w:tc>
          <w:tcPr>
            <w:tcW w:w="9580" w:type="dxa"/>
            <w:vAlign w:val="bottom"/>
            <w:gridSpan w:val="23"/>
          </w:tcPr>
          <w:p>
            <w:pPr>
              <w:spacing w:after="0"/>
              <w:rPr>
                <w:sz w:val="20"/>
                <w:szCs w:val="20"/>
                <w:color w:val="auto"/>
              </w:rPr>
            </w:pPr>
            <w:r>
              <w:rPr>
                <w:rFonts w:ascii="Arial" w:cs="Arial" w:eastAsia="Arial" w:hAnsi="Arial"/>
                <w:sz w:val="18"/>
                <w:szCs w:val="18"/>
                <w:b w:val="1"/>
                <w:bCs w:val="1"/>
                <w:color w:val="0000FF"/>
              </w:rPr>
              <w:t>Part II - Other Information</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Legal Proceedings</w:t>
            </w:r>
          </w:p>
        </w:tc>
        <w:tc>
          <w:tcPr>
            <w:tcW w:w="6880" w:type="dxa"/>
            <w:vAlign w:val="bottom"/>
            <w:gridSpan w:val="14"/>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1A.</w:t>
            </w:r>
          </w:p>
        </w:tc>
        <w:tc>
          <w:tcPr>
            <w:tcW w:w="838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162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520" w:type="dxa"/>
            <w:vAlign w:val="bottom"/>
            <w:gridSpan w:val="3"/>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5820" w:type="dxa"/>
            <w:vAlign w:val="bottom"/>
            <w:gridSpan w:val="11"/>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Mine Safety Disclosures</w:t>
            </w:r>
          </w:p>
        </w:tc>
        <w:tc>
          <w:tcPr>
            <w:tcW w:w="6440" w:type="dxa"/>
            <w:vAlign w:val="bottom"/>
            <w:gridSpan w:val="13"/>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5.</w:t>
            </w:r>
          </w:p>
        </w:tc>
        <w:tc>
          <w:tcPr>
            <w:tcW w:w="838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162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4"/>
          </w:tcPr>
          <w:p>
            <w:pPr>
              <w:spacing w:after="0"/>
              <w:rPr>
                <w:sz w:val="18"/>
                <w:szCs w:val="18"/>
                <w:color w:val="auto"/>
              </w:rPr>
            </w:pPr>
          </w:p>
        </w:tc>
        <w:tc>
          <w:tcPr>
            <w:tcW w:w="6980" w:type="dxa"/>
            <w:vAlign w:val="bottom"/>
            <w:gridSpan w:val="15"/>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Signatures</w:t>
            </w:r>
          </w:p>
        </w:tc>
        <w:tc>
          <w:tcPr>
            <w:tcW w:w="7400" w:type="dxa"/>
            <w:vAlign w:val="bottom"/>
            <w:gridSpan w:val="18"/>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Special Note Regarding Forward Looking Statements</w:t>
      </w:r>
    </w:p>
    <w:p>
      <w:pPr>
        <w:spacing w:after="0" w:line="1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strategies,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spacing w:after="0" w:line="144"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inflation on us and our members;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borrowing costs have and may continue to increase as a result of increases in interest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57" w:lineRule="exact"/>
        <w:rPr>
          <w:rFonts w:ascii="Arial" w:cs="Arial" w:eastAsia="Arial" w:hAnsi="Arial"/>
          <w:sz w:val="18"/>
          <w:szCs w:val="18"/>
          <w:color w:val="auto"/>
        </w:rPr>
      </w:pPr>
    </w:p>
    <w:p>
      <w:pPr>
        <w:ind w:left="340" w:right="40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116" w:lineRule="exact"/>
        <w:rPr>
          <w:rFonts w:ascii="Arial" w:cs="Arial" w:eastAsia="Arial" w:hAnsi="Arial"/>
          <w:sz w:val="18"/>
          <w:szCs w:val="18"/>
          <w:color w:val="auto"/>
        </w:rPr>
      </w:pPr>
    </w:p>
    <w:p>
      <w:pPr>
        <w:ind w:left="340" w:right="30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130" w:lineRule="exact"/>
        <w:rPr>
          <w:rFonts w:ascii="Arial" w:cs="Arial" w:eastAsia="Arial" w:hAnsi="Arial"/>
          <w:sz w:val="18"/>
          <w:szCs w:val="18"/>
          <w:color w:val="auto"/>
        </w:rPr>
      </w:pPr>
    </w:p>
    <w:p>
      <w:pPr>
        <w:ind w:left="340" w:right="52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57" w:lineRule="exact"/>
        <w:rPr>
          <w:rFonts w:ascii="Arial" w:cs="Arial" w:eastAsia="Arial" w:hAnsi="Arial"/>
          <w:sz w:val="18"/>
          <w:szCs w:val="18"/>
          <w:color w:val="auto"/>
        </w:rPr>
      </w:pPr>
    </w:p>
    <w:p>
      <w:pPr>
        <w:ind w:left="340" w:right="620" w:hanging="332"/>
        <w:spacing w:after="0" w:line="291"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cash flows, the prevailing stock prices, general economic and market conditions and other considerations that could affect the specific timing, price and size of repurchases under our stock repurchase program or our ability to fund any stock repurchases;</w:t>
      </w:r>
    </w:p>
    <w:p>
      <w:pPr>
        <w:spacing w:after="0" w:line="92"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 in Ukraine and escalating geopolitical tensions as a result of Russia's invasion of Ukraine;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57" w:lineRule="exact"/>
        <w:rPr>
          <w:rFonts w:ascii="Arial" w:cs="Arial" w:eastAsia="Arial" w:hAnsi="Arial"/>
          <w:sz w:val="18"/>
          <w:szCs w:val="18"/>
          <w:color w:val="auto"/>
        </w:rPr>
      </w:pPr>
    </w:p>
    <w:p>
      <w:pPr>
        <w:ind w:left="340" w:right="36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Quarterly Report on Form 10-Q.</w:t>
      </w:r>
    </w:p>
    <w:p>
      <w:pPr>
        <w:spacing w:after="0" w:line="14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our Annual Report on Form 10-K for the year ended December 31, 2021, and any subsequent filings, as well as those identified in the Quarterly Report on Form 10-Q for the three months ended June 30, 2022 ("Q2</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2022 Form 10-Q") and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4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Capitalized terms used and not defined above are defined elsewhere within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line="1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 - Financial Information</w:t>
      </w:r>
    </w:p>
    <w:p>
      <w:pPr>
        <w:spacing w:after="0" w:line="339" w:lineRule="exact"/>
        <w:rPr>
          <w:sz w:val="20"/>
          <w:szCs w:val="20"/>
          <w:color w:val="auto"/>
        </w:rPr>
      </w:pPr>
    </w:p>
    <w:p>
      <w:pPr>
        <w:spacing w:after="0"/>
        <w:rPr>
          <w:sz w:val="20"/>
          <w:szCs w:val="20"/>
          <w:color w:val="auto"/>
        </w:rPr>
      </w:pPr>
      <w:r>
        <w:rPr>
          <w:rFonts w:ascii="Arial" w:cs="Arial" w:eastAsia="Arial" w:hAnsi="Arial"/>
          <w:sz w:val="29"/>
          <w:szCs w:val="29"/>
          <w:color w:val="auto"/>
        </w:rPr>
        <w:t>Item 1.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 September 30,</w:t>
            </w:r>
          </w:p>
        </w:tc>
        <w:tc>
          <w:tcPr>
            <w:tcW w:w="10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80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97"/>
        </w:trPr>
        <w:tc>
          <w:tcPr>
            <w:tcW w:w="802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106,212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98,398</w:t>
            </w:r>
          </w:p>
        </w:tc>
      </w:tr>
      <w:tr>
        <w:trPr>
          <w:trHeight w:val="20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15,713</w:t>
            </w:r>
          </w:p>
        </w:tc>
      </w:tr>
      <w:tr>
        <w:trPr>
          <w:trHeight w:val="197"/>
        </w:trPr>
        <w:tc>
          <w:tcPr>
            <w:tcW w:w="8020" w:type="dxa"/>
            <w:vAlign w:val="bottom"/>
          </w:tcPr>
          <w:p>
            <w:pPr>
              <w:ind w:left="240"/>
              <w:spacing w:after="0"/>
              <w:rPr>
                <w:sz w:val="20"/>
                <w:szCs w:val="20"/>
                <w:color w:val="auto"/>
              </w:rPr>
            </w:pPr>
            <w:r>
              <w:rPr>
                <w:rFonts w:ascii="Arial" w:cs="Arial" w:eastAsia="Arial" w:hAnsi="Arial"/>
                <w:sz w:val="14"/>
                <w:szCs w:val="14"/>
                <w:color w:val="auto"/>
              </w:rPr>
              <w:t>Settlement assets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39,359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21,880</w:t>
            </w:r>
          </w:p>
        </w:tc>
      </w:tr>
      <w:tr>
        <w:trPr>
          <w:trHeight w:val="20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7,436</w:t>
            </w:r>
          </w:p>
        </w:tc>
      </w:tr>
      <w:tr>
        <w:trPr>
          <w:trHeight w:val="197"/>
        </w:trPr>
        <w:tc>
          <w:tcPr>
            <w:tcW w:w="8020" w:type="dxa"/>
            <w:vAlign w:val="bottom"/>
          </w:tcPr>
          <w:p>
            <w:pPr>
              <w:ind w:left="240"/>
              <w:spacing w:after="0"/>
              <w:rPr>
                <w:sz w:val="20"/>
                <w:szCs w:val="20"/>
                <w:color w:val="auto"/>
              </w:rPr>
            </w:pPr>
            <w:r>
              <w:rPr>
                <w:rFonts w:ascii="Arial" w:cs="Arial" w:eastAsia="Arial" w:hAnsi="Arial"/>
                <w:sz w:val="14"/>
                <w:szCs w:val="14"/>
                <w:color w:val="auto"/>
              </w:rPr>
              <w:t>Related party loan receivable</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3"/>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assets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21,247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14,201</w:t>
            </w:r>
          </w:p>
        </w:tc>
      </w:tr>
      <w:tr>
        <w:trPr>
          <w:trHeight w:val="196"/>
        </w:trPr>
        <w:tc>
          <w:tcPr>
            <w:tcW w:w="8020" w:type="dxa"/>
            <w:vAlign w:val="bottom"/>
          </w:tcPr>
          <w:p>
            <w:pPr>
              <w:ind w:left="780"/>
              <w:spacing w:after="0"/>
              <w:rPr>
                <w:sz w:val="20"/>
                <w:szCs w:val="20"/>
                <w:color w:val="auto"/>
              </w:rPr>
            </w:pPr>
            <w:r>
              <w:rPr>
                <w:rFonts w:ascii="Arial" w:cs="Arial" w:eastAsia="Arial" w:hAnsi="Arial"/>
                <w:sz w:val="14"/>
                <w:szCs w:val="14"/>
                <w:color w:val="auto"/>
              </w:rPr>
              <w:t>Total current assets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188,790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157,642</w:t>
            </w:r>
          </w:p>
        </w:tc>
      </w:tr>
      <w:tr>
        <w:trPr>
          <w:trHeight w:val="20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Capitalized software,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6,359</w:t>
            </w:r>
          </w:p>
        </w:tc>
      </w:tr>
      <w:tr>
        <w:trPr>
          <w:trHeight w:val="196"/>
        </w:trPr>
        <w:tc>
          <w:tcPr>
            <w:tcW w:w="8020" w:type="dxa"/>
            <w:vAlign w:val="bottom"/>
          </w:tcPr>
          <w:p>
            <w:pPr>
              <w:ind w:left="240"/>
              <w:spacing w:after="0"/>
              <w:rPr>
                <w:sz w:val="20"/>
                <w:szCs w:val="20"/>
                <w:color w:val="auto"/>
              </w:rPr>
            </w:pPr>
            <w:r>
              <w:rPr>
                <w:rFonts w:ascii="Arial" w:cs="Arial" w:eastAsia="Arial" w:hAnsi="Arial"/>
                <w:sz w:val="14"/>
                <w:szCs w:val="14"/>
                <w:color w:val="auto"/>
              </w:rPr>
              <w:t>Property and equipment, net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14,872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15,930</w:t>
            </w:r>
          </w:p>
        </w:tc>
      </w:tr>
      <w:tr>
        <w:trPr>
          <w:trHeight w:val="20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Lease right-of-use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2,202</w:t>
            </w:r>
          </w:p>
        </w:tc>
      </w:tr>
      <w:tr>
        <w:trPr>
          <w:trHeight w:val="196"/>
        </w:trPr>
        <w:tc>
          <w:tcPr>
            <w:tcW w:w="8020" w:type="dxa"/>
            <w:vAlign w:val="bottom"/>
          </w:tcPr>
          <w:p>
            <w:pPr>
              <w:ind w:left="240"/>
              <w:spacing w:after="0"/>
              <w:rPr>
                <w:sz w:val="20"/>
                <w:szCs w:val="20"/>
                <w:color w:val="auto"/>
              </w:rPr>
            </w:pPr>
            <w:r>
              <w:rPr>
                <w:rFonts w:ascii="Arial" w:cs="Arial" w:eastAsia="Arial" w:hAnsi="Arial"/>
                <w:sz w:val="14"/>
                <w:szCs w:val="14"/>
                <w:color w:val="auto"/>
              </w:rPr>
              <w:t>Deferred tax assets, net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370</w:t>
            </w:r>
          </w:p>
        </w:tc>
      </w:tr>
      <w:tr>
        <w:trPr>
          <w:trHeight w:val="203"/>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w:t>
            </w:r>
          </w:p>
        </w:tc>
      </w:tr>
      <w:tr>
        <w:trPr>
          <w:trHeight w:val="202"/>
        </w:trPr>
        <w:tc>
          <w:tcPr>
            <w:tcW w:w="8020" w:type="dxa"/>
            <w:vAlign w:val="bottom"/>
          </w:tcPr>
          <w:p>
            <w:pPr>
              <w:ind w:left="780"/>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211,693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183,213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97"/>
        </w:trPr>
        <w:tc>
          <w:tcPr>
            <w:tcW w:w="802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2,177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3,752</w:t>
            </w:r>
          </w:p>
        </w:tc>
      </w:tr>
      <w:tr>
        <w:trPr>
          <w:trHeight w:val="20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11,046</w:t>
            </w:r>
          </w:p>
        </w:tc>
      </w:tr>
      <w:tr>
        <w:trPr>
          <w:trHeight w:val="197"/>
        </w:trPr>
        <w:tc>
          <w:tcPr>
            <w:tcW w:w="8020" w:type="dxa"/>
            <w:vAlign w:val="bottom"/>
          </w:tcPr>
          <w:p>
            <w:pPr>
              <w:ind w:left="240"/>
              <w:spacing w:after="0"/>
              <w:rPr>
                <w:sz w:val="20"/>
                <w:szCs w:val="20"/>
                <w:color w:val="auto"/>
              </w:rPr>
            </w:pPr>
            <w:r>
              <w:rPr>
                <w:rFonts w:ascii="Arial" w:cs="Arial" w:eastAsia="Arial" w:hAnsi="Arial"/>
                <w:sz w:val="14"/>
                <w:szCs w:val="14"/>
                <w:color w:val="auto"/>
              </w:rPr>
              <w:t>Borrowings under line of credit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0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portion of long-term debt, net of original issuance discount and debt issuance costs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r>
      <w:tr>
        <w:trPr>
          <w:trHeight w:val="197"/>
        </w:trPr>
        <w:tc>
          <w:tcPr>
            <w:tcW w:w="8020" w:type="dxa"/>
            <w:vAlign w:val="bottom"/>
          </w:tcPr>
          <w:p>
            <w:pPr>
              <w:ind w:left="240"/>
              <w:spacing w:after="0"/>
              <w:rPr>
                <w:sz w:val="20"/>
                <w:szCs w:val="20"/>
                <w:color w:val="auto"/>
              </w:rPr>
            </w:pPr>
            <w:r>
              <w:rPr>
                <w:rFonts w:ascii="Arial" w:cs="Arial" w:eastAsia="Arial" w:hAnsi="Arial"/>
                <w:sz w:val="14"/>
                <w:szCs w:val="14"/>
                <w:color w:val="auto"/>
              </w:rPr>
              <w:t>Lease liabilities, current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1,549</w:t>
            </w:r>
          </w:p>
        </w:tc>
      </w:tr>
      <w:tr>
        <w:trPr>
          <w:trHeight w:val="203"/>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Settlement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21,680</w:t>
            </w:r>
          </w:p>
        </w:tc>
      </w:tr>
      <w:tr>
        <w:trPr>
          <w:trHeight w:val="196"/>
        </w:trPr>
        <w:tc>
          <w:tcPr>
            <w:tcW w:w="8020" w:type="dxa"/>
            <w:vAlign w:val="bottom"/>
          </w:tcPr>
          <w:p>
            <w:pPr>
              <w:ind w:left="780"/>
              <w:spacing w:after="0"/>
              <w:rPr>
                <w:sz w:val="20"/>
                <w:szCs w:val="20"/>
                <w:color w:val="auto"/>
              </w:rPr>
            </w:pPr>
            <w:r>
              <w:rPr>
                <w:rFonts w:ascii="Arial" w:cs="Arial" w:eastAsia="Arial" w:hAnsi="Arial"/>
                <w:sz w:val="14"/>
                <w:szCs w:val="14"/>
                <w:color w:val="auto"/>
              </w:rPr>
              <w:t>Total current liabilities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63,161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53,576</w:t>
            </w:r>
          </w:p>
        </w:tc>
      </w:tr>
      <w:tr>
        <w:trPr>
          <w:trHeight w:val="208"/>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Lease liabilities, non-current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r>
      <w:tr>
        <w:trPr>
          <w:trHeight w:val="197"/>
        </w:trPr>
        <w:tc>
          <w:tcPr>
            <w:tcW w:w="8020" w:type="dxa"/>
            <w:vAlign w:val="bottom"/>
          </w:tcPr>
          <w:p>
            <w:pPr>
              <w:ind w:left="240"/>
              <w:spacing w:after="0"/>
              <w:rPr>
                <w:sz w:val="20"/>
                <w:szCs w:val="20"/>
                <w:color w:val="auto"/>
              </w:rPr>
            </w:pPr>
            <w:r>
              <w:rPr>
                <w:rFonts w:ascii="Arial" w:cs="Arial" w:eastAsia="Arial" w:hAnsi="Arial"/>
                <w:sz w:val="14"/>
                <w:szCs w:val="14"/>
                <w:color w:val="auto"/>
              </w:rPr>
              <w:t>Other liabilities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203"/>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Long-term debt, net of original issuance discount and debt issuance costs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51,572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52,067</w:t>
            </w:r>
          </w:p>
        </w:tc>
      </w:tr>
      <w:tr>
        <w:trPr>
          <w:trHeight w:val="196"/>
        </w:trPr>
        <w:tc>
          <w:tcPr>
            <w:tcW w:w="8020" w:type="dxa"/>
            <w:vAlign w:val="bottom"/>
            <w:tcBorders>
              <w:bottom w:val="single" w:sz="8" w:color="CCEEFF"/>
            </w:tcBorders>
          </w:tcPr>
          <w:p>
            <w:pPr>
              <w:ind w:left="780"/>
              <w:spacing w:after="0"/>
              <w:rPr>
                <w:sz w:val="20"/>
                <w:szCs w:val="20"/>
                <w:color w:val="auto"/>
              </w:rPr>
            </w:pPr>
            <w:r>
              <w:rPr>
                <w:rFonts w:ascii="Arial" w:cs="Arial" w:eastAsia="Arial" w:hAnsi="Arial"/>
                <w:sz w:val="14"/>
                <w:szCs w:val="14"/>
                <w:color w:val="auto"/>
              </w:rPr>
              <w:t>Total liabilities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115,878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106,598</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4)</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951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10" w:lineRule="exact"/>
        <w:rPr>
          <w:sz w:val="20"/>
          <w:szCs w:val="20"/>
          <w:color w:val="auto"/>
        </w:rPr>
      </w:pPr>
    </w:p>
    <w:p>
      <w:pPr>
        <w:ind w:left="20" w:right="3480"/>
        <w:spacing w:after="0" w:line="211" w:lineRule="auto"/>
        <w:rPr>
          <w:sz w:val="20"/>
          <w:szCs w:val="20"/>
          <w:color w:val="auto"/>
        </w:rPr>
      </w:pPr>
      <w:r>
        <w:rPr>
          <w:rFonts w:ascii="Arial" w:cs="Arial" w:eastAsia="Arial" w:hAnsi="Arial"/>
          <w:sz w:val="14"/>
          <w:szCs w:val="14"/>
          <w:color w:val="auto"/>
        </w:rPr>
        <w:t>Common stock, par value $0.0001; 1,000,000,000 shares of Class A common stock authorized as of September 30, 2022 and December 31, 2021; 68,575,385 and 67,844,060 shares of Class A common stock issued and outstanding as of</w:t>
      </w:r>
    </w:p>
    <w:p>
      <w:pPr>
        <w:ind w:left="20"/>
        <w:spacing w:after="0" w:line="222" w:lineRule="auto"/>
        <w:rPr>
          <w:sz w:val="20"/>
          <w:szCs w:val="20"/>
          <w:color w:val="auto"/>
        </w:rPr>
      </w:pPr>
      <w:r>
        <w:rPr>
          <w:rFonts w:ascii="Arial" w:cs="Arial" w:eastAsia="Arial" w:hAnsi="Arial"/>
          <w:sz w:val="14"/>
          <w:szCs w:val="14"/>
          <w:color w:val="auto"/>
        </w:rPr>
        <w:t>September 30, 2022 and December 31, 2021, respectively; 24,997,561 and 25,000,000 shares of LT10 common stock</w:t>
      </w:r>
    </w:p>
    <w:p>
      <w:pPr>
        <w:ind w:left="20" w:right="3560"/>
        <w:spacing w:after="0" w:line="211" w:lineRule="auto"/>
        <w:rPr>
          <w:sz w:val="20"/>
          <w:szCs w:val="20"/>
          <w:color w:val="auto"/>
        </w:rPr>
      </w:pPr>
      <w:r>
        <w:rPr>
          <w:rFonts w:ascii="Arial" w:cs="Arial" w:eastAsia="Arial" w:hAnsi="Arial"/>
          <w:sz w:val="14"/>
          <w:szCs w:val="14"/>
          <w:color w:val="auto"/>
        </w:rPr>
        <w:t>authorized as of September 30, 2022 and December 31, 2021, respectively; 7,336,191 and 7,332,640 shares of LT10 common stock issued and outstanding as of September 30, 2022 and December 31, 2021, respectively; 24,999,170 and</w:t>
      </w:r>
    </w:p>
    <w:p>
      <w:pPr>
        <w:ind w:left="20"/>
        <w:spacing w:after="0" w:line="222" w:lineRule="auto"/>
        <w:rPr>
          <w:sz w:val="20"/>
          <w:szCs w:val="20"/>
          <w:color w:val="auto"/>
        </w:rPr>
      </w:pPr>
      <w:r>
        <w:rPr>
          <w:rFonts w:ascii="Arial" w:cs="Arial" w:eastAsia="Arial" w:hAnsi="Arial"/>
          <w:sz w:val="14"/>
          <w:szCs w:val="14"/>
          <w:color w:val="auto"/>
        </w:rPr>
        <w:t>25,000,000 shares of LT50 common stock authorized as of September 30, 2022 and December 31, 2021, respectively;</w:t>
      </w:r>
    </w:p>
    <w:p>
      <w:pPr>
        <w:ind w:left="20"/>
        <w:spacing w:after="0" w:line="201" w:lineRule="auto"/>
        <w:rPr>
          <w:sz w:val="20"/>
          <w:szCs w:val="20"/>
          <w:color w:val="auto"/>
        </w:rPr>
      </w:pPr>
      <w:r>
        <w:rPr>
          <w:rFonts w:ascii="Arial" w:cs="Arial" w:eastAsia="Arial" w:hAnsi="Arial"/>
          <w:sz w:val="14"/>
          <w:szCs w:val="14"/>
          <w:color w:val="auto"/>
        </w:rPr>
        <w:t>6,732,693 and 6,224,160 shares of LT50 common stock issued and outstanding as of September 30, 2022 and</w:t>
      </w:r>
    </w:p>
    <w:p>
      <w:pPr>
        <w:ind w:left="20"/>
        <w:spacing w:after="0" w:line="221" w:lineRule="auto"/>
        <w:rPr>
          <w:sz w:val="20"/>
          <w:szCs w:val="20"/>
          <w:color w:val="auto"/>
        </w:rPr>
      </w:pPr>
      <w:r>
        <w:rPr>
          <w:rFonts w:ascii="Arial" w:cs="Arial" w:eastAsia="Arial" w:hAnsi="Arial"/>
          <w:sz w:val="14"/>
          <w:szCs w:val="14"/>
          <w:color w:val="auto"/>
        </w:rPr>
        <w:t>December 31, 2021, respectively; preferred stock, par value $0.0001; 10,000,000 shares of preferred stock authorized as of</w:t>
      </w:r>
    </w:p>
    <w:tbl>
      <w:tblPr>
        <w:tblLayout w:type="fixed"/>
        <w:tblInd w:w="0" w:type="dxa"/>
        <w:tblCellMar>
          <w:top w:w="0" w:type="dxa"/>
          <w:left w:w="0" w:type="dxa"/>
          <w:bottom w:w="0" w:type="dxa"/>
          <w:right w:w="0" w:type="dxa"/>
        </w:tblCellMar>
      </w:tblPr>
      <w:tr>
        <w:trPr>
          <w:trHeight w:val="149"/>
        </w:trPr>
        <w:tc>
          <w:tcPr>
            <w:tcW w:w="8020" w:type="dxa"/>
            <w:vAlign w:val="bottom"/>
          </w:tcPr>
          <w:p>
            <w:pPr>
              <w:ind w:left="20"/>
              <w:spacing w:after="0" w:line="149" w:lineRule="exact"/>
              <w:rPr>
                <w:sz w:val="20"/>
                <w:szCs w:val="20"/>
                <w:color w:val="auto"/>
              </w:rPr>
            </w:pPr>
            <w:r>
              <w:rPr>
                <w:rFonts w:ascii="Arial" w:cs="Arial" w:eastAsia="Arial" w:hAnsi="Arial"/>
                <w:sz w:val="14"/>
                <w:szCs w:val="14"/>
                <w:color w:val="auto"/>
              </w:rPr>
              <w:t>September 30, 2022 and December 31, 2021; no shares of preferred stock issued and outstanding as of September 30,</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2"/>
        </w:trPr>
        <w:tc>
          <w:tcPr>
            <w:tcW w:w="8020" w:type="dxa"/>
            <w:vAlign w:val="bottom"/>
          </w:tcPr>
          <w:p>
            <w:pPr>
              <w:ind w:left="20"/>
              <w:spacing w:after="0"/>
              <w:rPr>
                <w:sz w:val="20"/>
                <w:szCs w:val="20"/>
                <w:color w:val="auto"/>
              </w:rPr>
            </w:pPr>
            <w:r>
              <w:rPr>
                <w:rFonts w:ascii="Arial" w:cs="Arial" w:eastAsia="Arial" w:hAnsi="Arial"/>
                <w:sz w:val="14"/>
                <w:szCs w:val="14"/>
                <w:color w:val="auto"/>
              </w:rPr>
              <w:t>2022 and December 31, 2021</w:t>
            </w: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8"/>
        </w:trPr>
        <w:tc>
          <w:tcPr>
            <w:tcW w:w="802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185,326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142,515</w:t>
            </w:r>
          </w:p>
        </w:tc>
      </w:tr>
      <w:tr>
        <w:trPr>
          <w:trHeight w:val="203"/>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(89,518)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(65,906)</w:t>
            </w:r>
          </w:p>
        </w:tc>
      </w:tr>
      <w:tr>
        <w:trPr>
          <w:trHeight w:val="196"/>
        </w:trPr>
        <w:tc>
          <w:tcPr>
            <w:tcW w:w="8020" w:type="dxa"/>
            <w:vAlign w:val="bottom"/>
            <w:tcBorders>
              <w:bottom w:val="single" w:sz="8" w:color="CCEEFF"/>
            </w:tcBorders>
          </w:tcPr>
          <w:p>
            <w:pPr>
              <w:ind w:left="760"/>
              <w:spacing w:after="0"/>
              <w:rPr>
                <w:sz w:val="20"/>
                <w:szCs w:val="20"/>
                <w:color w:val="auto"/>
              </w:rPr>
            </w:pPr>
            <w:r>
              <w:rPr>
                <w:rFonts w:ascii="Arial" w:cs="Arial" w:eastAsia="Arial" w:hAnsi="Arial"/>
                <w:sz w:val="14"/>
                <w:szCs w:val="14"/>
                <w:color w:val="auto"/>
              </w:rPr>
              <w:t>Total stockholders' equity</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95,815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76,615</w:t>
            </w:r>
          </w:p>
        </w:tc>
      </w:tr>
      <w:tr>
        <w:trPr>
          <w:trHeight w:val="227"/>
        </w:trPr>
        <w:tc>
          <w:tcPr>
            <w:tcW w:w="8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Total liabilities and stockholders' equity</w:t>
            </w: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211,693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183,213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9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102,471</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net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33,768</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68,703</w:t>
            </w:r>
          </w:p>
        </w:tc>
        <w:tc>
          <w:tcPr>
            <w:tcW w:w="0" w:type="dxa"/>
            <w:vAlign w:val="bottom"/>
          </w:tcPr>
          <w:p>
            <w:pPr>
              <w:spacing w:after="0"/>
              <w:rPr>
                <w:sz w:val="1"/>
                <w:szCs w:val="1"/>
                <w:color w:val="auto"/>
              </w:rPr>
            </w:pPr>
          </w:p>
        </w:tc>
      </w:tr>
      <w:tr>
        <w:trPr>
          <w:trHeight w:val="209"/>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35,827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14,555</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168"/>
        </w:trPr>
        <w:tc>
          <w:tcPr>
            <w:tcW w:w="4700" w:type="dxa"/>
            <w:vAlign w:val="bottom"/>
          </w:tcPr>
          <w:p>
            <w:pPr>
              <w:ind w:left="20"/>
              <w:spacing w:after="0" w:line="168" w:lineRule="exact"/>
              <w:rPr>
                <w:sz w:val="20"/>
                <w:szCs w:val="20"/>
                <w:color w:val="auto"/>
              </w:rPr>
            </w:pPr>
            <w:r>
              <w:rPr>
                <w:rFonts w:ascii="Arial" w:cs="Arial" w:eastAsia="Arial" w:hAnsi="Arial"/>
                <w:sz w:val="18"/>
                <w:szCs w:val="18"/>
                <w:color w:val="auto"/>
              </w:rPr>
              <w:t>Net (loss) income attributable to Class A, LT10 and LT50</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14"/>
                <w:szCs w:val="14"/>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14"/>
                <w:szCs w:val="14"/>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(23,612)</w:t>
            </w:r>
          </w:p>
        </w:tc>
        <w:tc>
          <w:tcPr>
            <w:tcW w:w="100" w:type="dxa"/>
            <w:vAlign w:val="bottom"/>
          </w:tcPr>
          <w:p>
            <w:pPr>
              <w:spacing w:after="0"/>
              <w:rPr>
                <w:sz w:val="14"/>
                <w:szCs w:val="14"/>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08"/>
        </w:trPr>
        <w:tc>
          <w:tcPr>
            <w:tcW w:w="4700" w:type="dxa"/>
            <w:vAlign w:val="bottom"/>
          </w:tcPr>
          <w:p>
            <w:pPr>
              <w:ind w:left="180"/>
              <w:spacing w:after="0" w:line="203" w:lineRule="exact"/>
              <w:rPr>
                <w:sz w:val="20"/>
                <w:szCs w:val="20"/>
                <w:color w:val="auto"/>
              </w:rPr>
            </w:pPr>
            <w:r>
              <w:rPr>
                <w:rFonts w:ascii="Arial" w:cs="Arial" w:eastAsia="Arial" w:hAnsi="Arial"/>
                <w:sz w:val="18"/>
                <w:szCs w:val="18"/>
                <w:color w:val="auto"/>
              </w:rPr>
              <w:t>common stockholders</w:t>
            </w:r>
          </w:p>
        </w:tc>
        <w:tc>
          <w:tcPr>
            <w:tcW w:w="24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income per share attributable to Class A, LT10</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LT50 common stockholders:</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of common stock used to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7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80"/>
              <w:spacing w:after="0" w:line="189" w:lineRule="exact"/>
              <w:rPr>
                <w:sz w:val="20"/>
                <w:szCs w:val="20"/>
                <w:color w:val="auto"/>
              </w:rPr>
            </w:pPr>
            <w:r>
              <w:rPr>
                <w:rFonts w:ascii="Arial" w:cs="Arial" w:eastAsia="Arial" w:hAnsi="Arial"/>
                <w:sz w:val="18"/>
                <w:szCs w:val="18"/>
                <w:color w:val="auto"/>
              </w:rPr>
              <w:t>compute net (loss) income per share attributable to</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Class A, LT10 and LT50 common stockholders: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80,941,664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34,490,860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80,523,557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31,301,387</w:t>
            </w: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80,941,664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34,490,860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80,523,557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41,452,880</w:t>
            </w: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Convertible Preferred Stock and Stockholders’ Equity (Deficit)</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1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right w:val="single" w:sz="8" w:color="auto"/>
            </w:tcBorders>
            <w:vMerge w:val="restart"/>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2000" w:type="dxa"/>
            <w:vAlign w:val="bottom"/>
          </w:tcPr>
          <w:p>
            <w:pPr>
              <w:spacing w:after="0"/>
              <w:rPr>
                <w:sz w:val="10"/>
                <w:szCs w:val="10"/>
                <w:color w:val="auto"/>
              </w:rPr>
            </w:pPr>
          </w:p>
        </w:tc>
        <w:tc>
          <w:tcPr>
            <w:tcW w:w="2100" w:type="dxa"/>
            <w:vAlign w:val="bottom"/>
            <w:tcBorders>
              <w:bottom w:val="single" w:sz="8" w:color="auto"/>
            </w:tcBorders>
            <w:gridSpan w:val="5"/>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88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line="116" w:lineRule="exact"/>
              <w:rPr>
                <w:sz w:val="20"/>
                <w:szCs w:val="20"/>
                <w:color w:val="auto"/>
              </w:rPr>
            </w:pPr>
            <w:r>
              <w:rPr>
                <w:rFonts w:ascii="Arial" w:cs="Arial" w:eastAsia="Arial" w:hAnsi="Arial"/>
                <w:sz w:val="13"/>
                <w:szCs w:val="13"/>
                <w:b w:val="1"/>
                <w:bCs w:val="1"/>
                <w:color w:val="auto"/>
              </w:rPr>
              <w:t>Additional</w:t>
            </w:r>
          </w:p>
        </w:tc>
        <w:tc>
          <w:tcPr>
            <w:tcW w:w="1240" w:type="dxa"/>
            <w:vAlign w:val="bottom"/>
            <w:gridSpan w:val="3"/>
          </w:tcPr>
          <w:p>
            <w:pPr>
              <w:ind w:left="100"/>
              <w:spacing w:after="0" w:line="116" w:lineRule="exact"/>
              <w:rPr>
                <w:sz w:val="20"/>
                <w:szCs w:val="20"/>
                <w:color w:val="auto"/>
              </w:rPr>
            </w:pPr>
            <w:r>
              <w:rPr>
                <w:rFonts w:ascii="Arial" w:cs="Arial" w:eastAsia="Arial" w:hAnsi="Arial"/>
                <w:sz w:val="13"/>
                <w:szCs w:val="13"/>
                <w:b w:val="1"/>
                <w:bCs w:val="1"/>
                <w:color w:val="auto"/>
              </w:rPr>
              <w:t>Subscriptions</w:t>
            </w:r>
          </w:p>
        </w:tc>
        <w:tc>
          <w:tcPr>
            <w:tcW w:w="100" w:type="dxa"/>
            <w:vAlign w:val="bottom"/>
          </w:tcPr>
          <w:p>
            <w:pPr>
              <w:spacing w:after="0"/>
              <w:rPr>
                <w:sz w:val="10"/>
                <w:szCs w:val="10"/>
                <w:color w:val="auto"/>
              </w:rPr>
            </w:pPr>
          </w:p>
        </w:tc>
        <w:tc>
          <w:tcPr>
            <w:tcW w:w="110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7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Three months ended</w:t>
            </w: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Balance at June 30, 2022</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81,773,016</w:t>
            </w:r>
          </w:p>
        </w:tc>
        <w:tc>
          <w:tcPr>
            <w:tcW w:w="80" w:type="dxa"/>
            <w:vAlign w:val="bottom"/>
          </w:tcPr>
          <w:p>
            <w:pPr>
              <w:spacing w:after="0"/>
              <w:rPr>
                <w:sz w:val="18"/>
                <w:szCs w:val="18"/>
                <w:color w:val="auto"/>
              </w:rPr>
            </w:pPr>
          </w:p>
        </w:tc>
        <w:tc>
          <w:tcPr>
            <w:tcW w:w="78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173,961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(81,276)</w:t>
            </w:r>
          </w:p>
        </w:tc>
        <w:tc>
          <w:tcPr>
            <w:tcW w:w="80" w:type="dxa"/>
            <w:vAlign w:val="bottom"/>
          </w:tcPr>
          <w:p>
            <w:pPr>
              <w:spacing w:after="0"/>
              <w:rPr>
                <w:sz w:val="18"/>
                <w:szCs w:val="18"/>
                <w:color w:val="auto"/>
              </w:rPr>
            </w:pPr>
          </w:p>
        </w:tc>
        <w:tc>
          <w:tcPr>
            <w:tcW w:w="26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92,691</w:t>
            </w:r>
          </w:p>
        </w:tc>
        <w:tc>
          <w:tcPr>
            <w:tcW w:w="0" w:type="dxa"/>
            <w:vAlign w:val="bottom"/>
          </w:tcPr>
          <w:p>
            <w:pPr>
              <w:spacing w:after="0"/>
              <w:rPr>
                <w:sz w:val="1"/>
                <w:szCs w:val="1"/>
                <w:color w:val="auto"/>
              </w:rPr>
            </w:pPr>
          </w:p>
        </w:tc>
      </w:tr>
      <w:tr>
        <w:trPr>
          <w:trHeight w:val="180"/>
        </w:trPr>
        <w:tc>
          <w:tcPr>
            <w:tcW w:w="27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6"/>
                <w:szCs w:val="16"/>
                <w:color w:val="auto"/>
              </w:rPr>
              <w:t>on exercise of stock</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options</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99,664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77"/>
        </w:trPr>
        <w:tc>
          <w:tcPr>
            <w:tcW w:w="27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Vesting of early exercised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stock options</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80"/>
        </w:trPr>
        <w:tc>
          <w:tcPr>
            <w:tcW w:w="27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restricted</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 units</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77"/>
        </w:trPr>
        <w:tc>
          <w:tcPr>
            <w:tcW w:w="27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Repurchases of early</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exercised stock options</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(3,859)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0"/>
        </w:trPr>
        <w:tc>
          <w:tcPr>
            <w:tcW w:w="27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under Matching Plan</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80,424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177"/>
        </w:trPr>
        <w:tc>
          <w:tcPr>
            <w:tcW w:w="27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Issuance of common 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in connection with</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restricted stock units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vesting</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1,020,109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27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Shares withheld from</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6"/>
                <w:szCs w:val="16"/>
                <w:color w:val="auto"/>
              </w:rPr>
              <w:t>common stock issued to</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6"/>
                <w:szCs w:val="16"/>
                <w:color w:val="auto"/>
              </w:rPr>
              <w:t>pay employee payroll</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taxes</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(329,024)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w:t>
            </w:r>
          </w:p>
        </w:tc>
        <w:tc>
          <w:tcPr>
            <w:tcW w:w="0" w:type="dxa"/>
            <w:vAlign w:val="bottom"/>
          </w:tcPr>
          <w:p>
            <w:pPr>
              <w:spacing w:after="0"/>
              <w:rPr>
                <w:sz w:val="1"/>
                <w:szCs w:val="1"/>
                <w:color w:val="auto"/>
              </w:rPr>
            </w:pPr>
          </w:p>
        </w:tc>
      </w:tr>
      <w:tr>
        <w:trPr>
          <w:trHeight w:val="213"/>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13,839</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(8,242)</w:t>
            </w:r>
          </w:p>
        </w:tc>
        <w:tc>
          <w:tcPr>
            <w:tcW w:w="0" w:type="dxa"/>
            <w:vAlign w:val="bottom"/>
          </w:tcPr>
          <w:p>
            <w:pPr>
              <w:spacing w:after="0"/>
              <w:rPr>
                <w:sz w:val="1"/>
                <w:szCs w:val="1"/>
                <w:color w:val="auto"/>
              </w:rPr>
            </w:pPr>
          </w:p>
        </w:tc>
      </w:tr>
      <w:tr>
        <w:trPr>
          <w:trHeight w:val="160"/>
        </w:trPr>
        <w:tc>
          <w:tcPr>
            <w:tcW w:w="276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Balance at September 30,</w:t>
            </w:r>
          </w:p>
        </w:tc>
        <w:tc>
          <w:tcPr>
            <w:tcW w:w="32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vMerge w:val="restart"/>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82,644,269</w:t>
            </w:r>
          </w:p>
        </w:tc>
        <w:tc>
          <w:tcPr>
            <w:tcW w:w="80" w:type="dxa"/>
            <w:vAlign w:val="bottom"/>
          </w:tcPr>
          <w:p>
            <w:pPr>
              <w:spacing w:after="0"/>
              <w:rPr>
                <w:sz w:val="13"/>
                <w:szCs w:val="13"/>
                <w:color w:val="auto"/>
              </w:rPr>
            </w:pPr>
          </w:p>
        </w:tc>
        <w:tc>
          <w:tcPr>
            <w:tcW w:w="780" w:type="dxa"/>
            <w:vAlign w:val="bottom"/>
            <w:vMerge w:val="restart"/>
          </w:tcPr>
          <w:p>
            <w:pPr>
              <w:jc w:val="right"/>
              <w:ind w:right="582"/>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185,326</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tcPr>
          <w:p>
            <w:pPr>
              <w:ind w:left="7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(89,518)</w:t>
            </w:r>
          </w:p>
        </w:tc>
        <w:tc>
          <w:tcPr>
            <w:tcW w:w="80" w:type="dxa"/>
            <w:vAlign w:val="bottom"/>
          </w:tcPr>
          <w:p>
            <w:pPr>
              <w:spacing w:after="0"/>
              <w:rPr>
                <w:sz w:val="13"/>
                <w:szCs w:val="13"/>
                <w:color w:val="auto"/>
              </w:rPr>
            </w:pPr>
          </w:p>
        </w:tc>
        <w:tc>
          <w:tcPr>
            <w:tcW w:w="260" w:type="dxa"/>
            <w:vAlign w:val="bottom"/>
            <w:vMerge w:val="restart"/>
          </w:tcPr>
          <w:p>
            <w:pPr>
              <w:jc w:val="right"/>
              <w:ind w:right="65"/>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95,815</w:t>
            </w:r>
          </w:p>
        </w:tc>
        <w:tc>
          <w:tcPr>
            <w:tcW w:w="0" w:type="dxa"/>
            <w:vAlign w:val="bottom"/>
          </w:tcPr>
          <w:p>
            <w:pPr>
              <w:spacing w:after="0"/>
              <w:rPr>
                <w:sz w:val="1"/>
                <w:szCs w:val="1"/>
                <w:color w:val="auto"/>
              </w:rPr>
            </w:pPr>
          </w:p>
        </w:tc>
      </w:tr>
      <w:tr>
        <w:trPr>
          <w:trHeight w:val="255"/>
        </w:trPr>
        <w:tc>
          <w:tcPr>
            <w:tcW w:w="2000" w:type="dxa"/>
            <w:vAlign w:val="bottom"/>
            <w:tcBorders>
              <w:bottom w:val="single" w:sz="8" w:color="auto"/>
            </w:tcBorders>
          </w:tcPr>
          <w:p>
            <w:pPr>
              <w:ind w:left="20"/>
              <w:spacing w:after="0" w:line="174" w:lineRule="exact"/>
              <w:rPr>
                <w:sz w:val="20"/>
                <w:szCs w:val="20"/>
                <w:color w:val="auto"/>
              </w:rPr>
            </w:pPr>
            <w:r>
              <w:rPr>
                <w:rFonts w:ascii="Arial" w:cs="Arial" w:eastAsia="Arial" w:hAnsi="Arial"/>
                <w:sz w:val="16"/>
                <w:szCs w:val="16"/>
                <w:color w:val="auto"/>
              </w:rPr>
              <w:t>2022</w:t>
            </w:r>
          </w:p>
        </w:tc>
        <w:tc>
          <w:tcPr>
            <w:tcW w:w="7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right w:val="single" w:sz="8" w:color="auto"/>
            </w:tcBorders>
            <w:gridSpan w:val="2"/>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gridSpan w:val="2"/>
            <w:vMerge w:val="continue"/>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Convertible Preferred Stock and Stockholders’ Equity (Deficit)</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12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right w:val="single" w:sz="8" w:color="auto"/>
            </w:tcBorders>
            <w:vMerge w:val="restart"/>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3"/>
            <w:vMerge w:val="restart"/>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2000" w:type="dxa"/>
            <w:vAlign w:val="bottom"/>
          </w:tcPr>
          <w:p>
            <w:pPr>
              <w:spacing w:after="0"/>
              <w:rPr>
                <w:sz w:val="10"/>
                <w:szCs w:val="10"/>
                <w:color w:val="auto"/>
              </w:rPr>
            </w:pPr>
          </w:p>
        </w:tc>
        <w:tc>
          <w:tcPr>
            <w:tcW w:w="2120" w:type="dxa"/>
            <w:vAlign w:val="bottom"/>
            <w:tcBorders>
              <w:bottom w:val="single" w:sz="8" w:color="auto"/>
            </w:tcBorders>
            <w:gridSpan w:val="4"/>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line="116" w:lineRule="exact"/>
              <w:rPr>
                <w:sz w:val="20"/>
                <w:szCs w:val="20"/>
                <w:color w:val="auto"/>
              </w:rPr>
            </w:pPr>
            <w:r>
              <w:rPr>
                <w:rFonts w:ascii="Arial" w:cs="Arial" w:eastAsia="Arial" w:hAnsi="Arial"/>
                <w:sz w:val="13"/>
                <w:szCs w:val="13"/>
                <w:b w:val="1"/>
                <w:bCs w:val="1"/>
                <w:color w:val="auto"/>
              </w:rPr>
              <w:t>Additional</w:t>
            </w:r>
          </w:p>
        </w:tc>
        <w:tc>
          <w:tcPr>
            <w:tcW w:w="1220" w:type="dxa"/>
            <w:vAlign w:val="bottom"/>
            <w:gridSpan w:val="3"/>
          </w:tcPr>
          <w:p>
            <w:pPr>
              <w:jc w:val="center"/>
              <w:ind w:right="100"/>
              <w:spacing w:after="0" w:line="116" w:lineRule="exact"/>
              <w:rPr>
                <w:sz w:val="20"/>
                <w:szCs w:val="20"/>
                <w:color w:val="auto"/>
              </w:rPr>
            </w:pPr>
            <w:r>
              <w:rPr>
                <w:rFonts w:ascii="Arial" w:cs="Arial" w:eastAsia="Arial" w:hAnsi="Arial"/>
                <w:sz w:val="13"/>
                <w:szCs w:val="13"/>
                <w:b w:val="1"/>
                <w:bCs w:val="1"/>
                <w:color w:val="auto"/>
              </w:rPr>
              <w:t>Subscriptions</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16"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Three months ended</w:t>
            </w: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2021</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6"/>
                <w:szCs w:val="16"/>
                <w:color w:val="auto"/>
              </w:rPr>
              <w:t>Balance at June 30, 2021</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34,780,520</w:t>
            </w:r>
          </w:p>
        </w:tc>
        <w:tc>
          <w:tcPr>
            <w:tcW w:w="80" w:type="dxa"/>
            <w:vAlign w:val="bottom"/>
          </w:tcPr>
          <w:p>
            <w:pPr>
              <w:spacing w:after="0"/>
              <w:rPr>
                <w:sz w:val="18"/>
                <w:szCs w:val="18"/>
                <w:color w:val="auto"/>
              </w:rPr>
            </w:pP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25,641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(37,674)</w:t>
            </w:r>
          </w:p>
        </w:tc>
        <w:tc>
          <w:tcPr>
            <w:tcW w:w="80" w:type="dxa"/>
            <w:vAlign w:val="bottom"/>
          </w:tcPr>
          <w:p>
            <w:pPr>
              <w:spacing w:after="0"/>
              <w:rPr>
                <w:sz w:val="18"/>
                <w:szCs w:val="18"/>
                <w:color w:val="auto"/>
              </w:rPr>
            </w:pPr>
          </w:p>
        </w:tc>
        <w:tc>
          <w:tcPr>
            <w:tcW w:w="26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(13,793)</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on exercise of stock</w:t>
            </w: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options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1,460,280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177"/>
        </w:trPr>
        <w:tc>
          <w:tcPr>
            <w:tcW w:w="2000" w:type="dxa"/>
            <w:vAlign w:val="bottom"/>
          </w:tcPr>
          <w:p>
            <w:pPr>
              <w:ind w:left="20"/>
              <w:spacing w:after="0" w:line="178" w:lineRule="exact"/>
              <w:rPr>
                <w:sz w:val="20"/>
                <w:szCs w:val="20"/>
                <w:color w:val="auto"/>
              </w:rPr>
            </w:pPr>
            <w:r>
              <w:rPr>
                <w:rFonts w:ascii="Arial" w:cs="Arial" w:eastAsia="Arial" w:hAnsi="Arial"/>
                <w:sz w:val="16"/>
                <w:szCs w:val="16"/>
                <w:color w:val="auto"/>
              </w:rPr>
              <w:t>Vesting of early exercised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(6,345)</w:t>
            </w:r>
          </w:p>
        </w:tc>
        <w:tc>
          <w:tcPr>
            <w:tcW w:w="0" w:type="dxa"/>
            <w:vAlign w:val="bottom"/>
          </w:tcPr>
          <w:p>
            <w:pPr>
              <w:spacing w:after="0"/>
              <w:rPr>
                <w:sz w:val="1"/>
                <w:szCs w:val="1"/>
                <w:color w:val="auto"/>
              </w:rPr>
            </w:pPr>
          </w:p>
        </w:tc>
      </w:tr>
      <w:tr>
        <w:trPr>
          <w:trHeight w:val="160"/>
        </w:trPr>
        <w:tc>
          <w:tcPr>
            <w:tcW w:w="20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Balance at September 30,</w:t>
            </w:r>
          </w:p>
        </w:tc>
        <w:tc>
          <w:tcPr>
            <w:tcW w:w="10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4,203,139</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36,240,800</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27,416</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(44,019)</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(17,116)</w:t>
            </w: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2021</w:t>
            </w: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Convertible Preferred Stock and Stockholders’ Equity (Deficit)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1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right w:val="single" w:sz="8" w:color="auto"/>
            </w:tcBorders>
            <w:vMerge w:val="restart"/>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2000" w:type="dxa"/>
            <w:vAlign w:val="bottom"/>
          </w:tcPr>
          <w:p>
            <w:pPr>
              <w:spacing w:after="0"/>
              <w:rPr>
                <w:sz w:val="10"/>
                <w:szCs w:val="10"/>
                <w:color w:val="auto"/>
              </w:rPr>
            </w:pPr>
          </w:p>
        </w:tc>
        <w:tc>
          <w:tcPr>
            <w:tcW w:w="2100" w:type="dxa"/>
            <w:vAlign w:val="bottom"/>
            <w:tcBorders>
              <w:bottom w:val="single" w:sz="8" w:color="auto"/>
            </w:tcBorders>
            <w:gridSpan w:val="5"/>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88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line="116" w:lineRule="exact"/>
              <w:rPr>
                <w:sz w:val="20"/>
                <w:szCs w:val="20"/>
                <w:color w:val="auto"/>
              </w:rPr>
            </w:pPr>
            <w:r>
              <w:rPr>
                <w:rFonts w:ascii="Arial" w:cs="Arial" w:eastAsia="Arial" w:hAnsi="Arial"/>
                <w:sz w:val="13"/>
                <w:szCs w:val="13"/>
                <w:b w:val="1"/>
                <w:bCs w:val="1"/>
                <w:color w:val="auto"/>
              </w:rPr>
              <w:t>Additional</w:t>
            </w:r>
          </w:p>
        </w:tc>
        <w:tc>
          <w:tcPr>
            <w:tcW w:w="1240" w:type="dxa"/>
            <w:vAlign w:val="bottom"/>
            <w:gridSpan w:val="3"/>
          </w:tcPr>
          <w:p>
            <w:pPr>
              <w:ind w:left="100"/>
              <w:spacing w:after="0" w:line="116" w:lineRule="exact"/>
              <w:rPr>
                <w:sz w:val="20"/>
                <w:szCs w:val="20"/>
                <w:color w:val="auto"/>
              </w:rPr>
            </w:pPr>
            <w:r>
              <w:rPr>
                <w:rFonts w:ascii="Arial" w:cs="Arial" w:eastAsia="Arial" w:hAnsi="Arial"/>
                <w:sz w:val="13"/>
                <w:szCs w:val="13"/>
                <w:b w:val="1"/>
                <w:bCs w:val="1"/>
                <w:color w:val="auto"/>
              </w:rPr>
              <w:t>Subscriptions</w:t>
            </w:r>
          </w:p>
        </w:tc>
        <w:tc>
          <w:tcPr>
            <w:tcW w:w="100" w:type="dxa"/>
            <w:vAlign w:val="bottom"/>
          </w:tcPr>
          <w:p>
            <w:pPr>
              <w:spacing w:after="0"/>
              <w:rPr>
                <w:sz w:val="10"/>
                <w:szCs w:val="10"/>
                <w:color w:val="auto"/>
              </w:rPr>
            </w:pPr>
          </w:p>
        </w:tc>
        <w:tc>
          <w:tcPr>
            <w:tcW w:w="1100" w:type="dxa"/>
            <w:vAlign w:val="bottom"/>
            <w:gridSpan w:val="2"/>
          </w:tcPr>
          <w:p>
            <w:pPr>
              <w:spacing w:after="0" w:line="116"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76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Nine months ended</w:t>
            </w: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7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Balance at December 31,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Arial" w:cs="Arial" w:eastAsia="Arial" w:hAnsi="Arial"/>
                <w:sz w:val="16"/>
                <w:szCs w:val="16"/>
                <w:color w:val="auto"/>
              </w:rPr>
              <w:t>2021</w:t>
            </w:r>
          </w:p>
        </w:tc>
        <w:tc>
          <w:tcPr>
            <w:tcW w:w="76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81,400,860</w:t>
            </w:r>
          </w:p>
        </w:tc>
        <w:tc>
          <w:tcPr>
            <w:tcW w:w="80" w:type="dxa"/>
            <w:vAlign w:val="bottom"/>
          </w:tcPr>
          <w:p>
            <w:pPr>
              <w:spacing w:after="0"/>
              <w:rPr>
                <w:sz w:val="17"/>
                <w:szCs w:val="17"/>
                <w:color w:val="auto"/>
              </w:rPr>
            </w:pPr>
          </w:p>
        </w:tc>
        <w:tc>
          <w:tcPr>
            <w:tcW w:w="78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142,515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400"/>
              <w:spacing w:after="0"/>
              <w:rPr>
                <w:sz w:val="20"/>
                <w:szCs w:val="20"/>
                <w:color w:val="auto"/>
              </w:rPr>
            </w:pPr>
            <w:r>
              <w:rPr>
                <w:rFonts w:ascii="Arial" w:cs="Arial" w:eastAsia="Arial" w:hAnsi="Arial"/>
                <w:sz w:val="16"/>
                <w:szCs w:val="16"/>
                <w:color w:val="auto"/>
              </w:rPr>
              <w:t>(65,906)</w:t>
            </w:r>
          </w:p>
        </w:tc>
        <w:tc>
          <w:tcPr>
            <w:tcW w:w="80" w:type="dxa"/>
            <w:vAlign w:val="bottom"/>
          </w:tcPr>
          <w:p>
            <w:pPr>
              <w:spacing w:after="0"/>
              <w:rPr>
                <w:sz w:val="17"/>
                <w:szCs w:val="17"/>
                <w:color w:val="auto"/>
              </w:rPr>
            </w:pPr>
          </w:p>
        </w:tc>
        <w:tc>
          <w:tcPr>
            <w:tcW w:w="26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76,615</w:t>
            </w:r>
          </w:p>
        </w:tc>
        <w:tc>
          <w:tcPr>
            <w:tcW w:w="0" w:type="dxa"/>
            <w:vAlign w:val="bottom"/>
          </w:tcPr>
          <w:p>
            <w:pPr>
              <w:spacing w:after="0"/>
              <w:rPr>
                <w:sz w:val="1"/>
                <w:szCs w:val="1"/>
                <w:color w:val="auto"/>
              </w:rPr>
            </w:pPr>
          </w:p>
        </w:tc>
      </w:tr>
      <w:tr>
        <w:trPr>
          <w:trHeight w:val="180"/>
        </w:trPr>
        <w:tc>
          <w:tcPr>
            <w:tcW w:w="27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6"/>
                <w:szCs w:val="16"/>
                <w:color w:val="auto"/>
              </w:rPr>
              <w:t>on exercise of stock</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options</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406,739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177"/>
        </w:trPr>
        <w:tc>
          <w:tcPr>
            <w:tcW w:w="27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Vesting of early exercised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stock options</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180"/>
        </w:trPr>
        <w:tc>
          <w:tcPr>
            <w:tcW w:w="27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restricted</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 units</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77"/>
        </w:trPr>
        <w:tc>
          <w:tcPr>
            <w:tcW w:w="27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Repurchases of early</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exercised stock options</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(16,929)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0"/>
        </w:trPr>
        <w:tc>
          <w:tcPr>
            <w:tcW w:w="27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under Matching Plan</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151,946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w:t>
            </w:r>
          </w:p>
        </w:tc>
        <w:tc>
          <w:tcPr>
            <w:tcW w:w="0" w:type="dxa"/>
            <w:vAlign w:val="bottom"/>
          </w:tcPr>
          <w:p>
            <w:pPr>
              <w:spacing w:after="0"/>
              <w:rPr>
                <w:sz w:val="1"/>
                <w:szCs w:val="1"/>
                <w:color w:val="auto"/>
              </w:rPr>
            </w:pPr>
          </w:p>
        </w:tc>
      </w:tr>
      <w:tr>
        <w:trPr>
          <w:trHeight w:val="177"/>
        </w:trPr>
        <w:tc>
          <w:tcPr>
            <w:tcW w:w="276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Issuance of common 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in connection with</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restricted stock units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vesting</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1,020,109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27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Shares withheld from</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6"/>
                <w:szCs w:val="16"/>
                <w:color w:val="auto"/>
              </w:rPr>
              <w:t>common stock issued to</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6"/>
                <w:szCs w:val="16"/>
                <w:color w:val="auto"/>
              </w:rPr>
              <w:t>pay employee payroll</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taxes</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(329,024)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213"/>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42,886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42,886</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(23,612)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(23,612)</w:t>
            </w:r>
          </w:p>
        </w:tc>
        <w:tc>
          <w:tcPr>
            <w:tcW w:w="0" w:type="dxa"/>
            <w:vAlign w:val="bottom"/>
          </w:tcPr>
          <w:p>
            <w:pPr>
              <w:spacing w:after="0"/>
              <w:rPr>
                <w:sz w:val="1"/>
                <w:szCs w:val="1"/>
                <w:color w:val="auto"/>
              </w:rPr>
            </w:pPr>
          </w:p>
        </w:tc>
      </w:tr>
      <w:tr>
        <w:trPr>
          <w:trHeight w:val="160"/>
        </w:trPr>
        <w:tc>
          <w:tcPr>
            <w:tcW w:w="276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Balance at September 30,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restart"/>
          </w:tcPr>
          <w:p>
            <w:pPr>
              <w:jc w:val="right"/>
              <w:ind w:right="65"/>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95,815</w:t>
            </w:r>
          </w:p>
        </w:tc>
        <w:tc>
          <w:tcPr>
            <w:tcW w:w="0" w:type="dxa"/>
            <w:vAlign w:val="bottom"/>
          </w:tcPr>
          <w:p>
            <w:pPr>
              <w:spacing w:after="0"/>
              <w:rPr>
                <w:sz w:val="1"/>
                <w:szCs w:val="1"/>
                <w:color w:val="auto"/>
              </w:rPr>
            </w:pPr>
          </w:p>
        </w:tc>
      </w:tr>
      <w:tr>
        <w:trPr>
          <w:trHeight w:val="255"/>
        </w:trPr>
        <w:tc>
          <w:tcPr>
            <w:tcW w:w="2000" w:type="dxa"/>
            <w:vAlign w:val="bottom"/>
            <w:tcBorders>
              <w:bottom w:val="single" w:sz="8" w:color="auto"/>
            </w:tcBorders>
          </w:tcPr>
          <w:p>
            <w:pPr>
              <w:ind w:left="20"/>
              <w:spacing w:after="0" w:line="174" w:lineRule="exact"/>
              <w:rPr>
                <w:sz w:val="20"/>
                <w:szCs w:val="20"/>
                <w:color w:val="auto"/>
              </w:rPr>
            </w:pPr>
            <w:r>
              <w:rPr>
                <w:rFonts w:ascii="Arial" w:cs="Arial" w:eastAsia="Arial" w:hAnsi="Arial"/>
                <w:sz w:val="16"/>
                <w:szCs w:val="16"/>
                <w:color w:val="auto"/>
              </w:rPr>
              <w:t>2022</w:t>
            </w:r>
          </w:p>
        </w:tc>
        <w:tc>
          <w:tcPr>
            <w:tcW w:w="7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ind w:left="20"/>
              <w:spacing w:after="0" w:line="174"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right w:val="single" w:sz="8" w:color="auto"/>
            </w:tcBorders>
            <w:gridSpan w:val="2"/>
          </w:tcPr>
          <w:p>
            <w:pPr>
              <w:ind w:left="600"/>
              <w:spacing w:after="0" w:line="174"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82,644,269</w:t>
            </w: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82"/>
              <w:spacing w:after="0" w:line="174"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7</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185,326</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2"/>
          </w:tcPr>
          <w:p>
            <w:pPr>
              <w:ind w:left="760"/>
              <w:spacing w:after="0" w:line="174"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ind w:left="400"/>
              <w:spacing w:after="0" w:line="174" w:lineRule="exact"/>
              <w:rPr>
                <w:sz w:val="20"/>
                <w:szCs w:val="20"/>
                <w:color w:val="auto"/>
              </w:rPr>
            </w:pPr>
            <w:r>
              <w:rPr>
                <w:rFonts w:ascii="Arial" w:cs="Arial" w:eastAsia="Arial" w:hAnsi="Arial"/>
                <w:sz w:val="16"/>
                <w:szCs w:val="16"/>
                <w:color w:val="auto"/>
              </w:rPr>
              <w:t>(89,518)</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Convertible Preferred Stock and Stockholders’ Equity (Deficit)</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12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Convertible preferred stock</w:t>
            </w:r>
          </w:p>
        </w:tc>
        <w:tc>
          <w:tcPr>
            <w:tcW w:w="100" w:type="dxa"/>
            <w:vAlign w:val="bottom"/>
            <w:tcBorders>
              <w:right w:val="single" w:sz="8" w:color="auto"/>
            </w:tcBorders>
            <w:vMerge w:val="restart"/>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2000" w:type="dxa"/>
            <w:vAlign w:val="bottom"/>
          </w:tcPr>
          <w:p>
            <w:pPr>
              <w:spacing w:after="0"/>
              <w:rPr>
                <w:sz w:val="10"/>
                <w:szCs w:val="10"/>
                <w:color w:val="auto"/>
              </w:rPr>
            </w:pPr>
          </w:p>
        </w:tc>
        <w:tc>
          <w:tcPr>
            <w:tcW w:w="2120" w:type="dxa"/>
            <w:vAlign w:val="bottom"/>
            <w:tcBorders>
              <w:bottom w:val="single" w:sz="8" w:color="auto"/>
            </w:tcBorders>
            <w:gridSpan w:val="4"/>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88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60"/>
              <w:spacing w:after="0" w:line="116" w:lineRule="exact"/>
              <w:rPr>
                <w:sz w:val="20"/>
                <w:szCs w:val="20"/>
                <w:color w:val="auto"/>
              </w:rPr>
            </w:pPr>
            <w:r>
              <w:rPr>
                <w:rFonts w:ascii="Arial" w:cs="Arial" w:eastAsia="Arial" w:hAnsi="Arial"/>
                <w:sz w:val="13"/>
                <w:szCs w:val="13"/>
                <w:b w:val="1"/>
                <w:bCs w:val="1"/>
                <w:color w:val="auto"/>
              </w:rPr>
              <w:t>Additional</w:t>
            </w:r>
          </w:p>
        </w:tc>
        <w:tc>
          <w:tcPr>
            <w:tcW w:w="1220" w:type="dxa"/>
            <w:vAlign w:val="bottom"/>
            <w:gridSpan w:val="3"/>
          </w:tcPr>
          <w:p>
            <w:pPr>
              <w:ind w:left="80"/>
              <w:spacing w:after="0" w:line="116" w:lineRule="exact"/>
              <w:rPr>
                <w:sz w:val="20"/>
                <w:szCs w:val="20"/>
                <w:color w:val="auto"/>
              </w:rPr>
            </w:pPr>
            <w:r>
              <w:rPr>
                <w:rFonts w:ascii="Arial" w:cs="Arial" w:eastAsia="Arial" w:hAnsi="Arial"/>
                <w:sz w:val="13"/>
                <w:szCs w:val="13"/>
                <w:b w:val="1"/>
                <w:bCs w:val="1"/>
                <w:color w:val="auto"/>
              </w:rPr>
              <w:t>Subscriptions</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16" w:lineRule="exact"/>
              <w:rPr>
                <w:sz w:val="20"/>
                <w:szCs w:val="20"/>
                <w:color w:val="auto"/>
              </w:rPr>
            </w:pPr>
            <w:r>
              <w:rPr>
                <w:rFonts w:ascii="Arial" w:cs="Arial" w:eastAsia="Arial" w:hAnsi="Arial"/>
                <w:sz w:val="13"/>
                <w:szCs w:val="13"/>
                <w:b w:val="1"/>
                <w:bCs w:val="1"/>
                <w:color w:val="auto"/>
              </w:rPr>
              <w:t>Accumulated</w:t>
            </w:r>
          </w:p>
        </w:tc>
        <w:tc>
          <w:tcPr>
            <w:tcW w:w="114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202"/>
        </w:trPr>
        <w:tc>
          <w:tcPr>
            <w:tcW w:w="2000" w:type="dxa"/>
            <w:vAlign w:val="bottom"/>
          </w:tcPr>
          <w:p>
            <w:pPr>
              <w:spacing w:after="0"/>
              <w:rPr>
                <w:sz w:val="17"/>
                <w:szCs w:val="17"/>
                <w:color w:val="auto"/>
              </w:rPr>
            </w:pP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Nine months ended</w:t>
            </w: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2021</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00" w:type="dxa"/>
            <w:vAlign w:val="bottom"/>
          </w:tcPr>
          <w:p>
            <w:pPr>
              <w:ind w:left="20"/>
              <w:spacing w:after="0" w:line="178" w:lineRule="exact"/>
              <w:rPr>
                <w:sz w:val="20"/>
                <w:szCs w:val="20"/>
                <w:color w:val="auto"/>
              </w:rPr>
            </w:pPr>
            <w:r>
              <w:rPr>
                <w:rFonts w:ascii="Arial" w:cs="Arial" w:eastAsia="Arial" w:hAnsi="Arial"/>
                <w:sz w:val="16"/>
                <w:szCs w:val="16"/>
                <w:color w:val="auto"/>
              </w:rPr>
              <w:t>Balance at December 31,</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rPr>
                <w:sz w:val="20"/>
                <w:szCs w:val="20"/>
                <w:color w:val="auto"/>
              </w:rPr>
            </w:pPr>
            <w:r>
              <w:rPr>
                <w:rFonts w:ascii="Arial" w:cs="Arial" w:eastAsia="Arial" w:hAnsi="Arial"/>
                <w:sz w:val="16"/>
                <w:szCs w:val="16"/>
                <w:color w:val="auto"/>
              </w:rPr>
              <w:t>2020</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4,203,139</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29,366,940</w:t>
            </w:r>
          </w:p>
        </w:tc>
        <w:tc>
          <w:tcPr>
            <w:tcW w:w="80" w:type="dxa"/>
            <w:vAlign w:val="bottom"/>
          </w:tcPr>
          <w:p>
            <w:pPr>
              <w:spacing w:after="0"/>
              <w:rPr>
                <w:sz w:val="17"/>
                <w:szCs w:val="17"/>
                <w:color w:val="auto"/>
              </w:rPr>
            </w:pP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21,312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(52,348)</w:t>
            </w:r>
          </w:p>
        </w:tc>
        <w:tc>
          <w:tcPr>
            <w:tcW w:w="80" w:type="dxa"/>
            <w:vAlign w:val="bottom"/>
          </w:tcPr>
          <w:p>
            <w:pPr>
              <w:spacing w:after="0"/>
              <w:rPr>
                <w:sz w:val="17"/>
                <w:szCs w:val="17"/>
                <w:color w:val="auto"/>
              </w:rPr>
            </w:pPr>
          </w:p>
        </w:tc>
        <w:tc>
          <w:tcPr>
            <w:tcW w:w="26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(31,036)</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on exercise of stock</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options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6,873,860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w:t>
            </w:r>
          </w:p>
        </w:tc>
        <w:tc>
          <w:tcPr>
            <w:tcW w:w="0" w:type="dxa"/>
            <w:vAlign w:val="bottom"/>
          </w:tcPr>
          <w:p>
            <w:pPr>
              <w:spacing w:after="0"/>
              <w:rPr>
                <w:sz w:val="1"/>
                <w:szCs w:val="1"/>
                <w:color w:val="auto"/>
              </w:rPr>
            </w:pPr>
          </w:p>
        </w:tc>
      </w:tr>
      <w:tr>
        <w:trPr>
          <w:trHeight w:val="177"/>
        </w:trPr>
        <w:tc>
          <w:tcPr>
            <w:tcW w:w="2000" w:type="dxa"/>
            <w:vAlign w:val="bottom"/>
          </w:tcPr>
          <w:p>
            <w:pPr>
              <w:ind w:left="20"/>
              <w:spacing w:after="0" w:line="178" w:lineRule="exact"/>
              <w:rPr>
                <w:sz w:val="20"/>
                <w:szCs w:val="20"/>
                <w:color w:val="auto"/>
              </w:rPr>
            </w:pPr>
            <w:r>
              <w:rPr>
                <w:rFonts w:ascii="Arial" w:cs="Arial" w:eastAsia="Arial" w:hAnsi="Arial"/>
                <w:sz w:val="16"/>
                <w:szCs w:val="16"/>
                <w:color w:val="auto"/>
              </w:rPr>
              <w:t>Vesting of early exercised</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Stock-based</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8,329</w:t>
            </w:r>
          </w:p>
        </w:tc>
        <w:tc>
          <w:tcPr>
            <w:tcW w:w="0" w:type="dxa"/>
            <w:vAlign w:val="bottom"/>
          </w:tcPr>
          <w:p>
            <w:pPr>
              <w:spacing w:after="0"/>
              <w:rPr>
                <w:sz w:val="1"/>
                <w:szCs w:val="1"/>
                <w:color w:val="auto"/>
              </w:rPr>
            </w:pPr>
          </w:p>
        </w:tc>
      </w:tr>
      <w:tr>
        <w:trPr>
          <w:trHeight w:val="160"/>
        </w:trPr>
        <w:tc>
          <w:tcPr>
            <w:tcW w:w="200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Balance at September 30,</w:t>
            </w: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4,203,139</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45,105</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36,240,800</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3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27,416</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ind w:left="560"/>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(44,019)</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(17,116)</w:t>
            </w: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2021</w:t>
            </w: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52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Nine months ended September 30,</w:t>
            </w:r>
          </w:p>
        </w:tc>
        <w:tc>
          <w:tcPr>
            <w:tcW w:w="1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2022</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127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54"/>
        </w:trPr>
        <w:tc>
          <w:tcPr>
            <w:tcW w:w="552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1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income</w:t>
            </w:r>
          </w:p>
        </w:tc>
        <w:tc>
          <w:tcPr>
            <w:tcW w:w="1660" w:type="dxa"/>
            <w:vAlign w:val="bottom"/>
            <w:shd w:val="clear" w:color="auto" w:fill="CCEEFF"/>
          </w:tcPr>
          <w:p>
            <w:pPr>
              <w:jc w:val="right"/>
              <w:ind w:right="15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(23,612)</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8,329</w:t>
            </w:r>
          </w:p>
        </w:tc>
        <w:tc>
          <w:tcPr>
            <w:tcW w:w="0" w:type="dxa"/>
            <w:vAlign w:val="bottom"/>
          </w:tcPr>
          <w:p>
            <w:pPr>
              <w:spacing w:after="0"/>
              <w:rPr>
                <w:sz w:val="1"/>
                <w:szCs w:val="1"/>
                <w:color w:val="auto"/>
              </w:rPr>
            </w:pPr>
          </w:p>
        </w:tc>
      </w:tr>
      <w:tr>
        <w:trPr>
          <w:trHeight w:val="167"/>
        </w:trPr>
        <w:tc>
          <w:tcPr>
            <w:tcW w:w="5520" w:type="dxa"/>
            <w:vAlign w:val="bottom"/>
          </w:tcPr>
          <w:p>
            <w:pPr>
              <w:ind w:left="2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4,072</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3,732</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Reduction of operating lease right-of-use assets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impairment, receivables and sale or disposal of equipment</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41,793</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2,495</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original issuance discount and debt issuance costs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assets and liabilities: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(1,016)</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(3,865)</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assets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(10,096)</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(3,344)</w:t>
            </w:r>
          </w:p>
        </w:tc>
        <w:tc>
          <w:tcPr>
            <w:tcW w:w="0" w:type="dxa"/>
            <w:vAlign w:val="bottom"/>
          </w:tcPr>
          <w:p>
            <w:pPr>
              <w:spacing w:after="0"/>
              <w:rPr>
                <w:sz w:val="1"/>
                <w:szCs w:val="1"/>
                <w:color w:val="auto"/>
              </w:rPr>
            </w:pPr>
          </w:p>
        </w:tc>
      </w:tr>
      <w:tr>
        <w:trPr>
          <w:trHeight w:val="168"/>
        </w:trPr>
        <w:tc>
          <w:tcPr>
            <w:tcW w:w="5520" w:type="dxa"/>
            <w:vAlign w:val="bottom"/>
          </w:tcPr>
          <w:p>
            <w:pPr>
              <w:ind w:left="140"/>
              <w:spacing w:after="0"/>
              <w:rPr>
                <w:sz w:val="20"/>
                <w:szCs w:val="20"/>
                <w:color w:val="auto"/>
              </w:rPr>
            </w:pPr>
            <w:r>
              <w:rPr>
                <w:rFonts w:ascii="Arial" w:cs="Arial" w:eastAsia="Arial" w:hAnsi="Arial"/>
                <w:sz w:val="13"/>
                <w:szCs w:val="13"/>
                <w:color w:val="auto"/>
              </w:rPr>
              <w:t>Prepaid expenses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1,738</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(2,886)</w:t>
            </w: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Related party loan receivable</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68"/>
        </w:trPr>
        <w:tc>
          <w:tcPr>
            <w:tcW w:w="552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558</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1,212</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68"/>
        </w:trPr>
        <w:tc>
          <w:tcPr>
            <w:tcW w:w="552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(1,575)</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(330)</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(2,195)</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18,870</w:t>
            </w:r>
          </w:p>
        </w:tc>
        <w:tc>
          <w:tcPr>
            <w:tcW w:w="0" w:type="dxa"/>
            <w:vAlign w:val="bottom"/>
          </w:tcPr>
          <w:p>
            <w:pPr>
              <w:spacing w:after="0"/>
              <w:rPr>
                <w:sz w:val="1"/>
                <w:szCs w:val="1"/>
                <w:color w:val="auto"/>
              </w:rPr>
            </w:pPr>
          </w:p>
        </w:tc>
      </w:tr>
      <w:tr>
        <w:trPr>
          <w:trHeight w:val="168"/>
        </w:trPr>
        <w:tc>
          <w:tcPr>
            <w:tcW w:w="5520" w:type="dxa"/>
            <w:vAlign w:val="bottom"/>
          </w:tcPr>
          <w:p>
            <w:pPr>
              <w:ind w:left="140"/>
              <w:spacing w:after="0"/>
              <w:rPr>
                <w:sz w:val="20"/>
                <w:szCs w:val="20"/>
                <w:color w:val="auto"/>
              </w:rPr>
            </w:pPr>
            <w:r>
              <w:rPr>
                <w:rFonts w:ascii="Arial" w:cs="Arial" w:eastAsia="Arial" w:hAnsi="Arial"/>
                <w:sz w:val="13"/>
                <w:szCs w:val="13"/>
                <w:color w:val="auto"/>
              </w:rPr>
              <w:t>Operating lease liabilities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(601)</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liabilities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14,703</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10,699</w:t>
            </w:r>
          </w:p>
        </w:tc>
        <w:tc>
          <w:tcPr>
            <w:tcW w:w="0" w:type="dxa"/>
            <w:vAlign w:val="bottom"/>
          </w:tcPr>
          <w:p>
            <w:pPr>
              <w:spacing w:after="0"/>
              <w:rPr>
                <w:sz w:val="1"/>
                <w:szCs w:val="1"/>
                <w:color w:val="auto"/>
              </w:rPr>
            </w:pPr>
          </w:p>
        </w:tc>
      </w:tr>
      <w:tr>
        <w:trPr>
          <w:trHeight w:val="169"/>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liabilities</w:t>
            </w:r>
          </w:p>
        </w:tc>
        <w:tc>
          <w:tcPr>
            <w:tcW w:w="1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990</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w:t>
            </w:r>
          </w:p>
        </w:tc>
        <w:tc>
          <w:tcPr>
            <w:tcW w:w="0" w:type="dxa"/>
            <w:vAlign w:val="bottom"/>
          </w:tcPr>
          <w:p>
            <w:pPr>
              <w:spacing w:after="0"/>
              <w:rPr>
                <w:sz w:val="1"/>
                <w:szCs w:val="1"/>
                <w:color w:val="auto"/>
              </w:rPr>
            </w:pPr>
          </w:p>
        </w:tc>
      </w:tr>
      <w:tr>
        <w:trPr>
          <w:trHeight w:val="175"/>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1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26,229</w:t>
            </w: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34,580</w:t>
            </w:r>
          </w:p>
        </w:tc>
        <w:tc>
          <w:tcPr>
            <w:tcW w:w="0" w:type="dxa"/>
            <w:vAlign w:val="bottom"/>
          </w:tcPr>
          <w:p>
            <w:pPr>
              <w:spacing w:after="0"/>
              <w:rPr>
                <w:sz w:val="1"/>
                <w:szCs w:val="1"/>
                <w:color w:val="auto"/>
              </w:rPr>
            </w:pPr>
          </w:p>
        </w:tc>
      </w:tr>
      <w:tr>
        <w:trPr>
          <w:trHeight w:val="148"/>
        </w:trPr>
        <w:tc>
          <w:tcPr>
            <w:tcW w:w="5520" w:type="dxa"/>
            <w:vAlign w:val="bottom"/>
          </w:tcPr>
          <w:p>
            <w:pPr>
              <w:ind w:left="20"/>
              <w:spacing w:after="0" w:line="139" w:lineRule="exact"/>
              <w:rPr>
                <w:sz w:val="20"/>
                <w:szCs w:val="20"/>
                <w:color w:val="auto"/>
              </w:rPr>
            </w:pPr>
            <w:r>
              <w:rPr>
                <w:rFonts w:ascii="Arial" w:cs="Arial" w:eastAsia="Arial" w:hAnsi="Arial"/>
                <w:sz w:val="13"/>
                <w:szCs w:val="13"/>
                <w:color w:val="auto"/>
              </w:rPr>
              <w:t>Cash flows from investing activities:</w:t>
            </w:r>
          </w:p>
        </w:tc>
        <w:tc>
          <w:tcPr>
            <w:tcW w:w="1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(2,602)</w:t>
            </w:r>
          </w:p>
        </w:tc>
        <w:tc>
          <w:tcPr>
            <w:tcW w:w="0" w:type="dxa"/>
            <w:vAlign w:val="bottom"/>
          </w:tcPr>
          <w:p>
            <w:pPr>
              <w:spacing w:after="0"/>
              <w:rPr>
                <w:sz w:val="1"/>
                <w:szCs w:val="1"/>
                <w:color w:val="auto"/>
              </w:rPr>
            </w:pPr>
          </w:p>
        </w:tc>
      </w:tr>
      <w:tr>
        <w:trPr>
          <w:trHeight w:val="16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Software development costs</w:t>
            </w:r>
          </w:p>
        </w:tc>
        <w:tc>
          <w:tcPr>
            <w:tcW w:w="1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(4,397)</w:t>
            </w:r>
          </w:p>
        </w:tc>
        <w:tc>
          <w:tcPr>
            <w:tcW w:w="0" w:type="dxa"/>
            <w:vAlign w:val="bottom"/>
          </w:tcPr>
          <w:p>
            <w:pPr>
              <w:spacing w:after="0"/>
              <w:rPr>
                <w:sz w:val="1"/>
                <w:szCs w:val="1"/>
                <w:color w:val="auto"/>
              </w:rPr>
            </w:pPr>
          </w:p>
        </w:tc>
      </w:tr>
      <w:tr>
        <w:trPr>
          <w:trHeight w:val="175"/>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by investing activities</w:t>
            </w:r>
          </w:p>
        </w:tc>
        <w:tc>
          <w:tcPr>
            <w:tcW w:w="1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(1,373)</w:t>
            </w: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(6,999)</w:t>
            </w:r>
          </w:p>
        </w:tc>
        <w:tc>
          <w:tcPr>
            <w:tcW w:w="0" w:type="dxa"/>
            <w:vAlign w:val="bottom"/>
          </w:tcPr>
          <w:p>
            <w:pPr>
              <w:spacing w:after="0"/>
              <w:rPr>
                <w:sz w:val="1"/>
                <w:szCs w:val="1"/>
                <w:color w:val="auto"/>
              </w:rPr>
            </w:pPr>
          </w:p>
        </w:tc>
      </w:tr>
      <w:tr>
        <w:trPr>
          <w:trHeight w:val="148"/>
        </w:trPr>
        <w:tc>
          <w:tcPr>
            <w:tcW w:w="5520" w:type="dxa"/>
            <w:vAlign w:val="bottom"/>
          </w:tcPr>
          <w:p>
            <w:pPr>
              <w:ind w:left="20"/>
              <w:spacing w:after="0" w:line="139" w:lineRule="exact"/>
              <w:rPr>
                <w:sz w:val="20"/>
                <w:szCs w:val="20"/>
                <w:color w:val="auto"/>
              </w:rPr>
            </w:pPr>
            <w:r>
              <w:rPr>
                <w:rFonts w:ascii="Arial" w:cs="Arial" w:eastAsia="Arial" w:hAnsi="Arial"/>
                <w:sz w:val="13"/>
                <w:szCs w:val="13"/>
                <w:color w:val="auto"/>
              </w:rPr>
              <w:t>Cash flows from financing activities:</w:t>
            </w:r>
          </w:p>
        </w:tc>
        <w:tc>
          <w:tcPr>
            <w:tcW w:w="1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of finance leases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Principal payments of term loan</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(445)</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(25,157)</w:t>
            </w: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term loan</w:t>
            </w:r>
          </w:p>
        </w:tc>
        <w:tc>
          <w:tcPr>
            <w:tcW w:w="16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45,000</w:t>
            </w:r>
          </w:p>
        </w:tc>
        <w:tc>
          <w:tcPr>
            <w:tcW w:w="0" w:type="dxa"/>
            <w:vAlign w:val="bottom"/>
          </w:tcPr>
          <w:p>
            <w:pPr>
              <w:spacing w:after="0"/>
              <w:rPr>
                <w:sz w:val="1"/>
                <w:szCs w:val="1"/>
                <w:color w:val="auto"/>
              </w:rPr>
            </w:pPr>
          </w:p>
        </w:tc>
      </w:tr>
      <w:tr>
        <w:trPr>
          <w:trHeight w:val="167"/>
        </w:trPr>
        <w:tc>
          <w:tcPr>
            <w:tcW w:w="5520" w:type="dxa"/>
            <w:vAlign w:val="bottom"/>
          </w:tcPr>
          <w:p>
            <w:pPr>
              <w:ind w:left="20"/>
              <w:spacing w:after="0"/>
              <w:rPr>
                <w:sz w:val="20"/>
                <w:szCs w:val="20"/>
                <w:color w:val="auto"/>
              </w:rPr>
            </w:pPr>
            <w:r>
              <w:rPr>
                <w:rFonts w:ascii="Arial" w:cs="Arial" w:eastAsia="Arial" w:hAnsi="Arial"/>
                <w:sz w:val="13"/>
                <w:szCs w:val="13"/>
                <w:color w:val="auto"/>
              </w:rPr>
              <w:t>Repurchases of early exercised stock options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common stock purchased under Matching Plan</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Payments of deferred offering costs</w:t>
            </w:r>
          </w:p>
        </w:tc>
        <w:tc>
          <w:tcPr>
            <w:tcW w:w="16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(4,796)</w:t>
            </w:r>
          </w:p>
        </w:tc>
        <w:tc>
          <w:tcPr>
            <w:tcW w:w="0" w:type="dxa"/>
            <w:vAlign w:val="bottom"/>
          </w:tcPr>
          <w:p>
            <w:pPr>
              <w:spacing w:after="0"/>
              <w:rPr>
                <w:sz w:val="1"/>
                <w:szCs w:val="1"/>
                <w:color w:val="auto"/>
              </w:rPr>
            </w:pPr>
          </w:p>
        </w:tc>
      </w:tr>
      <w:tr>
        <w:trPr>
          <w:trHeight w:val="183"/>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restricted common stock</w:t>
            </w:r>
          </w:p>
        </w:tc>
        <w:tc>
          <w:tcPr>
            <w:tcW w:w="16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Proceeds from issuance of common stock on exercise of stock options</w:t>
            </w:r>
          </w:p>
        </w:tc>
        <w:tc>
          <w:tcPr>
            <w:tcW w:w="1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700</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2,862</w:t>
            </w: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for employee taxes withheld from stock-based awards</w:t>
            </w:r>
          </w:p>
        </w:tc>
        <w:tc>
          <w:tcPr>
            <w:tcW w:w="1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(4,172)</w:t>
            </w: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provided by financing activities</w:t>
            </w:r>
          </w:p>
        </w:tc>
        <w:tc>
          <w:tcPr>
            <w:tcW w:w="1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(2,102)</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17,564</w:t>
            </w:r>
          </w:p>
        </w:tc>
        <w:tc>
          <w:tcPr>
            <w:tcW w:w="0" w:type="dxa"/>
            <w:vAlign w:val="bottom"/>
          </w:tcPr>
          <w:p>
            <w:pPr>
              <w:spacing w:after="0"/>
              <w:rPr>
                <w:sz w:val="1"/>
                <w:szCs w:val="1"/>
                <w:color w:val="auto"/>
              </w:rPr>
            </w:pPr>
          </w:p>
        </w:tc>
      </w:tr>
      <w:tr>
        <w:trPr>
          <w:trHeight w:val="175"/>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in cash and cash equivalents and restricted cash</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22,754</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45,145</w:t>
            </w:r>
          </w:p>
        </w:tc>
        <w:tc>
          <w:tcPr>
            <w:tcW w:w="0" w:type="dxa"/>
            <w:vAlign w:val="bottom"/>
          </w:tcPr>
          <w:p>
            <w:pPr>
              <w:spacing w:after="0"/>
              <w:rPr>
                <w:sz w:val="1"/>
                <w:szCs w:val="1"/>
                <w:color w:val="auto"/>
              </w:rPr>
            </w:pPr>
          </w:p>
        </w:tc>
      </w:tr>
      <w:tr>
        <w:trPr>
          <w:trHeight w:val="16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and restricted cash, beginning of period</w:t>
            </w:r>
          </w:p>
        </w:tc>
        <w:tc>
          <w:tcPr>
            <w:tcW w:w="1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125,315</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46,878</w:t>
            </w:r>
          </w:p>
        </w:tc>
        <w:tc>
          <w:tcPr>
            <w:tcW w:w="0" w:type="dxa"/>
            <w:vAlign w:val="bottom"/>
          </w:tcPr>
          <w:p>
            <w:pPr>
              <w:spacing w:after="0"/>
              <w:rPr>
                <w:sz w:val="1"/>
                <w:szCs w:val="1"/>
                <w:color w:val="auto"/>
              </w:rPr>
            </w:pPr>
          </w:p>
        </w:tc>
      </w:tr>
      <w:tr>
        <w:trPr>
          <w:trHeight w:val="20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end of period</w:t>
            </w:r>
          </w:p>
        </w:tc>
        <w:tc>
          <w:tcPr>
            <w:tcW w:w="1660" w:type="dxa"/>
            <w:vAlign w:val="bottom"/>
            <w:tcBorders>
              <w:bottom w:val="single" w:sz="8" w:color="auto"/>
            </w:tcBorders>
            <w:shd w:val="clear" w:color="auto" w:fill="CCEEFF"/>
          </w:tcPr>
          <w:p>
            <w:pPr>
              <w:jc w:val="right"/>
              <w:ind w:right="151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148,069</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92,023</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 of cash flow information:</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52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interest</w:t>
            </w:r>
          </w:p>
        </w:tc>
        <w:tc>
          <w:tcPr>
            <w:tcW w:w="1660" w:type="dxa"/>
            <w:vAlign w:val="bottom"/>
            <w:shd w:val="clear" w:color="auto" w:fill="CCEEFF"/>
          </w:tcPr>
          <w:p>
            <w:pPr>
              <w:jc w:val="right"/>
              <w:ind w:right="15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2,721</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2,182</w:t>
            </w:r>
          </w:p>
        </w:tc>
        <w:tc>
          <w:tcPr>
            <w:tcW w:w="0" w:type="dxa"/>
            <w:vAlign w:val="bottom"/>
          </w:tcPr>
          <w:p>
            <w:pPr>
              <w:spacing w:after="0"/>
              <w:rPr>
                <w:sz w:val="1"/>
                <w:szCs w:val="1"/>
                <w:color w:val="auto"/>
              </w:rPr>
            </w:pPr>
          </w:p>
        </w:tc>
      </w:tr>
      <w:tr>
        <w:trPr>
          <w:trHeight w:val="167"/>
        </w:trPr>
        <w:tc>
          <w:tcPr>
            <w:tcW w:w="5520" w:type="dxa"/>
            <w:vAlign w:val="bottom"/>
          </w:tcPr>
          <w:p>
            <w:pPr>
              <w:ind w:left="20"/>
              <w:spacing w:after="0"/>
              <w:rPr>
                <w:sz w:val="20"/>
                <w:szCs w:val="20"/>
                <w:color w:val="auto"/>
              </w:rPr>
            </w:pPr>
            <w:r>
              <w:rPr>
                <w:rFonts w:ascii="Arial" w:cs="Arial" w:eastAsia="Arial" w:hAnsi="Arial"/>
                <w:sz w:val="13"/>
                <w:szCs w:val="13"/>
                <w:color w:val="auto"/>
              </w:rPr>
              <w:t>Cash paid for income taxes</w:t>
            </w:r>
          </w:p>
        </w:tc>
        <w:tc>
          <w:tcPr>
            <w:tcW w:w="1660" w:type="dxa"/>
            <w:vAlign w:val="bottom"/>
          </w:tcPr>
          <w:p>
            <w:pPr>
              <w:jc w:val="right"/>
              <w:ind w:right="15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879</w:t>
            </w:r>
          </w:p>
        </w:tc>
        <w:tc>
          <w:tcPr>
            <w:tcW w:w="100" w:type="dxa"/>
            <w:vAlign w:val="bottom"/>
          </w:tcPr>
          <w:p>
            <w:pPr>
              <w:spacing w:after="0"/>
              <w:rPr>
                <w:sz w:val="14"/>
                <w:szCs w:val="14"/>
                <w:color w:val="auto"/>
              </w:rPr>
            </w:pPr>
          </w:p>
        </w:tc>
        <w:tc>
          <w:tcPr>
            <w:tcW w:w="1220" w:type="dxa"/>
            <w:vAlign w:val="bottom"/>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tcPr>
          <w:p>
            <w:pPr>
              <w:jc w:val="right"/>
              <w:spacing w:after="0"/>
              <w:rPr>
                <w:sz w:val="20"/>
                <w:szCs w:val="20"/>
                <w:color w:val="auto"/>
              </w:rPr>
            </w:pPr>
            <w:r>
              <w:rPr>
                <w:rFonts w:ascii="Arial" w:cs="Arial" w:eastAsia="Arial" w:hAnsi="Arial"/>
                <w:sz w:val="13"/>
                <w:szCs w:val="13"/>
                <w:color w:val="auto"/>
              </w:rPr>
              <w:t>6,910</w:t>
            </w: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investing and financing items: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Accrued deferred offering costs</w:t>
            </w:r>
          </w:p>
        </w:tc>
        <w:tc>
          <w:tcPr>
            <w:tcW w:w="1660" w:type="dxa"/>
            <w:vAlign w:val="bottom"/>
          </w:tcPr>
          <w:p>
            <w:pPr>
              <w:jc w:val="right"/>
              <w:ind w:right="1517"/>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tcPr>
          <w:p>
            <w:pPr>
              <w:jc w:val="right"/>
              <w:spacing w:after="0"/>
              <w:rPr>
                <w:sz w:val="20"/>
                <w:szCs w:val="20"/>
                <w:color w:val="auto"/>
              </w:rPr>
            </w:pPr>
            <w:r>
              <w:rPr>
                <w:rFonts w:ascii="Arial" w:cs="Arial" w:eastAsia="Arial" w:hAnsi="Arial"/>
                <w:sz w:val="13"/>
                <w:szCs w:val="13"/>
                <w:color w:val="auto"/>
              </w:rPr>
              <w:t>795</w:t>
            </w:r>
          </w:p>
        </w:tc>
        <w:tc>
          <w:tcPr>
            <w:tcW w:w="0" w:type="dxa"/>
            <w:vAlign w:val="bottom"/>
          </w:tcPr>
          <w:p>
            <w:pPr>
              <w:spacing w:after="0"/>
              <w:rPr>
                <w:sz w:val="1"/>
                <w:szCs w:val="1"/>
                <w:color w:val="auto"/>
              </w:rPr>
            </w:pPr>
          </w:p>
        </w:tc>
      </w:tr>
      <w:tr>
        <w:trPr>
          <w:trHeight w:val="137"/>
        </w:trPr>
        <w:tc>
          <w:tcPr>
            <w:tcW w:w="55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Reconciliation of cash and cash equivalents and restricted cash to the condensed consolidated</w:t>
            </w:r>
          </w:p>
        </w:tc>
        <w:tc>
          <w:tcPr>
            <w:tcW w:w="1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balance sheets</w:t>
            </w:r>
          </w:p>
        </w:tc>
        <w:tc>
          <w:tcPr>
            <w:tcW w:w="16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1660" w:type="dxa"/>
            <w:vAlign w:val="bottom"/>
          </w:tcPr>
          <w:p>
            <w:pPr>
              <w:jc w:val="right"/>
              <w:ind w:right="15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106,212</w:t>
            </w:r>
          </w:p>
        </w:tc>
        <w:tc>
          <w:tcPr>
            <w:tcW w:w="100" w:type="dxa"/>
            <w:vAlign w:val="bottom"/>
          </w:tcPr>
          <w:p>
            <w:pPr>
              <w:spacing w:after="0"/>
              <w:rPr>
                <w:sz w:val="14"/>
                <w:szCs w:val="14"/>
                <w:color w:val="auto"/>
              </w:rPr>
            </w:pPr>
          </w:p>
        </w:tc>
        <w:tc>
          <w:tcPr>
            <w:tcW w:w="1220" w:type="dxa"/>
            <w:vAlign w:val="bottom"/>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tcPr>
          <w:p>
            <w:pPr>
              <w:jc w:val="right"/>
              <w:spacing w:after="0"/>
              <w:rPr>
                <w:sz w:val="20"/>
                <w:szCs w:val="20"/>
                <w:color w:val="auto"/>
              </w:rPr>
            </w:pPr>
            <w:r>
              <w:rPr>
                <w:rFonts w:ascii="Arial" w:cs="Arial" w:eastAsia="Arial" w:hAnsi="Arial"/>
                <w:sz w:val="13"/>
                <w:szCs w:val="13"/>
                <w:color w:val="auto"/>
              </w:rPr>
              <w:t>68,058</w:t>
            </w:r>
          </w:p>
        </w:tc>
        <w:tc>
          <w:tcPr>
            <w:tcW w:w="0" w:type="dxa"/>
            <w:vAlign w:val="bottom"/>
          </w:tcPr>
          <w:p>
            <w:pPr>
              <w:spacing w:after="0"/>
              <w:rPr>
                <w:sz w:val="1"/>
                <w:szCs w:val="1"/>
                <w:color w:val="auto"/>
              </w:rPr>
            </w:pPr>
          </w:p>
        </w:tc>
      </w:tr>
      <w:tr>
        <w:trPr>
          <w:trHeight w:val="184"/>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other current assets</w:t>
            </w:r>
          </w:p>
        </w:tc>
        <w:tc>
          <w:tcPr>
            <w:tcW w:w="16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16,255</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5,989</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Arial" w:cs="Arial" w:eastAsia="Arial" w:hAnsi="Arial"/>
                <w:sz w:val="13"/>
                <w:szCs w:val="13"/>
                <w:color w:val="auto"/>
              </w:rPr>
              <w:t>Restricted cash included in other assets</w:t>
            </w:r>
          </w:p>
        </w:tc>
        <w:tc>
          <w:tcPr>
            <w:tcW w:w="16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7"/>
        </w:trPr>
        <w:tc>
          <w:tcPr>
            <w:tcW w:w="5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settlement assets</w:t>
            </w:r>
          </w:p>
        </w:tc>
        <w:tc>
          <w:tcPr>
            <w:tcW w:w="16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25,602</w:t>
            </w:r>
          </w:p>
        </w:tc>
        <w:tc>
          <w:tcPr>
            <w:tcW w:w="10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17,929</w:t>
            </w:r>
          </w:p>
        </w:tc>
        <w:tc>
          <w:tcPr>
            <w:tcW w:w="0" w:type="dxa"/>
            <w:vAlign w:val="bottom"/>
          </w:tcPr>
          <w:p>
            <w:pPr>
              <w:spacing w:after="0"/>
              <w:rPr>
                <w:sz w:val="1"/>
                <w:szCs w:val="1"/>
                <w:color w:val="auto"/>
              </w:rPr>
            </w:pPr>
          </w:p>
        </w:tc>
      </w:tr>
      <w:tr>
        <w:trPr>
          <w:trHeight w:val="176"/>
        </w:trPr>
        <w:tc>
          <w:tcPr>
            <w:tcW w:w="5520" w:type="dxa"/>
            <w:vAlign w:val="bottom"/>
          </w:tcPr>
          <w:p>
            <w:pPr>
              <w:ind w:left="20"/>
              <w:spacing w:after="0"/>
              <w:rPr>
                <w:sz w:val="20"/>
                <w:szCs w:val="20"/>
                <w:color w:val="auto"/>
              </w:rPr>
            </w:pPr>
            <w:r>
              <w:rPr>
                <w:rFonts w:ascii="Arial" w:cs="Arial" w:eastAsia="Arial" w:hAnsi="Arial"/>
                <w:sz w:val="13"/>
                <w:szCs w:val="13"/>
                <w:color w:val="auto"/>
              </w:rPr>
              <w:t>Total cash, cash equivalents and restricted cash</w:t>
            </w:r>
          </w:p>
        </w:tc>
        <w:tc>
          <w:tcPr>
            <w:tcW w:w="1660" w:type="dxa"/>
            <w:vAlign w:val="bottom"/>
            <w:tcBorders>
              <w:bottom w:val="single" w:sz="8" w:color="auto"/>
            </w:tcBorders>
          </w:tcPr>
          <w:p>
            <w:pPr>
              <w:jc w:val="right"/>
              <w:ind w:right="151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148,069</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1077"/>
              <w:spacing w:after="0"/>
              <w:rPr>
                <w:sz w:val="20"/>
                <w:szCs w:val="20"/>
                <w:color w:val="auto"/>
              </w:rPr>
            </w:pPr>
            <w:r>
              <w:rPr>
                <w:rFonts w:ascii="Arial" w:cs="Arial" w:eastAsia="Arial" w:hAnsi="Arial"/>
                <w:sz w:val="13"/>
                <w:szCs w:val="13"/>
                <w:color w:val="auto"/>
                <w:w w:val="82"/>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92,023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auto"/>
        </w:rPr>
        <w:t>NOTE 1 – GENERAL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and enterprises on a per-active-member basis.</w:t>
      </w:r>
    </w:p>
    <w:p>
      <w:pPr>
        <w:spacing w:after="0" w:line="141"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Expensify also offers an Expensify card ("Expensify Card"), which is primarily distributed to large corporate customers in the United States ("U.S.") that subsequently distribute the card to their employees for business use. The Expensify Card allows customers to have real-time control over their employees' spending and compliance with spending limits in addition to eReceipt reporting on purchases.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accompanying condensed consolidated financial statements include the accounts of Expensify and its wholly-owned subsidiaries (the "Company") and have been prepared in accordance with United States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2021 ("2021 Annual Report").</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spacing w:after="0" w:line="12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Results of operations for the three and nine months ended September 30, 2022 are not necessarily indicative of the results that may be expected for the year ending December 31, 2022 or for any other future annual or interim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18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On October 27, 2021, the Company effected a ten-for-one stock split of its common stock. All share and per share information has been retroactively adjusted to reflect the stock split for all prior periods presented.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could differ from those estimates. Changes in estimates are recorded in the period in which they become known.</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Significant estimates and assumptions by management affect the Company’s revenues, classification of employee and employee-related expenses, the useful lives and recoverability of long-lived assets, income taxes, capitalization of internal-use software costs, and stock-based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Significant Accounting Policies</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significant accounting policies are discussed in Note 2 of the 2021 Annual Report. Since the date of the 2021 Annual Report, there have been no material changes to the Company's significant accounting policies, including the status of recent accounting pronouncements adopted, other than those detailed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8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Restricted cash includes amounts deposited with a commercial bank required as collateral for corporate credit cards issued by the respective commercial bank in the U.S. and United Kingdom, cash in transit for funds held for customers to the Company's Payment Processor, Expensify Card collateral for funds held for customers, cash held by Expensify.org for social justice and equity efforts of Expensify.org, cash held on behalf of service providers to be used towards service provider share purchases at the end of the Matching Plan (as defined in Note</w:t>
      </w:r>
    </w:p>
    <w:p>
      <w:pPr>
        <w:spacing w:after="0" w:line="1" w:lineRule="exact"/>
        <w:rPr>
          <w:sz w:val="20"/>
          <w:szCs w:val="20"/>
          <w:color w:val="auto"/>
        </w:rPr>
      </w:pPr>
    </w:p>
    <w:p>
      <w:pPr>
        <w:ind w:right="720" w:firstLine="8"/>
        <w:spacing w:after="0" w:line="261" w:lineRule="auto"/>
        <w:tabs>
          <w:tab w:leader="none" w:pos="21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period, and settlement assets for funds held for customers that are deposited into a commercial bank account held by the Company for the benefit of the customers until remitted to the customers' members.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June 2016, the Financial Accounting Standards Board issued Accounting Standards Update ("ASU") No. 2016-13, </w:t>
      </w:r>
      <w:r>
        <w:rPr>
          <w:rFonts w:ascii="Arial" w:cs="Arial" w:eastAsia="Arial" w:hAnsi="Arial"/>
          <w:sz w:val="18"/>
          <w:szCs w:val="18"/>
          <w:i w:val="1"/>
          <w:iCs w:val="1"/>
          <w:color w:val="auto"/>
        </w:rPr>
        <w:t>Financial Instruments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(Topic 326)</w:t>
      </w:r>
      <w:r>
        <w:rPr>
          <w:rFonts w:ascii="Arial" w:cs="Arial" w:eastAsia="Arial" w:hAnsi="Arial"/>
          <w:sz w:val="18"/>
          <w:szCs w:val="18"/>
          <w:i w:val="1"/>
          <w:iCs w:val="1"/>
          <w:color w:val="auto"/>
        </w:rPr>
        <w:t xml:space="preserve"> Measurement of Credit Losses on Financial Instruments</w:t>
      </w:r>
      <w:r>
        <w:rPr>
          <w:rFonts w:ascii="Arial" w:cs="Arial" w:eastAsia="Arial" w:hAnsi="Arial"/>
          <w:sz w:val="18"/>
          <w:szCs w:val="18"/>
          <w:color w:val="auto"/>
        </w:rPr>
        <w:t>, which requires an impairment model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expected credit loss or "CECL Model") that is based on expected rather than incurred losses, with an anticipated result of more timely loss recognition. The CECL Model requires measurement of expected credit losses not only based on historical experience and current conditions, but also by including reasonable and supportable forecasts incorporating forward-looking information. As the Company will no longer qualify as an emerging growth company, as defined in the Jumpstart Our Business Startups Act of 2012, as of December 31, 2022, the guidance will be effective for the Company beginning with the annual reporting period ended December 31, 2022 and interim periods presented therein. The adoption of this ASU is not expected to have a material impact on the Company's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2" w:lineRule="exact"/>
        <w:rPr>
          <w:sz w:val="20"/>
          <w:szCs w:val="20"/>
          <w:color w:val="auto"/>
        </w:rPr>
      </w:pPr>
    </w:p>
    <w:p>
      <w:pPr>
        <w:ind w:right="2080"/>
        <w:spacing w:after="0" w:line="262" w:lineRule="auto"/>
        <w:rPr>
          <w:sz w:val="20"/>
          <w:szCs w:val="20"/>
          <w:color w:val="auto"/>
        </w:rPr>
      </w:pPr>
      <w:r>
        <w:rPr>
          <w:rFonts w:ascii="Arial" w:cs="Arial" w:eastAsia="Arial" w:hAnsi="Arial"/>
          <w:sz w:val="29"/>
          <w:szCs w:val="29"/>
          <w:color w:val="auto"/>
        </w:rPr>
        <w:t>NOTE 2 - REVENUE AND CERTAIN STATEMENTS OF OPERATIONS COMPONENTS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geographic region, based on user address, was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6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91,466</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102,471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No individual customer represented more than 10% of the Company’s total revenue during the three and nine months ended September 30, 2022 and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Cashback Rewards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offers a cashback rewards program to all customers based on volume of Expensify Card transactions and Software as a Service ("SaaS") subscription tier. Cashback rewards are earned on a monthly basis and paid out the following month. The Company considers the cashback payments to customers as consideration payable to a customer and is recorded as contra revenue within Revenue on the condensed consolidated statements of operations. Cashback rewards for the three months ended September 30, 2022 and 2021 was $0.8 million and $0.3 million, respectively. Cashback rewards for the nine months ended September 30, 2022 and 2021 was $2.0 million and $0.3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From a Vendor, Net</w:t>
      </w:r>
    </w:p>
    <w:p>
      <w:pPr>
        <w:spacing w:after="0" w:line="16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 receives consideration from a vendor for monetizing Expensify Card activities. This consideration, net of credit card processing fees paid to the vendor, is included as a reduction to Cost of revenue, net within the condensed consolidated statements of operations. Consideration from a vendor, net for the three months ended September 30, 2022 and 2021 was $1.7 million and $0.8 million, respectively. Consideration from a vendor, net for the nine months ended September 30, 2022 and 2021 was $4.4 million and $1.9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color w:val="auto"/>
        </w:rPr>
        <w:t>NOTE 3 - CERTAIN BALANCE SHEET COMPONENTS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Expensify.org restricted cash</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5,402</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Expensify Card posted collateral for funds held for customers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6,622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5,115</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 transit for funds held for customers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Payments LLC restricted cash</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Income tax receivable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4,797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5,412</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escrow and other restricted cash</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21,247</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33"/>
        </w:trPr>
        <w:tc>
          <w:tcPr>
            <w:tcW w:w="7900" w:type="dxa"/>
            <w:vAlign w:val="bottom"/>
          </w:tcPr>
          <w:p>
            <w:pPr>
              <w:spacing w:after="0"/>
              <w:rPr>
                <w:sz w:val="20"/>
                <w:szCs w:val="20"/>
                <w:color w:val="auto"/>
              </w:rPr>
            </w:pPr>
            <w:r>
              <w:rPr>
                <w:rFonts w:ascii="Arial" w:cs="Arial" w:eastAsia="Arial" w:hAnsi="Arial"/>
                <w:sz w:val="18"/>
                <w:szCs w:val="18"/>
                <w:b w:val="1"/>
                <w:bCs w:val="1"/>
                <w:color w:val="auto"/>
              </w:rPr>
              <w:t>Capitalized Software, Net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1"/>
        </w:trPr>
        <w:tc>
          <w:tcPr>
            <w:tcW w:w="7900" w:type="dxa"/>
            <w:vAlign w:val="bottom"/>
          </w:tcPr>
          <w:p>
            <w:pPr>
              <w:spacing w:after="0"/>
              <w:rPr>
                <w:sz w:val="20"/>
                <w:szCs w:val="20"/>
                <w:color w:val="auto"/>
              </w:rPr>
            </w:pPr>
            <w:r>
              <w:rPr>
                <w:rFonts w:ascii="Arial" w:cs="Arial" w:eastAsia="Arial" w:hAnsi="Arial"/>
                <w:sz w:val="18"/>
                <w:szCs w:val="18"/>
                <w:color w:val="auto"/>
              </w:rPr>
              <w:t>Capitalized software, net consisted of the following (in thousands):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3"/>
        </w:trPr>
        <w:tc>
          <w:tcPr>
            <w:tcW w:w="7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96"/>
        </w:trPr>
        <w:tc>
          <w:tcPr>
            <w:tcW w:w="7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8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Amortization expense related to capitalized software development costs is recorded in Cost of revenue, net on the condensed consolidated statements of operations. Amortization expense was $0.6 million and $0.7 million for the three months ended September 30, 2022 and 2021, respectively. Amortization expense was $2.0 million and $1.5 million for the nine months ended September 30, 2022 and 2021,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6,493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Depreciation expense related to property and equipment is recorded in General and administrative on the condensed consolidated statements of operations. Depreciation expense related to property and equipment for the three months ended September 30, 2022 and 2021 was $0.5 million and $0.5 million, respectively. Depreciation expense related to property and equipment for the nine months ended September 30, 2022 and 2021 was $1.5 million and $1.6 million, respectively.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 reports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Partner payouts and advertising fees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Hosting and license fees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Credit card processing fees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Sales, payroll and other taxes payable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4,936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Cashback rewards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common stock liability for early stock option exercises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Matching plan payroll liability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11,046</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auto"/>
        </w:rPr>
        <w:t>NOTE 4 -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and Operating Lease Arrangements</w:t>
      </w:r>
    </w:p>
    <w:p>
      <w:pPr>
        <w:spacing w:after="0" w:line="18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Company did not enter into any additional operating lease agreements or finance lease agreements to finance the acquisition of new property and equipment during the nine months ended September 30,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reflected in the condensed consolidated statements of operations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40" w:type="dxa"/>
            <w:vAlign w:val="bottom"/>
            <w:tcBorders>
              <w:top w:val="single" w:sz="8" w:color="auto"/>
            </w:tcBorders>
          </w:tcPr>
          <w:p>
            <w:pPr>
              <w:spacing w:after="0"/>
              <w:rPr>
                <w:sz w:val="19"/>
                <w:szCs w:val="19"/>
                <w:color w:val="auto"/>
              </w:rPr>
            </w:pPr>
          </w:p>
        </w:tc>
        <w:tc>
          <w:tcPr>
            <w:tcW w:w="2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1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198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finance lease cost</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r>
      <w:tr>
        <w:trPr>
          <w:trHeight w:val="20"/>
        </w:trPr>
        <w:tc>
          <w:tcPr>
            <w:tcW w:w="4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was as follows (in thousands, except as noted within):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ROU asset (included within Lease right-of-use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Operating lease ROU asset (included within Lease right-of-use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30"/>
        </w:trPr>
        <w:tc>
          <w:tcPr>
            <w:tcW w:w="770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5.25 %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5.30 %</w:t>
            </w:r>
          </w:p>
        </w:tc>
        <w:tc>
          <w:tcPr>
            <w:tcW w:w="0" w:type="dxa"/>
            <w:vAlign w:val="bottom"/>
          </w:tcPr>
          <w:p>
            <w:pPr>
              <w:spacing w:after="0"/>
              <w:rPr>
                <w:sz w:val="1"/>
                <w:szCs w:val="1"/>
                <w:color w:val="auto"/>
              </w:rPr>
            </w:pPr>
          </w:p>
        </w:tc>
      </w:tr>
      <w:tr>
        <w:trPr>
          <w:trHeight w:val="54"/>
        </w:trPr>
        <w:tc>
          <w:tcPr>
            <w:tcW w:w="7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77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right"/>
              <w:ind w:right="35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54"/>
        </w:trPr>
        <w:tc>
          <w:tcPr>
            <w:tcW w:w="7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7700" w:type="dxa"/>
            <w:vAlign w:val="bottom"/>
          </w:tcPr>
          <w:p>
            <w:pPr>
              <w:spacing w:after="0"/>
              <w:rPr>
                <w:sz w:val="20"/>
                <w:szCs w:val="20"/>
                <w:color w:val="auto"/>
              </w:rPr>
            </w:pPr>
            <w:r>
              <w:rPr>
                <w:rFonts w:ascii="Arial" w:cs="Arial" w:eastAsia="Arial" w:hAnsi="Arial"/>
                <w:sz w:val="18"/>
                <w:szCs w:val="18"/>
                <w:color w:val="auto"/>
              </w:rPr>
              <w:t>Maturities of lease liabilities as of September 30, 2022 were as follows (in thousands):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Finance leases</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Operating leases</w:t>
            </w:r>
          </w:p>
        </w:tc>
        <w:tc>
          <w:tcPr>
            <w:tcW w:w="0" w:type="dxa"/>
            <w:vAlign w:val="bottom"/>
          </w:tcPr>
          <w:p>
            <w:pPr>
              <w:spacing w:after="0"/>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lease liabilities, current</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Mortgage</w:t>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August 2019, the Company entered into an $8.3 million amortizing term mortgage agreement with Canadian Imperial Bank of Commerce ("CIBC") for the Company's commercial building located in Portland, Oregon. The agreement requires principal and interest payments be made each month over a 30-year period. Interest accrues at a fixed rate of 5.00% per year until August 2024, at which point the interest rate changes to the Wall Street Journal Prime Rate less 0.25% for the remaining term of the mortgage. The borrowings are secured by the building. The outstanding balance of the amortizing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mortgage was $7.9 million and $8.0 million as of September 30, 2022 and December 31, 2021,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Amended Term Loan</w:t>
      </w:r>
    </w:p>
    <w:p>
      <w:pPr>
        <w:spacing w:after="0" w:line="166"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In September 2021, the Company amended and restated its loan and security agreement with CIBC ("2021 Amended Term Loan") to refinance the existing non-amortizing and amortizing term loans, establish a single term loan of up to $75.0 million, consisting of a</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$45.0 million initial term loan effective immediately with an option to enter into an additional $30.0 million delayed term loan, and increase the monthly revolving line of credit to $25.0 million. The term loan and revolving line of credit mature in September 2026 and September 2024, respectively. Approximately $23.5 million of the loan proceeds were used to immediately repay the remaining balances under the amortizing and non-amortizing term loans at the time of the amendment, as well as commitment fees and other debt issuance costs associated with the amendment. The remaining proceeds from the initial term loan were utilized to fund the Company's normal business operations.</w:t>
      </w:r>
    </w:p>
    <w:p>
      <w:pPr>
        <w:spacing w:after="0" w:line="12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Under the 2021 Amended Term Loan, the initial term loan of $45.0 million is payable over a 60 month period with principal and accrued interest payments due each quarter, commencing on September 30, 2021. The 2021 Amended Term Loan amortizes in equal quarterly installments of $0.1 million through September 30, 2024, $0.2 million beginning October 1, 2024 and $0.6 million beginning October 1, 2025, with any remaining principal balance due and payable on maturity. The amounts borrowed bear interest at the bank’s reference rate plus</w:t>
      </w:r>
    </w:p>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2.25% (8.50% as of September 30, 2022) beginning on September 30, 2021 and continuing on a quarterly basis through maturity of the term loan. The borrowings are secured by substantially all the Company’s assets. As of September 30, 2022 and December 31, 2021, the outstanding balance of the 2021 Amended Term Loan was $44.5 million and $44.9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Revolving Line of Credit</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line of credit agreement, as amended with the 2021 Amended Term Loan, provides borrowings up to $25.0 million. Borrowings under the line of credit bear interest at CIBC’s reference rate plus 1.00% (7.25% as of September 30, 2022) and are secured by substantially all of the Company’s assets. As of September 30, 2022 and December 31, 2021, there were $15.0 million of borrowings under the line of credit and $10.0 million of capacity available for additional borrowings.</w:t>
      </w:r>
    </w:p>
    <w:p>
      <w:pPr>
        <w:spacing w:after="0" w:line="13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connection with the amortizing term mortgage and the 2021 Amended Term Loan, the Company recorded an immaterial amount of debt issuance costs and the 2021 Amended Term Loan was subject to an original issuance discount. These amounts are being amortized to interest expense over the term of the respective agreements using the effective interest method. As of September 30, 2022 and December 31, 2021, unamortized original issuance discount and debt issuance costs remaining were $0.3 million and $0.2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Future aggregate annual principal payments on long-term debt as of September 30, 2022 is expected to be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9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42,355</w:t>
            </w:r>
          </w:p>
        </w:tc>
      </w:tr>
      <w:tr>
        <w:trPr>
          <w:trHeight w:val="23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7,190</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 payments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52,400</w:t>
            </w:r>
          </w:p>
        </w:tc>
      </w:tr>
      <w:tr>
        <w:trPr>
          <w:trHeight w:val="229"/>
        </w:trPr>
        <w:tc>
          <w:tcPr>
            <w:tcW w:w="9660" w:type="dxa"/>
            <w:vAlign w:val="bottom"/>
          </w:tcPr>
          <w:p>
            <w:pPr>
              <w:ind w:left="240"/>
              <w:spacing w:after="0"/>
              <w:rPr>
                <w:sz w:val="20"/>
                <w:szCs w:val="20"/>
                <w:color w:val="auto"/>
              </w:rPr>
            </w:pPr>
            <w:r>
              <w:rPr>
                <w:rFonts w:ascii="Arial" w:cs="Arial" w:eastAsia="Arial" w:hAnsi="Arial"/>
                <w:sz w:val="18"/>
                <w:szCs w:val="18"/>
                <w:color w:val="auto"/>
              </w:rPr>
              <w:t>Less: unamortized original issuance discount and debt issuance costs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current portion, net of unamortized original issuance discount and debt issuance costs</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Long-term debt, net of unamortized original issuance discount and debt issuance costs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51,572</w:t>
            </w:r>
          </w:p>
        </w:tc>
      </w:tr>
      <w:tr>
        <w:trPr>
          <w:trHeight w:val="46"/>
        </w:trPr>
        <w:tc>
          <w:tcPr>
            <w:tcW w:w="96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966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r>
    </w:tbl>
    <w:p>
      <w:pPr>
        <w:spacing w:after="0" w:line="24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of September 30, 2022, the Company was not in compliance with all debt covenants, specifically the covenant restricting the amount of transfers to Expensify Payments LLC and the covenant restricting the amount of repurchases of common stock, which includes our RSU net share settlements, each during the period. A waiver was obtained from CIBC. The Company does not believe non-compliance with these covenants had any material impact on the Company or its operations. The Company expects to be in compliance with all debt covenants by the end of the fiscal quarter ended December 31,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8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sponsors a U.S. 401(k) defined contribution plan for all eligible employees who elect to participate. The Company is permitted to make discretionary profit sharing and 401(k) matching contributions as defined in the plan and as approved by the Board of Directors. Effective January 1, 2018, the Company matches up to 4.50% of each eligible participant’s 401(k) contribution. The Company’s actual contribution may be reduced by certain available forfeitures, if any, during the plan year. No discretionary profit-sharing contributions were made during the three and nine months ended September 30, 2022 and 2021. The Company’s 401(k) matching contributions for the three months ended September 30, 2022 and 2021 were $0.2 million and $0.2 million, respectively. The Company’s 401(k) matching contributions for the nine months ended September 30, 2022 and 2021 were $0.6 million and $0.5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spacing w:after="0" w:line="1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of September 30, 2022, there were no legal contingency matters, either individually or in aggregate, that would have a material adverse effect on the Company’s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29"/>
          <w:szCs w:val="29"/>
          <w:color w:val="auto"/>
        </w:rPr>
        <w:t>NOTE 5 - STOCK INCENTIVE PLANS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and 2019 Stock Plans</w:t>
      </w:r>
    </w:p>
    <w:p>
      <w:pPr>
        <w:spacing w:after="0" w:line="18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2009, the Board of Directors approved the 2009 Stock Plan ("2009 Stock Plan"). As amended in 2015, the 2009 Stock Plan permitted the Company to grant up to 16,495,150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In January 2018, the Company increased the number of shares of common stock reserved under the 2009 Stock Plan by 535,130 shares, from 16,495,150 shares to 17,030,280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In September 2021, under the 2019 Stock Plan, the Board of Directors approved the grant of 8,679,380 restricted stock units under the 2019 Stock Plan, which covered of an aggregate of 4,339,690 shares of each of Class A and LT50 common stock effective immediately prior to the effectiveness of the Company's IPO Registration Statement on Form S-1 ("IPO Registration Statement") on November 9, 2021. On November 9, 2021, the Board of Directors amended and restated the 2019 Stock Plan to, among other things, increase the common stock reserved for issuance under the 2019 Stock Plan to an aggregate of 16,856,770 shares of Class A and LT50 common stock.</w:t>
      </w:r>
    </w:p>
    <w:p>
      <w:pPr>
        <w:spacing w:after="0" w:line="14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Following the completion of the initial public offering of the Company’s Class A common stock ("IPO"), the Company did not and does not intend to make any further grants under the Stock Plans. However, the Stock Plans will continue to govern the terms and conditions of the outstanding awards granted under the Stock Plans.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Plans</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November 2021, the Board of Directors adopted, and its stockholders approved, the 2021 Incentive Plans, which both became effective immediately before the effectiveness of the IPO Registration Statement and use a combined share reserve. Under the 2021 Incentive Plans, 12,453,532 shares of Class A common stock were initially reserved for issuance pursuant to a variety of stock-based awards, including incentive stock options, nonqualified stock options, stock appreciation rights ("SARs"), restricted stock awards ("RSAs"),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for issuance under the 2021 Incentive Plans as of September 30, 2022 and December 31, 2021 was 17,336,972 shares and 12,453,532 shares, respectively. The number of shares will automatically increase each subsequent January 1 through January 1, 2031, by the lesser of (A) 6% of the aggregate number of shares of all classes of common stock outstanding on the immediately preceding calendar year, or (B) such lesser number of shares as determined by the Company’s board of directors or compensation committee; provided, however, that no more than 87,576,990 shares of Class A common stock may be issued upon the exercise of incentive stock options.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Matching Plan</w:t>
      </w:r>
    </w:p>
    <w:p>
      <w:pPr>
        <w:spacing w:after="0" w:line="166"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The Matching Plan operates using consecutive three month offering periods that commenced on March 15, 2022. Employees, consultants and directors ("Service Providers") of the Company can participate in the Matching Plan by electing to contribute compensation through payroll deductions or from fee payments or may be granted discretionary awards under the Matching Plan. On the last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offering period the contributions made during the offering period are used to purchase shares of Class A common stock.</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by a service provider as well as any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Black-Scholes option-pricing model on the date of grant. The Company recognizes stock-based compensation expense related to the matched shares pursuant to its Matching Plan on a straight-line basis over the applicable three month offering period.</w:t>
      </w:r>
    </w:p>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Service Providers who participated in the Matching Plan for the offering period ended September 14, 2022 purchased a total of 73,959 Class A common shares, based on a purchase price of $16.70, resulting in gross cash proceeds to the Company of $1.2 million.</w:t>
      </w:r>
    </w:p>
    <w:p>
      <w:pPr>
        <w:spacing w:after="0" w:line="11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For the offering period ended September 14, 2022, the Company elected to match each share of Class A common stock purchased by or issued under the Matching Plan with 1/20 of a share of Class A common stock. During the three and nine months ended September 30, 2022, the Company granted 6,465 and 10,041 shares of Class A common stock under the Matching Plan,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September 24, 2021, under the 2019 Stock Plan, the Company approved the grant of Class A and LT50 common stock RSUs to Service Providers effective November 9, 2021, the date the Company amended its Certificate of Incorporation, to include, among other things, LT50 common stock. RSUs granted to Service Providers on November 9, 2021 that were approved in September 2021 vest upon the satisfaction of both a performance and service condition. The performance condition was satisfied immediately prior to the effectiveness of the IPO Registration Statement. The service condition is satisfied over eight years with 1/8 of the grant vesting on September 15, 2022 and quarterly vesting of 1/32 of the grant every December 15, March 15, June 15 and September 15 (each, a "Specified Quarterly Date") thereafter until fully vested, in each case subject to continued service to the Company. All RSUs granted to Service Providers after the IPO, under the 2021 Plan, have a service condition only, which is satisfied over eight years from the vesting commencement date corresponding to one of the Specified Quarterly Dates nearest the date of grant, with 1/8 of each grant vesting on the first anniversary of the vesting commencement date and 1/32 of each grant vesting in equal quarterly installments thereafter until fully vested, in each case, subject to continued service to the Company.</w:t>
      </w:r>
    </w:p>
    <w:p>
      <w:pPr>
        <w:spacing w:after="0" w:line="13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Pursuant to the Company's Non-Employee Director Compensation Program, which was adopted under the 2021 Incentive Plans, the Company granted 20,163 Class A common stock RSUs for the nine months ended September 30, 2022. A total of 6,945 Class A common RSUs vested during the nine months ended September 30, 2022 related to previously granted RSU awards as the quarterly service conditions were satisfied. There were no RSUs granted under this program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2022, RSU activity for Service Providers and non-employee directors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Weighted</w:t>
            </w:r>
          </w:p>
        </w:tc>
      </w:tr>
      <w:tr>
        <w:trPr>
          <w:trHeight w:val="135"/>
        </w:trPr>
        <w:tc>
          <w:tcPr>
            <w:tcW w:w="7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rPr>
              <w:t>average grant</w:t>
            </w:r>
          </w:p>
        </w:tc>
      </w:tr>
      <w:tr>
        <w:trPr>
          <w:trHeight w:val="162"/>
        </w:trPr>
        <w:tc>
          <w:tcPr>
            <w:tcW w:w="744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Class A</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LT50 Common</w:t>
            </w:r>
          </w:p>
        </w:tc>
        <w:tc>
          <w:tcPr>
            <w:tcW w:w="120" w:type="dxa"/>
            <w:vAlign w:val="bottom"/>
          </w:tcPr>
          <w:p>
            <w:pPr>
              <w:spacing w:after="0"/>
              <w:rPr>
                <w:sz w:val="14"/>
                <w:szCs w:val="14"/>
                <w:color w:val="auto"/>
              </w:rPr>
            </w:pPr>
          </w:p>
        </w:tc>
        <w:tc>
          <w:tcPr>
            <w:tcW w:w="1100" w:type="dxa"/>
            <w:vAlign w:val="bottom"/>
          </w:tcPr>
          <w:p>
            <w:pPr>
              <w:jc w:val="center"/>
              <w:ind w:right="58"/>
              <w:spacing w:after="0"/>
              <w:rPr>
                <w:sz w:val="20"/>
                <w:szCs w:val="20"/>
                <w:color w:val="auto"/>
              </w:rPr>
            </w:pPr>
            <w:r>
              <w:rPr>
                <w:rFonts w:ascii="Arial" w:cs="Arial" w:eastAsia="Arial" w:hAnsi="Arial"/>
                <w:sz w:val="14"/>
                <w:szCs w:val="14"/>
                <w:b w:val="1"/>
                <w:bCs w:val="1"/>
                <w:color w:val="auto"/>
              </w:rPr>
              <w:t>date fair value</w:t>
            </w:r>
          </w:p>
        </w:tc>
      </w:tr>
      <w:tr>
        <w:trPr>
          <w:trHeight w:val="189"/>
        </w:trPr>
        <w:tc>
          <w:tcPr>
            <w:tcW w:w="744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Common Stock</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Arial" w:cs="Arial" w:eastAsia="Arial" w:hAnsi="Arial"/>
                <w:sz w:val="14"/>
                <w:szCs w:val="14"/>
                <w:b w:val="1"/>
                <w:bCs w:val="1"/>
                <w:color w:val="auto"/>
              </w:rPr>
              <w:t>per share</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4,329,530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4,301,750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r>
      <w:tr>
        <w:trPr>
          <w:trHeight w:val="229"/>
        </w:trPr>
        <w:tc>
          <w:tcPr>
            <w:tcW w:w="744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63,223</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18.21</w:t>
            </w:r>
          </w:p>
        </w:tc>
      </w:tr>
      <w:tr>
        <w:trPr>
          <w:trHeight w:val="229"/>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(519,691)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30"/>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RSUs cancelled/forfeited/expired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(321,545)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w:t>
            </w:r>
          </w:p>
        </w:tc>
      </w:tr>
      <w:tr>
        <w:trPr>
          <w:trHeight w:val="248"/>
        </w:trPr>
        <w:tc>
          <w:tcPr>
            <w:tcW w:w="7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September 30,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3,551,517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3,472,842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360"/>
        <w:spacing w:after="0" w:line="254" w:lineRule="auto"/>
        <w:rPr>
          <w:sz w:val="20"/>
          <w:szCs w:val="20"/>
          <w:color w:val="auto"/>
        </w:rPr>
      </w:pPr>
      <w:r>
        <w:rPr>
          <w:rFonts w:ascii="Arial" w:cs="Arial" w:eastAsia="Arial" w:hAnsi="Arial"/>
          <w:sz w:val="18"/>
          <w:szCs w:val="18"/>
          <w:color w:val="auto"/>
        </w:rPr>
        <w:t>As of September 30, 2022, there was $218.2 million of unamortized stock-based compensation cost related to unvested RSUs, which is expected to be recognized over the remaining weighted average life of 6.43 years. As of December 31, 2021, there was $282.0 million of unamortized stock-based compensation cost related to unvested RSUs, which is expected to be recognized over the remaining weighted average life of 6.92 years.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Stock Plans and the 2021 Plan provide for the grant of incentive and nonstatutory stock options to employees, non-employee directors and consultants of the Company.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variable accounting. During the nine months ended September 30, 2022, the Company repurchased an immaterial amount of exercised restricted common stock. There were no repurchases of exercised restricted common stock during the nine months ended September 30, 2021.</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September 30, 2022 and December 31, 2021, there were 952,151 and 1,437,760 shares subject to repurchase, respectively, related to unvested stock options that had been early exercised. As of September 30, 2022 and December 31, 2021, the Company recorded a liability related to shares subject to repurchase of $1.5 million and $2.4 million, respectively, which is included within Accrued expenses and other liabilities in the accompanying condensed consolidated balance sheets. These amounts are reclassified to common stock and additional paid in capital as the underlying shares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4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exercise price per</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rPr>
              <w:t>share</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Outstanding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7,193,193</w:t>
            </w:r>
          </w:p>
        </w:tc>
        <w:tc>
          <w:tcPr>
            <w:tcW w:w="108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(406,739)</w:t>
            </w:r>
          </w:p>
        </w:tc>
        <w:tc>
          <w:tcPr>
            <w:tcW w:w="108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cancelled/forfeited/expired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(388,541)</w:t>
            </w:r>
          </w:p>
        </w:tc>
        <w:tc>
          <w:tcPr>
            <w:tcW w:w="1080" w:type="dxa"/>
            <w:vAlign w:val="bottom"/>
            <w:tcBorders>
              <w:bottom w:val="single" w:sz="8" w:color="CCEEFF"/>
            </w:tcBorders>
            <w:gridSpan w:val="2"/>
          </w:tcPr>
          <w:p>
            <w:pPr>
              <w:jc w:val="right"/>
              <w:ind w:right="78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September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6,397,913</w:t>
            </w:r>
          </w:p>
        </w:tc>
        <w:tc>
          <w:tcPr>
            <w:tcW w:w="10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ind w:left="60"/>
              <w:spacing w:after="0" w:line="203" w:lineRule="exact"/>
              <w:rPr>
                <w:sz w:val="20"/>
                <w:szCs w:val="20"/>
                <w:color w:val="auto"/>
              </w:rPr>
            </w:pPr>
            <w:r>
              <w:rPr>
                <w:rFonts w:ascii="Arial" w:cs="Arial" w:eastAsia="Arial" w:hAnsi="Arial"/>
                <w:sz w:val="18"/>
                <w:szCs w:val="18"/>
                <w:color w:val="auto"/>
              </w:rPr>
              <w:t>Exercisable at September 30, 2022</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6,205,173</w:t>
            </w:r>
          </w:p>
        </w:tc>
        <w:tc>
          <w:tcPr>
            <w:tcW w:w="1080" w:type="dxa"/>
            <w:vAlign w:val="bottom"/>
            <w:gridSpan w:val="2"/>
          </w:tcPr>
          <w:p>
            <w:pPr>
              <w:jc w:val="right"/>
              <w:ind w:right="788"/>
              <w:spacing w:after="0" w:line="203"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1.52</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total pretax intrinsic value of options exercised during the nine months ended September 30, 2022 and 2021 was $10.3 million and</w:t>
      </w:r>
    </w:p>
    <w:p>
      <w:pPr>
        <w:spacing w:after="0" w:line="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$80.2 million, respectively. The total pretax intrinsic value of options outstanding at September 30, 2022 and December 31, 2021 was $84.4 million and $302.8 million, respectively. The intrinsic value is the difference between the estimated fair market value of the Company’s common stock at the date of exercise and the exercise price for in-the-money options. No options were granted during the nine months ended September 30, 2022. The weighted average grant date fair value of options granted during the nine months ended September 30, 2021 was $4.85.</w:t>
      </w:r>
    </w:p>
    <w:p>
      <w:pPr>
        <w:spacing w:after="0" w:line="12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September 30, 2022, there was $9.4 million of unrecognized stock-based compensation cost related to unvested stock options, which is expected to be recognized over a weighted average period of 1.33 years. As of December 31, 2021, there was $13.2 million of unrecognized stock-based compensation cost related to unvested stock options, which is expected to be recognized over a weighted average period of 1.70 years.</w:t>
      </w:r>
    </w:p>
    <w:p>
      <w:pPr>
        <w:spacing w:after="0" w:line="13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Cash received from option exercises and purchases of shares under the Stock Plans for the nine months ended September 30, 2022 and 2021 was $0.7 million and $2.9 million,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following table summarizes the stock-based compensation expense recognized for options granted under the 2009 Stock Plan, options and RSUs granted under the 2019 Stock Plan, RSUs granted under the 2021 Plan and matching shares issued under the Matching Plan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Matching shares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897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41,793</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w:t>
            </w: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Stock-based compensation expense is allocated based on the cost center to which the award holder spent time during the reported periods. Stock-based compensation is included in the following components of expenses on the accompanying condensed consolidated statements of operations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960" w:type="dxa"/>
            <w:vAlign w:val="bottom"/>
            <w:tcBorders>
              <w:top w:val="single" w:sz="8" w:color="auto"/>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Stock-based compensation expense capitalized as internally developed software costs was $0.5 million and $0.3 million for the three months ended September 30, 2022 and 2021, respectively. Stock-based compensation expense capitalized as internally developed software costs was $1.1 million and $0.4 million for the nine months ended September 30, 2022 and 2021,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29"/>
          <w:szCs w:val="29"/>
          <w:color w:val="auto"/>
        </w:rPr>
        <w:t>NOTE 6 - INCOME TAXES</w:t>
      </w:r>
    </w:p>
    <w:p>
      <w:pPr>
        <w:spacing w:after="0" w:line="15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For the three and nine months ended September 30, 2022, the Company prepared its interim tax provision by applying a year-to-date effective tax rate. Use of the actual year-to-date effective tax rate commenced during the three months ended September 30, 2021 and the Company believes that continuing to use the actual year-to-date effective tax rate going forward results in the best estimate of the annual effective tax rate.</w:t>
      </w:r>
    </w:p>
    <w:p>
      <w:pPr>
        <w:spacing w:after="0" w:line="136"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For the three months ended September 30, 2022 and 2021, the Company recorded a provision for income taxes of $0.2 million and a benefit for income taxes of $3.6 million, respectively, which resulted in effective tax rates of (1.9)% and 35.8%, respectively.</w:t>
      </w:r>
    </w:p>
    <w:p>
      <w:pPr>
        <w:spacing w:after="0" w:line="13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For the nine months ended September 30, 2022 and 2021, the Company recorded a provision for income taxes of $3.9 million and a benefit for income taxes of $0.7 million, respectively, which resulted in effective tax rates of (19.5)% and (9.3)%, respectively.</w:t>
      </w:r>
    </w:p>
    <w:p>
      <w:pPr>
        <w:spacing w:after="0" w:line="117"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 principal reasons for the difference between the statutory rate and the effective rate for 2022 were primarily due to non-deductible stock-based compensation, as well as the change in the valuation allowance, Section 162(m) of the Internal Revenue Code ("IRC") compensation limitations and state taxes. The principal reasons for the difference between the statutory rate and the effective rate for 2021 were due to the effects of the excess tax benefit related to stock-based compensation as well as the rate differential for Expensify.org.</w:t>
      </w:r>
    </w:p>
    <w:p>
      <w:pPr>
        <w:spacing w:after="0" w:line="11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The Company follows the provisions of Accounting Standards Codification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September 30, 2022 and December 31, 2021, the Company recorded an uncertain tax position liability, exclusive of interest and penalties, of $1.1 million and $0.2 million respectively, within Other liabilities on the condensed consolidated balance sheets.</w:t>
      </w:r>
    </w:p>
    <w:p>
      <w:pPr>
        <w:spacing w:after="0" w:line="13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Company is subject to income taxes in U.S. federal and various state, local and foreign jurisdictions. The tax years ended December 2012 to December 2021 remain open to examination due to the carryover of unused net operating losses or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auto"/>
        </w:rPr>
        <w:t>NOTE 7 - NET (LOSS) INCOME PER SHARE</w:t>
      </w:r>
    </w:p>
    <w:p>
      <w:pPr>
        <w:spacing w:after="0" w:line="16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sets forth the computation of basic and diluted net (loss) income per share (in thousands, except share and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5"/>
        </w:trPr>
        <w:tc>
          <w:tcPr>
            <w:tcW w:w="46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(23,612)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income allocated to participating securities</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182"/>
        </w:trPr>
        <w:tc>
          <w:tcPr>
            <w:tcW w:w="4680" w:type="dxa"/>
            <w:vAlign w:val="bottom"/>
          </w:tcPr>
          <w:p>
            <w:pPr>
              <w:ind w:left="300"/>
              <w:spacing w:after="0" w:line="182" w:lineRule="exact"/>
              <w:rPr>
                <w:sz w:val="20"/>
                <w:szCs w:val="20"/>
                <w:color w:val="auto"/>
              </w:rPr>
            </w:pPr>
            <w:r>
              <w:rPr>
                <w:rFonts w:ascii="Arial" w:cs="Arial" w:eastAsia="Arial" w:hAnsi="Arial"/>
                <w:sz w:val="18"/>
                <w:szCs w:val="18"/>
                <w:color w:val="auto"/>
              </w:rPr>
              <w:t>Net (loss) income attributable to Class A, LT10 and</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15"/>
                <w:szCs w:val="15"/>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15"/>
                <w:szCs w:val="15"/>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(23,612)</w:t>
            </w:r>
          </w:p>
        </w:tc>
        <w:tc>
          <w:tcPr>
            <w:tcW w:w="100" w:type="dxa"/>
            <w:vAlign w:val="bottom"/>
          </w:tcPr>
          <w:p>
            <w:pPr>
              <w:spacing w:after="0"/>
              <w:rPr>
                <w:sz w:val="15"/>
                <w:szCs w:val="15"/>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195"/>
        </w:trPr>
        <w:tc>
          <w:tcPr>
            <w:tcW w:w="4680" w:type="dxa"/>
            <w:vAlign w:val="bottom"/>
          </w:tcPr>
          <w:p>
            <w:pPr>
              <w:ind w:left="460"/>
              <w:spacing w:after="0" w:line="190" w:lineRule="exact"/>
              <w:rPr>
                <w:sz w:val="20"/>
                <w:szCs w:val="20"/>
                <w:color w:val="auto"/>
              </w:rPr>
            </w:pPr>
            <w:r>
              <w:rPr>
                <w:rFonts w:ascii="Arial" w:cs="Arial" w:eastAsia="Arial" w:hAnsi="Arial"/>
                <w:sz w:val="18"/>
                <w:szCs w:val="18"/>
                <w:color w:val="auto"/>
              </w:rPr>
              <w:t>LT50 common stockholders, basic and diluted</w:t>
            </w:r>
          </w:p>
        </w:tc>
        <w:tc>
          <w:tcPr>
            <w:tcW w:w="2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20"/>
              <w:spacing w:after="0" w:line="201" w:lineRule="exact"/>
              <w:rPr>
                <w:sz w:val="20"/>
                <w:szCs w:val="20"/>
                <w:color w:val="auto"/>
              </w:rPr>
            </w:pPr>
            <w:r>
              <w:rPr>
                <w:rFonts w:ascii="Arial" w:cs="Arial" w:eastAsia="Arial" w:hAnsi="Arial"/>
                <w:sz w:val="18"/>
                <w:szCs w:val="18"/>
                <w:color w:val="auto"/>
              </w:rPr>
              <w:t>Weighted-average shares of common stock used to</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80" w:type="dxa"/>
            <w:vAlign w:val="bottom"/>
          </w:tcPr>
          <w:p>
            <w:pPr>
              <w:ind w:left="180"/>
              <w:spacing w:after="0" w:line="176" w:lineRule="exact"/>
              <w:rPr>
                <w:sz w:val="20"/>
                <w:szCs w:val="20"/>
                <w:color w:val="auto"/>
              </w:rPr>
            </w:pPr>
            <w:r>
              <w:rPr>
                <w:rFonts w:ascii="Arial" w:cs="Arial" w:eastAsia="Arial" w:hAnsi="Arial"/>
                <w:sz w:val="18"/>
                <w:szCs w:val="18"/>
                <w:color w:val="auto"/>
              </w:rPr>
              <w:t>compute net (loss) income per share attributable to</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180"/>
              <w:spacing w:after="0"/>
              <w:rPr>
                <w:sz w:val="20"/>
                <w:szCs w:val="20"/>
                <w:color w:val="auto"/>
              </w:rPr>
            </w:pPr>
            <w:r>
              <w:rPr>
                <w:rFonts w:ascii="Arial" w:cs="Arial" w:eastAsia="Arial" w:hAnsi="Arial"/>
                <w:sz w:val="18"/>
                <w:szCs w:val="18"/>
                <w:color w:val="auto"/>
              </w:rPr>
              <w:t>common stockholders, basic</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80,941,664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34,490,860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80,523,557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31,301,387</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warrants</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423,685</w:t>
            </w:r>
          </w:p>
        </w:tc>
        <w:tc>
          <w:tcPr>
            <w:tcW w:w="0" w:type="dxa"/>
            <w:vAlign w:val="bottom"/>
          </w:tcPr>
          <w:p>
            <w:pPr>
              <w:spacing w:after="0"/>
              <w:rPr>
                <w:sz w:val="1"/>
                <w:szCs w:val="1"/>
                <w:color w:val="auto"/>
              </w:rPr>
            </w:pPr>
          </w:p>
        </w:tc>
      </w:tr>
      <w:tr>
        <w:trPr>
          <w:trHeight w:val="229"/>
        </w:trPr>
        <w:tc>
          <w:tcPr>
            <w:tcW w:w="4680" w:type="dxa"/>
            <w:vAlign w:val="bottom"/>
          </w:tcPr>
          <w:p>
            <w:pPr>
              <w:ind w:left="180"/>
              <w:spacing w:after="0"/>
              <w:rPr>
                <w:sz w:val="20"/>
                <w:szCs w:val="20"/>
                <w:color w:val="auto"/>
              </w:rPr>
            </w:pPr>
            <w:r>
              <w:rPr>
                <w:rFonts w:ascii="Arial" w:cs="Arial" w:eastAsia="Arial" w:hAnsi="Arial"/>
                <w:sz w:val="18"/>
                <w:szCs w:val="18"/>
                <w:color w:val="auto"/>
              </w:rPr>
              <w:t>Dilutive effect of weighted average stock options</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9,727,808</w:t>
            </w:r>
          </w:p>
        </w:tc>
        <w:tc>
          <w:tcPr>
            <w:tcW w:w="0" w:type="dxa"/>
            <w:vAlign w:val="bottom"/>
          </w:tcPr>
          <w:p>
            <w:pPr>
              <w:spacing w:after="0"/>
              <w:rPr>
                <w:sz w:val="1"/>
                <w:szCs w:val="1"/>
                <w:color w:val="auto"/>
              </w:rPr>
            </w:pPr>
          </w:p>
        </w:tc>
      </w:tr>
      <w:tr>
        <w:trPr>
          <w:trHeight w:val="182"/>
        </w:trPr>
        <w:tc>
          <w:tcPr>
            <w:tcW w:w="46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Weighted-average shares of common stock used to</w:t>
            </w:r>
          </w:p>
        </w:tc>
        <w:tc>
          <w:tcPr>
            <w:tcW w:w="2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compute net (loss) income per share attributable to</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80,941,664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34,490,860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80,523,557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41,452,880</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common stockholders, diluted</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(loss) income per share attributable to Class A, LT10</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and LT50 common stockholders, basic</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Arial" w:cs="Arial" w:eastAsia="Arial" w:hAnsi="Arial"/>
                <w:sz w:val="18"/>
                <w:szCs w:val="18"/>
                <w:color w:val="auto"/>
              </w:rPr>
              <w:t>Net (loss) income per share attributable to Class A, LT10</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80" w:type="dxa"/>
            <w:vAlign w:val="bottom"/>
            <w:vMerge w:val="continue"/>
          </w:tcPr>
          <w:p>
            <w:pPr>
              <w:spacing w:after="0"/>
              <w:rPr>
                <w:sz w:val="12"/>
                <w:szCs w:val="12"/>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2"/>
                <w:szCs w:val="12"/>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2"/>
                <w:szCs w:val="12"/>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2"/>
                <w:szCs w:val="12"/>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95"/>
        </w:trPr>
        <w:tc>
          <w:tcPr>
            <w:tcW w:w="4680" w:type="dxa"/>
            <w:vAlign w:val="bottom"/>
          </w:tcPr>
          <w:p>
            <w:pPr>
              <w:ind w:left="180"/>
              <w:spacing w:after="0" w:line="190" w:lineRule="exact"/>
              <w:rPr>
                <w:sz w:val="20"/>
                <w:szCs w:val="20"/>
                <w:color w:val="auto"/>
              </w:rPr>
            </w:pPr>
            <w:r>
              <w:rPr>
                <w:rFonts w:ascii="Arial" w:cs="Arial" w:eastAsia="Arial" w:hAnsi="Arial"/>
                <w:sz w:val="18"/>
                <w:szCs w:val="18"/>
                <w:color w:val="auto"/>
              </w:rPr>
              <w:t>and LT50 common stockholders, diluted</w:t>
            </w:r>
          </w:p>
        </w:tc>
        <w:tc>
          <w:tcPr>
            <w:tcW w:w="2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10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10 month notice period for LT10 common stock and a 50 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weighted-average shares within each class of common stock during the period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resulting net (loss) income per share attributable to common stockholders will be the same for the Class A, LT10 and LT50 common stock on an individual or combined basis.</w:t>
      </w:r>
    </w:p>
    <w:p>
      <w:pPr>
        <w:spacing w:after="0" w:line="13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0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Three months ended September 30,</w:t>
            </w:r>
          </w:p>
        </w:tc>
        <w:tc>
          <w:tcPr>
            <w:tcW w:w="3220" w:type="dxa"/>
            <w:vAlign w:val="bottom"/>
            <w:tcBorders>
              <w:top w:val="single" w:sz="8" w:color="auto"/>
            </w:tcBorders>
            <w:gridSpan w:val="3"/>
          </w:tcPr>
          <w:p>
            <w:pPr>
              <w:jc w:val="right"/>
              <w:ind w:right="19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470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424,808</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Weighted-average stock options</w:t>
            </w:r>
          </w:p>
        </w:tc>
        <w:tc>
          <w:tcPr>
            <w:tcW w:w="1560" w:type="dxa"/>
            <w:vAlign w:val="bottom"/>
          </w:tcPr>
          <w:p>
            <w:pPr>
              <w:jc w:val="right"/>
              <w:spacing w:after="0"/>
              <w:rPr>
                <w:sz w:val="20"/>
                <w:szCs w:val="20"/>
                <w:color w:val="auto"/>
              </w:rPr>
            </w:pPr>
            <w:r>
              <w:rPr>
                <w:rFonts w:ascii="Arial" w:cs="Arial" w:eastAsia="Arial" w:hAnsi="Arial"/>
                <w:sz w:val="18"/>
                <w:szCs w:val="18"/>
                <w:color w:val="auto"/>
              </w:rPr>
              <w:t>5,211,342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5,868,372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5,941,182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shares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42,031,390</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42,031,390</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48,324,570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42,031,390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auto"/>
        </w:rPr>
        <w:t>NOTE 8 - EQUITY</w:t>
      </w:r>
    </w:p>
    <w:p>
      <w:pPr>
        <w:spacing w:after="0" w:line="1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May 10, 2022, the Executive Committee of our Board of Directors approved a share repurchase program with authorization to purchase up to $ 50.0 million of shares of Class A common stock ("2022 Share Repurchase Program"). The Company may repurchase shares from time to time through open market purchases, in privately negotiated transactions or by other means, including the use of trading plans intended to qualify under Rule 10b5-1 of the Securities Exchange Act of 1934 ("Exchange Act"),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2022 Share Repurchase Program does not obligate the Company to acquire any particular amount of Class A common stock, and the program may be suspended or terminated at any time by the Company at any time at its discretion without prior notice.</w:t>
      </w:r>
    </w:p>
    <w:p>
      <w:pPr>
        <w:spacing w:after="0" w:line="14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During the three and nine months ended September 30, 2022, the Company did not repurchase any shares of Class A common stock under the 2022 Share Repurchase Program.</w:t>
      </w:r>
    </w:p>
    <w:p>
      <w:pPr>
        <w:spacing w:after="0" w:line="114" w:lineRule="exact"/>
        <w:rPr>
          <w:sz w:val="20"/>
          <w:szCs w:val="20"/>
          <w:color w:val="auto"/>
        </w:rPr>
      </w:pPr>
    </w:p>
    <w:p>
      <w:pPr>
        <w:spacing w:after="0"/>
        <w:rPr>
          <w:sz w:val="20"/>
          <w:szCs w:val="20"/>
          <w:color w:val="auto"/>
        </w:rPr>
      </w:pPr>
      <w:r>
        <w:rPr>
          <w:rFonts w:ascii="Arial" w:cs="Arial" w:eastAsia="Arial" w:hAnsi="Arial"/>
          <w:sz w:val="29"/>
          <w:szCs w:val="29"/>
          <w:color w:val="auto"/>
        </w:rPr>
        <w:t>NOTE 9 - RELATED PARTY TRANSACTIONS</w:t>
      </w:r>
    </w:p>
    <w:p>
      <w:pPr>
        <w:spacing w:after="0" w:line="1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nine months ended September 30, 2022, Expensify, Inc. contributed $2.3 million to its wholly-owned subsidiary, Expensify.org, a nonprofit benefit organization established by the Company. There was an immaterial amount of contributions from Expensify, Inc. to Expensify.org during the nine months ended September 30, 2021. There was an immaterial amount of commitments from Expensify, Inc. that remained open for contribution as of September 30, 2022.</w:t>
      </w:r>
    </w:p>
    <w:p>
      <w:pPr>
        <w:spacing w:after="0" w:line="13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There are no other significant related party transactions for the Company as of September 30, 2022, except as noted elsewhere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80"/>
        <w:spacing w:after="0" w:line="252" w:lineRule="auto"/>
        <w:rPr>
          <w:sz w:val="20"/>
          <w:szCs w:val="20"/>
          <w:color w:val="auto"/>
        </w:rPr>
      </w:pPr>
      <w:r>
        <w:rPr>
          <w:rFonts w:ascii="Arial" w:cs="Arial" w:eastAsia="Arial" w:hAnsi="Arial"/>
          <w:sz w:val="29"/>
          <w:szCs w:val="29"/>
          <w:color w:val="auto"/>
        </w:rPr>
        <w:t>Item 2. Management's Discussion and Analysis of Financial Condition and Results of Operations</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December 31, 2021 ("2021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2021 Annual Report and under Part II, Item 1A. "Risk Factors" in our Q2 2022 Form 10-Q and included elsewhere in this Quarterly Report on Form 10-Q. See "Special Note Regarding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1.2 billion expense transactions on our platform as of September 30, 2022, freeing people to spend less time managing expenses and more time doing the things they love. For the quarter ended September 30, 2022, an average of 761,000 paid members across 200 countries and territories used Expensify to make money easy.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8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business and the operations of our customers, the majority of which are small and medium businesses (“SMBs”), have been disrupted by the COVID-19 pandemic. For example, after a steady increase in paid members over multiple years, the average number of paid members on our platform declined in 2020. However, while the full lasting impact of the COVID-19 pandemic on the global economy and SMBs in particular remains uncertain, we have seen our average paid members increase to levels that surpass those of March 2020 when the pandemic began as economies have reopened and business travel resumed.</w:t>
      </w:r>
    </w:p>
    <w:p>
      <w:pPr>
        <w:spacing w:after="0" w:line="1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See the section titled “Risk Factors” in our 2021 Annual Report for further discussion of the possible impact of the COVID-19 pandemic on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29"/>
          <w:szCs w:val="29"/>
          <w:color w:val="auto"/>
        </w:rPr>
        <w:t>Key Business Metrics and Non-GAAP Financial Measures</w:t>
      </w:r>
    </w:p>
    <w:p>
      <w:pPr>
        <w:spacing w:after="0" w:line="16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regularly review the following key business metrics and non-United States generally accepted accounting principles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believe that our ability to increase the number of paid members on our platform will drive our success as a business. Companies pay for subscriptions on behalf of employees and contractors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 xml:space="preserve">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SMBs or sole proprietors with only one employee, the business owner may also be the only paid member.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Paid members</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September 30, 2021</w:t>
            </w:r>
          </w:p>
        </w:tc>
        <w:tc>
          <w:tcPr>
            <w:tcW w:w="156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54"/>
        </w:trPr>
        <w:tc>
          <w:tcPr>
            <w:tcW w:w="9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Non-GAAP Financial Measures</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define adjusted EBITDA as net income from operations excluding the provision for income taxes, interest and other expenses, net, depreciation and amortization and stock-based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196"/>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8,970</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(6,523)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31,333</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16,410</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and Non-GAAP Net Income Margin</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define non-GAAP net income as net (loss) income from operations in accordance with GAAP excluding stock-based compensation and bonus costs related to our initial public offering ("IPO"), which we consider to be the discretionary cash bonuses paid to our employees during 2021. Refer to Part II, Item 7. "Management's Discussion and Analysis of Financial Conditions and Results of Operations—Liquidity and Capital Resources" in our 2021 Annual Report for further detail over the discretionary cash bonuses paid to employees in 2021.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and the one-time IPO-related discretionary cash bonus costs. Both expenses are not considered indicative of the core operating performance of our business. IPO-related bonus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impacted the second, third and fourth fiscal quarters of 2021, but are not expected to impact future periods beginning with the first quarter of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196"/>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5,122</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20,838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18,181</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45,049</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Non-GAAP net income margin</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44 %</w:t>
            </w: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4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196"/>
        </w:trPr>
        <w:tc>
          <w:tcPr>
            <w:tcW w:w="4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(6,345)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(23,612)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8,329</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Net (loss) income margin</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44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(706)</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2,560</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4,072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3,732</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13,364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41,793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2,495</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(6,523)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31,333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16,410</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4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478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20"/>
        </w:trPr>
        <w:tc>
          <w:tcPr>
            <w:tcW w:w="4780" w:type="dxa"/>
            <w:vAlign w:val="bottom"/>
            <w:gridSpan w:val="2"/>
          </w:tcPr>
          <w:p>
            <w:pPr>
              <w:spacing w:after="0"/>
              <w:rPr>
                <w:sz w:val="20"/>
                <w:szCs w:val="20"/>
                <w:color w:val="auto"/>
              </w:rPr>
            </w:pPr>
            <w:r>
              <w:rPr>
                <w:rFonts w:ascii="Arial" w:cs="Arial" w:eastAsia="Arial" w:hAnsi="Arial"/>
                <w:sz w:val="18"/>
                <w:szCs w:val="18"/>
                <w:i w:val="1"/>
                <w:iCs w:val="1"/>
                <w:color w:val="auto"/>
              </w:rPr>
              <w:t>Non-GAAP Net Income and Non-GAAP Net Income Margin</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3"/>
        </w:trPr>
        <w:tc>
          <w:tcPr>
            <w:tcW w:w="4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spacing w:after="0"/>
              <w:rPr>
                <w:sz w:val="15"/>
                <w:szCs w:val="15"/>
                <w:color w:val="auto"/>
              </w:rPr>
            </w:pPr>
          </w:p>
        </w:tc>
      </w:tr>
      <w:tr>
        <w:trPr>
          <w:trHeight w:val="196"/>
        </w:trPr>
        <w:tc>
          <w:tcPr>
            <w:tcW w:w="4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1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4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196"/>
        </w:trPr>
        <w:tc>
          <w:tcPr>
            <w:tcW w:w="4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5"/>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(6,345)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(23,612)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8,329</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Net (loss) income margin</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19"/>
                <w:szCs w:val="19"/>
                <w:color w:val="auto"/>
              </w:rPr>
            </w:pP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13,364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41,793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2,495</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IPO-related bonus expense</w:t>
            </w:r>
          </w:p>
        </w:tc>
        <w:tc>
          <w:tcPr>
            <w:tcW w:w="4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26,286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34,225</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net income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5,122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20,838</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18,181</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45,049</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margin</w:t>
            </w:r>
          </w:p>
        </w:tc>
        <w:tc>
          <w:tcPr>
            <w:tcW w:w="4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9"/>
          <w:szCs w:val="29"/>
          <w:color w:val="auto"/>
        </w:rPr>
        <w:t>Components of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generate revenue from subscription fees based on the usage of our expense reporting cloud-based platform under arrangements paid monthly in arrears that are either month-to-month that can be terminated by either party without penalty at any time or annual arrangements based on a minimum</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number of monthly members. Annual subscription customers who wish to terminate their contracts before the end of the term are required to pay the remaining obligation in full plus any fees or penalties set forth in the agreement.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began offering a cashback rewards program to all customers based on volume of Expensify Card transactions and Software as a Service ("SaaS") subscription tier in August 2021. Cashback rewards are earned on a monthly basis and are paid out the following month. We consider our cashback payments to customers as consideration payable to a customer, and the payments are recorded as contra revenue within Revenue on the condensed consolidated statements of operations. We also record a cashback rewards liability that represents the consideration payable to customers for earned cashback rewards. The cashback rewards fluctuate over time as customers meet eligibility requirements in conjunction with the applicable SaaS subscription tier of each customer and the timing of payments made to customers.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w:t>
      </w:r>
    </w:p>
    <w:p>
      <w:pPr>
        <w:spacing w:after="0" w:line="1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Cost of revenue, net primarily consists of expenses related to hosting our service, including the costs of data center capacity, credit card processing fees, third-party software license fees, outsourcing costs to support customer service and outsourcing costs to support and process our patented scanning technology SmartScan,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3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less the amount retained by the vendor (our remainder portion, "Expensify interchange amount"). The vendor also charges us fees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net," a contra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expense in Cost of revenue, net. The following summarizes these various amounts for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Borders>
              <w:top w:val="single" w:sz="8" w:color="auto"/>
            </w:tcBorders>
          </w:tcPr>
          <w:p>
            <w:pPr>
              <w:spacing w:after="0"/>
              <w:rPr>
                <w:sz w:val="19"/>
                <w:szCs w:val="19"/>
                <w:color w:val="auto"/>
              </w:rPr>
            </w:pPr>
          </w:p>
        </w:tc>
        <w:tc>
          <w:tcPr>
            <w:tcW w:w="2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960" w:type="dxa"/>
            <w:vAlign w:val="bottom"/>
            <w:tcBorders>
              <w:top w:val="single" w:sz="8" w:color="auto"/>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196"/>
        </w:trPr>
        <w:tc>
          <w:tcPr>
            <w:tcW w:w="4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gridSpan w:val="6"/>
          </w:tcPr>
          <w:p>
            <w:pPr>
              <w:ind w:left="11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interchange amount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Vendor fees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 from a vendor, net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Sales and marketing expenses primarily consist of personnel-related expenses, including stock-based compensation, advertising expenses,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any employee time allocated to administrative functions, including finance and accounting, legal and human resources. In addition to personnel-related expenses, general and administrative expenses consist of rent, utilities, depreciation on property and equipment, amortization of operating and finance lease right-of-use assets and external professional services, including accounting, audit, tax, finance, legal and compliance, human resources and information technology. We expect that general and administrative expenses will continue to increase as we scale our business and as we incur additional costs associated with being a publicly traded company, including legal, audit, business insurance and consulting fees.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8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Interest and other expenses, net, consist primarily of interest paid under our credit facilities with Canadian Imperial Bank of Commerce ("CIBC"). It also includes realized gains and losses on foreign currency transactions and foreign currency remeasurement.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114" w:lineRule="exact"/>
        <w:rPr>
          <w:sz w:val="20"/>
          <w:szCs w:val="20"/>
          <w:color w:val="auto"/>
        </w:rPr>
      </w:pPr>
    </w:p>
    <w:p>
      <w:pPr>
        <w:spacing w:after="0"/>
        <w:rPr>
          <w:sz w:val="20"/>
          <w:szCs w:val="20"/>
          <w:color w:val="auto"/>
        </w:rPr>
      </w:pPr>
      <w:r>
        <w:rPr>
          <w:rFonts w:ascii="Arial" w:cs="Arial" w:eastAsia="Arial" w:hAnsi="Arial"/>
          <w:sz w:val="29"/>
          <w:szCs w:val="29"/>
          <w:color w:val="auto"/>
        </w:rPr>
        <w:t>Results of Operations</w:t>
      </w:r>
    </w:p>
    <w:p>
      <w:pPr>
        <w:spacing w:after="0" w:line="16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102,471</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33,768</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68,703</w:t>
            </w: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35,827</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14,555</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line="168" w:lineRule="exact"/>
              <w:rPr>
                <w:sz w:val="20"/>
                <w:szCs w:val="20"/>
                <w:color w:val="auto"/>
              </w:rPr>
            </w:pPr>
            <w:r>
              <w:rPr>
                <w:rFonts w:ascii="Arial" w:cs="Arial" w:eastAsia="Arial" w:hAnsi="Arial"/>
                <w:sz w:val="18"/>
                <w:szCs w:val="18"/>
                <w:color w:val="auto"/>
              </w:rPr>
              <w:t>Net (loss) income attributable to Class A, LT10 and LT50</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14"/>
                <w:szCs w:val="1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(23,612)</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08"/>
        </w:trPr>
        <w:tc>
          <w:tcPr>
            <w:tcW w:w="4680" w:type="dxa"/>
            <w:vAlign w:val="bottom"/>
          </w:tcPr>
          <w:p>
            <w:pPr>
              <w:ind w:left="180"/>
              <w:spacing w:after="0" w:line="203" w:lineRule="exact"/>
              <w:rPr>
                <w:sz w:val="20"/>
                <w:szCs w:val="20"/>
                <w:color w:val="auto"/>
              </w:rPr>
            </w:pPr>
            <w:r>
              <w:rPr>
                <w:rFonts w:ascii="Arial" w:cs="Arial" w:eastAsia="Arial" w:hAnsi="Arial"/>
                <w:sz w:val="18"/>
                <w:szCs w:val="18"/>
                <w:color w:val="auto"/>
              </w:rPr>
              <w:t>common stockholders</w:t>
            </w:r>
          </w:p>
        </w:tc>
        <w:tc>
          <w:tcPr>
            <w:tcW w:w="26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income per share attributable to Class A, LT10</w:t>
            </w: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LT50 common stockholders: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of common stock used to</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180"/>
              <w:spacing w:after="0" w:line="189" w:lineRule="exact"/>
              <w:rPr>
                <w:sz w:val="20"/>
                <w:szCs w:val="20"/>
                <w:color w:val="auto"/>
              </w:rPr>
            </w:pPr>
            <w:r>
              <w:rPr>
                <w:rFonts w:ascii="Arial" w:cs="Arial" w:eastAsia="Arial" w:hAnsi="Arial"/>
                <w:sz w:val="18"/>
                <w:szCs w:val="18"/>
                <w:color w:val="auto"/>
              </w:rPr>
              <w:t>compute net (loss) income per share attributable to</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180"/>
              <w:spacing w:after="0"/>
              <w:rPr>
                <w:sz w:val="20"/>
                <w:szCs w:val="20"/>
                <w:color w:val="auto"/>
              </w:rPr>
            </w:pPr>
            <w:r>
              <w:rPr>
                <w:rFonts w:ascii="Arial" w:cs="Arial" w:eastAsia="Arial" w:hAnsi="Arial"/>
                <w:sz w:val="18"/>
                <w:szCs w:val="18"/>
                <w:color w:val="auto"/>
              </w:rPr>
              <w:t>Class A, LT10 and LT50 common stockholders: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80,941,664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34,490,860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80,523,557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31,301,387</w:t>
            </w: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80,941,664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34,490,860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80,523,557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41,452,880</w:t>
            </w:r>
          </w:p>
        </w:tc>
        <w:tc>
          <w:tcPr>
            <w:tcW w:w="0" w:type="dxa"/>
            <w:vAlign w:val="bottom"/>
          </w:tcPr>
          <w:p>
            <w:pPr>
              <w:spacing w:after="0"/>
              <w:rPr>
                <w:sz w:val="1"/>
                <w:szCs w:val="1"/>
                <w:color w:val="auto"/>
              </w:rPr>
            </w:pPr>
          </w:p>
        </w:tc>
      </w:tr>
      <w:tr>
        <w:trPr>
          <w:trHeight w:val="20"/>
        </w:trPr>
        <w:tc>
          <w:tcPr>
            <w:tcW w:w="4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430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3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175"/>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 net</w:t>
            </w:r>
          </w:p>
        </w:tc>
        <w:tc>
          <w:tcPr>
            <w:tcW w:w="920" w:type="dxa"/>
            <w:vAlign w:val="bottom"/>
            <w:shd w:val="clear" w:color="auto" w:fill="CCEEFF"/>
          </w:tcPr>
          <w:p>
            <w:pPr>
              <w:jc w:val="right"/>
              <w:ind w:right="773"/>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14,278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w:t>
            </w:r>
          </w:p>
        </w:tc>
      </w:tr>
      <w:tr>
        <w:trPr>
          <w:trHeight w:val="182"/>
        </w:trPr>
        <w:tc>
          <w:tcPr>
            <w:tcW w:w="430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6,230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482</w:t>
            </w:r>
          </w:p>
        </w:tc>
      </w:tr>
      <w:tr>
        <w:trPr>
          <w:trHeight w:val="196"/>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1,118</w:t>
            </w:r>
          </w:p>
        </w:tc>
      </w:tr>
      <w:tr>
        <w:trPr>
          <w:trHeight w:val="18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Sales and marketing</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w:t>
            </w:r>
          </w:p>
        </w:tc>
      </w:tr>
      <w:tr>
        <w:trPr>
          <w:trHeight w:val="20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stock-based compensation expense</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13,364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41,793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2,495</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ind w:right="4320"/>
        <w:spacing w:after="0" w:line="451" w:lineRule="auto"/>
        <w:rPr>
          <w:sz w:val="20"/>
          <w:szCs w:val="20"/>
          <w:color w:val="auto"/>
        </w:rPr>
      </w:pPr>
      <w:r>
        <w:rPr>
          <w:rFonts w:ascii="Arial" w:cs="Arial" w:eastAsia="Arial" w:hAnsi="Arial"/>
          <w:sz w:val="18"/>
          <w:szCs w:val="18"/>
          <w:b w:val="1"/>
          <w:bCs w:val="1"/>
          <w:color w:val="auto"/>
        </w:rPr>
        <w:t xml:space="preserve">COMPARISON OF THE THREE MONTHS ENDED SEPTEMBER 30, 2022 AND 2021 </w:t>
      </w: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204"/>
        </w:trPr>
        <w:tc>
          <w:tcPr>
            <w:tcW w:w="4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7"/>
                <w:szCs w:val="17"/>
                <w:color w:val="auto"/>
              </w:rPr>
            </w:pPr>
          </w:p>
        </w:tc>
      </w:tr>
      <w:tr>
        <w:trPr>
          <w:trHeight w:val="196"/>
        </w:trPr>
        <w:tc>
          <w:tcPr>
            <w:tcW w:w="4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42,493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37,447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5,046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increased by $5.0 million, or 13%, for the three months ended September 30, 2022 compared to the same period in 2021, primarily due to (i) an increase in the number of paid members and reimbursement activity, which was the result of increased demand for business travel due to continued lifting of travel restrictions globally and higher rates of returning to office compared to the same period in 2021, and (ii) an increase in average fees per paid member due to an increase in the number of pay-per-use members, who have a higher average fee per member than our annual members, compared to the same period in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ind w:left="1060"/>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96"/>
        </w:trPr>
        <w:tc>
          <w:tcPr>
            <w:tcW w:w="4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4"/>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7"/>
                <w:szCs w:val="17"/>
                <w:color w:val="auto"/>
              </w:rPr>
            </w:pPr>
          </w:p>
        </w:tc>
      </w:tr>
      <w:tr>
        <w:trPr>
          <w:trHeight w:val="235"/>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16,554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18,197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(1,643)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9"/>
                <w:szCs w:val="19"/>
                <w:color w:val="auto"/>
              </w:rPr>
            </w:pPr>
          </w:p>
        </w:tc>
        <w:tc>
          <w:tcPr>
            <w:tcW w:w="1400" w:type="dxa"/>
            <w:vAlign w:val="bottom"/>
          </w:tcPr>
          <w:p>
            <w:pPr>
              <w:jc w:val="right"/>
              <w:ind w:right="197"/>
              <w:spacing w:after="0"/>
              <w:rPr>
                <w:sz w:val="20"/>
                <w:szCs w:val="20"/>
                <w:color w:val="auto"/>
              </w:rPr>
            </w:pPr>
            <w:r>
              <w:rPr>
                <w:rFonts w:ascii="Arial" w:cs="Arial" w:eastAsia="Arial" w:hAnsi="Arial"/>
                <w:sz w:val="18"/>
                <w:szCs w:val="18"/>
                <w:color w:val="auto"/>
              </w:rPr>
              <w:t>25,939</w:t>
            </w:r>
          </w:p>
        </w:tc>
        <w:tc>
          <w:tcPr>
            <w:tcW w:w="320" w:type="dxa"/>
            <w:vAlign w:val="bottom"/>
          </w:tcPr>
          <w:p>
            <w:pPr>
              <w:spacing w:after="0"/>
              <w:rPr>
                <w:sz w:val="19"/>
                <w:szCs w:val="19"/>
                <w:color w:val="auto"/>
              </w:rPr>
            </w:pP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19,250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ind w:right="619"/>
              <w:spacing w:after="0"/>
              <w:rPr>
                <w:sz w:val="20"/>
                <w:szCs w:val="20"/>
                <w:color w:val="auto"/>
              </w:rPr>
            </w:pPr>
            <w:r>
              <w:rPr>
                <w:rFonts w:ascii="Arial" w:cs="Arial" w:eastAsia="Arial" w:hAnsi="Arial"/>
                <w:sz w:val="18"/>
                <w:szCs w:val="18"/>
                <w:color w:val="auto"/>
              </w:rPr>
              <w:t>6,689</w:t>
            </w:r>
          </w:p>
        </w:tc>
        <w:tc>
          <w:tcPr>
            <w:tcW w:w="112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Cost of revenue, net decreased by $1.6 million, or 9%, for the three months ended September 30, 2022 compared to the same period in 2021. Cost of revenue, net decreased primarily due to $9.0 million in IPO-related bonus costs impacting the three months ended September 30, 2021 and an increase in Consideration from a vendor, net, driven primarily by the increased adoption and spend captured from members using the Expensify Card, which reduced Cost of revenue, net by $1.7 million and $0.8 million for the three months ended September 30, 2022 and 2021, respectively. This was offset by the recognition of $4.7 million of stock-based compensation costs during the three months ended September 30, 2022 primarily related to the restricted stock units ("RSUs") granted in September and November of 2021 to employees directly engaged in supporting our customers and providing maintenance of our platform. Furthermore, the decrease was offset by a higher volume of payment processing fees directly related to an increase in reimbursement activity, increased efforts in support and implementation services, and increased outsourcing activities related to maintaining the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Gross margin increased to 61% for the three months ended September 30, 2022 compared to 51% in the same period in 2021 primarily due to the decrease in Cost of revenue, net due to the factors described in the preceding paragraph.</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3,416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2,167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1,249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Research and development expenses increased by $1.2 million, or 58%, for the three months ended September 30, 2022 compared to the same period in 2021, due the recognition of $ 1.9 million of stock-based compensation costs during the three months ended September 30, 2022 primarily related to the RSUs granted in September and November of 2021 to employees directly engaged in the planning and preliminary project stage and post-implementation stage of new products and features. Furthermore, Research and development expenses increased due to increased employee time spent in the planning and preliminary project stage and the post-implementation stage of new products and features due to an increase in employee focus on customer support and sales and marketing of recently developed products and services such as the Free Plan and our Expensify Card. These increases were partially offset by $2.2 million in IPO-related bonus costs impacting the three months ended September 30,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4"/>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5"/>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15,898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18,333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(2,435)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General and administrative expenses decreased by $ 2.4 million, or 13%, for the three months ended September 30, 2022 compared to the same period in 2021, primarily due to $10.4 million in IPO-related bonus costs impacting the three months ended September 30, 2021 offset by the recognition of $4.6 million of stock-based compensation costs during the three months ended September 30, 2022 primarily related to the RSUs granted in September and November of 2021 to employees directly engaged in general and administrative activities. The decrease was further offset by an increase of General and administrative expenses due to professional service costs incurred for accounting, auditing and legal services, insurance and other costs as a result of continued requirements as a public company compared to the same period in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8"/>
                <w:szCs w:val="18"/>
                <w:color w:val="auto"/>
              </w:rPr>
            </w:pPr>
          </w:p>
        </w:tc>
        <w:tc>
          <w:tcPr>
            <w:tcW w:w="1860" w:type="dxa"/>
            <w:vAlign w:val="bottom"/>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8"/>
                <w:szCs w:val="18"/>
                <w:color w:val="auto"/>
              </w:rPr>
            </w:pPr>
          </w:p>
        </w:tc>
      </w:tr>
      <w:tr>
        <w:trPr>
          <w:trHeight w:val="223"/>
        </w:trPr>
        <w:tc>
          <w:tcPr>
            <w:tcW w:w="4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3"/>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5"/>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12,342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7,608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4,734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54"/>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Sales and marketing expenses increased by $ 4.7 million, or 62%, for the three months ended September 30, 2022 compared to the same period in 2021, primarily due to an increase in advertising and marketing event spend to gain further brand awareness and increased employee focus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marketing initiatives related to our recently developed products and services such as the Free Plan and our Expensify Card. Additionally, Sales and marketing expenses were higher due to the recognition of $2.1 million of stock-based compensation costs during the three months ended September 30, 2022 primarily related to the RSUs granted in September and November of 2021 to employees directly engaged in sales and marketing activities. These increases were offset by $3.1 million in IPO-related bonus costs impacting the three months ended September 30,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5"/>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(2,369)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(1,315)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54"/>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Interest and other expenses, net increased by $1.3 million, or 125%, for the three months ended September 30, 2022 compared to the same period in 2021, due to increased foreign currency losses resulting from the strengthening U.S. dollar and increased interest expense incurred under the 2021 Amended Term Loan (as defined below) and revolving line of credit facility due to increases in CIBC's reference rate.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3,567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(3,723)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54"/>
        </w:trPr>
        <w:tc>
          <w:tcPr>
            <w:tcW w:w="4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recorded a provision for income taxes of $0.2 million during the three months ended September 30, 2022 compared to a benefit for income taxes of $3.6 million for the same period in 2021.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During the three months ended September 30, 2022, we reversed the deferred tax asset and related valuation allowance related to the restricted stock units that vested during the period. No valuation allowance was recorded during the three months ended September 30, 2021. The provision for income taxes reflects taxable income earned and taxed in U.S. federal and state and non-U.S. jurisdictions.</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three months ended September 30, 2022 and 2021, our effective income tax rate was (1.9)% and 35.8%, respectively. The effective income tax rate differs from the statutory rate in 2022 primarily due to nondeductible stock-based compensation as well as the change in valuation allowance, Section 162(m) compensation limitations and state taxes. The effective income tax rate differs from the statutory rate in 2021 primarily due to the effects of the excess tax benefit related to stock-based compensation as well as the rate differential for Expensify.org.</w:t>
      </w:r>
    </w:p>
    <w:p>
      <w:pPr>
        <w:spacing w:after="0" w:line="102" w:lineRule="exact"/>
        <w:rPr>
          <w:sz w:val="20"/>
          <w:szCs w:val="20"/>
          <w:color w:val="auto"/>
        </w:rPr>
      </w:pPr>
    </w:p>
    <w:p>
      <w:pPr>
        <w:ind w:right="4500"/>
        <w:spacing w:after="0" w:line="459" w:lineRule="auto"/>
        <w:rPr>
          <w:sz w:val="20"/>
          <w:szCs w:val="20"/>
          <w:color w:val="auto"/>
        </w:rPr>
      </w:pPr>
      <w:r>
        <w:rPr>
          <w:rFonts w:ascii="Arial" w:cs="Arial" w:eastAsia="Arial" w:hAnsi="Arial"/>
          <w:sz w:val="18"/>
          <w:szCs w:val="18"/>
          <w:b w:val="1"/>
          <w:bCs w:val="1"/>
          <w:color w:val="auto"/>
        </w:rPr>
        <w:t xml:space="preserve">COMPARISON OF THE NINE MONTHS ENDED SEPTEMBER 30, 2022 AND 2021 </w:t>
      </w: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126,026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102,471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23,555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increased by $23.6 million, or 23%, for the nine months ended September 30, 2022 compared to the same period in 2021, primarily due to (i) an increase in the number of paid members and reimbursement activity, which was the result of increased demand for business travel due to continued lifting of travel restrictions globally and higher rates of returning to office compared to the same period in 2021, and (ii) an increase in average fees per paid member due to an increase in the number of pay-per-use members, who have a higher average fee per member than our annual members, compared to the same period in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96"/>
        </w:trPr>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4"/>
          </w:tcPr>
          <w:p>
            <w:pPr>
              <w:jc w:val="right"/>
              <w:ind w:right="999"/>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7"/>
                <w:szCs w:val="17"/>
                <w:color w:val="auto"/>
              </w:rPr>
            </w:pPr>
          </w:p>
        </w:tc>
      </w:tr>
      <w:tr>
        <w:trPr>
          <w:trHeight w:val="23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46,564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33,768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12,796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9"/>
                <w:szCs w:val="19"/>
                <w:color w:val="auto"/>
              </w:rPr>
            </w:pPr>
          </w:p>
        </w:tc>
        <w:tc>
          <w:tcPr>
            <w:tcW w:w="1380" w:type="dxa"/>
            <w:vAlign w:val="bottom"/>
          </w:tcPr>
          <w:p>
            <w:pPr>
              <w:jc w:val="right"/>
              <w:ind w:right="197"/>
              <w:spacing w:after="0"/>
              <w:rPr>
                <w:sz w:val="20"/>
                <w:szCs w:val="20"/>
                <w:color w:val="auto"/>
              </w:rPr>
            </w:pPr>
            <w:r>
              <w:rPr>
                <w:rFonts w:ascii="Arial" w:cs="Arial" w:eastAsia="Arial" w:hAnsi="Arial"/>
                <w:sz w:val="18"/>
                <w:szCs w:val="18"/>
                <w:color w:val="auto"/>
              </w:rPr>
              <w:t>79,462</w:t>
            </w:r>
          </w:p>
        </w:tc>
        <w:tc>
          <w:tcPr>
            <w:tcW w:w="320" w:type="dxa"/>
            <w:vAlign w:val="bottom"/>
          </w:tcPr>
          <w:p>
            <w:pPr>
              <w:spacing w:after="0"/>
              <w:rPr>
                <w:sz w:val="19"/>
                <w:szCs w:val="19"/>
                <w:color w:val="auto"/>
              </w:rPr>
            </w:pP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68,703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right"/>
              <w:ind w:right="619"/>
              <w:spacing w:after="0"/>
              <w:rPr>
                <w:sz w:val="20"/>
                <w:szCs w:val="20"/>
                <w:color w:val="auto"/>
              </w:rPr>
            </w:pPr>
            <w:r>
              <w:rPr>
                <w:rFonts w:ascii="Arial" w:cs="Arial" w:eastAsia="Arial" w:hAnsi="Arial"/>
                <w:sz w:val="18"/>
                <w:szCs w:val="18"/>
                <w:color w:val="auto"/>
              </w:rPr>
              <w:t>10,759</w:t>
            </w:r>
          </w:p>
        </w:tc>
        <w:tc>
          <w:tcPr>
            <w:tcW w:w="112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Cost of revenue, net increased by $12.8 million, or 38%, for the nine months ended September 30, 2022 compared to the same period in 2021. Cost of revenue, net increased primarily due to the recognition of $14.3 million of stock-based compensation costs during the nine months ended September 30, 2022 primarily related to the RSUs granted in September and November of 2021 to employees directly engaged in supporting our customers and providing maintenance of our platform. In addition to increased stock-based compensation, Cost of revenue, net increased due to a higher volume of payment processing fees directly related to an increase in reimbursement activity, increased efforts in support and implementation services and increased outsourcing activities related to maintaining the platform. These increases were partially offset by $9.0 million in IPO-related bonus costs impacting the nine months ended September 30, 2021. Furthermore, Consideration from a vendor, net, reduced Cost of revenue, net by $4.4 million and $1.9 million for the nine months ended September 30, 2022 and 2021, respectively. This increase in Consideration from a vendor, net was driven primarily by the increased adoption and spend captured from members using the Expensify Card.</w:t>
      </w:r>
    </w:p>
    <w:p>
      <w:pPr>
        <w:spacing w:after="0" w:line="13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Gross margin decreased to 63% for the nine months ended September 30, 2022 compared to 67% in the same period in 2021. Although revenue increased by 23% for the same period, Cost of revenue, net, increased at a higher rate due to the factors described in the preceding paragraph.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10,701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8,138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2,563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Research and development expenses increased by $2.6 million, or 31%, for the nine months ended September 30, 2022 compared to the same period in 2021, due to the recognition of $6.2 million of stock-based compensation costs during the nine months ended September 30, 2022 primarily related to the RSUs granted in September and November of 2021 to employees directly engaged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planning and preliminary project stage and post-implementation stage of new products and features. Furthermore, Research and development expenses increased due to increased employee time spent in the planning and preliminary project stage and post-implementation stage of new products and features primarily due to an increase in employee focus on customer support and sales and marketing of recently developed products and services such as the Free Plan and our Expensify Card. These increases were partially offset by $5.4 million in IPO-related bonus costs impacting the nine months ended September 30,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3"/>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6"/>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45,335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35,827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9,508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54"/>
        </w:trPr>
        <w:tc>
          <w:tcPr>
            <w:tcW w:w="4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General and administrative expenses increased by $9.5 million, or 27%, for the nine months ended September 30, 2022 compared to the same period in 2021, primarily due to additional employee time, insurance and professional service costs incurred for accounting, auditing and legal services as a result of our continued requirements as a public company. Furthermore, general and administrative expenses were higher due to the recognition of $15.1 million of stock-based compensation costs during the nine months ended September 30, 2022 primarily related to the RSUs granted in September and November of 2021 to employees directly engaged in general and administrative activities. These increases were partially offset by $14.7 million in IPO-related bonus costs impacting the nine months ended September 30,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8"/>
                <w:szCs w:val="18"/>
                <w:color w:val="auto"/>
              </w:rPr>
            </w:pPr>
          </w:p>
        </w:tc>
        <w:tc>
          <w:tcPr>
            <w:tcW w:w="1880" w:type="dxa"/>
            <w:vAlign w:val="bottom"/>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8"/>
                <w:szCs w:val="18"/>
                <w:color w:val="auto"/>
              </w:rPr>
            </w:pPr>
          </w:p>
        </w:tc>
      </w:tr>
      <w:tr>
        <w:trPr>
          <w:trHeight w:val="223"/>
        </w:trPr>
        <w:tc>
          <w:tcPr>
            <w:tcW w:w="4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4"/>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5"/>
        </w:trPr>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37,958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14,555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23,403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54"/>
        </w:trPr>
        <w:tc>
          <w:tcPr>
            <w:tcW w:w="46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Sales and marketing expenses increased by $ 23.4 million, or 161%, for the nine months ended September 30, 2022 compared to the same period in 2021, primarily due to an increase in advertising spend and marketing events to gain further brand awareness and increased employee focus on marketing initiatives related to our recently developed products and services, such as the Free Plan and our Expensify Card. Furthermore, sales and marketing expenses were higher due to the recognition of $6.2 million of stock-based compensation costs during the nine months ended September 30, 2022 primarily related to the RSUs granted in September and November of 2021 to employees directly engaged in sales and marketing activities. These increases were partially offset by $3.1 million in IPO-related bonus costs impacting the nine months ended September 30,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5"/>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(5,226)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(2,666)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54"/>
        </w:trPr>
        <w:tc>
          <w:tcPr>
            <w:tcW w:w="46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Interest and other expenses, net increased by $2.7 million, or 104%, for the nine months ended September 30, 2022 compared to the same period in 2021, primarily due to increased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losses resulting from the strengthening U.S. dollar and increased interest expense under the 2021 Amended Term Loan and revolving line of credit facility due to increases in CIBC's reference 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Borders>
              <w:top w:val="single" w:sz="8" w:color="auto"/>
            </w:tcBorders>
          </w:tcPr>
          <w:p>
            <w:pPr>
              <w:spacing w:after="0"/>
              <w:rPr>
                <w:sz w:val="19"/>
                <w:szCs w:val="19"/>
                <w:color w:val="auto"/>
              </w:rPr>
            </w:pPr>
          </w:p>
        </w:tc>
        <w:tc>
          <w:tcPr>
            <w:tcW w:w="2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80" w:type="dxa"/>
            <w:vAlign w:val="bottom"/>
            <w:gridSpan w:val="5"/>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(3,854)</w:t>
            </w:r>
          </w:p>
        </w:tc>
        <w:tc>
          <w:tcPr>
            <w:tcW w:w="120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(4,560)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54"/>
        </w:trPr>
        <w:tc>
          <w:tcPr>
            <w:tcW w:w="46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recorded a provision for income taxes of $3.9 million during the nine months ended September 30, 2022 compared to a benefit for income taxes of $0.7 million for the same period in 2021.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During the nine months ended September 30, 2022, we recorded a valuation allowance of $3.3 million. No valuation allowance was recorded during the nine months ended September 30, 2021. The provision for income taxes reflects taxable income earned and taxed in U.S. federal and state and non-U.S. jurisdictions.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nine months ended September 30, 2022 and 2021, our effective income tax rate was (19.5)% and (9.3)%, respectively. The effective income tax rate differs from the statutory rate in 2022 primarily due to nondeductible stock-based compensation, as well as the change in valuation allowance, Section 162(m) of the Internal Revenue Code ("IRC") compensation limitations and state taxes. The effective income tax rate differs from the statutory rate in 2021 primarily due to the effects of the excess tax benefit related to stock-based compensation as well as the rate differential for Expensify.org.</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color w:val="auto"/>
        </w:rPr>
        <w:t>Liquidity and Capital Resources</w:t>
      </w:r>
    </w:p>
    <w:p>
      <w:pPr>
        <w:spacing w:after="0" w:line="15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Since our inception, we have financed our operations primarily through our cash flow from operations, sales of our equity securities and borrowings under our credit facilities. In November 2021, upon completion of our IPO, we received aggregate net proceeds of approximately $57.5 million after deducting underwriting discounts and commissions of approximately $4.9 million and offering costs of approximately $ 8.0 million. As of September 30, 2022, we had $106.2 million in cash and cash equivalents. As of September 30, 2022, we had $67.4 million in outstanding indebtedness.</w:t>
      </w:r>
    </w:p>
    <w:p>
      <w:pPr>
        <w:spacing w:after="0" w:line="1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at least the next 12 months and for the foreseeable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90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9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r>
      <w:tr>
        <w:trPr>
          <w:trHeight w:val="196"/>
        </w:trPr>
        <w:tc>
          <w:tcPr>
            <w:tcW w:w="7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26,229</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34,580</w:t>
            </w:r>
          </w:p>
        </w:tc>
        <w:tc>
          <w:tcPr>
            <w:tcW w:w="100" w:type="dxa"/>
            <w:vAlign w:val="bottom"/>
            <w:shd w:val="clear" w:color="auto" w:fill="CCEEFF"/>
          </w:tcPr>
          <w:p>
            <w:pPr>
              <w:spacing w:after="0"/>
              <w:rPr>
                <w:sz w:val="20"/>
                <w:szCs w:val="20"/>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provided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17,564</w:t>
            </w:r>
          </w:p>
        </w:tc>
        <w:tc>
          <w:tcPr>
            <w:tcW w:w="100" w:type="dxa"/>
            <w:vAlign w:val="bottom"/>
            <w:shd w:val="clear" w:color="auto" w:fill="CCEEFF"/>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22,754</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45,145</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provided by operating activities was $26.2 million for the nine months ended September 30, 2022 compared to $34.6 million for the same period in 2021. The decrease was primarily due to an increase in advertising spend and marketing events to gain further brand awareness, an increase in insurance and professional service costs incurred for accounting, auditing and legal services as a result of our continued requirements as a public company, an increase in employee and employee related costs, higher volume of payment processing fees directly related to an increase in reimbursement activity, increased efforts in support and implementation services, increased outsourcing activities related to maintaining the platform, and the timing of the payments for costs of our services and operating expenses offset by the increase in our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80"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During the nine months ended September 30, 2022, net cash used by investing activities was $1.4 million, primarily consisting of software development costs and the purchase of property and equipment related to the build-out of our offices in Portland and San Francisco.</w:t>
      </w:r>
    </w:p>
    <w:p>
      <w:pPr>
        <w:spacing w:after="0" w:line="9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Net cash used by investing activities decreased for the nine months ended September 30, 2022 compared to the same period in 2021, primarily due to IPO bonuses that were capitalized as internally developed software costs for the nine months ended September 30, 2021 and a decrease in purchases related to the build-out of offices in Portland and San Francisco.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8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the nine months ended September 30, 2022, net cash used by financing activities was $2.1 million, primarily consisting of payments for employee taxes withheld from stock-based awards offset by proceeds from common stock purchased under the Matching Plan and proceeds from the issuance of common stock on exercises of stock options.</w:t>
      </w:r>
    </w:p>
    <w:p>
      <w:pPr>
        <w:spacing w:after="0" w:line="12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During the nine months ended September 30, 2021 net cash provided by financing activities primarily consisted of proceeds from the term loan offset by principal payments of the term loan and payments of deferred offering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Amortizing Term Mortgage</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August 2019, we entered into an $8.3 million amortizing term mortgage agreement with CIBC for our commercial building in Portland, Oregon. The agreement requires interest and principal payments be made each month over a 30-year period. Interest accrues at a fixed rate of 5.00% per year until August 2024, at which point the interest rate changes to the Wall Street Journal Prime Rate less 0.25% for the remaining term of the mortgage. The borrowings are secured by the building. The outstanding balance of the amortizing term mortgage was $7.9 million as of September 30,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September 2021, we amended and restated our loan and security agreement with CIBC ("2021 Amended Term Loan") to refinance the existing non-amortizing and amortizing term loans, establish a single term loan of up to $ 75.0 million, consisting of a $45.0 million initial term loan effective immediately with an option to enter into an additional $30.0 million delayed term loan, and increase the monthly revolving line of credit to $25.0 million. The term loan and revolving line of credit mature in September 2026 and September 2024, respectively. Approximately $23.5 million of the loan proceeds were used to immediately repay the remaining balances under the amortizing and non-amortizing term loans at the time of the amendment, as well as commitment fees and other debt issuance costs associated with the amendment. The remaining proceeds from the initial term loan were utilized to fund our normal business operations.</w:t>
      </w:r>
    </w:p>
    <w:p>
      <w:pPr>
        <w:spacing w:after="0" w:line="12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Under the 2021 Amended Term Loan, the initial term loan of $45.0 million is payable over a 60 month period with principal and accrued interest payments due each quarter thereafter, which commenced with the first payment due on September 30, 2021. Quarterly principal payments are fixed and escalate throughout the term. The amounts borrowed bear interest at the bank’s reference rate plus 2.25% (8.50% as of September 30, 2022) and continue on a quarterly basis through the maturity of the term loan. The borrowings are secured by substantially all our assets. The outstanding balances of the 2021 Amended Term Loan and revolving line of credit were $44.5 million and $15.0 million, respectively, as of September 30, 2022.</w:t>
      </w:r>
    </w:p>
    <w:p>
      <w:pPr>
        <w:spacing w:after="0" w:line="140"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See Note 4 to our condensed consolidated financial statements included elsewhere in this Quarterly Report on Form 10-Q for further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customary covenants under the 2021 Amended Term Loan,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a total EBITDA net leverage ratio, as defined in the loan and security agreement, tested each quarter, of not less than 5.00 to 1.00 from September 30, 2022 through and including June 30, 2023, not less than 4.00 to 1.00 from September 30, 2023 through and including June 30, 2024, and not less than 3.00 to 1.00 from September 30, 2024 and thereafter, and a fixed charge coverage ratio of not less than 1.10 to 1.00, tested on the last day of each calendar quarter.</w:t>
      </w:r>
    </w:p>
    <w:p>
      <w:pPr>
        <w:spacing w:after="0" w:line="138"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10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of September 30, 2022, we were not in compliance with all debt covenants. Specifically, we were not in compliance with the covenant restricting the amount of transfers to Expensify Payments LLC and the covenant restricting the amount of repurchases of common stock, which includes our RSU net share settlements, each during the period. A waiver was obtained from CIBC. As of the date of this Quarterly Report on Form 10-Q, we do not believe non-compliance with these covenants had any material impact on us or our operations. We expect to be in compliance with all debt covenants by the end of the fiscal quarter ended December 31, 2022.</w:t>
      </w:r>
    </w:p>
    <w:p>
      <w:pPr>
        <w:spacing w:after="0" w:line="121" w:lineRule="exact"/>
        <w:rPr>
          <w:sz w:val="20"/>
          <w:szCs w:val="20"/>
          <w:color w:val="auto"/>
        </w:rPr>
      </w:pPr>
    </w:p>
    <w:p>
      <w:pPr>
        <w:spacing w:after="0"/>
        <w:rPr>
          <w:sz w:val="20"/>
          <w:szCs w:val="20"/>
          <w:color w:val="auto"/>
        </w:rPr>
      </w:pPr>
      <w:r>
        <w:rPr>
          <w:rFonts w:ascii="Arial" w:cs="Arial" w:eastAsia="Arial" w:hAnsi="Arial"/>
          <w:sz w:val="29"/>
          <w:szCs w:val="29"/>
          <w:color w:val="auto"/>
        </w:rPr>
        <w:t>Contractual Obligations and Commitments</w:t>
      </w:r>
    </w:p>
    <w:p>
      <w:pPr>
        <w:spacing w:after="0" w:line="16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As of September 30, 2022, there have been no material changes in our contractual obligations and commitments as disclosed in our 2021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Indemnification Agreements</w:t>
      </w:r>
    </w:p>
    <w:p>
      <w:pPr>
        <w:spacing w:after="0" w:line="15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convertible preferred stock and stockholders' equity (deficit), or condensed consolidated statements of cash flows.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color w:val="auto"/>
        </w:rPr>
        <w:t>Off-Balance Sheet Arrangements</w:t>
      </w:r>
    </w:p>
    <w:p>
      <w:pPr>
        <w:spacing w:after="0" w:line="15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color w:val="auto"/>
        </w:rPr>
        <w:t>Critical Accounting Policies and Estimates</w:t>
      </w:r>
    </w:p>
    <w:p>
      <w:pPr>
        <w:spacing w:after="0" w:line="1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w:t>
      </w:r>
    </w:p>
    <w:p>
      <w:pPr>
        <w:spacing w:after="0" w:line="1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Part II, Item 7. “Management’s Discussion and Analysis of Financial Condition and Results of Operations” included in our Annual Report on Form 10-K for the year ended December 31, 2021.</w:t>
      </w:r>
    </w:p>
    <w:p>
      <w:pPr>
        <w:spacing w:after="0" w:line="131" w:lineRule="exact"/>
        <w:rPr>
          <w:sz w:val="20"/>
          <w:szCs w:val="20"/>
          <w:color w:val="auto"/>
        </w:rPr>
      </w:pPr>
    </w:p>
    <w:p>
      <w:pPr>
        <w:spacing w:after="0"/>
        <w:rPr>
          <w:sz w:val="20"/>
          <w:szCs w:val="20"/>
          <w:color w:val="auto"/>
        </w:rPr>
      </w:pPr>
      <w:r>
        <w:rPr>
          <w:rFonts w:ascii="Arial" w:cs="Arial" w:eastAsia="Arial" w:hAnsi="Arial"/>
          <w:sz w:val="29"/>
          <w:szCs w:val="29"/>
          <w:color w:val="auto"/>
        </w:rPr>
        <w:t>Recent Accounting Pronouncements</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See Note 1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31" w:lineRule="exact"/>
        <w:rPr>
          <w:sz w:val="20"/>
          <w:szCs w:val="20"/>
          <w:color w:val="auto"/>
        </w:rPr>
      </w:pPr>
    </w:p>
    <w:p>
      <w:pPr>
        <w:spacing w:after="0"/>
        <w:rPr>
          <w:sz w:val="20"/>
          <w:szCs w:val="20"/>
          <w:color w:val="auto"/>
        </w:rPr>
      </w:pPr>
      <w:r>
        <w:rPr>
          <w:rFonts w:ascii="Arial" w:cs="Arial" w:eastAsia="Arial" w:hAnsi="Arial"/>
          <w:sz w:val="29"/>
          <w:szCs w:val="29"/>
          <w:color w:val="auto"/>
        </w:rPr>
        <w:t>Emerging Growth Company Status</w:t>
      </w:r>
    </w:p>
    <w:p>
      <w:pPr>
        <w:spacing w:after="0" w:line="15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Item 3. Quantitative and Qualitative Disclosures About Market Risk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end-of-period exchange rates except for prepaid expenses, property and equipment and related depreciation and amortization and lease right-of-use assets and related amortization, which are remeasured at historical exchange rates. Revenues and expenses are remeasured at average exchange rates in effect during each period. Gains or losses from foreign currency transactions are included in the condensed consolidated statements of operations.</w:t>
      </w:r>
    </w:p>
    <w:p>
      <w:pPr>
        <w:spacing w:after="0" w:line="12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If the value of the U.S. dollar weakens relative to foreign currencies, this may have an unfavorable impact on our cash flows and operating results. We do not believe that a 10% change in the relative value of the U.S. dollar to other foreign currencies would have a material effect on our cash flows and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profitability and cash flows. Assuming the amounts outstanding under these borrowing facilities are fully drawn, a hypothetical 10% change in interest rates would not have a material impact on our condensed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8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do not believe that inflation has had a material impact on our business, results of operations or financial condition. Nonetheless, if our costs were to become subject to significant inflationary pressures, we may not be able to fully offset such higher costs through price increases. Our inability or failure to do so could harm our business, results of operations or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29"/>
          <w:szCs w:val="29"/>
          <w:color w:val="auto"/>
        </w:rPr>
        <w:t>Item 4. Controls and Procedures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Based on such evaluation, and as discussed below, our chief executive officer and chief financial officer have concluded that as of September 30, 2022, our disclosure controls and procedures were not effective at a reasonable assurance level due to the material weakness in our internal control over financial reporting described below. In light of this fact, our management has performed additional analyses, reconciliations, and other post-closing procedures and has concluded that, notwithstanding the material weakness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disclosed in “Part II, Item 9A. Controls and Procedures” of our 2021 Annual Report, in connection with our management’s assessment of controls over financial reporting during the years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December 31, 2021, 2020 and 2019, we identified a material weakness in our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that we identified relates to insufficient technical skills to address accounting matters combined with insufficient accounting staff and internal control knowledge to design and implement processes and controls, including the review of the completeness and accuracy of reports used to record journal entries, necessary to ensure material misstatements did not occur.</w:t>
      </w:r>
    </w:p>
    <w:p>
      <w:pPr>
        <w:spacing w:after="0" w:line="1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address this material weakness, we are continuing to develop and refine our disclosure controls and other procedures that are designed to ensure that information required to be disclosed by us in the reports that we file with the Securities and Exchange Commission ("SEC") is recorded, processed, summarized, and reported within the time periods specified in SEC rules and forms and that information required to be disclosed in reports under the Exchange Act is accumulated and communicated to our principal executive and financial officers as appropriate to allow timely decisions regarding required disclosures. We are also continuing to improve our internal control over financial reporting. For example, as we prepared to become a public company, we worked to improve the controls around our key accounting processes and our quarterly close process, and we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We will not be able to sufficiently remediate these control deficiencies until these steps have been completed and the controls have been operating effectively for a sufficient period of time. If any of these new or improved controls and systems do not perform as expected, we may continue to experience material weaknesses in our controls.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Except for the remediation efforts described above, 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EFFECTIVENESS OF CONTROLS AND PROCEDURES</w:t>
      </w:r>
    </w:p>
    <w:p>
      <w:pPr>
        <w:spacing w:after="0" w:line="18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II - Other Information</w:t>
      </w:r>
    </w:p>
    <w:p>
      <w:pPr>
        <w:spacing w:after="0" w:line="339" w:lineRule="exact"/>
        <w:rPr>
          <w:sz w:val="20"/>
          <w:szCs w:val="20"/>
          <w:color w:val="auto"/>
        </w:rPr>
      </w:pPr>
    </w:p>
    <w:p>
      <w:pPr>
        <w:spacing w:after="0"/>
        <w:rPr>
          <w:sz w:val="20"/>
          <w:szCs w:val="20"/>
          <w:color w:val="auto"/>
        </w:rPr>
      </w:pPr>
      <w:r>
        <w:rPr>
          <w:rFonts w:ascii="Arial" w:cs="Arial" w:eastAsia="Arial" w:hAnsi="Arial"/>
          <w:sz w:val="29"/>
          <w:szCs w:val="29"/>
          <w:color w:val="auto"/>
        </w:rPr>
        <w:t>Item 1. Legal Proceedings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35" w:lineRule="exact"/>
        <w:rPr>
          <w:sz w:val="20"/>
          <w:szCs w:val="20"/>
          <w:color w:val="auto"/>
        </w:rPr>
      </w:pPr>
    </w:p>
    <w:p>
      <w:pPr>
        <w:spacing w:after="0"/>
        <w:rPr>
          <w:sz w:val="20"/>
          <w:szCs w:val="20"/>
          <w:color w:val="auto"/>
        </w:rPr>
      </w:pPr>
      <w:r>
        <w:rPr>
          <w:rFonts w:ascii="Arial" w:cs="Arial" w:eastAsia="Arial" w:hAnsi="Arial"/>
          <w:sz w:val="29"/>
          <w:szCs w:val="29"/>
          <w:color w:val="auto"/>
        </w:rPr>
        <w:t>Item 1A. Risk Factors</w:t>
      </w:r>
    </w:p>
    <w:p>
      <w:pPr>
        <w:spacing w:after="0" w:line="15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Except to the extent updated below or previously updated or to the extent additional factual information disclosed elsewhere in this Quarterly Report on Form 10-Q related to such risk factors (including, without limitation, the matters discussed in Part I, Item 2 “Management’s Discussion and Analysis of Financial Condition and Results of Operation”), there have been no material changes to the risk factors set forth in "Part I, Item IA. Risk Factors" of our 2021 Annual Report and "Part II, Item 1A. Risk Factors" of our Q2 2022 Form 10-Q. You should carefully read and consider the risks and uncertainties, together with all of the other information included in the 2021 Annual Report and this Quarterly Report on Form 10-Q, including the section titled “Management’s Discussion and Analysis of Financial Condition and Results of Operations” and our consolidated financial statements and related notes, and other documents that we file with the SEC.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Because a substantial portion of our debt is variable-rate debt, fluctuations in interest rates could have a material effect on our business. We incur higher interest costs if interest rates increase. Interest rates were at historic lows during 2020 and 2021, when the United States Federal Reserve took several steps to protect the economy from the impact of the COVID-19 pandemic, including reducing interest rates to new historic lows. Thus far in 2022, the United States Federal Reserve has raised interest rates by more than 300 basis points and has signaled that further increases are expected in the near future. Any such increase in interest costs could have a material adverse impact on our financial condition and the levels of cash we maintain for working capital.</w:t>
      </w:r>
    </w:p>
    <w:p>
      <w:pPr>
        <w:spacing w:after="0" w:line="137" w:lineRule="exact"/>
        <w:rPr>
          <w:sz w:val="20"/>
          <w:szCs w:val="20"/>
          <w:color w:val="auto"/>
        </w:rPr>
      </w:pPr>
    </w:p>
    <w:p>
      <w:pPr>
        <w:spacing w:after="0"/>
        <w:rPr>
          <w:sz w:val="20"/>
          <w:szCs w:val="20"/>
          <w:color w:val="auto"/>
        </w:rPr>
      </w:pPr>
      <w:r>
        <w:rPr>
          <w:rFonts w:ascii="Arial" w:cs="Arial" w:eastAsia="Arial" w:hAnsi="Arial"/>
          <w:sz w:val="29"/>
          <w:szCs w:val="29"/>
          <w:color w:val="auto"/>
        </w:rPr>
        <w:t>Item 2. Unregistered Sales of Equity Securities and Use of Proceeds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November 15, 2021, we completed our IPO. The offer and sale of the shares in the IPO were registered under the Securities Act pursuant to a registration statement on Form S-1 (File No. 333-260297), which was declared effective by the SEC on November 9, 2021. There has been no material change in the use of proceeds from our IPO as described in our final prospectus filed with the SEC pursuant to Rule 424(b) of the Securities Act and other periodic reports previously filed with the SEC.</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color w:val="auto"/>
        </w:rPr>
        <w:t>Item 3. Defaults Upon Senior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color w:val="auto"/>
        </w:rPr>
        <w:t>Item 4. Mine Safety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color w:val="auto"/>
        </w:rPr>
        <w:t>Item 5. Other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auto"/>
        </w:rPr>
        <w:t>Item 6. Exhibits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180" w:type="dxa"/>
            <w:vAlign w:val="bottom"/>
            <w:gridSpan w:val="11"/>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1220" w:type="dxa"/>
            <w:vAlign w:val="bottom"/>
          </w:tcPr>
          <w:p>
            <w:pPr>
              <w:jc w:val="center"/>
              <w:ind w:left="22"/>
              <w:spacing w:after="0"/>
              <w:rPr>
                <w:sz w:val="20"/>
                <w:szCs w:val="20"/>
                <w:color w:val="auto"/>
              </w:rPr>
            </w:pPr>
            <w:r>
              <w:rPr>
                <w:rFonts w:ascii="Arial" w:cs="Arial" w:eastAsia="Arial" w:hAnsi="Arial"/>
                <w:sz w:val="14"/>
                <w:szCs w:val="14"/>
                <w:b w:val="1"/>
                <w:bCs w:val="1"/>
                <w:color w:val="auto"/>
              </w:rPr>
              <w:t>Form</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File No.</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1300" w:type="dxa"/>
            <w:vAlign w:val="bottom"/>
            <w:tcBorders>
              <w:top w:val="single" w:sz="8" w:color="auto"/>
            </w:tcBorders>
          </w:tcPr>
          <w:p>
            <w:pPr>
              <w:ind w:left="140"/>
              <w:spacing w:after="0" w:line="175" w:lineRule="exact"/>
              <w:rPr>
                <w:sz w:val="20"/>
                <w:szCs w:val="20"/>
                <w:color w:val="auto"/>
              </w:rPr>
            </w:pPr>
            <w:r>
              <w:rPr>
                <w:rFonts w:ascii="Arial" w:cs="Arial" w:eastAsia="Arial" w:hAnsi="Arial"/>
                <w:sz w:val="16"/>
                <w:szCs w:val="16"/>
                <w:color w:val="auto"/>
              </w:rPr>
              <w:t>3.1</w:t>
            </w:r>
          </w:p>
        </w:tc>
        <w:tc>
          <w:tcPr>
            <w:tcW w:w="80" w:type="dxa"/>
            <w:vAlign w:val="bottom"/>
          </w:tcPr>
          <w:p>
            <w:pPr>
              <w:spacing w:after="0"/>
              <w:rPr>
                <w:sz w:val="15"/>
                <w:szCs w:val="15"/>
                <w:color w:val="auto"/>
              </w:rPr>
            </w:pPr>
          </w:p>
        </w:tc>
        <w:tc>
          <w:tcPr>
            <w:tcW w:w="4180" w:type="dxa"/>
            <w:vAlign w:val="bottom"/>
            <w:tcBorders>
              <w:top w:val="single" w:sz="8" w:color="auto"/>
            </w:tcBorders>
            <w:gridSpan w:val="11"/>
          </w:tcPr>
          <w:p>
            <w:pPr>
              <w:spacing w:after="0" w:line="175" w:lineRule="exact"/>
              <w:rPr>
                <w:rFonts w:ascii="Arial" w:cs="Arial" w:eastAsia="Arial" w:hAnsi="Arial"/>
                <w:sz w:val="16"/>
                <w:szCs w:val="16"/>
                <w:color w:val="0000FF"/>
              </w:rPr>
            </w:pPr>
            <w:hyperlink r:id="rId105">
              <w:r>
                <w:rPr>
                  <w:rFonts w:ascii="Arial" w:cs="Arial" w:eastAsia="Arial" w:hAnsi="Arial"/>
                  <w:sz w:val="16"/>
                  <w:szCs w:val="16"/>
                  <w:color w:val="0000FF"/>
                </w:rPr>
                <w:t>Amended and Restated Certificate of Incorporation of the</w:t>
              </w:r>
            </w:hyperlink>
          </w:p>
        </w:tc>
        <w:tc>
          <w:tcPr>
            <w:tcW w:w="100" w:type="dxa"/>
            <w:vAlign w:val="bottom"/>
          </w:tcPr>
          <w:p>
            <w:pPr>
              <w:spacing w:after="0"/>
              <w:rPr>
                <w:sz w:val="15"/>
                <w:szCs w:val="15"/>
                <w:color w:val="auto"/>
              </w:rPr>
            </w:pPr>
          </w:p>
        </w:tc>
        <w:tc>
          <w:tcPr>
            <w:tcW w:w="1220" w:type="dxa"/>
            <w:vAlign w:val="bottom"/>
            <w:tcBorders>
              <w:top w:val="single" w:sz="8" w:color="auto"/>
            </w:tcBorders>
          </w:tcPr>
          <w:p>
            <w:pPr>
              <w:jc w:val="center"/>
              <w:ind w:left="22"/>
              <w:spacing w:after="0" w:line="175" w:lineRule="exact"/>
              <w:rPr>
                <w:sz w:val="20"/>
                <w:szCs w:val="20"/>
                <w:color w:val="auto"/>
              </w:rPr>
            </w:pPr>
            <w:r>
              <w:rPr>
                <w:rFonts w:ascii="Arial" w:cs="Arial" w:eastAsia="Arial" w:hAnsi="Arial"/>
                <w:sz w:val="16"/>
                <w:szCs w:val="16"/>
                <w:color w:val="auto"/>
              </w:rPr>
              <w:t>10-Q</w:t>
            </w:r>
          </w:p>
        </w:tc>
        <w:tc>
          <w:tcPr>
            <w:tcW w:w="14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color w:val="auto"/>
                <w:w w:val="99"/>
              </w:rPr>
              <w:t>001-41043</w:t>
            </w:r>
          </w:p>
        </w:tc>
        <w:tc>
          <w:tcPr>
            <w:tcW w:w="11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color w:val="auto"/>
              </w:rPr>
              <w:t>3.1</w:t>
            </w:r>
          </w:p>
        </w:tc>
        <w:tc>
          <w:tcPr>
            <w:tcW w:w="174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color w:val="auto"/>
              </w:rPr>
              <w:t>August 12, 2022</w:t>
            </w: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Registrant.</w:t>
              </w:r>
            </w:hyperlink>
          </w:p>
        </w:tc>
        <w:tc>
          <w:tcPr>
            <w:tcW w:w="330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1"/>
                <w:szCs w:val="21"/>
                <w:color w:val="auto"/>
              </w:rPr>
            </w:pPr>
          </w:p>
        </w:tc>
        <w:tc>
          <w:tcPr>
            <w:tcW w:w="4180" w:type="dxa"/>
            <w:vAlign w:val="bottom"/>
            <w:gridSpan w:val="11"/>
          </w:tcPr>
          <w:p>
            <w:pPr>
              <w:spacing w:after="0"/>
              <w:rPr>
                <w:rFonts w:ascii="Arial" w:cs="Arial" w:eastAsia="Arial" w:hAnsi="Arial"/>
                <w:sz w:val="16"/>
                <w:szCs w:val="16"/>
                <w:color w:val="0000FF"/>
              </w:rPr>
            </w:pPr>
            <w:hyperlink r:id="rId106">
              <w:r>
                <w:rPr>
                  <w:rFonts w:ascii="Arial" w:cs="Arial" w:eastAsia="Arial" w:hAnsi="Arial"/>
                  <w:sz w:val="16"/>
                  <w:szCs w:val="16"/>
                  <w:color w:val="0000FF"/>
                </w:rPr>
                <w:t>Amended and Restated Bylaws of the Registrant.</w:t>
              </w:r>
            </w:hyperlink>
          </w:p>
        </w:tc>
        <w:tc>
          <w:tcPr>
            <w:tcW w:w="100" w:type="dxa"/>
            <w:vAlign w:val="bottom"/>
          </w:tcPr>
          <w:p>
            <w:pPr>
              <w:spacing w:after="0"/>
              <w:rPr>
                <w:sz w:val="21"/>
                <w:szCs w:val="21"/>
                <w:color w:val="auto"/>
              </w:rPr>
            </w:pPr>
          </w:p>
        </w:tc>
        <w:tc>
          <w:tcPr>
            <w:tcW w:w="1220" w:type="dxa"/>
            <w:vAlign w:val="bottom"/>
          </w:tcPr>
          <w:p>
            <w:pPr>
              <w:jc w:val="center"/>
              <w:ind w:left="2"/>
              <w:spacing w:after="0"/>
              <w:rPr>
                <w:sz w:val="20"/>
                <w:szCs w:val="20"/>
                <w:color w:val="auto"/>
              </w:rPr>
            </w:pPr>
            <w:r>
              <w:rPr>
                <w:rFonts w:ascii="Arial" w:cs="Arial" w:eastAsia="Arial" w:hAnsi="Arial"/>
                <w:sz w:val="16"/>
                <w:szCs w:val="16"/>
                <w:color w:val="auto"/>
              </w:rPr>
              <w:t>8-K</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001-41043</w:t>
            </w:r>
          </w:p>
        </w:tc>
        <w:tc>
          <w:tcPr>
            <w:tcW w:w="1160" w:type="dxa"/>
            <w:vAlign w:val="bottom"/>
          </w:tcPr>
          <w:p>
            <w:pPr>
              <w:jc w:val="center"/>
              <w:spacing w:after="0"/>
              <w:rPr>
                <w:sz w:val="20"/>
                <w:szCs w:val="20"/>
                <w:color w:val="auto"/>
              </w:rPr>
            </w:pPr>
            <w:r>
              <w:rPr>
                <w:rFonts w:ascii="Arial" w:cs="Arial" w:eastAsia="Arial" w:hAnsi="Arial"/>
                <w:sz w:val="16"/>
                <w:szCs w:val="16"/>
                <w:color w:val="auto"/>
              </w:rPr>
              <w:t>3.2</w:t>
            </w:r>
          </w:p>
        </w:tc>
        <w:tc>
          <w:tcPr>
            <w:tcW w:w="1740" w:type="dxa"/>
            <w:vAlign w:val="bottom"/>
          </w:tcPr>
          <w:p>
            <w:pPr>
              <w:jc w:val="center"/>
              <w:spacing w:after="0"/>
              <w:rPr>
                <w:sz w:val="20"/>
                <w:szCs w:val="20"/>
                <w:color w:val="auto"/>
              </w:rPr>
            </w:pPr>
            <w:r>
              <w:rPr>
                <w:rFonts w:ascii="Arial" w:cs="Arial" w:eastAsia="Arial" w:hAnsi="Arial"/>
                <w:sz w:val="16"/>
                <w:szCs w:val="16"/>
                <w:color w:val="auto"/>
              </w:rPr>
              <w:t>November 15, 2021</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140"/>
              <w:spacing w:after="0"/>
              <w:rPr>
                <w:sz w:val="20"/>
                <w:szCs w:val="20"/>
                <w:color w:val="auto"/>
              </w:rPr>
            </w:pPr>
            <w:r>
              <w:rPr>
                <w:rFonts w:ascii="Arial" w:cs="Arial" w:eastAsia="Arial" w:hAnsi="Arial"/>
                <w:sz w:val="16"/>
                <w:szCs w:val="16"/>
                <w:color w:val="auto"/>
              </w:rPr>
              <w:t>31.1</w:t>
            </w:r>
            <w:r>
              <w:rPr>
                <w:rFonts w:ascii="Arial" w:cs="Arial" w:eastAsia="Arial" w:hAnsi="Arial"/>
                <w:sz w:val="21"/>
                <w:szCs w:val="21"/>
                <w:color w:val="auto"/>
                <w:vertAlign w:val="superscript"/>
              </w:rPr>
              <w:t>*</w:t>
            </w:r>
          </w:p>
        </w:tc>
        <w:tc>
          <w:tcPr>
            <w:tcW w:w="8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42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1"/>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31.2</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360" w:type="dxa"/>
            <w:vAlign w:val="bottom"/>
            <w:tcBorders>
              <w:top w:val="single" w:sz="8" w:color="0000FF"/>
            </w:tcBorders>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1"/>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4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8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8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10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5"/>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101.INS</w:t>
            </w:r>
            <w:r>
              <w:rPr>
                <w:rFonts w:ascii="Arial" w:cs="Arial" w:eastAsia="Arial" w:hAnsi="Arial"/>
                <w:sz w:val="21"/>
                <w:szCs w:val="21"/>
                <w:color w:val="auto"/>
                <w:vertAlign w:val="superscript"/>
              </w:rPr>
              <w:t>*</w:t>
            </w:r>
          </w:p>
        </w:tc>
        <w:tc>
          <w:tcPr>
            <w:tcW w:w="28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Inline XBRL Instance Document.</w:t>
            </w:r>
          </w:p>
        </w:tc>
        <w:tc>
          <w:tcPr>
            <w:tcW w:w="134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101.SCH</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1380" w:type="dxa"/>
            <w:vAlign w:val="bottom"/>
            <w:gridSpan w:val="2"/>
          </w:tcPr>
          <w:p>
            <w:pPr>
              <w:ind w:left="140"/>
              <w:spacing w:after="0" w:line="166" w:lineRule="exact"/>
              <w:rPr>
                <w:sz w:val="20"/>
                <w:szCs w:val="20"/>
                <w:color w:val="auto"/>
              </w:rPr>
            </w:pPr>
            <w:r>
              <w:rPr>
                <w:rFonts w:ascii="Arial" w:cs="Arial" w:eastAsia="Arial" w:hAnsi="Arial"/>
                <w:sz w:val="15"/>
                <w:szCs w:val="15"/>
                <w:color w:val="auto"/>
              </w:rPr>
              <w:t>101.CAL</w:t>
            </w:r>
            <w:r>
              <w:rPr>
                <w:rFonts w:ascii="Arial" w:cs="Arial" w:eastAsia="Arial" w:hAnsi="Arial"/>
                <w:sz w:val="19"/>
                <w:szCs w:val="19"/>
                <w:color w:val="auto"/>
                <w:vertAlign w:val="superscript"/>
              </w:rPr>
              <w:t>*</w:t>
            </w:r>
          </w:p>
        </w:tc>
        <w:tc>
          <w:tcPr>
            <w:tcW w:w="4180" w:type="dxa"/>
            <w:vAlign w:val="bottom"/>
            <w:gridSpan w:val="11"/>
          </w:tcPr>
          <w:p>
            <w:pPr>
              <w:spacing w:after="0" w:line="167" w:lineRule="exact"/>
              <w:rPr>
                <w:sz w:val="20"/>
                <w:szCs w:val="20"/>
                <w:color w:val="auto"/>
              </w:rPr>
            </w:pPr>
            <w:r>
              <w:rPr>
                <w:rFonts w:ascii="Arial" w:cs="Arial" w:eastAsia="Arial" w:hAnsi="Arial"/>
                <w:sz w:val="16"/>
                <w:szCs w:val="16"/>
                <w:color w:val="auto"/>
              </w:rPr>
              <w:t>Inline XBRL Taxonomy Extension Calculation Linkbase</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80" w:type="dxa"/>
            <w:vAlign w:val="bottom"/>
            <w:gridSpan w:val="2"/>
          </w:tcPr>
          <w:p>
            <w:pPr>
              <w:ind w:left="140"/>
              <w:spacing w:after="0" w:line="237" w:lineRule="exact"/>
              <w:rPr>
                <w:sz w:val="20"/>
                <w:szCs w:val="20"/>
                <w:color w:val="auto"/>
              </w:rPr>
            </w:pPr>
            <w:r>
              <w:rPr>
                <w:rFonts w:ascii="Arial" w:cs="Arial" w:eastAsia="Arial" w:hAnsi="Arial"/>
                <w:sz w:val="16"/>
                <w:szCs w:val="16"/>
                <w:color w:val="auto"/>
              </w:rPr>
              <w:t>101.DEF</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80" w:type="dxa"/>
            <w:vAlign w:val="bottom"/>
            <w:gridSpan w:val="2"/>
          </w:tcPr>
          <w:p>
            <w:pPr>
              <w:ind w:left="140"/>
              <w:spacing w:after="0" w:line="237" w:lineRule="exact"/>
              <w:rPr>
                <w:sz w:val="20"/>
                <w:szCs w:val="20"/>
                <w:color w:val="auto"/>
              </w:rPr>
            </w:pPr>
            <w:r>
              <w:rPr>
                <w:rFonts w:ascii="Arial" w:cs="Arial" w:eastAsia="Arial" w:hAnsi="Arial"/>
                <w:sz w:val="16"/>
                <w:szCs w:val="16"/>
                <w:color w:val="auto"/>
              </w:rPr>
              <w:t>101.PRE</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Linkable</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00" w:type="dxa"/>
            <w:vAlign w:val="bottom"/>
          </w:tcPr>
          <w:p>
            <w:pPr>
              <w:ind w:left="140"/>
              <w:spacing w:after="0" w:line="237" w:lineRule="exact"/>
              <w:rPr>
                <w:sz w:val="20"/>
                <w:szCs w:val="20"/>
                <w:color w:val="auto"/>
              </w:rPr>
            </w:pPr>
            <w:r>
              <w:rPr>
                <w:rFonts w:ascii="Arial" w:cs="Arial" w:eastAsia="Arial" w:hAnsi="Arial"/>
                <w:sz w:val="16"/>
                <w:szCs w:val="16"/>
                <w:color w:val="auto"/>
              </w:rPr>
              <w:t>104</w:t>
            </w:r>
            <w:r>
              <w:rPr>
                <w:rFonts w:ascii="Arial" w:cs="Arial" w:eastAsia="Arial" w:hAnsi="Arial"/>
                <w:sz w:val="21"/>
                <w:szCs w:val="21"/>
                <w:color w:val="auto"/>
                <w:vertAlign w:val="superscript"/>
              </w:rPr>
              <w:t>*</w:t>
            </w:r>
          </w:p>
        </w:tc>
        <w:tc>
          <w:tcPr>
            <w:tcW w:w="80" w:type="dxa"/>
            <w:vAlign w:val="bottom"/>
          </w:tcPr>
          <w:p>
            <w:pPr>
              <w:spacing w:after="0"/>
              <w:rPr>
                <w:sz w:val="20"/>
                <w:szCs w:val="20"/>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Cover Page Interactive Data File (embedded within the</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document).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1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60" w:hanging="334"/>
        <w:spacing w:after="0"/>
        <w:tabs>
          <w:tab w:leader="none" w:pos="360" w:val="left"/>
        </w:tabs>
        <w:numPr>
          <w:ilvl w:val="0"/>
          <w:numId w:val="7"/>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0" w:lineRule="exact"/>
        <w:rPr>
          <w:sz w:val="20"/>
          <w:szCs w:val="20"/>
          <w:color w:val="auto"/>
        </w:rPr>
      </w:pPr>
    </w:p>
    <w:p>
      <w:pPr>
        <w:ind w:left="360" w:right="440" w:hanging="334"/>
        <w:spacing w:after="0" w:line="231" w:lineRule="auto"/>
        <w:tabs>
          <w:tab w:leader="none" w:pos="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6350</wp:posOffset>
            </wp:positionV>
            <wp:extent cx="61804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Signatures</w:t>
      </w:r>
    </w:p>
    <w:p>
      <w:pPr>
        <w:spacing w:after="0" w:line="34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p>
        </w:tc>
        <w:tc>
          <w:tcPr>
            <w:tcW w:w="7300" w:type="dxa"/>
            <w:vAlign w:val="bottom"/>
            <w:gridSpan w:val="2"/>
          </w:tcPr>
          <w:p>
            <w:pPr>
              <w:ind w:left="1860"/>
              <w:spacing w:after="0"/>
              <w:rPr>
                <w:sz w:val="20"/>
                <w:szCs w:val="20"/>
                <w:color w:val="auto"/>
              </w:rPr>
            </w:pPr>
            <w:r>
              <w:rPr>
                <w:rFonts w:ascii="Arial" w:cs="Arial" w:eastAsia="Arial" w:hAnsi="Arial"/>
                <w:sz w:val="18"/>
                <w:szCs w:val="18"/>
                <w:b w:val="1"/>
                <w:bCs w:val="1"/>
                <w:color w:val="auto"/>
              </w:rPr>
              <w:t>EXPENSIFY, INC.</w:t>
            </w:r>
          </w:p>
        </w:tc>
      </w:tr>
      <w:tr>
        <w:trPr>
          <w:trHeight w:val="486"/>
        </w:trPr>
        <w:tc>
          <w:tcPr>
            <w:tcW w:w="3920" w:type="dxa"/>
            <w:vAlign w:val="bottom"/>
          </w:tcPr>
          <w:p>
            <w:pPr>
              <w:spacing w:after="0"/>
              <w:rPr>
                <w:sz w:val="20"/>
                <w:szCs w:val="20"/>
                <w:color w:val="auto"/>
              </w:rPr>
            </w:pPr>
            <w:r>
              <w:rPr>
                <w:rFonts w:ascii="Arial" w:cs="Arial" w:eastAsia="Arial" w:hAnsi="Arial"/>
                <w:sz w:val="18"/>
                <w:szCs w:val="18"/>
                <w:color w:val="auto"/>
              </w:rPr>
              <w:t>Date: November 10, 2022</w:t>
            </w:r>
          </w:p>
        </w:tc>
        <w:tc>
          <w:tcPr>
            <w:tcW w:w="7300" w:type="dxa"/>
            <w:vAlign w:val="bottom"/>
            <w:gridSpan w:val="2"/>
          </w:tcPr>
          <w:p>
            <w:pPr>
              <w:ind w:left="2060"/>
              <w:spacing w:after="0"/>
              <w:rPr>
                <w:sz w:val="20"/>
                <w:szCs w:val="20"/>
                <w:color w:val="auto"/>
              </w:rPr>
            </w:pPr>
            <w:r>
              <w:rPr>
                <w:rFonts w:ascii="Arial" w:cs="Arial" w:eastAsia="Arial" w:hAnsi="Arial"/>
                <w:sz w:val="18"/>
                <w:szCs w:val="18"/>
                <w:color w:val="auto"/>
              </w:rPr>
              <w:t>By: /s/ David Barrett</w:t>
            </w:r>
          </w:p>
        </w:tc>
      </w:tr>
      <w:tr>
        <w:trPr>
          <w:trHeight w:val="223"/>
        </w:trPr>
        <w:tc>
          <w:tcPr>
            <w:tcW w:w="39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Barrett</w:t>
            </w:r>
          </w:p>
        </w:tc>
      </w:tr>
      <w:tr>
        <w:trPr>
          <w:trHeight w:val="224"/>
        </w:trPr>
        <w:tc>
          <w:tcPr>
            <w:tcW w:w="39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5"/>
        </w:trPr>
        <w:tc>
          <w:tcPr>
            <w:tcW w:w="39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920" w:type="dxa"/>
            <w:vAlign w:val="bottom"/>
          </w:tcPr>
          <w:p>
            <w:pPr>
              <w:spacing w:after="0"/>
              <w:rPr>
                <w:sz w:val="20"/>
                <w:szCs w:val="20"/>
                <w:color w:val="auto"/>
              </w:rPr>
            </w:pPr>
            <w:r>
              <w:rPr>
                <w:rFonts w:ascii="Arial" w:cs="Arial" w:eastAsia="Arial" w:hAnsi="Arial"/>
                <w:sz w:val="18"/>
                <w:szCs w:val="18"/>
                <w:color w:val="auto"/>
              </w:rPr>
              <w:t>Date: November 10, 2022</w:t>
            </w:r>
          </w:p>
        </w:tc>
        <w:tc>
          <w:tcPr>
            <w:tcW w:w="7300" w:type="dxa"/>
            <w:vAlign w:val="bottom"/>
            <w:gridSpan w:val="2"/>
          </w:tcPr>
          <w:p>
            <w:pPr>
              <w:ind w:left="2060"/>
              <w:spacing w:after="0"/>
              <w:rPr>
                <w:sz w:val="20"/>
                <w:szCs w:val="20"/>
                <w:color w:val="auto"/>
              </w:rPr>
            </w:pPr>
            <w:r>
              <w:rPr>
                <w:rFonts w:ascii="Arial" w:cs="Arial" w:eastAsia="Arial" w:hAnsi="Arial"/>
                <w:sz w:val="18"/>
                <w:szCs w:val="18"/>
                <w:color w:val="auto"/>
              </w:rPr>
              <w:t>By: /s/ Ryan Schaffer</w:t>
            </w:r>
          </w:p>
        </w:tc>
      </w:tr>
      <w:tr>
        <w:trPr>
          <w:trHeight w:val="223"/>
        </w:trPr>
        <w:tc>
          <w:tcPr>
            <w:tcW w:w="39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Ryan Schaffer</w:t>
            </w:r>
          </w:p>
        </w:tc>
      </w:tr>
      <w:tr>
        <w:trPr>
          <w:trHeight w:val="224"/>
        </w:trPr>
        <w:tc>
          <w:tcPr>
            <w:tcW w:w="39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39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David Barrett, certify that:</w:t>
      </w:r>
    </w:p>
    <w:p>
      <w:pPr>
        <w:spacing w:after="0" w:line="158"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44"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ind w:left="660" w:right="140" w:hanging="328"/>
        <w:spacing w:after="0" w:line="261"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1300" w:right="20" w:hanging="320"/>
        <w:spacing w:after="0" w:line="256" w:lineRule="auto"/>
        <w:tabs>
          <w:tab w:leader="none" w:pos="1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[Omitted];</w:t>
      </w:r>
    </w:p>
    <w:p>
      <w:pPr>
        <w:spacing w:after="0" w:line="157" w:lineRule="exact"/>
        <w:rPr>
          <w:rFonts w:ascii="Arial" w:cs="Arial" w:eastAsia="Arial" w:hAnsi="Arial"/>
          <w:sz w:val="18"/>
          <w:szCs w:val="18"/>
          <w:color w:val="auto"/>
        </w:rPr>
      </w:pPr>
    </w:p>
    <w:p>
      <w:pPr>
        <w:ind w:left="1300" w:right="300" w:hanging="320"/>
        <w:spacing w:after="0" w:line="256" w:lineRule="auto"/>
        <w:tabs>
          <w:tab w:leader="none" w:pos="1291"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8"/>
          <w:szCs w:val="18"/>
          <w:color w:val="auto"/>
        </w:rPr>
      </w:pPr>
    </w:p>
    <w:p>
      <w:pPr>
        <w:ind w:left="1300" w:right="60" w:hanging="320"/>
        <w:spacing w:after="0" w:line="256" w:lineRule="auto"/>
        <w:tabs>
          <w:tab w:leader="none" w:pos="1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300" w:right="440" w:hanging="320"/>
        <w:spacing w:after="0" w:line="256" w:lineRule="auto"/>
        <w:tabs>
          <w:tab w:leader="none" w:pos="1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8"/>
          <w:szCs w:val="18"/>
          <w:color w:val="auto"/>
        </w:rPr>
      </w:pPr>
    </w:p>
    <w:p>
      <w:pPr>
        <w:ind w:left="1300" w:right="780" w:hanging="320"/>
        <w:spacing w:after="0" w:line="261" w:lineRule="auto"/>
        <w:tabs>
          <w:tab w:leader="none" w:pos="1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November 10, 2022</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Ryan Schaffer, certify that:</w:t>
      </w:r>
    </w:p>
    <w:p>
      <w:pPr>
        <w:spacing w:after="0" w:line="252"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57"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ind w:left="660" w:right="140" w:hanging="328"/>
        <w:spacing w:after="0" w:line="261"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rFonts w:ascii="Arial" w:cs="Arial" w:eastAsia="Arial" w:hAnsi="Arial"/>
          <w:sz w:val="18"/>
          <w:szCs w:val="18"/>
          <w:color w:val="auto"/>
        </w:rPr>
      </w:pPr>
    </w:p>
    <w:p>
      <w:pPr>
        <w:ind w:left="1300" w:right="20" w:hanging="320"/>
        <w:spacing w:after="0" w:line="256"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[Omitted];</w:t>
      </w:r>
    </w:p>
    <w:p>
      <w:pPr>
        <w:spacing w:after="0" w:line="157" w:lineRule="exact"/>
        <w:rPr>
          <w:rFonts w:ascii="Arial" w:cs="Arial" w:eastAsia="Arial" w:hAnsi="Arial"/>
          <w:sz w:val="18"/>
          <w:szCs w:val="18"/>
          <w:color w:val="auto"/>
        </w:rPr>
      </w:pPr>
    </w:p>
    <w:p>
      <w:pPr>
        <w:ind w:left="1300" w:right="300" w:hanging="320"/>
        <w:spacing w:after="0" w:line="256" w:lineRule="auto"/>
        <w:tabs>
          <w:tab w:leader="none" w:pos="1291"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ind w:left="1300" w:right="60" w:hanging="320"/>
        <w:spacing w:after="0" w:line="256"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300" w:right="440" w:hanging="320"/>
        <w:spacing w:after="0" w:line="256"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300" w:right="780" w:hanging="320"/>
        <w:spacing w:after="0" w:line="261"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November 10, 2022</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225" w:lineRule="exact"/>
        <w:rPr>
          <w:sz w:val="20"/>
          <w:szCs w:val="20"/>
          <w:color w:val="auto"/>
        </w:rPr>
      </w:pPr>
    </w:p>
    <w:p>
      <w:pPr>
        <w:ind w:right="340" w:firstLine="208"/>
        <w:spacing w:after="0" w:line="256"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2022 as filed with the Securities and Exchange Commission on the date hereof (the “Report”) fully complies with the requirements of Section 13(a) or Section 15(d), as applicable, of the Securities Exchange Act of 1934, as amended; and</w:t>
      </w:r>
    </w:p>
    <w:p>
      <w:pPr>
        <w:spacing w:after="0" w:line="228" w:lineRule="exact"/>
        <w:rPr>
          <w:rFonts w:ascii="Arial" w:cs="Arial" w:eastAsia="Arial" w:hAnsi="Arial"/>
          <w:sz w:val="18"/>
          <w:szCs w:val="18"/>
          <w:color w:val="auto"/>
        </w:rPr>
      </w:pPr>
    </w:p>
    <w:p>
      <w:pPr>
        <w:ind w:right="120" w:firstLine="208"/>
        <w:spacing w:after="0" w:line="261"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November 10, 2022</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225" w:lineRule="exact"/>
        <w:rPr>
          <w:sz w:val="20"/>
          <w:szCs w:val="20"/>
          <w:color w:val="auto"/>
        </w:rPr>
      </w:pPr>
    </w:p>
    <w:p>
      <w:pPr>
        <w:ind w:right="340" w:firstLine="208"/>
        <w:spacing w:after="0" w:line="256" w:lineRule="auto"/>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2022 as filed with the Securities and Exchange Commission on the date hereof (the “Report”) fully complies with the requirements of Section 13(a) or Section 15(d), as applicable, of the Securities Exchange Act of 1934, as amended; and</w:t>
      </w:r>
    </w:p>
    <w:p>
      <w:pPr>
        <w:spacing w:after="0" w:line="228" w:lineRule="exact"/>
        <w:rPr>
          <w:rFonts w:ascii="Arial" w:cs="Arial" w:eastAsia="Arial" w:hAnsi="Arial"/>
          <w:sz w:val="18"/>
          <w:szCs w:val="18"/>
          <w:color w:val="auto"/>
        </w:rPr>
      </w:pPr>
    </w:p>
    <w:p>
      <w:pPr>
        <w:ind w:right="120" w:firstLine="208"/>
        <w:spacing w:after="0" w:line="261"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November 10, 2022</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5" Type="http://schemas.openxmlformats.org/officeDocument/2006/relationships/hyperlink" Target="https://www.sec.gov/Archives/edgar/data/1476840/000147684022000100/exhibit31-10xqq22022.htm" TargetMode="External"/><Relationship Id="rId106" Type="http://schemas.openxmlformats.org/officeDocument/2006/relationships/hyperlink" Target="https://www.sec.gov/Archives/edgar/data/0001476840/000162828021023404/exhibit32-8xk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2022-11-14T05:37:32Z</dcterms:created>
  <dcterms:modified xsi:type="dcterms:W3CDTF">2022-11-14T05:37:32Z</dcterms:modified>
</cp:coreProperties>
</file>