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1366520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13d-102)</w:t>
      </w:r>
    </w:p>
    <w:p>
      <w:pPr>
        <w:spacing w:after="0" w:line="17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to be Included in Statements Filed Pursuant</w:t>
      </w:r>
    </w:p>
    <w:p>
      <w:pPr>
        <w:jc w:val="center"/>
        <w:ind w:right="-259"/>
        <w:spacing w:after="0" w:line="203" w:lineRule="auto"/>
        <w:rPr>
          <w:sz w:val="20"/>
          <w:szCs w:val="20"/>
          <w:color w:val="auto"/>
        </w:rPr>
      </w:pPr>
      <w:r>
        <w:rPr>
          <w:rFonts w:ascii="Arial" w:cs="Arial" w:eastAsia="Arial" w:hAnsi="Arial"/>
          <w:sz w:val="18"/>
          <w:szCs w:val="18"/>
          <w:b w:val="1"/>
          <w:bCs w:val="1"/>
          <w:color w:val="auto"/>
        </w:rPr>
        <w:t>to § 240.13d-1(b), (c) and (d) and Amendments Thereto Filed</w:t>
      </w:r>
    </w:p>
    <w:p>
      <w:pPr>
        <w:jc w:val="center"/>
        <w:ind w:right="-259"/>
        <w:spacing w:after="0"/>
        <w:rPr>
          <w:sz w:val="20"/>
          <w:szCs w:val="20"/>
          <w:color w:val="auto"/>
        </w:rPr>
      </w:pPr>
      <w:r>
        <w:rPr>
          <w:rFonts w:ascii="Arial" w:cs="Arial" w:eastAsia="Arial" w:hAnsi="Arial"/>
          <w:sz w:val="18"/>
          <w:szCs w:val="18"/>
          <w:b w:val="1"/>
          <w:bCs w:val="1"/>
          <w:color w:val="auto"/>
        </w:rPr>
        <w:t>Pursuant to § 240.13d-2</w:t>
      </w:r>
    </w:p>
    <w:p>
      <w:pPr>
        <w:spacing w:after="0" w:line="15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Expensify, Inc.</w:t>
      </w:r>
    </w:p>
    <w:p>
      <w:pPr>
        <w:jc w:val="center"/>
        <w:ind w:right="-259"/>
        <w:spacing w:after="0"/>
        <w:rPr>
          <w:sz w:val="20"/>
          <w:szCs w:val="20"/>
          <w:color w:val="auto"/>
        </w:rPr>
      </w:pPr>
      <w:r>
        <w:rPr>
          <w:rFonts w:ascii="Arial" w:cs="Arial" w:eastAsia="Arial" w:hAnsi="Arial"/>
          <w:sz w:val="18"/>
          <w:szCs w:val="18"/>
          <w:b w:val="1"/>
          <w:bCs w:val="1"/>
          <w:color w:val="auto"/>
        </w:rPr>
        <w:t>(Name of Issuer)</w:t>
      </w:r>
    </w:p>
    <w:p>
      <w:pPr>
        <w:spacing w:after="0" w:line="36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Class A Common Stock</w:t>
      </w:r>
    </w:p>
    <w:p>
      <w:pPr>
        <w:jc w:val="center"/>
        <w:ind w:right="-259"/>
        <w:spacing w:after="0"/>
        <w:rPr>
          <w:sz w:val="20"/>
          <w:szCs w:val="20"/>
          <w:color w:val="auto"/>
        </w:rPr>
      </w:pPr>
      <w:r>
        <w:rPr>
          <w:rFonts w:ascii="Arial" w:cs="Arial" w:eastAsia="Arial" w:hAnsi="Arial"/>
          <w:sz w:val="14"/>
          <w:szCs w:val="14"/>
          <w:b w:val="1"/>
          <w:bCs w:val="1"/>
          <w:color w:val="auto"/>
        </w:rPr>
        <w:t>(Title of Class of Securities)</w:t>
      </w:r>
    </w:p>
    <w:p>
      <w:pPr>
        <w:spacing w:after="0" w:line="37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30219Q106</w:t>
      </w:r>
    </w:p>
    <w:p>
      <w:pPr>
        <w:jc w:val="center"/>
        <w:ind w:right="-259"/>
        <w:spacing w:after="0"/>
        <w:rPr>
          <w:sz w:val="20"/>
          <w:szCs w:val="20"/>
          <w:color w:val="auto"/>
        </w:rPr>
      </w:pPr>
      <w:r>
        <w:rPr>
          <w:rFonts w:ascii="Arial" w:cs="Arial" w:eastAsia="Arial" w:hAnsi="Arial"/>
          <w:sz w:val="14"/>
          <w:szCs w:val="14"/>
          <w:b w:val="1"/>
          <w:bCs w:val="1"/>
          <w:color w:val="auto"/>
        </w:rPr>
        <w:t>(CUSIP Number)</w:t>
      </w:r>
    </w:p>
    <w:p>
      <w:pPr>
        <w:spacing w:after="0" w:line="37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2021</w:t>
      </w:r>
    </w:p>
    <w:p>
      <w:pPr>
        <w:jc w:val="center"/>
        <w:ind w:right="-2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38"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60" w:lineRule="exact"/>
        <w:rPr>
          <w:sz w:val="24"/>
          <w:szCs w:val="24"/>
          <w:color w:val="auto"/>
        </w:rPr>
      </w:pPr>
    </w:p>
    <w:p>
      <w:pPr>
        <w:ind w:left="480" w:hanging="454"/>
        <w:spacing w:after="0" w:line="258"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ectPr>
          <w:pgSz w:w="11900" w:h="16838" w:orient="portrait"/>
          <w:cols w:equalWidth="0" w:num="1">
            <w:col w:w="10980"/>
          </w:cols>
          <w:pgMar w:left="320" w:top="1440" w:right="599" w:bottom="1440" w:gutter="0" w:footer="0" w:header="0"/>
        </w:sectPr>
      </w:pPr>
    </w:p>
    <w:bookmarkStart w:id="1" w:name="page2"/>
    <w:bookmarkEnd w:id="1"/>
    <w:p>
      <w:pPr>
        <w:spacing w:after="0" w:line="18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tabs>
          <w:tab w:leader="none" w:pos="5360" w:val="left"/>
          <w:tab w:leader="none" w:pos="992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846455</wp:posOffset>
            </wp:positionV>
            <wp:extent cx="7140575" cy="522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522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45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71" w:lineRule="exact"/>
        <w:rPr>
          <w:sz w:val="20"/>
          <w:szCs w:val="20"/>
          <w:color w:val="auto"/>
        </w:rPr>
      </w:pPr>
    </w:p>
    <w:p>
      <w:pPr>
        <w:ind w:left="660" w:right="400"/>
        <w:spacing w:after="0" w:line="235" w:lineRule="auto"/>
        <w:rPr>
          <w:sz w:val="20"/>
          <w:szCs w:val="20"/>
          <w:color w:val="auto"/>
        </w:rPr>
      </w:pPr>
      <w:r>
        <w:rPr>
          <w:rFonts w:ascii="Arial" w:cs="Arial" w:eastAsia="Arial" w:hAnsi="Arial"/>
          <w:sz w:val="22"/>
          <w:szCs w:val="22"/>
          <w:b w:val="1"/>
          <w:bCs w:val="1"/>
          <w:color w:val="auto"/>
        </w:rPr>
        <w:t>David Barrett, individually and as trustee of the Barrett Family Trust, solely in such trust’s capacity as the sole member of Barrett Trust LLC</w:t>
      </w:r>
    </w:p>
    <w:p>
      <w:pPr>
        <w:spacing w:after="0" w:line="9" w:lineRule="exact"/>
        <w:rPr>
          <w:sz w:val="20"/>
          <w:szCs w:val="20"/>
          <w:color w:val="auto"/>
        </w:rPr>
      </w:pPr>
    </w:p>
    <w:p>
      <w:pPr>
        <w:ind w:left="660" w:hanging="45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6" w:lineRule="exact"/>
        <w:rPr>
          <w:sz w:val="20"/>
          <w:szCs w:val="20"/>
          <w:color w:val="auto"/>
        </w:rPr>
      </w:pPr>
    </w:p>
    <w:p>
      <w:pPr>
        <w:ind w:left="660" w:hanging="45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6" w:lineRule="exact"/>
        <w:rPr>
          <w:sz w:val="20"/>
          <w:szCs w:val="20"/>
          <w:color w:val="auto"/>
        </w:rPr>
      </w:pPr>
    </w:p>
    <w:p>
      <w:pPr>
        <w:ind w:left="660" w:hanging="45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United States</w:t>
      </w: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3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160" w:type="dxa"/>
            <w:vAlign w:val="bottom"/>
            <w:vMerge w:val="restart"/>
          </w:tcPr>
          <w:p>
            <w:pPr>
              <w:jc w:val="center"/>
              <w:ind w:right="215"/>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175"/>
        </w:trPr>
        <w:tc>
          <w:tcPr>
            <w:tcW w:w="1160" w:type="dxa"/>
            <w:vAlign w:val="bottom"/>
            <w:vMerge w:val="continue"/>
          </w:tcPr>
          <w:p>
            <w:pPr>
              <w:spacing w:after="0"/>
              <w:rPr>
                <w:sz w:val="15"/>
                <w:szCs w:val="15"/>
                <w:color w:val="auto"/>
              </w:rPr>
            </w:pPr>
          </w:p>
        </w:tc>
        <w:tc>
          <w:tcPr>
            <w:tcW w:w="4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6</w:t>
            </w:r>
          </w:p>
        </w:tc>
        <w:tc>
          <w:tcPr>
            <w:tcW w:w="9320" w:type="dxa"/>
            <w:vAlign w:val="bottom"/>
          </w:tcPr>
          <w:p>
            <w:pPr>
              <w:ind w:left="160"/>
              <w:spacing w:after="0" w:line="17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160" w:type="dxa"/>
            <w:vAlign w:val="bottom"/>
          </w:tcPr>
          <w:p>
            <w:pPr>
              <w:jc w:val="center"/>
              <w:ind w:right="195"/>
              <w:spacing w:after="0" w:line="122" w:lineRule="exact"/>
              <w:rPr>
                <w:sz w:val="20"/>
                <w:szCs w:val="20"/>
                <w:color w:val="auto"/>
              </w:rPr>
            </w:pPr>
            <w:r>
              <w:rPr>
                <w:rFonts w:ascii="Arial" w:cs="Arial" w:eastAsia="Arial" w:hAnsi="Arial"/>
                <w:sz w:val="13"/>
                <w:szCs w:val="13"/>
                <w:color w:val="auto"/>
              </w:rPr>
              <w:t>Shares</w:t>
            </w:r>
          </w:p>
        </w:tc>
        <w:tc>
          <w:tcPr>
            <w:tcW w:w="460" w:type="dxa"/>
            <w:vAlign w:val="bottom"/>
          </w:tcPr>
          <w:p>
            <w:pPr>
              <w:spacing w:after="0"/>
              <w:rPr>
                <w:sz w:val="10"/>
                <w:szCs w:val="10"/>
                <w:color w:val="auto"/>
              </w:rPr>
            </w:pPr>
          </w:p>
        </w:tc>
        <w:tc>
          <w:tcPr>
            <w:tcW w:w="9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195"/>
              <w:spacing w:after="0" w:line="176" w:lineRule="exact"/>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6,518,550</w:t>
            </w:r>
          </w:p>
        </w:tc>
        <w:tc>
          <w:tcPr>
            <w:tcW w:w="0" w:type="dxa"/>
            <w:vAlign w:val="bottom"/>
          </w:tcPr>
          <w:p>
            <w:pPr>
              <w:spacing w:after="0"/>
              <w:rPr>
                <w:sz w:val="1"/>
                <w:szCs w:val="1"/>
                <w:color w:val="auto"/>
              </w:rPr>
            </w:pPr>
          </w:p>
        </w:tc>
      </w:tr>
      <w:tr>
        <w:trPr>
          <w:trHeight w:val="175"/>
        </w:trPr>
        <w:tc>
          <w:tcPr>
            <w:tcW w:w="1160" w:type="dxa"/>
            <w:vAlign w:val="bottom"/>
          </w:tcPr>
          <w:p>
            <w:pPr>
              <w:jc w:val="center"/>
              <w:ind w:right="215"/>
              <w:spacing w:after="0" w:line="176" w:lineRule="exact"/>
              <w:rPr>
                <w:sz w:val="20"/>
                <w:szCs w:val="20"/>
                <w:color w:val="auto"/>
              </w:rPr>
            </w:pPr>
            <w:r>
              <w:rPr>
                <w:rFonts w:ascii="Arial" w:cs="Arial" w:eastAsia="Arial" w:hAnsi="Arial"/>
                <w:sz w:val="18"/>
                <w:szCs w:val="18"/>
                <w:color w:val="auto"/>
                <w:w w:val="91"/>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jc w:val="center"/>
              <w:ind w:right="195"/>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60" w:type="dxa"/>
            <w:vAlign w:val="bottom"/>
          </w:tcPr>
          <w:p>
            <w:pPr>
              <w:jc w:val="right"/>
              <w:ind w:right="70"/>
              <w:spacing w:after="0" w:line="169"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1160" w:type="dxa"/>
            <w:vAlign w:val="bottom"/>
          </w:tcPr>
          <w:p>
            <w:pPr>
              <w:jc w:val="center"/>
              <w:ind w:right="195"/>
              <w:spacing w:after="0" w:line="135" w:lineRule="exact"/>
              <w:rPr>
                <w:sz w:val="20"/>
                <w:szCs w:val="20"/>
                <w:color w:val="auto"/>
              </w:rPr>
            </w:pPr>
            <w:r>
              <w:rPr>
                <w:rFonts w:ascii="Arial" w:cs="Arial" w:eastAsia="Arial" w:hAnsi="Arial"/>
                <w:sz w:val="15"/>
                <w:szCs w:val="15"/>
                <w:color w:val="auto"/>
              </w:rPr>
              <w:t>Reporting</w:t>
            </w:r>
          </w:p>
        </w:tc>
        <w:tc>
          <w:tcPr>
            <w:tcW w:w="4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215"/>
              <w:spacing w:after="0" w:line="176" w:lineRule="exact"/>
              <w:rPr>
                <w:sz w:val="20"/>
                <w:szCs w:val="20"/>
                <w:color w:val="auto"/>
              </w:rPr>
            </w:pPr>
            <w:r>
              <w:rPr>
                <w:rFonts w:ascii="Arial" w:cs="Arial" w:eastAsia="Arial" w:hAnsi="Arial"/>
                <w:sz w:val="18"/>
                <w:szCs w:val="18"/>
                <w:color w:val="auto"/>
                <w:w w:val="87"/>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189"/>
        </w:trPr>
        <w:tc>
          <w:tcPr>
            <w:tcW w:w="1160" w:type="dxa"/>
            <w:vAlign w:val="bottom"/>
          </w:tcPr>
          <w:p>
            <w:pPr>
              <w:jc w:val="center"/>
              <w:ind w:right="215"/>
              <w:spacing w:after="0" w:line="189"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tcBorders>
          </w:tcPr>
          <w:p>
            <w:pPr>
              <w:spacing w:after="0"/>
              <w:rPr>
                <w:sz w:val="16"/>
                <w:szCs w:val="16"/>
                <w:color w:val="auto"/>
              </w:rPr>
            </w:pPr>
          </w:p>
        </w:tc>
        <w:tc>
          <w:tcPr>
            <w:tcW w:w="9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6,518,550</w:t>
      </w:r>
    </w:p>
    <w:p>
      <w:pPr>
        <w:spacing w:after="0" w:line="57" w:lineRule="exact"/>
        <w:rPr>
          <w:sz w:val="20"/>
          <w:szCs w:val="20"/>
          <w:color w:val="auto"/>
        </w:rPr>
      </w:pPr>
    </w:p>
    <w:p>
      <w:pPr>
        <w:ind w:left="660" w:hanging="45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6,518,550</w:t>
      </w:r>
    </w:p>
    <w:p>
      <w:pPr>
        <w:spacing w:after="0" w:line="5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Not applicable</w:t>
      </w:r>
    </w:p>
    <w:p>
      <w:pPr>
        <w:spacing w:after="0" w:line="5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9.7%</w:t>
      </w:r>
    </w:p>
    <w:p>
      <w:pPr>
        <w:spacing w:after="0" w:line="5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OO</w:t>
      </w:r>
    </w:p>
    <w:p>
      <w:pPr>
        <w:sectPr>
          <w:pgSz w:w="11900" w:h="16838" w:orient="portrait"/>
          <w:cols w:equalWidth="0" w:num="1">
            <w:col w:w="11240"/>
          </w:cols>
          <w:pgMar w:left="340" w:top="166" w:right="319" w:bottom="1440" w:gutter="0" w:footer="0" w:header="0"/>
        </w:sectPr>
      </w:pPr>
    </w:p>
    <w:bookmarkStart w:id="3" w:name="page4"/>
    <w:bookmarkEnd w:id="3"/>
    <w:p>
      <w:pPr>
        <w:spacing w:after="0"/>
        <w:tabs>
          <w:tab w:leader="none" w:pos="5360" w:val="left"/>
          <w:tab w:leader="none" w:pos="992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1069340</wp:posOffset>
            </wp:positionV>
            <wp:extent cx="7140575" cy="509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509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45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Barrett Trust LLC</w:t>
      </w:r>
    </w:p>
    <w:p>
      <w:pPr>
        <w:spacing w:after="0" w:line="35" w:lineRule="exact"/>
        <w:rPr>
          <w:sz w:val="20"/>
          <w:szCs w:val="20"/>
          <w:color w:val="auto"/>
        </w:rPr>
      </w:pPr>
    </w:p>
    <w:p>
      <w:pPr>
        <w:ind w:left="660" w:hanging="45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6" w:lineRule="exact"/>
        <w:rPr>
          <w:sz w:val="20"/>
          <w:szCs w:val="20"/>
          <w:color w:val="auto"/>
        </w:rPr>
      </w:pPr>
    </w:p>
    <w:p>
      <w:pPr>
        <w:ind w:left="660" w:hanging="45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6" w:lineRule="exact"/>
        <w:rPr>
          <w:sz w:val="20"/>
          <w:szCs w:val="20"/>
          <w:color w:val="auto"/>
        </w:rPr>
      </w:pPr>
    </w:p>
    <w:p>
      <w:pPr>
        <w:ind w:left="660" w:hanging="45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United States</w:t>
      </w: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3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160" w:type="dxa"/>
            <w:vAlign w:val="bottom"/>
            <w:vMerge w:val="restart"/>
          </w:tcPr>
          <w:p>
            <w:pPr>
              <w:jc w:val="center"/>
              <w:ind w:right="215"/>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175"/>
        </w:trPr>
        <w:tc>
          <w:tcPr>
            <w:tcW w:w="1160" w:type="dxa"/>
            <w:vAlign w:val="bottom"/>
            <w:vMerge w:val="continue"/>
          </w:tcPr>
          <w:p>
            <w:pPr>
              <w:spacing w:after="0"/>
              <w:rPr>
                <w:sz w:val="15"/>
                <w:szCs w:val="15"/>
                <w:color w:val="auto"/>
              </w:rPr>
            </w:pPr>
          </w:p>
        </w:tc>
        <w:tc>
          <w:tcPr>
            <w:tcW w:w="4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6</w:t>
            </w:r>
          </w:p>
        </w:tc>
        <w:tc>
          <w:tcPr>
            <w:tcW w:w="9320" w:type="dxa"/>
            <w:vAlign w:val="bottom"/>
          </w:tcPr>
          <w:p>
            <w:pPr>
              <w:ind w:left="160"/>
              <w:spacing w:after="0" w:line="17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160" w:type="dxa"/>
            <w:vAlign w:val="bottom"/>
          </w:tcPr>
          <w:p>
            <w:pPr>
              <w:jc w:val="center"/>
              <w:ind w:right="195"/>
              <w:spacing w:after="0" w:line="122" w:lineRule="exact"/>
              <w:rPr>
                <w:sz w:val="20"/>
                <w:szCs w:val="20"/>
                <w:color w:val="auto"/>
              </w:rPr>
            </w:pPr>
            <w:r>
              <w:rPr>
                <w:rFonts w:ascii="Arial" w:cs="Arial" w:eastAsia="Arial" w:hAnsi="Arial"/>
                <w:sz w:val="13"/>
                <w:szCs w:val="13"/>
                <w:color w:val="auto"/>
              </w:rPr>
              <w:t>Shares</w:t>
            </w:r>
          </w:p>
        </w:tc>
        <w:tc>
          <w:tcPr>
            <w:tcW w:w="460" w:type="dxa"/>
            <w:vAlign w:val="bottom"/>
          </w:tcPr>
          <w:p>
            <w:pPr>
              <w:spacing w:after="0"/>
              <w:rPr>
                <w:sz w:val="10"/>
                <w:szCs w:val="10"/>
                <w:color w:val="auto"/>
              </w:rPr>
            </w:pPr>
          </w:p>
        </w:tc>
        <w:tc>
          <w:tcPr>
            <w:tcW w:w="9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195"/>
              <w:spacing w:after="0" w:line="176" w:lineRule="exact"/>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6,518,550</w:t>
            </w:r>
          </w:p>
        </w:tc>
        <w:tc>
          <w:tcPr>
            <w:tcW w:w="0" w:type="dxa"/>
            <w:vAlign w:val="bottom"/>
          </w:tcPr>
          <w:p>
            <w:pPr>
              <w:spacing w:after="0"/>
              <w:rPr>
                <w:sz w:val="1"/>
                <w:szCs w:val="1"/>
                <w:color w:val="auto"/>
              </w:rPr>
            </w:pPr>
          </w:p>
        </w:tc>
      </w:tr>
      <w:tr>
        <w:trPr>
          <w:trHeight w:val="175"/>
        </w:trPr>
        <w:tc>
          <w:tcPr>
            <w:tcW w:w="1160" w:type="dxa"/>
            <w:vAlign w:val="bottom"/>
          </w:tcPr>
          <w:p>
            <w:pPr>
              <w:jc w:val="center"/>
              <w:ind w:right="215"/>
              <w:spacing w:after="0" w:line="176" w:lineRule="exact"/>
              <w:rPr>
                <w:sz w:val="20"/>
                <w:szCs w:val="20"/>
                <w:color w:val="auto"/>
              </w:rPr>
            </w:pPr>
            <w:r>
              <w:rPr>
                <w:rFonts w:ascii="Arial" w:cs="Arial" w:eastAsia="Arial" w:hAnsi="Arial"/>
                <w:sz w:val="18"/>
                <w:szCs w:val="18"/>
                <w:color w:val="auto"/>
                <w:w w:val="91"/>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jc w:val="center"/>
              <w:ind w:right="195"/>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60" w:type="dxa"/>
            <w:vAlign w:val="bottom"/>
          </w:tcPr>
          <w:p>
            <w:pPr>
              <w:jc w:val="right"/>
              <w:ind w:right="70"/>
              <w:spacing w:after="0" w:line="169"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1160" w:type="dxa"/>
            <w:vAlign w:val="bottom"/>
          </w:tcPr>
          <w:p>
            <w:pPr>
              <w:jc w:val="center"/>
              <w:ind w:right="195"/>
              <w:spacing w:after="0" w:line="135" w:lineRule="exact"/>
              <w:rPr>
                <w:sz w:val="20"/>
                <w:szCs w:val="20"/>
                <w:color w:val="auto"/>
              </w:rPr>
            </w:pPr>
            <w:r>
              <w:rPr>
                <w:rFonts w:ascii="Arial" w:cs="Arial" w:eastAsia="Arial" w:hAnsi="Arial"/>
                <w:sz w:val="15"/>
                <w:szCs w:val="15"/>
                <w:color w:val="auto"/>
              </w:rPr>
              <w:t>Reporting</w:t>
            </w:r>
          </w:p>
        </w:tc>
        <w:tc>
          <w:tcPr>
            <w:tcW w:w="4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215"/>
              <w:spacing w:after="0" w:line="176" w:lineRule="exact"/>
              <w:rPr>
                <w:sz w:val="20"/>
                <w:szCs w:val="20"/>
                <w:color w:val="auto"/>
              </w:rPr>
            </w:pPr>
            <w:r>
              <w:rPr>
                <w:rFonts w:ascii="Arial" w:cs="Arial" w:eastAsia="Arial" w:hAnsi="Arial"/>
                <w:sz w:val="18"/>
                <w:szCs w:val="18"/>
                <w:color w:val="auto"/>
                <w:w w:val="87"/>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189"/>
        </w:trPr>
        <w:tc>
          <w:tcPr>
            <w:tcW w:w="1160" w:type="dxa"/>
            <w:vAlign w:val="bottom"/>
          </w:tcPr>
          <w:p>
            <w:pPr>
              <w:jc w:val="center"/>
              <w:ind w:right="215"/>
              <w:spacing w:after="0" w:line="189"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tcBorders>
          </w:tcPr>
          <w:p>
            <w:pPr>
              <w:spacing w:after="0"/>
              <w:rPr>
                <w:sz w:val="16"/>
                <w:szCs w:val="16"/>
                <w:color w:val="auto"/>
              </w:rPr>
            </w:pPr>
          </w:p>
        </w:tc>
        <w:tc>
          <w:tcPr>
            <w:tcW w:w="9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6,518,550</w:t>
      </w:r>
    </w:p>
    <w:p>
      <w:pPr>
        <w:spacing w:after="0" w:line="57" w:lineRule="exact"/>
        <w:rPr>
          <w:sz w:val="20"/>
          <w:szCs w:val="20"/>
          <w:color w:val="auto"/>
        </w:rPr>
      </w:pPr>
    </w:p>
    <w:p>
      <w:pPr>
        <w:ind w:left="660" w:hanging="45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6,518,550</w:t>
      </w:r>
    </w:p>
    <w:p>
      <w:pPr>
        <w:spacing w:after="0" w:line="5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Not applicable</w:t>
      </w:r>
    </w:p>
    <w:p>
      <w:pPr>
        <w:spacing w:after="0" w:line="5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9.7%</w:t>
      </w:r>
    </w:p>
    <w:p>
      <w:pPr>
        <w:spacing w:after="0" w:line="5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OO</w:t>
      </w:r>
    </w:p>
    <w:p>
      <w:pPr>
        <w:sectPr>
          <w:pgSz w:w="11900" w:h="16838" w:orient="portrait"/>
          <w:cols w:equalWidth="0" w:num="1">
            <w:col w:w="11240"/>
          </w:cols>
          <w:pgMar w:left="340" w:top="166" w:right="319" w:bottom="1440" w:gutter="0" w:footer="0" w:header="0"/>
        </w:sectPr>
      </w:pPr>
    </w:p>
    <w:bookmarkStart w:id="4" w:name="page5"/>
    <w:bookmarkEnd w:id="4"/>
    <w:p>
      <w:pPr>
        <w:ind w:left="20"/>
        <w:spacing w:after="0"/>
        <w:tabs>
          <w:tab w:leader="none" w:pos="538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Expensify, Inc. (the “Issuer”).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401 SW 5th Avenue, Portland, Oregon 97209.</w:t>
      </w:r>
    </w:p>
    <w:p>
      <w:pPr>
        <w:spacing w:after="0" w:line="34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29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This statement is filed on behalf of David Barrett, individually and as trustee of the Barrett Family Trust, solely in such trust’s capacity as the sole member of Barrett Trust LLC, and Barrett Trust LLC (collectively, the “Reporting Persons”).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Reporting Persons have entered into a Joint Filing Agreement, dated as of February 9, 2022, a copy of which is filed as Exhibit 1 to this Schedule 13G.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or Principal Business Office: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business address of the Reporting Persons is C/O Expensify, Inc., 401 SW 5th Avenue, Portland, Oregon 97209.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David Barrett is a citizen of the United States, and Barrett Trust LLC is a Delaware limited liability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 of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$0.0001 per share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30219Q106.</w:t>
      </w:r>
    </w:p>
    <w:p>
      <w:pPr>
        <w:sectPr>
          <w:pgSz w:w="11900" w:h="16838" w:orient="portrait"/>
          <w:cols w:equalWidth="0" w:num="1">
            <w:col w:w="11220"/>
          </w:cols>
          <w:pgMar w:left="320" w:top="166" w:right="359" w:bottom="1440" w:gutter="0" w:footer="0" w:header="0"/>
        </w:sectPr>
      </w:pPr>
    </w:p>
    <w:bookmarkStart w:id="5" w:name="page6"/>
    <w:bookmarkEnd w:id="5"/>
    <w:p>
      <w:pPr>
        <w:ind w:left="20"/>
        <w:spacing w:after="0"/>
        <w:tabs>
          <w:tab w:leader="none" w:pos="538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9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ownership information below represents beneficial ownership of Class A Common Stock of the Issuer as of the date hereof, based upon 67,519,744 shares of Class A Common Stock outstanding as of December 20, 2021, as reported in the Issuer’s Quarterly Report on Form 10-Q for the quarterly period ended September 30, 2021.</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vMerge w:val="restart"/>
          </w:tcPr>
          <w:p>
            <w:pPr>
              <w:jc w:val="center"/>
              <w:ind w:right="304"/>
              <w:spacing w:after="0"/>
              <w:rPr>
                <w:sz w:val="20"/>
                <w:szCs w:val="20"/>
                <w:color w:val="auto"/>
              </w:rPr>
            </w:pPr>
            <w:r>
              <w:rPr>
                <w:rFonts w:ascii="Arial" w:cs="Arial" w:eastAsia="Arial" w:hAnsi="Arial"/>
                <w:sz w:val="14"/>
                <w:szCs w:val="14"/>
                <w:b w:val="1"/>
                <w:bCs w:val="1"/>
                <w:color w:val="auto"/>
                <w:w w:val="87"/>
              </w:rPr>
              <w:t>Sole</w:t>
            </w:r>
          </w:p>
        </w:tc>
        <w:tc>
          <w:tcPr>
            <w:tcW w:w="146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77"/>
        </w:trPr>
        <w:tc>
          <w:tcPr>
            <w:tcW w:w="3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60" w:type="dxa"/>
            <w:vAlign w:val="bottom"/>
            <w:vMerge w:val="restart"/>
          </w:tcPr>
          <w:p>
            <w:pPr>
              <w:jc w:val="center"/>
              <w:ind w:right="4"/>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20" w:type="dxa"/>
            <w:vAlign w:val="bottom"/>
            <w:vMerge w:val="restart"/>
          </w:tcPr>
          <w:p>
            <w:pPr>
              <w:jc w:val="center"/>
              <w:ind w:right="64"/>
              <w:spacing w:after="0" w:line="149" w:lineRule="exact"/>
              <w:rPr>
                <w:sz w:val="20"/>
                <w:szCs w:val="20"/>
                <w:color w:val="auto"/>
              </w:rPr>
            </w:pPr>
            <w:r>
              <w:rPr>
                <w:rFonts w:ascii="Arial" w:cs="Arial" w:eastAsia="Arial" w:hAnsi="Arial"/>
                <w:sz w:val="14"/>
                <w:szCs w:val="14"/>
                <w:b w:val="1"/>
                <w:bCs w:val="1"/>
                <w:color w:val="auto"/>
                <w:w w:val="81"/>
              </w:rPr>
              <w:t>Sole</w:t>
            </w:r>
          </w:p>
        </w:tc>
        <w:tc>
          <w:tcPr>
            <w:tcW w:w="1280" w:type="dxa"/>
            <w:vAlign w:val="bottom"/>
          </w:tcPr>
          <w:p>
            <w:pPr>
              <w:spacing w:after="0"/>
              <w:rPr>
                <w:sz w:val="6"/>
                <w:szCs w:val="6"/>
                <w:color w:val="auto"/>
              </w:rPr>
            </w:pPr>
          </w:p>
        </w:tc>
        <w:tc>
          <w:tcPr>
            <w:tcW w:w="1400" w:type="dxa"/>
            <w:vAlign w:val="bottom"/>
            <w:vMerge w:val="restart"/>
          </w:tcPr>
          <w:p>
            <w:pPr>
              <w:jc w:val="center"/>
              <w:ind w:right="304"/>
              <w:spacing w:after="0" w:line="149" w:lineRule="exact"/>
              <w:rPr>
                <w:sz w:val="20"/>
                <w:szCs w:val="20"/>
                <w:color w:val="auto"/>
              </w:rPr>
            </w:pPr>
            <w:r>
              <w:rPr>
                <w:rFonts w:ascii="Arial" w:cs="Arial" w:eastAsia="Arial" w:hAnsi="Arial"/>
                <w:sz w:val="14"/>
                <w:szCs w:val="14"/>
                <w:b w:val="1"/>
                <w:bCs w:val="1"/>
                <w:color w:val="auto"/>
                <w:w w:val="92"/>
              </w:rPr>
              <w:t>power to</w:t>
            </w: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80" w:type="dxa"/>
            <w:vAlign w:val="bottom"/>
            <w:vMerge w:val="restart"/>
          </w:tcPr>
          <w:p>
            <w:pPr>
              <w:jc w:val="center"/>
              <w:ind w:right="63"/>
              <w:spacing w:after="0" w:line="149" w:lineRule="exact"/>
              <w:rPr>
                <w:sz w:val="20"/>
                <w:szCs w:val="20"/>
                <w:color w:val="auto"/>
              </w:rPr>
            </w:pPr>
            <w:r>
              <w:rPr>
                <w:rFonts w:ascii="Arial" w:cs="Arial" w:eastAsia="Arial" w:hAnsi="Arial"/>
                <w:sz w:val="14"/>
                <w:szCs w:val="14"/>
                <w:b w:val="1"/>
                <w:bCs w:val="1"/>
                <w:color w:val="auto"/>
                <w:w w:val="89"/>
              </w:rPr>
              <w:t>Sole power to</w:t>
            </w:r>
          </w:p>
        </w:tc>
        <w:tc>
          <w:tcPr>
            <w:tcW w:w="1400" w:type="dxa"/>
            <w:vAlign w:val="bottom"/>
            <w:vMerge w:val="continue"/>
          </w:tcPr>
          <w:p>
            <w:pPr>
              <w:spacing w:after="0"/>
              <w:rPr>
                <w:sz w:val="6"/>
                <w:szCs w:val="6"/>
                <w:color w:val="auto"/>
              </w:rPr>
            </w:pPr>
          </w:p>
        </w:tc>
        <w:tc>
          <w:tcPr>
            <w:tcW w:w="1460" w:type="dxa"/>
            <w:vAlign w:val="bottom"/>
            <w:vMerge w:val="restart"/>
          </w:tcPr>
          <w:p>
            <w:pPr>
              <w:jc w:val="center"/>
              <w:ind w:right="4"/>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20" w:type="dxa"/>
            <w:vAlign w:val="bottom"/>
            <w:vMerge w:val="restart"/>
          </w:tcPr>
          <w:p>
            <w:pPr>
              <w:jc w:val="center"/>
              <w:ind w:right="64"/>
              <w:spacing w:after="0" w:line="135" w:lineRule="exact"/>
              <w:rPr>
                <w:sz w:val="20"/>
                <w:szCs w:val="20"/>
                <w:color w:val="auto"/>
              </w:rPr>
            </w:pPr>
            <w:r>
              <w:rPr>
                <w:rFonts w:ascii="Arial" w:cs="Arial" w:eastAsia="Arial" w:hAnsi="Arial"/>
                <w:sz w:val="14"/>
                <w:szCs w:val="14"/>
                <w:b w:val="1"/>
                <w:bCs w:val="1"/>
                <w:color w:val="auto"/>
                <w:w w:val="96"/>
              </w:rPr>
              <w:t>power</w:t>
            </w:r>
          </w:p>
        </w:tc>
        <w:tc>
          <w:tcPr>
            <w:tcW w:w="1280" w:type="dxa"/>
            <w:vAlign w:val="bottom"/>
            <w:vMerge w:val="continue"/>
          </w:tcPr>
          <w:p>
            <w:pPr>
              <w:spacing w:after="0"/>
              <w:rPr>
                <w:sz w:val="6"/>
                <w:szCs w:val="6"/>
                <w:color w:val="auto"/>
              </w:rPr>
            </w:pPr>
          </w:p>
        </w:tc>
        <w:tc>
          <w:tcPr>
            <w:tcW w:w="1400" w:type="dxa"/>
            <w:vAlign w:val="bottom"/>
            <w:vMerge w:val="restart"/>
          </w:tcPr>
          <w:p>
            <w:pPr>
              <w:jc w:val="center"/>
              <w:ind w:right="304"/>
              <w:spacing w:after="0" w:line="135" w:lineRule="exact"/>
              <w:rPr>
                <w:sz w:val="20"/>
                <w:szCs w:val="20"/>
                <w:color w:val="auto"/>
              </w:rPr>
            </w:pPr>
            <w:r>
              <w:rPr>
                <w:rFonts w:ascii="Arial" w:cs="Arial" w:eastAsia="Arial" w:hAnsi="Arial"/>
                <w:sz w:val="14"/>
                <w:szCs w:val="14"/>
                <w:b w:val="1"/>
                <w:bCs w:val="1"/>
                <w:color w:val="auto"/>
                <w:w w:val="87"/>
              </w:rPr>
              <w:t>dispose or</w:t>
            </w: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8"/>
              </w:rPr>
              <w:t>dispose or to</w:t>
            </w:r>
          </w:p>
        </w:tc>
        <w:tc>
          <w:tcPr>
            <w:tcW w:w="1400" w:type="dxa"/>
            <w:vAlign w:val="bottom"/>
            <w:vMerge w:val="continue"/>
          </w:tcPr>
          <w:p>
            <w:pPr>
              <w:spacing w:after="0"/>
              <w:rPr>
                <w:sz w:val="5"/>
                <w:szCs w:val="5"/>
                <w:color w:val="auto"/>
              </w:rPr>
            </w:pPr>
          </w:p>
        </w:tc>
        <w:tc>
          <w:tcPr>
            <w:tcW w:w="146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60" w:type="dxa"/>
            <w:vAlign w:val="bottom"/>
          </w:tcPr>
          <w:p>
            <w:pPr>
              <w:spacing w:after="0"/>
              <w:rPr>
                <w:sz w:val="11"/>
                <w:szCs w:val="11"/>
                <w:color w:val="auto"/>
              </w:rPr>
            </w:pPr>
          </w:p>
        </w:tc>
        <w:tc>
          <w:tcPr>
            <w:tcW w:w="10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87"/>
              </w:rPr>
              <w:t>to vote</w:t>
            </w:r>
          </w:p>
        </w:tc>
        <w:tc>
          <w:tcPr>
            <w:tcW w:w="1280" w:type="dxa"/>
            <w:vAlign w:val="bottom"/>
            <w:vMerge w:val="continue"/>
          </w:tcPr>
          <w:p>
            <w:pPr>
              <w:spacing w:after="0"/>
              <w:rPr>
                <w:sz w:val="11"/>
                <w:szCs w:val="11"/>
                <w:color w:val="auto"/>
              </w:rPr>
            </w:pPr>
          </w:p>
        </w:tc>
        <w:tc>
          <w:tcPr>
            <w:tcW w:w="1400" w:type="dxa"/>
            <w:vAlign w:val="bottom"/>
          </w:tcPr>
          <w:p>
            <w:pPr>
              <w:jc w:val="center"/>
              <w:ind w:right="284"/>
              <w:spacing w:after="0" w:line="135" w:lineRule="exact"/>
              <w:rPr>
                <w:sz w:val="20"/>
                <w:szCs w:val="20"/>
                <w:color w:val="auto"/>
              </w:rPr>
            </w:pPr>
            <w:r>
              <w:rPr>
                <w:rFonts w:ascii="Arial" w:cs="Arial" w:eastAsia="Arial" w:hAnsi="Arial"/>
                <w:sz w:val="14"/>
                <w:szCs w:val="14"/>
                <w:b w:val="1"/>
                <w:bCs w:val="1"/>
                <w:color w:val="auto"/>
                <w:w w:val="94"/>
              </w:rPr>
              <w:t>to direct</w:t>
            </w: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89"/>
              </w:rPr>
              <w:t>or to</w:t>
            </w:r>
          </w:p>
        </w:tc>
        <w:tc>
          <w:tcPr>
            <w:tcW w:w="128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1"/>
              </w:rPr>
              <w:t>direct the</w:t>
            </w:r>
          </w:p>
        </w:tc>
        <w:tc>
          <w:tcPr>
            <w:tcW w:w="1400" w:type="dxa"/>
            <w:vAlign w:val="bottom"/>
          </w:tcPr>
          <w:p>
            <w:pPr>
              <w:jc w:val="center"/>
              <w:ind w:right="284"/>
              <w:spacing w:after="0" w:line="135" w:lineRule="exact"/>
              <w:rPr>
                <w:sz w:val="20"/>
                <w:szCs w:val="20"/>
                <w:color w:val="auto"/>
              </w:rPr>
            </w:pPr>
            <w:r>
              <w:rPr>
                <w:rFonts w:ascii="Arial" w:cs="Arial" w:eastAsia="Arial" w:hAnsi="Arial"/>
                <w:sz w:val="14"/>
                <w:szCs w:val="14"/>
                <w:b w:val="1"/>
                <w:bCs w:val="1"/>
                <w:color w:val="auto"/>
                <w:w w:val="95"/>
              </w:rPr>
              <w:t>the</w:t>
            </w:r>
          </w:p>
        </w:tc>
        <w:tc>
          <w:tcPr>
            <w:tcW w:w="146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35"/>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Reporting Person</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beneficially</w:t>
            </w:r>
          </w:p>
        </w:tc>
        <w:tc>
          <w:tcPr>
            <w:tcW w:w="14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Percent of class:</w:t>
            </w:r>
          </w:p>
        </w:tc>
        <w:tc>
          <w:tcPr>
            <w:tcW w:w="10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4"/>
              </w:rPr>
              <w:t>direct</w:t>
            </w:r>
          </w:p>
        </w:tc>
        <w:tc>
          <w:tcPr>
            <w:tcW w:w="128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88"/>
              </w:rPr>
              <w:t>disposition</w:t>
            </w:r>
          </w:p>
        </w:tc>
        <w:tc>
          <w:tcPr>
            <w:tcW w:w="1400" w:type="dxa"/>
            <w:vAlign w:val="bottom"/>
          </w:tcPr>
          <w:p>
            <w:pPr>
              <w:jc w:val="center"/>
              <w:ind w:right="304"/>
              <w:spacing w:after="0" w:line="135" w:lineRule="exact"/>
              <w:rPr>
                <w:sz w:val="20"/>
                <w:szCs w:val="20"/>
                <w:color w:val="auto"/>
              </w:rPr>
            </w:pPr>
            <w:r>
              <w:rPr>
                <w:rFonts w:ascii="Arial" w:cs="Arial" w:eastAsia="Arial" w:hAnsi="Arial"/>
                <w:sz w:val="14"/>
                <w:szCs w:val="14"/>
                <w:b w:val="1"/>
                <w:bCs w:val="1"/>
                <w:color w:val="auto"/>
                <w:w w:val="88"/>
              </w:rPr>
              <w:t>disposition</w:t>
            </w:r>
          </w:p>
        </w:tc>
        <w:tc>
          <w:tcPr>
            <w:tcW w:w="146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88"/>
        </w:trPr>
        <w:tc>
          <w:tcPr>
            <w:tcW w:w="3100" w:type="dxa"/>
            <w:vAlign w:val="bottom"/>
            <w:vMerge w:val="continue"/>
          </w:tcPr>
          <w:p>
            <w:pPr>
              <w:spacing w:after="0"/>
              <w:rPr>
                <w:sz w:val="16"/>
                <w:szCs w:val="16"/>
                <w:color w:val="auto"/>
              </w:rPr>
            </w:pPr>
          </w:p>
        </w:tc>
        <w:tc>
          <w:tcPr>
            <w:tcW w:w="1400" w:type="dxa"/>
            <w:vAlign w:val="bottom"/>
          </w:tcPr>
          <w:p>
            <w:pPr>
              <w:ind w:left="540"/>
              <w:spacing w:after="0"/>
              <w:rPr>
                <w:sz w:val="20"/>
                <w:szCs w:val="20"/>
                <w:color w:val="auto"/>
              </w:rPr>
            </w:pPr>
            <w:r>
              <w:rPr>
                <w:rFonts w:ascii="Arial" w:cs="Arial" w:eastAsia="Arial" w:hAnsi="Arial"/>
                <w:sz w:val="14"/>
                <w:szCs w:val="14"/>
                <w:b w:val="1"/>
                <w:bCs w:val="1"/>
                <w:color w:val="auto"/>
              </w:rPr>
              <w:t>owned</w:t>
            </w:r>
          </w:p>
        </w:tc>
        <w:tc>
          <w:tcPr>
            <w:tcW w:w="1460" w:type="dxa"/>
            <w:vAlign w:val="bottom"/>
            <w:vMerge w:val="continue"/>
          </w:tcPr>
          <w:p>
            <w:pPr>
              <w:spacing w:after="0"/>
              <w:rPr>
                <w:sz w:val="16"/>
                <w:szCs w:val="16"/>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the vote:</w:t>
            </w: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auto"/>
              </w:rPr>
              <w:t>of:</w:t>
            </w:r>
          </w:p>
        </w:tc>
        <w:tc>
          <w:tcPr>
            <w:tcW w:w="1400" w:type="dxa"/>
            <w:vAlign w:val="bottom"/>
          </w:tcPr>
          <w:p>
            <w:pPr>
              <w:jc w:val="center"/>
              <w:ind w:right="284"/>
              <w:spacing w:after="0"/>
              <w:rPr>
                <w:sz w:val="20"/>
                <w:szCs w:val="20"/>
                <w:color w:val="auto"/>
              </w:rPr>
            </w:pPr>
            <w:r>
              <w:rPr>
                <w:rFonts w:ascii="Arial" w:cs="Arial" w:eastAsia="Arial" w:hAnsi="Arial"/>
                <w:sz w:val="14"/>
                <w:szCs w:val="14"/>
                <w:b w:val="1"/>
                <w:bCs w:val="1"/>
                <w:color w:val="auto"/>
                <w:w w:val="89"/>
              </w:rPr>
              <w:t>of:</w:t>
            </w:r>
          </w:p>
        </w:tc>
        <w:tc>
          <w:tcPr>
            <w:tcW w:w="146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w w:val="94"/>
                <w:shd w:val="clear" w:color="auto" w:fill="CCEEFF"/>
              </w:rPr>
              <w:t>David Barrett, individually and as trustee</w:t>
            </w:r>
          </w:p>
        </w:tc>
        <w:tc>
          <w:tcPr>
            <w:tcW w:w="14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shd w:val="clear" w:color="auto" w:fill="CCEEFF"/>
              </w:rPr>
              <w:t>of the Barrett Family Trust, solely in</w:t>
            </w:r>
          </w:p>
        </w:tc>
        <w:tc>
          <w:tcPr>
            <w:tcW w:w="1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87"/>
                <w:shd w:val="clear" w:color="auto" w:fill="CCEEFF"/>
              </w:rPr>
              <w:t>such trust’s capacity as the sole member</w:t>
            </w:r>
          </w:p>
        </w:tc>
        <w:tc>
          <w:tcPr>
            <w:tcW w:w="1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shd w:val="clear" w:color="auto" w:fill="CCEEFF"/>
              </w:rPr>
              <w:t>of Barrett Trust LLC</w:t>
            </w:r>
          </w:p>
        </w:tc>
        <w:tc>
          <w:tcPr>
            <w:tcW w:w="14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6,518,550</w:t>
            </w:r>
          </w:p>
        </w:tc>
        <w:tc>
          <w:tcPr>
            <w:tcW w:w="14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9.7 %</w:t>
            </w:r>
          </w:p>
        </w:tc>
        <w:tc>
          <w:tcPr>
            <w:tcW w:w="1020" w:type="dxa"/>
            <w:vAlign w:val="bottom"/>
            <w:shd w:val="clear" w:color="auto" w:fill="CCEEFF"/>
          </w:tcPr>
          <w:p>
            <w:pPr>
              <w:jc w:val="right"/>
              <w:ind w:right="64"/>
              <w:spacing w:after="0" w:line="202" w:lineRule="exact"/>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23"/>
              <w:spacing w:after="0" w:line="202" w:lineRule="exact"/>
              <w:rPr>
                <w:sz w:val="20"/>
                <w:szCs w:val="20"/>
                <w:color w:val="auto"/>
              </w:rPr>
            </w:pPr>
            <w:r>
              <w:rPr>
                <w:rFonts w:ascii="Arial" w:cs="Arial" w:eastAsia="Arial" w:hAnsi="Arial"/>
                <w:sz w:val="18"/>
                <w:szCs w:val="18"/>
                <w:color w:val="auto"/>
              </w:rPr>
              <w:t>6,518,550</w:t>
            </w:r>
          </w:p>
        </w:tc>
        <w:tc>
          <w:tcPr>
            <w:tcW w:w="1400" w:type="dxa"/>
            <w:vAlign w:val="bottom"/>
            <w:shd w:val="clear" w:color="auto" w:fill="CCEEFF"/>
          </w:tcPr>
          <w:p>
            <w:pPr>
              <w:jc w:val="right"/>
              <w:ind w:right="284"/>
              <w:spacing w:after="0" w:line="202" w:lineRule="exact"/>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6,518,550</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Barrett Trust LLC</w:t>
            </w:r>
          </w:p>
        </w:tc>
        <w:tc>
          <w:tcPr>
            <w:tcW w:w="1400" w:type="dxa"/>
            <w:vAlign w:val="bottom"/>
          </w:tcPr>
          <w:p>
            <w:pPr>
              <w:ind w:left="540"/>
              <w:spacing w:after="0"/>
              <w:rPr>
                <w:sz w:val="20"/>
                <w:szCs w:val="20"/>
                <w:color w:val="auto"/>
              </w:rPr>
            </w:pPr>
            <w:r>
              <w:rPr>
                <w:rFonts w:ascii="Arial" w:cs="Arial" w:eastAsia="Arial" w:hAnsi="Arial"/>
                <w:sz w:val="18"/>
                <w:szCs w:val="18"/>
                <w:color w:val="auto"/>
              </w:rPr>
              <w:t>6,518,550</w:t>
            </w: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9.7 %</w:t>
            </w:r>
          </w:p>
        </w:tc>
        <w:tc>
          <w:tcPr>
            <w:tcW w:w="1020" w:type="dxa"/>
            <w:vAlign w:val="bottom"/>
          </w:tcPr>
          <w:p>
            <w:pPr>
              <w:jc w:val="right"/>
              <w:ind w:right="64"/>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23"/>
              <w:spacing w:after="0"/>
              <w:rPr>
                <w:sz w:val="20"/>
                <w:szCs w:val="20"/>
                <w:color w:val="auto"/>
              </w:rPr>
            </w:pPr>
            <w:r>
              <w:rPr>
                <w:rFonts w:ascii="Arial" w:cs="Arial" w:eastAsia="Arial" w:hAnsi="Arial"/>
                <w:sz w:val="18"/>
                <w:szCs w:val="18"/>
                <w:color w:val="auto"/>
              </w:rPr>
              <w:t>6,518,550</w:t>
            </w:r>
          </w:p>
        </w:tc>
        <w:tc>
          <w:tcPr>
            <w:tcW w:w="1400" w:type="dxa"/>
            <w:vAlign w:val="bottom"/>
          </w:tcPr>
          <w:p>
            <w:pPr>
              <w:jc w:val="right"/>
              <w:ind w:right="284"/>
              <w:spacing w:after="0"/>
              <w:rPr>
                <w:sz w:val="20"/>
                <w:szCs w:val="20"/>
                <w:color w:val="auto"/>
              </w:rPr>
            </w:pPr>
            <w:r>
              <w:rPr>
                <w:rFonts w:ascii="Arial" w:cs="Arial" w:eastAsia="Arial" w:hAnsi="Arial"/>
                <w:sz w:val="18"/>
                <w:szCs w:val="18"/>
                <w:color w:val="auto"/>
              </w:rPr>
              <w:t>0</w:t>
            </w:r>
          </w:p>
        </w:tc>
        <w:tc>
          <w:tcPr>
            <w:tcW w:w="1460" w:type="dxa"/>
            <w:vAlign w:val="bottom"/>
          </w:tcPr>
          <w:p>
            <w:pPr>
              <w:jc w:val="right"/>
              <w:spacing w:after="0"/>
              <w:rPr>
                <w:sz w:val="20"/>
                <w:szCs w:val="20"/>
                <w:color w:val="auto"/>
              </w:rPr>
            </w:pPr>
            <w:r>
              <w:rPr>
                <w:rFonts w:ascii="Arial" w:cs="Arial" w:eastAsia="Arial" w:hAnsi="Arial"/>
                <w:sz w:val="18"/>
                <w:szCs w:val="18"/>
                <w:color w:val="auto"/>
              </w:rPr>
              <w:t>6,518,550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The Reporting Persons are the beneficial owners of 3,588,640 shares of Class A Common Stock and 2,929,910 shares of Class A Common Stock that may be acquired pursuant to the exercise of stock options within 60 days of December 31, 2021. Of the Reporting Persons, Barrett Trust LLC is a member-managed Delaware limited liability company. The investment and voting decisions of Barrett Trust LLC are made by its manager, Mr. Barrett, and its controlling member is the Barrett Family Trust, for which Mr. Barrett serves as trustee. In such capacities, Mr. Barrett may be deemed to beneficially own such shares beneficially owned by Barrett Trust LLC.</w:t>
      </w:r>
    </w:p>
    <w:p>
      <w:pPr>
        <w:spacing w:after="0" w:line="239"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1160" w:right="700" w:hanging="1133"/>
        <w:spacing w:after="0" w:line="237"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ectPr>
          <w:pgSz w:w="11900" w:h="16838" w:orient="portrait"/>
          <w:cols w:equalWidth="0" w:num="1">
            <w:col w:w="11220"/>
          </w:cols>
          <w:pgMar w:left="320" w:top="166" w:right="359" w:bottom="1440" w:gutter="0" w:footer="0" w:header="0"/>
        </w:sectPr>
      </w:pPr>
    </w:p>
    <w:bookmarkStart w:id="6" w:name="page7"/>
    <w:bookmarkEnd w:id="6"/>
    <w:p>
      <w:pPr>
        <w:ind w:left="20"/>
        <w:spacing w:after="0"/>
        <w:tabs>
          <w:tab w:leader="none" w:pos="538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dated February 9, 2022.</w:t>
      </w:r>
    </w:p>
    <w:p>
      <w:pPr>
        <w:sectPr>
          <w:pgSz w:w="11900" w:h="16838" w:orient="portrait"/>
          <w:cols w:equalWidth="0" w:num="1">
            <w:col w:w="11220"/>
          </w:cols>
          <w:pgMar w:left="320" w:top="166" w:right="359" w:bottom="1440" w:gutter="0" w:footer="0" w:header="0"/>
        </w:sectPr>
      </w:pPr>
    </w:p>
    <w:bookmarkStart w:id="7" w:name="page8"/>
    <w:bookmarkEnd w:id="7"/>
    <w:p>
      <w:pPr>
        <w:ind w:left="20"/>
        <w:spacing w:after="0"/>
        <w:tabs>
          <w:tab w:leader="none" w:pos="538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160"/>
        <w:spacing w:after="0" w:line="48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 February 9, 2022</w:t>
      </w:r>
    </w:p>
    <w:p>
      <w:pPr>
        <w:spacing w:after="0" w:line="3"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David Barrett, individually and</w:t>
      </w:r>
    </w:p>
    <w:p>
      <w:pPr>
        <w:ind w:left="8940"/>
        <w:spacing w:after="0" w:line="216" w:lineRule="auto"/>
        <w:rPr>
          <w:sz w:val="20"/>
          <w:szCs w:val="20"/>
          <w:color w:val="auto"/>
        </w:rPr>
      </w:pPr>
      <w:r>
        <w:rPr>
          <w:rFonts w:ascii="Arial" w:cs="Arial" w:eastAsia="Arial" w:hAnsi="Arial"/>
          <w:sz w:val="18"/>
          <w:szCs w:val="18"/>
          <w:b w:val="1"/>
          <w:bCs w:val="1"/>
          <w:color w:val="auto"/>
        </w:rPr>
        <w:t>as trustee of the Barrett</w:t>
      </w:r>
    </w:p>
    <w:p>
      <w:pPr>
        <w:ind w:left="8940"/>
        <w:spacing w:after="0" w:line="216" w:lineRule="auto"/>
        <w:rPr>
          <w:sz w:val="20"/>
          <w:szCs w:val="20"/>
          <w:color w:val="auto"/>
        </w:rPr>
      </w:pPr>
      <w:r>
        <w:rPr>
          <w:rFonts w:ascii="Arial" w:cs="Arial" w:eastAsia="Arial" w:hAnsi="Arial"/>
          <w:sz w:val="17"/>
          <w:szCs w:val="17"/>
          <w:b w:val="1"/>
          <w:bCs w:val="1"/>
          <w:color w:val="auto"/>
        </w:rPr>
        <w:t>Family Trust, solely in such</w:t>
      </w:r>
    </w:p>
    <w:p>
      <w:pPr>
        <w:ind w:left="8940"/>
        <w:spacing w:after="0" w:line="215" w:lineRule="auto"/>
        <w:rPr>
          <w:sz w:val="20"/>
          <w:szCs w:val="20"/>
          <w:color w:val="auto"/>
        </w:rPr>
      </w:pPr>
      <w:r>
        <w:rPr>
          <w:rFonts w:ascii="Arial" w:cs="Arial" w:eastAsia="Arial" w:hAnsi="Arial"/>
          <w:sz w:val="17"/>
          <w:szCs w:val="17"/>
          <w:b w:val="1"/>
          <w:bCs w:val="1"/>
          <w:color w:val="auto"/>
        </w:rPr>
        <w:t>trust’s capacity as the sole</w:t>
      </w:r>
    </w:p>
    <w:p>
      <w:pPr>
        <w:ind w:left="8940"/>
        <w:spacing w:after="0" w:line="204" w:lineRule="auto"/>
        <w:rPr>
          <w:sz w:val="20"/>
          <w:szCs w:val="20"/>
          <w:color w:val="auto"/>
        </w:rPr>
      </w:pPr>
      <w:r>
        <w:rPr>
          <w:rFonts w:ascii="Arial" w:cs="Arial" w:eastAsia="Arial" w:hAnsi="Arial"/>
          <w:sz w:val="18"/>
          <w:szCs w:val="18"/>
          <w:b w:val="1"/>
          <w:bCs w:val="1"/>
          <w:color w:val="auto"/>
        </w:rPr>
        <w:t>member of Barrett Trust</w:t>
      </w:r>
    </w:p>
    <w:p>
      <w:pPr>
        <w:ind w:left="8940"/>
        <w:spacing w:after="0"/>
        <w:rPr>
          <w:sz w:val="20"/>
          <w:szCs w:val="20"/>
          <w:color w:val="auto"/>
        </w:rPr>
      </w:pPr>
      <w:r>
        <w:rPr>
          <w:rFonts w:ascii="Arial" w:cs="Arial" w:eastAsia="Arial" w:hAnsi="Arial"/>
          <w:sz w:val="18"/>
          <w:szCs w:val="18"/>
          <w:b w:val="1"/>
          <w:bCs w:val="1"/>
          <w:color w:val="auto"/>
        </w:rPr>
        <w:t>LLC</w:t>
      </w:r>
    </w:p>
    <w:p>
      <w:pPr>
        <w:spacing w:after="0" w:line="200" w:lineRule="exact"/>
        <w:rPr>
          <w:sz w:val="20"/>
          <w:szCs w:val="20"/>
          <w:color w:val="auto"/>
        </w:rPr>
      </w:pPr>
    </w:p>
    <w:p>
      <w:pPr>
        <w:spacing w:after="0" w:line="29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14605</wp:posOffset>
            </wp:positionV>
            <wp:extent cx="157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Barrett Trust LLC</w:t>
      </w: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14605</wp:posOffset>
            </wp:positionV>
            <wp:extent cx="157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David Barrett</w:t>
      </w:r>
    </w:p>
    <w:p>
      <w:pPr>
        <w:spacing w:after="0" w:line="2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General Manager</w:t>
      </w:r>
    </w:p>
    <w:p>
      <w:pPr>
        <w:sectPr>
          <w:pgSz w:w="11900" w:h="16838" w:orient="portrait"/>
          <w:cols w:equalWidth="0" w:num="1">
            <w:col w:w="11220"/>
          </w:cols>
          <w:pgMar w:left="320" w:top="166" w:right="3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FILING AGREEMENT</w:t>
      </w:r>
    </w:p>
    <w:p>
      <w:pPr>
        <w:spacing w:after="0" w:line="235"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In accordance with Rule 13d-1(k) under the Securities Exchange Act of 1934, as amended, the undersigned agree to the joint filing on behalf of each of them of a statement on Schedule 13G with respect to the Class A Common Stock, par value $0.0001 per share, of Expensify, Inc. beneficially owned by them on a combined basis, and further agree that this Joint Filing Agreement shall be included as an exhibit to such joint filing. The undersigned further agree that any amendments to such statement on Schedule 13G shall be filed jointly on behalf of each of them without the necessity of entering into additional joint filing agreements.</w:t>
      </w:r>
    </w:p>
    <w:p>
      <w:pPr>
        <w:spacing w:after="0" w:line="203"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undersigned further agree that each party hereto is responsible for timely filing of such statement on Schedule 13G and any amendments thereto, and for the completeness and accuracy of the information concerning such party contained therein; provided that no party is responsible for the completeness or accuracy of the information concerning any other party, unless such party knows or has reason to believe that such information is inaccurate.</w:t>
      </w:r>
    </w:p>
    <w:p>
      <w:pPr>
        <w:spacing w:after="0" w:line="210"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undersigned shall not be deemed to admit that the undersigned were required to file a statement on Schedule 13G by reason of entering into this Joint Filing Agreement.</w:t>
      </w:r>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This Joint Filing Agreement may be executed in one or more counterparts, each of which shall be deemed to be an original instrument, but all of such counterparts together shall constitute but one agreement.</w:t>
      </w:r>
    </w:p>
    <w:p>
      <w:pPr>
        <w:spacing w:after="0" w:line="19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9"/>
          <w:szCs w:val="19"/>
          <w:color w:val="auto"/>
        </w:rPr>
        <w:t xml:space="preserve">When this Joint Filing Agreement is executed by a trustee </w:t>
      </w:r>
      <w:r>
        <w:rPr>
          <w:rFonts w:ascii="Arial" w:cs="Arial" w:eastAsia="Arial" w:hAnsi="Arial"/>
          <w:sz w:val="20"/>
          <w:szCs w:val="20"/>
          <w:color w:val="auto"/>
        </w:rPr>
        <w:t>of</w:t>
      </w:r>
      <w:r>
        <w:rPr>
          <w:rFonts w:ascii="Arial" w:cs="Arial" w:eastAsia="Arial" w:hAnsi="Arial"/>
          <w:sz w:val="19"/>
          <w:szCs w:val="19"/>
          <w:color w:val="auto"/>
        </w:rPr>
        <w:t xml:space="preserve"> a trust, such execution is by the trustee, not individually, but solely as trustee in the exercise of and under the power and authority conferred upon and invested in such trustee, and it is expressly understood and agreed that nothing contained in this Joint Filing Agreement shall be construed as granting any power over a trustee’s individual affairs or imposing any liability on any such trustee personally for breaches of any representations or warranties made hereunder or personally to pay </w:t>
      </w:r>
      <w:r>
        <w:rPr>
          <w:rFonts w:ascii="Arial" w:cs="Arial" w:eastAsia="Arial" w:hAnsi="Arial"/>
          <w:sz w:val="20"/>
          <w:szCs w:val="20"/>
          <w:color w:val="auto"/>
        </w:rPr>
        <w:t xml:space="preserve">any </w:t>
      </w:r>
      <w:r>
        <w:rPr>
          <w:rFonts w:ascii="Arial" w:cs="Arial" w:eastAsia="Arial" w:hAnsi="Arial"/>
          <w:sz w:val="18"/>
          <w:szCs w:val="18"/>
          <w:color w:val="auto"/>
        </w:rPr>
        <w:t>amounts required to be paid hereunder, or personally to perform any covenant, either express or implied, contained herein. Any liability</w:t>
      </w:r>
      <w:r>
        <w:rPr>
          <w:rFonts w:ascii="Arial" w:cs="Arial" w:eastAsia="Arial" w:hAnsi="Arial"/>
          <w:sz w:val="20"/>
          <w:szCs w:val="20"/>
          <w:color w:val="auto"/>
        </w:rPr>
        <w:t xml:space="preserve"> </w:t>
      </w:r>
      <w:r>
        <w:rPr>
          <w:rFonts w:ascii="Arial" w:cs="Arial" w:eastAsia="Arial" w:hAnsi="Arial"/>
          <w:sz w:val="18"/>
          <w:szCs w:val="18"/>
          <w:color w:val="auto"/>
        </w:rPr>
        <w:t>of a trust or trustee hereunder shall not be a personal liability of any trustee, grantor or beneficiary thereof, and any recourse against a trustee shall be solely against the assets of the pertinent trust.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240"/>
          </w:cols>
          <w:pgMar w:left="320" w:top="11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In evidence thereof, the undersigned, being duly authorized, hereby execute this Joint Filing Agreement as of this 9th day of February, 2022.</w:t>
      </w:r>
    </w:p>
    <w:p>
      <w:pPr>
        <w:spacing w:after="0" w:line="291"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David Barrett, individually and as trustee of the Barrett</w:t>
      </w:r>
    </w:p>
    <w:p>
      <w:pPr>
        <w:ind w:left="6920"/>
        <w:spacing w:after="0" w:line="228" w:lineRule="auto"/>
        <w:rPr>
          <w:sz w:val="20"/>
          <w:szCs w:val="20"/>
          <w:color w:val="auto"/>
        </w:rPr>
      </w:pPr>
      <w:r>
        <w:rPr>
          <w:rFonts w:ascii="Arial" w:cs="Arial" w:eastAsia="Arial" w:hAnsi="Arial"/>
          <w:sz w:val="16"/>
          <w:szCs w:val="16"/>
          <w:b w:val="1"/>
          <w:bCs w:val="1"/>
          <w:color w:val="auto"/>
        </w:rPr>
        <w:t>Family Trust, solely in such trust’s capacity as the sole</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member of Barrett Trust LLC</w:t>
      </w:r>
    </w:p>
    <w:p>
      <w:pPr>
        <w:spacing w:after="0" w:line="200" w:lineRule="exact"/>
        <w:rPr>
          <w:sz w:val="20"/>
          <w:szCs w:val="20"/>
          <w:color w:val="auto"/>
        </w:rPr>
      </w:pPr>
    </w:p>
    <w:p>
      <w:pPr>
        <w:spacing w:after="0" w:line="2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863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Barrett Trust LLC</w:t>
      </w:r>
    </w:p>
    <w:p>
      <w:pPr>
        <w:spacing w:after="0" w:line="200" w:lineRule="exact"/>
        <w:rPr>
          <w:sz w:val="20"/>
          <w:szCs w:val="20"/>
          <w:color w:val="auto"/>
        </w:rPr>
      </w:pPr>
    </w:p>
    <w:p>
      <w:pPr>
        <w:spacing w:after="0" w:line="25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863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David Barrett</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General Manager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4"/>
      <w:numFmt w:val="bullet"/>
      <w:start w:val="1"/>
    </w:lvl>
  </w:abstractNum>
  <w:abstractNum w:abstractNumId="12">
    <w:nsid w:val="3352255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2022-02-09T12:06:12Z</dcterms:created>
  <dcterms:modified xsi:type="dcterms:W3CDTF">2022-02-09T12:06:12Z</dcterms:modified>
</cp:coreProperties>
</file>