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80" w:type="dxa"/>
            <w:vAlign w:val="bottom"/>
          </w:tcPr>
          <w:p>
            <w:pPr>
              <w:spacing w:after="0"/>
              <w:rPr>
                <w:sz w:val="13"/>
                <w:szCs w:val="13"/>
                <w:color w:val="auto"/>
              </w:rPr>
            </w:pPr>
          </w:p>
        </w:tc>
        <w:tc>
          <w:tcPr>
            <w:tcW w:w="3080" w:type="dxa"/>
            <w:vAlign w:val="bottom"/>
            <w:vMerge w:val="restart"/>
          </w:tcPr>
          <w:p>
            <w:pPr>
              <w:ind w:left="152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6"/>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 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w:t>
      </w:r>
      <w:r>
        <w:rPr>
          <w:sz w:val="20"/>
          <w:szCs w:val="20"/>
          <w:color w:val="auto"/>
        </w:rPr>
        <w:tab/>
      </w:r>
      <w:r>
        <w:rPr>
          <w:rFonts w:ascii="Times New Roman" w:cs="Times New Roman" w:eastAsia="Times New Roman" w:hAnsi="Times New Roman"/>
          <w:sz w:val="21"/>
          <w:szCs w:val="21"/>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16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376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6"/>
                <w:szCs w:val="16"/>
                <w:b w:val="1"/>
                <w:bCs w:val="1"/>
                <w:color w:val="auto"/>
              </w:rPr>
              <w:t>Other Units Market Value 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1085337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1790806.05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04/10/2024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1085337</w:t>
            </w:r>
          </w:p>
        </w:tc>
        <w:tc>
          <w:tcPr>
            <w:tcW w:w="2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04/29/2009 Founding shares</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7311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15645.54</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1937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3874</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80082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157761.54</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03/18/2024 81301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151219.86</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03/19/2024 85209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151672.02</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03/20/2024 82608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151172.64</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03/20/2024 11627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22207.57</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03/21/2024 81419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151439.34</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03/22/2024 83289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151585.98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03/25/2024 85730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151742.1</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03/26/2024 89069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151417.3</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03/27/2024 54685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95151.9</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04/01/2024 13300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23275</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04/02/2024 15518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24983.98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04/03/2024 15792</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24793.44</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04/04/2024 15404</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24954.48</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04/05/2024 15985</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24776.75</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04/08/2024 15992</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24787.6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4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7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6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04/09/2024 15460</w:t>
            </w:r>
          </w:p>
        </w:tc>
        <w:tc>
          <w:tcPr>
            <w:tcW w:w="12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24890.6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14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97204</w:t>
            </w:r>
          </w:p>
        </w:tc>
        <w:tc>
          <w:tcPr>
            <w:tcW w:w="3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1"/>
          <w:szCs w:val="21"/>
          <w:color w:val="auto"/>
        </w:rPr>
        <w:t>Note: Barrett Trust LLC is a manager-managed limited liability company. The investment and voting decisions of Barrett Trust LLC are made by its manager, David Barrett, and its controlling member is the Barrett Family Trust, for which David Barrett serves as trustee. Note for 3(e): As of February 21, 2024, as stated in the Issuer's annual report on Form 10-K for the fiscal year ending December 31,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04/10/2024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1098" w:lineRule="exact"/>
        <w:rPr>
          <w:sz w:val="20"/>
          <w:szCs w:val="20"/>
          <w:color w:val="auto"/>
        </w:rPr>
      </w:pPr>
    </w:p>
    <w:p>
      <w:pPr>
        <w:sectPr>
          <w:pgSz w:w="11900" w:h="16838" w:orient="portrait"/>
          <w:cols w:equalWidth="0" w:num="2">
            <w:col w:w="1460" w:space="340"/>
            <w:col w:w="9400"/>
          </w:cols>
          <w:pgMar w:left="320" w:top="129"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00"/>
          </w:cols>
          <w:pgMar w:left="320" w:top="129"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2024-04-09T20:18:21Z</dcterms:created>
  <dcterms:modified xsi:type="dcterms:W3CDTF">2024-04-09T20:18:21Z</dcterms:modified>
</cp:coreProperties>
</file>