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0001891061</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w w:val="95"/>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360" w:type="dxa"/>
            <w:vAlign w:val="bottom"/>
          </w:tcPr>
          <w:p>
            <w:pPr>
              <w:spacing w:after="0"/>
              <w:rPr>
                <w:sz w:val="21"/>
                <w:szCs w:val="21"/>
                <w:color w:val="auto"/>
              </w:rPr>
            </w:pPr>
          </w:p>
        </w:tc>
        <w:tc>
          <w:tcPr>
            <w:tcW w:w="3020" w:type="dxa"/>
            <w:vAlign w:val="bottom"/>
          </w:tcPr>
          <w:p>
            <w:pPr>
              <w:ind w:left="16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360" w:type="dxa"/>
            <w:vAlign w:val="bottom"/>
          </w:tcPr>
          <w:p>
            <w:pPr>
              <w:spacing w:after="0"/>
              <w:rPr>
                <w:sz w:val="13"/>
                <w:szCs w:val="13"/>
                <w:color w:val="auto"/>
              </w:rPr>
            </w:pPr>
          </w:p>
        </w:tc>
        <w:tc>
          <w:tcPr>
            <w:tcW w:w="3020" w:type="dxa"/>
            <w:vAlign w:val="bottom"/>
            <w:vMerge w:val="restart"/>
          </w:tcPr>
          <w:p>
            <w:pPr>
              <w:ind w:left="16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360" w:type="dxa"/>
            <w:vAlign w:val="bottom"/>
          </w:tcPr>
          <w:p>
            <w:pPr>
              <w:spacing w:after="0"/>
              <w:rPr>
                <w:sz w:val="7"/>
                <w:szCs w:val="7"/>
                <w:color w:val="auto"/>
              </w:rPr>
            </w:pPr>
          </w:p>
        </w:tc>
        <w:tc>
          <w:tcPr>
            <w:tcW w:w="3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360" w:type="dxa"/>
            <w:vAlign w:val="bottom"/>
          </w:tcPr>
          <w:p>
            <w:pPr>
              <w:spacing w:after="0"/>
              <w:rPr>
                <w:sz w:val="24"/>
                <w:szCs w:val="24"/>
                <w:color w:val="auto"/>
              </w:rPr>
            </w:pP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020" w:type="dxa"/>
            <w:vAlign w:val="bottom"/>
          </w:tcPr>
          <w:p>
            <w:pPr>
              <w:ind w:left="1600"/>
              <w:spacing w:after="0"/>
              <w:rPr>
                <w:sz w:val="20"/>
                <w:szCs w:val="20"/>
                <w:color w:val="auto"/>
              </w:rPr>
            </w:pPr>
            <w:r>
              <w:rPr>
                <w:rFonts w:ascii="Times New Roman" w:cs="Times New Roman" w:eastAsia="Times New Roman" w:hAnsi="Times New Roman"/>
                <w:sz w:val="22"/>
                <w:szCs w:val="22"/>
                <w:color w:val="auto"/>
              </w:rPr>
              <w:t>Ryan Schaffer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2002</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7067.06</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79507184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03/10/2025</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2002</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03/06/2025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12/16/2024 2437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9358.08</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Ryan Schaffer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12/17/2024 1292</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4935.44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2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Note for 3(e): As of February 24, 2025, as stated in Issuer's quarterly report on Form 10-K for the fiscal year ending</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December 31, 2024.</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03/11/2025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Cole Eason, Secretary of the Company, in his capacity as such, and his successor in such office, and him, as the undersigned’s true and lawful attorney-in-fact and agent,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28th day of November,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Ryan Shaffer</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2025-03-11T19:14:33Z</dcterms:created>
  <dcterms:modified xsi:type="dcterms:W3CDTF">2025-03-11T19:14:33Z</dcterms:modified>
</cp:coreProperties>
</file>