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David Barrett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8043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18016.32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03/08/2024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8043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03/07/2024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12/13/2023 110000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254700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12/12/2023 85000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192950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12/11/2023 83000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194220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12/08/2023 84000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204960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12/07/2023 58221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144970.29</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12/14/2023 84000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204960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71970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179205.3</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1637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3994.28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12/19/2023 10978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25359.18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Note for 3(e): As of February 21, 2024, as stated in Issuer's annual report on Form 10-K for the fiscal year ending</w:t>
      </w:r>
    </w:p>
    <w:p>
      <w:pPr>
        <w:spacing w:after="0" w:line="14" w:lineRule="exact"/>
        <w:rPr>
          <w:sz w:val="20"/>
          <w:szCs w:val="20"/>
          <w:color w:val="auto"/>
        </w:rPr>
      </w:pPr>
    </w:p>
    <w:p>
      <w:pPr>
        <w:ind w:left="940" w:right="54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December 31, 2023. Note for Table II: Barrett Trust LLC is a manager-managed limited liability company. The investment and voting decisions of Barrett Trust LLC are made by its manager, David Barrett, and its controlling</w:t>
      </w:r>
    </w:p>
    <w:p>
      <w:pPr>
        <w:ind w:left="940"/>
        <w:spacing w:after="0"/>
        <w:rPr>
          <w:sz w:val="20"/>
          <w:szCs w:val="20"/>
          <w:color w:val="auto"/>
        </w:rPr>
      </w:pPr>
      <w:r>
        <w:rPr>
          <w:rFonts w:ascii="Times New Roman" w:cs="Times New Roman" w:eastAsia="Times New Roman" w:hAnsi="Times New Roman"/>
          <w:sz w:val="22"/>
          <w:szCs w:val="22"/>
          <w:color w:val="auto"/>
        </w:rPr>
        <w:t>member is the Barrett Family Trust, for which David Barrett serves as trustee.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03/08/2024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160"/>
          </w:cols>
          <w:pgMar w:left="360" w:top="111"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2024-03-08T14:05:22Z</dcterms:created>
  <dcterms:modified xsi:type="dcterms:W3CDTF">2024-03-08T14:05:22Z</dcterms:modified>
</cp:coreProperties>
</file>