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5, 2025</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Expensify, Inc.</w:t>
      </w:r>
    </w:p>
    <w:p>
      <w:pPr>
        <w:spacing w:after="0" w:line="72"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680" w:type="dxa"/>
            <w:vAlign w:val="bottom"/>
          </w:tcPr>
          <w:p>
            <w:pPr>
              <w:spacing w:after="0"/>
              <w:rPr>
                <w:sz w:val="20"/>
                <w:szCs w:val="20"/>
                <w:color w:val="auto"/>
              </w:rPr>
            </w:pPr>
          </w:p>
        </w:tc>
      </w:tr>
      <w:tr>
        <w:trPr>
          <w:trHeight w:val="246"/>
        </w:trPr>
        <w:tc>
          <w:tcPr>
            <w:tcW w:w="2100" w:type="dxa"/>
            <w:vAlign w:val="bottom"/>
          </w:tcPr>
          <w:p>
            <w:pPr>
              <w:jc w:val="center"/>
              <w:ind w:right="3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001-41043</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8"/>
                <w:szCs w:val="18"/>
                <w:b w:val="1"/>
                <w:bCs w:val="1"/>
                <w:color w:val="auto"/>
                <w:w w:val="98"/>
              </w:rPr>
              <w:t>27-0239450</w:t>
            </w:r>
          </w:p>
        </w:tc>
      </w:tr>
      <w:tr>
        <w:trPr>
          <w:trHeight w:val="178"/>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5"/>
              </w:rPr>
              <w:t>401 SW 5</w:t>
            </w:r>
            <w:r>
              <w:rPr>
                <w:rFonts w:ascii="Times New Roman" w:cs="Times New Roman" w:eastAsia="Times New Roman" w:hAnsi="Times New Roman"/>
                <w:sz w:val="23"/>
                <w:szCs w:val="23"/>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Ave</w:t>
            </w:r>
          </w:p>
        </w:tc>
        <w:tc>
          <w:tcPr>
            <w:tcW w:w="1680" w:type="dxa"/>
            <w:vAlign w:val="bottom"/>
          </w:tcPr>
          <w:p>
            <w:pPr>
              <w:spacing w:after="0"/>
              <w:rPr>
                <w:sz w:val="24"/>
                <w:szCs w:val="24"/>
                <w:color w:val="auto"/>
              </w:rPr>
            </w:pPr>
          </w:p>
        </w:tc>
      </w:tr>
      <w:tr>
        <w:trPr>
          <w:trHeight w:val="214"/>
        </w:trPr>
        <w:tc>
          <w:tcPr>
            <w:tcW w:w="2100" w:type="dxa"/>
            <w:vAlign w:val="bottom"/>
          </w:tcPr>
          <w:p>
            <w:pPr>
              <w:spacing w:after="0"/>
              <w:rPr>
                <w:sz w:val="18"/>
                <w:szCs w:val="18"/>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Portland, Oregon 97204</w:t>
            </w:r>
          </w:p>
        </w:tc>
        <w:tc>
          <w:tcPr>
            <w:tcW w:w="1680" w:type="dxa"/>
            <w:vAlign w:val="bottom"/>
          </w:tcPr>
          <w:p>
            <w:pPr>
              <w:spacing w:after="0"/>
              <w:rPr>
                <w:sz w:val="18"/>
                <w:szCs w:val="18"/>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(971) 365-3939</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80" w:type="dxa"/>
            <w:vAlign w:val="bottom"/>
          </w:tcPr>
          <w:p>
            <w:pPr>
              <w:spacing w:after="0"/>
              <w:rPr>
                <w:sz w:val="16"/>
                <w:szCs w:val="16"/>
                <w:color w:val="auto"/>
              </w:rPr>
            </w:pPr>
          </w:p>
        </w:tc>
      </w:tr>
    </w:tbl>
    <w:p>
      <w:pPr>
        <w:spacing w:after="0" w:line="100"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14"/>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EXFY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9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Registrant’s Certifying Accountant.</w:t>
      </w:r>
    </w:p>
    <w:p>
      <w:pPr>
        <w:spacing w:after="0" w:line="148"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On March 5, 2025, the Audit Committee of the Board of Directors of Expensify, Inc. (the “Company”) (i) dismissed Ernst &amp; Young LLP (“EY”), the Company’s current independent registered public accounting firm; and (ii) engaged KPMG LLP (“KPMG”) as the Company’s independent registered public accounting firm for the fiscal year ending December 31, 2025. The reports of EY on the Company’s consolidated financial statements for the years ended December 31, 2024 and 2023 did not contain an adverse opinion or disclaimer of opinion, nor were such reports qualified or modified as to uncertainty, audit scope or accounting principles.</w:t>
      </w:r>
    </w:p>
    <w:p>
      <w:pPr>
        <w:spacing w:after="0" w:line="11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During the fiscal years ended December 31, 2024 and 2023, and the subsequent interim period through March 5, 2025 (preceding such dismissal), there were no “disagreements” (as defined in Item 304(a)(1)(iv) of Regulation S-K and the related instructions) with EY on any matter of accounting principles or practices, financial statement disclosure or auditing scope or procedure, which disagreements, if not resolved to the satisfaction of EY, would have caused them to make a reference thereto in their reports.</w:t>
      </w:r>
    </w:p>
    <w:p>
      <w:pPr>
        <w:spacing w:after="0" w:line="11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During the fiscal years ended December 31, 2024 and 2023, and the subsequent interim period through March 5, 2025 (preceding such dismissal), there were no “reportable events” requiring disclosure pursuant to paragraph (a)(1)(v) of Item 304 of Regulation S-K.</w:t>
      </w:r>
    </w:p>
    <w:p>
      <w:pPr>
        <w:spacing w:after="0" w:line="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provided EY with a copy of this report and has requested that EY provide a letter addressed to the Securities and Exchange Commission stating whether EY agrees with the above statements as they relate to EY. A copy of such letter dated March 10, 2025 is attached as Exhibit 16.1 hereto.</w:t>
      </w:r>
    </w:p>
    <w:p>
      <w:pPr>
        <w:spacing w:after="0" w:line="95"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During the fiscal years ended December 31, 2024 and 2023, and the subsequent interim period through March 5, 2025 (prior to engagement of KPMG), neither the Company nor anyone on its behalf consulted KPMG regarding: (i) either: the application of accounting principles to a specified transaction, either completed or proposed, or the type of audit opinion that might be rendered on the Company’s consolidated financial statements, and either a written report was provided to the Company or oral advice was provided that KPMG concluded was an important factor considered by the Company in reaching a decision as to the accounting, auditing or financial reporting issue; or (ii) any matter that was the subject of a “disagreement” or “reportable event” (within the meaning of paragraph (a)(1)(iv) of Item 304 of Regulation S-K and paragraph (a)(1)(v) of Item 304 of Regulation S-K,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48"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80"/>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Exhibit No.</w:t>
        <w:tab/>
        <w:t>Description</w:t>
      </w:r>
    </w:p>
    <w:p>
      <w:pPr>
        <w:spacing w:after="0" w:line="115"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u w:val="single" w:color="auto"/>
          <w:color w:val="0000FF"/>
        </w:rPr>
        <w:t>Letter from Ernst &amp; Young LLP to the Securities and Exchange Commission dated March 10, 2025.</w:t>
      </w:r>
    </w:p>
    <w:p>
      <w:pPr>
        <w:spacing w:after="0" w:line="104"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Expensify, Inc.</w:t>
      </w:r>
    </w:p>
    <w:p>
      <w:pPr>
        <w:spacing w:after="0" w:line="266"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26035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Ryan Schaffer</w:t>
      </w:r>
    </w:p>
    <w:p>
      <w:pPr>
        <w:spacing w:after="0" w:line="63"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10, 2025</w:t>
      </w:r>
    </w:p>
    <w:p>
      <w:pPr>
        <w:sectPr>
          <w:pgSz w:w="11900" w:h="16838" w:orient="portrait"/>
          <w:cols w:equalWidth="0" w:num="1">
            <w:col w:w="11200"/>
          </w:cols>
          <w:pgMar w:left="320" w:top="141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78740</wp:posOffset>
            </wp:positionV>
            <wp:extent cx="514350" cy="608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 cy="608330"/>
                    </a:xfrm>
                    <a:prstGeom prst="rect">
                      <a:avLst/>
                    </a:prstGeom>
                    <a:noFill/>
                  </pic:spPr>
                </pic:pic>
              </a:graphicData>
            </a:graphic>
          </wp:anchor>
        </w:drawing>
      </w:r>
    </w:p>
    <w:p>
      <w:pPr>
        <w:sectPr>
          <w:pgSz w:w="11900" w:h="16838" w:orient="portrait"/>
          <w:cols w:equalWidth="0" w:num="1">
            <w:col w:w="11220"/>
          </w:cols>
          <w:pgMar w:left="320" w:top="158" w:right="359"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2600"/>
        <w:spacing w:after="0"/>
        <w:rPr>
          <w:sz w:val="20"/>
          <w:szCs w:val="20"/>
          <w:color w:val="auto"/>
        </w:rPr>
      </w:pPr>
      <w:r>
        <w:rPr>
          <w:rFonts w:ascii="Arial" w:cs="Arial" w:eastAsia="Arial" w:hAnsi="Arial"/>
          <w:sz w:val="14"/>
          <w:szCs w:val="14"/>
          <w:color w:val="6D6D6D"/>
        </w:rPr>
        <w:t>Ernst &amp; Young LLP</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6D6D6D"/>
        </w:rPr>
        <w:t>Tel: +1 415 894 8000</w:t>
      </w:r>
    </w:p>
    <w:p>
      <w:pPr>
        <w:spacing w:after="0" w:line="1" w:lineRule="exact"/>
        <w:rPr>
          <w:sz w:val="20"/>
          <w:szCs w:val="20"/>
          <w:color w:val="auto"/>
        </w:rPr>
      </w:pPr>
    </w:p>
    <w:p>
      <w:pPr>
        <w:sectPr>
          <w:pgSz w:w="11900" w:h="16838" w:orient="portrait"/>
          <w:cols w:equalWidth="0" w:num="2">
            <w:col w:w="6780" w:space="720"/>
            <w:col w:w="3720"/>
          </w:cols>
          <w:pgMar w:left="320" w:top="158" w:right="359" w:bottom="1440" w:gutter="0" w:footer="0" w:header="0"/>
          <w:type w:val="continuous"/>
        </w:sectPr>
      </w:pPr>
    </w:p>
    <w:p>
      <w:pPr>
        <w:ind w:left="2600"/>
        <w:spacing w:after="0" w:line="203" w:lineRule="auto"/>
        <w:rPr>
          <w:sz w:val="20"/>
          <w:szCs w:val="20"/>
          <w:color w:val="auto"/>
        </w:rPr>
      </w:pPr>
      <w:r>
        <w:rPr>
          <w:rFonts w:ascii="Arial" w:cs="Arial" w:eastAsia="Arial" w:hAnsi="Arial"/>
          <w:sz w:val="14"/>
          <w:szCs w:val="14"/>
          <w:color w:val="6D6D6D"/>
        </w:rPr>
        <w:t>Suite 1600</w:t>
      </w:r>
    </w:p>
    <w:p>
      <w:pPr>
        <w:ind w:left="2600"/>
        <w:spacing w:after="0"/>
        <w:rPr>
          <w:sz w:val="20"/>
          <w:szCs w:val="20"/>
          <w:color w:val="auto"/>
        </w:rPr>
      </w:pPr>
      <w:r>
        <w:rPr>
          <w:rFonts w:ascii="Arial" w:cs="Arial" w:eastAsia="Arial" w:hAnsi="Arial"/>
          <w:sz w:val="14"/>
          <w:szCs w:val="14"/>
          <w:color w:val="6D6D6D"/>
        </w:rPr>
        <w:t>560 Mission Street</w:t>
      </w:r>
    </w:p>
    <w:p>
      <w:pPr>
        <w:spacing w:after="0" w:line="20" w:lineRule="exact"/>
        <w:rPr>
          <w:sz w:val="20"/>
          <w:szCs w:val="20"/>
          <w:color w:val="auto"/>
        </w:rPr>
      </w:pPr>
      <w:r>
        <w:rPr>
          <w:sz w:val="20"/>
          <w:szCs w:val="20"/>
          <w:color w:val="auto"/>
        </w:rPr>
        <w:br w:type="column"/>
      </w:r>
    </w:p>
    <w:p>
      <w:pPr>
        <w:spacing w:after="0" w:line="203" w:lineRule="auto"/>
        <w:rPr>
          <w:sz w:val="20"/>
          <w:szCs w:val="20"/>
          <w:color w:val="auto"/>
        </w:rPr>
      </w:pPr>
      <w:r>
        <w:rPr>
          <w:rFonts w:ascii="Arial" w:cs="Arial" w:eastAsia="Arial" w:hAnsi="Arial"/>
          <w:sz w:val="14"/>
          <w:szCs w:val="14"/>
          <w:color w:val="6D6D6D"/>
        </w:rPr>
        <w:t>Fax: +1 415 894 8099</w:t>
      </w:r>
    </w:p>
    <w:p>
      <w:pPr>
        <w:spacing w:after="0"/>
        <w:rPr>
          <w:sz w:val="20"/>
          <w:szCs w:val="20"/>
          <w:color w:val="auto"/>
        </w:rPr>
      </w:pPr>
      <w:r>
        <w:rPr>
          <w:rFonts w:ascii="Arial" w:cs="Arial" w:eastAsia="Arial" w:hAnsi="Arial"/>
          <w:sz w:val="14"/>
          <w:szCs w:val="14"/>
          <w:color w:val="6D6D6D"/>
        </w:rPr>
        <w:t>ey.com</w:t>
      </w:r>
    </w:p>
    <w:p>
      <w:pPr>
        <w:spacing w:after="0" w:line="3" w:lineRule="exact"/>
        <w:rPr>
          <w:sz w:val="20"/>
          <w:szCs w:val="20"/>
          <w:color w:val="auto"/>
        </w:rPr>
      </w:pPr>
    </w:p>
    <w:p>
      <w:pPr>
        <w:sectPr>
          <w:pgSz w:w="11900" w:h="16838" w:orient="portrait"/>
          <w:cols w:equalWidth="0" w:num="2">
            <w:col w:w="6780" w:space="720"/>
            <w:col w:w="3720"/>
          </w:cols>
          <w:pgMar w:left="320" w:top="158" w:right="359" w:bottom="1440" w:gutter="0" w:footer="0" w:header="0"/>
          <w:type w:val="continuous"/>
        </w:sectPr>
      </w:pPr>
    </w:p>
    <w:p>
      <w:pPr>
        <w:ind w:left="2600"/>
        <w:spacing w:after="0"/>
        <w:rPr>
          <w:sz w:val="20"/>
          <w:szCs w:val="20"/>
          <w:color w:val="auto"/>
        </w:rPr>
      </w:pPr>
      <w:r>
        <w:rPr>
          <w:rFonts w:ascii="Arial" w:cs="Arial" w:eastAsia="Arial" w:hAnsi="Arial"/>
          <w:sz w:val="14"/>
          <w:szCs w:val="14"/>
          <w:color w:val="6D6D6D"/>
        </w:rPr>
        <w:t>San Francisco, CA 94105-2907</w:t>
      </w:r>
    </w:p>
    <w:p>
      <w:pPr>
        <w:sectPr>
          <w:pgSz w:w="11900" w:h="16838" w:orient="portrait"/>
          <w:cols w:equalWidth="0" w:num="1">
            <w:col w:w="11220"/>
          </w:cols>
          <w:pgMar w:left="320" w:top="15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March 10,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5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have read Item 4.01 of Form 8-K, dated March 10, 2025, of Expensify, Inc. and are in agreement with the statements contained in first sentence of paragraph 1 as it relates to the notification of our dismissal, the last sentence of paragraph 1, and paragraphs 2 through 4 therein. We have no basis to agree or disagree with other statements of the registrant contained therein.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sectPr>
      <w:pgSz w:w="11900" w:h="16838" w:orient="portrait"/>
      <w:cols w:equalWidth="0" w:num="1">
        <w:col w:w="11220"/>
      </w:cols>
      <w:pgMar w:left="320" w:top="15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2025-03-10T16:21:13Z</dcterms:created>
  <dcterms:modified xsi:type="dcterms:W3CDTF">2025-03-10T16:21:13Z</dcterms:modified>
</cp:coreProperties>
</file>