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6097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6097905"/>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8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Muralidharan Anuradha</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EXPENSIFY, INC. 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12/15/2024</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79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65" w:lineRule="exact"/>
        <w:rPr>
          <w:sz w:val="24"/>
          <w:szCs w:val="24"/>
          <w:color w:val="auto"/>
        </w:rPr>
      </w:pPr>
    </w:p>
    <w:p>
      <w:pPr>
        <w:sectPr>
          <w:pgSz w:w="11900" w:h="16838" w:orient="portrait"/>
          <w:cols w:equalWidth="0" w:num="3">
            <w:col w:w="3180" w:space="720"/>
            <w:col w:w="3110" w:space="720"/>
            <w:col w:w="3350"/>
          </w:cols>
          <w:pgMar w:left="460" w:top="217" w:right="359" w:bottom="0" w:gutter="0" w:footer="0" w:header="0"/>
          <w:type w:val="continuous"/>
        </w:sectPr>
      </w:pP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700" w:type="dxa"/>
            <w:vAlign w:val="bottom"/>
            <w:gridSpan w:val="7"/>
            <w:vMerge w:val="restart"/>
          </w:tcPr>
          <w:p>
            <w:pPr>
              <w:jc w:val="center"/>
              <w:ind w:right="94"/>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9"/>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700" w:type="dxa"/>
            <w:vAlign w:val="bottom"/>
            <w:gridSpan w:val="7"/>
            <w:vMerge w:val="continue"/>
          </w:tcPr>
          <w:p>
            <w:pPr>
              <w:spacing w:after="0"/>
              <w:rPr>
                <w:sz w:val="10"/>
                <w:szCs w:val="10"/>
                <w:color w:val="auto"/>
              </w:rPr>
            </w:pPr>
          </w:p>
        </w:tc>
        <w:tc>
          <w:tcPr>
            <w:tcW w:w="36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PORTLAND</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OR</w:t>
            </w:r>
          </w:p>
        </w:tc>
        <w:tc>
          <w:tcPr>
            <w:tcW w:w="11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97204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Borders>
              <w:top w:val="single" w:sz="8" w:color="EEEEEE"/>
            </w:tcBorders>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3"/>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0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jc w:val="center"/>
              <w:ind w:left="58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jc w:val="center"/>
              <w:ind w:right="162"/>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3"/>
          </w:tcPr>
          <w:p>
            <w:pPr>
              <w:jc w:val="center"/>
              <w:ind w:left="609"/>
              <w:spacing w:after="0"/>
              <w:rPr>
                <w:sz w:val="20"/>
                <w:szCs w:val="20"/>
                <w:color w:val="auto"/>
              </w:rPr>
            </w:pPr>
            <w:r>
              <w:rPr>
                <w:rFonts w:ascii="Times New Roman" w:cs="Times New Roman" w:eastAsia="Times New Roman" w:hAnsi="Times New Roman"/>
                <w:sz w:val="17"/>
                <w:szCs w:val="17"/>
                <w:color w:val="0000FF"/>
                <w:w w:val="98"/>
              </w:rPr>
              <w:t>12/15/2024</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center"/>
              <w:ind w:left="112"/>
              <w:spacing w:after="0"/>
              <w:rPr>
                <w:sz w:val="20"/>
                <w:szCs w:val="20"/>
                <w:color w:val="auto"/>
              </w:rPr>
            </w:pPr>
            <w:r>
              <w:rPr>
                <w:rFonts w:ascii="Times New Roman" w:cs="Times New Roman" w:eastAsia="Times New Roman" w:hAnsi="Times New Roman"/>
                <w:sz w:val="17"/>
                <w:szCs w:val="17"/>
                <w:color w:val="0000FF"/>
                <w:w w:val="99"/>
              </w:rPr>
              <w:t>3,169</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90"/>
              <w:spacing w:after="0"/>
              <w:rPr>
                <w:sz w:val="20"/>
                <w:szCs w:val="20"/>
                <w:color w:val="auto"/>
              </w:rPr>
            </w:pPr>
            <w:r>
              <w:rPr>
                <w:rFonts w:ascii="Times New Roman" w:cs="Times New Roman" w:eastAsia="Times New Roman" w:hAnsi="Times New Roman"/>
                <w:sz w:val="11"/>
                <w:szCs w:val="11"/>
                <w:color w:val="008000"/>
                <w:w w:val="93"/>
              </w:rPr>
              <w:t>(1)</w:t>
            </w:r>
          </w:p>
        </w:tc>
        <w:tc>
          <w:tcPr>
            <w:tcW w:w="140" w:type="dxa"/>
            <w:vAlign w:val="bottom"/>
          </w:tcPr>
          <w:p>
            <w:pPr>
              <w:spacing w:after="0"/>
              <w:rPr>
                <w:sz w:val="22"/>
                <w:szCs w:val="22"/>
                <w:color w:val="auto"/>
              </w:rPr>
            </w:pPr>
          </w:p>
        </w:tc>
        <w:tc>
          <w:tcPr>
            <w:tcW w:w="120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19,430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jc w:val="center"/>
              <w:ind w:left="609"/>
              <w:spacing w:after="0"/>
              <w:rPr>
                <w:sz w:val="20"/>
                <w:szCs w:val="20"/>
                <w:color w:val="auto"/>
              </w:rPr>
            </w:pPr>
            <w:r>
              <w:rPr>
                <w:rFonts w:ascii="Times New Roman" w:cs="Times New Roman" w:eastAsia="Times New Roman" w:hAnsi="Times New Roman"/>
                <w:sz w:val="17"/>
                <w:szCs w:val="17"/>
                <w:color w:val="0000FF"/>
                <w:w w:val="98"/>
              </w:rPr>
              <w:t>12/16/2024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2,676</w:t>
            </w:r>
            <w:r>
              <w:rPr>
                <w:rFonts w:ascii="Times New Roman" w:cs="Times New Roman" w:eastAsia="Times New Roman" w:hAnsi="Times New Roman"/>
                <w:sz w:val="21"/>
                <w:szCs w:val="21"/>
                <w:color w:val="008000"/>
                <w:w w:val="91"/>
                <w:vertAlign w:val="superscript"/>
              </w:rPr>
              <w:t>(2)</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3.84</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16,754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jc w:val="center"/>
              <w:ind w:left="609"/>
              <w:spacing w:after="0"/>
              <w:rPr>
                <w:sz w:val="20"/>
                <w:szCs w:val="20"/>
                <w:color w:val="auto"/>
              </w:rPr>
            </w:pPr>
            <w:r>
              <w:rPr>
                <w:rFonts w:ascii="Times New Roman" w:cs="Times New Roman" w:eastAsia="Times New Roman" w:hAnsi="Times New Roman"/>
                <w:sz w:val="17"/>
                <w:szCs w:val="17"/>
                <w:color w:val="0000FF"/>
                <w:w w:val="98"/>
              </w:rPr>
              <w:t>12/16/2024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0"/>
              </w:rPr>
              <w:t>319</w:t>
            </w:r>
            <w:r>
              <w:rPr>
                <w:rFonts w:ascii="Times New Roman" w:cs="Times New Roman" w:eastAsia="Times New Roman" w:hAnsi="Times New Roman"/>
                <w:sz w:val="21"/>
                <w:szCs w:val="21"/>
                <w:color w:val="008000"/>
                <w:w w:val="90"/>
                <w:vertAlign w:val="superscript"/>
              </w:rPr>
              <w:t>(4)</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17,073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jc w:val="center"/>
              <w:ind w:left="609"/>
              <w:spacing w:after="0"/>
              <w:rPr>
                <w:sz w:val="20"/>
                <w:szCs w:val="20"/>
                <w:color w:val="auto"/>
              </w:rPr>
            </w:pPr>
            <w:r>
              <w:rPr>
                <w:rFonts w:ascii="Times New Roman" w:cs="Times New Roman" w:eastAsia="Times New Roman" w:hAnsi="Times New Roman"/>
                <w:sz w:val="17"/>
                <w:szCs w:val="17"/>
                <w:color w:val="0000FF"/>
                <w:w w:val="98"/>
              </w:rPr>
              <w:t>12/17/2024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0"/>
              </w:rPr>
              <w:t>139</w:t>
            </w:r>
            <w:r>
              <w:rPr>
                <w:rFonts w:ascii="Times New Roman" w:cs="Times New Roman" w:eastAsia="Times New Roman" w:hAnsi="Times New Roman"/>
                <w:sz w:val="21"/>
                <w:szCs w:val="21"/>
                <w:color w:val="008000"/>
                <w:w w:val="90"/>
                <w:vertAlign w:val="superscript"/>
              </w:rPr>
              <w:t>(5)</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3.82</w:t>
            </w:r>
            <w:r>
              <w:rPr>
                <w:rFonts w:ascii="Times New Roman" w:cs="Times New Roman" w:eastAsia="Times New Roman" w:hAnsi="Times New Roman"/>
                <w:sz w:val="21"/>
                <w:szCs w:val="21"/>
                <w:color w:val="008000"/>
                <w:w w:val="93"/>
                <w:vertAlign w:val="superscript"/>
              </w:rPr>
              <w:t>(6)</w:t>
            </w: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16,934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jc w:val="center"/>
              <w:ind w:left="609"/>
              <w:spacing w:after="0"/>
              <w:rPr>
                <w:sz w:val="20"/>
                <w:szCs w:val="20"/>
                <w:color w:val="auto"/>
              </w:rPr>
            </w:pPr>
            <w:r>
              <w:rPr>
                <w:rFonts w:ascii="Times New Roman" w:cs="Times New Roman" w:eastAsia="Times New Roman" w:hAnsi="Times New Roman"/>
                <w:sz w:val="17"/>
                <w:szCs w:val="17"/>
                <w:color w:val="0000FF"/>
                <w:w w:val="98"/>
              </w:rPr>
              <w:t>12/18/2024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8"/>
              </w:rPr>
              <w:t>12,320</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3.85</w:t>
            </w:r>
            <w:r>
              <w:rPr>
                <w:rFonts w:ascii="Times New Roman" w:cs="Times New Roman" w:eastAsia="Times New Roman" w:hAnsi="Times New Roman"/>
                <w:sz w:val="21"/>
                <w:szCs w:val="21"/>
                <w:color w:val="008000"/>
                <w:w w:val="93"/>
                <w:vertAlign w:val="superscript"/>
              </w:rPr>
              <w:t>(7)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4,614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11"/>
          </w:tcPr>
          <w:p>
            <w:pPr>
              <w:jc w:val="center"/>
              <w:ind w:left="369"/>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jc w:val="center"/>
              <w:ind w:right="142"/>
              <w:spacing w:after="0" w:line="129" w:lineRule="exact"/>
              <w:rPr>
                <w:sz w:val="20"/>
                <w:szCs w:val="20"/>
                <w:color w:val="auto"/>
              </w:rPr>
            </w:pPr>
            <w:r>
              <w:rPr>
                <w:rFonts w:ascii="Arial" w:cs="Arial" w:eastAsia="Arial" w:hAnsi="Arial"/>
                <w:sz w:val="12"/>
                <w:szCs w:val="12"/>
                <w:b w:val="1"/>
                <w:bCs w:val="1"/>
                <w:color w:val="auto"/>
                <w:w w:val="92"/>
              </w:rPr>
              <w:t>Amount</w:t>
            </w: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jc w:val="center"/>
              <w:ind w:right="142"/>
              <w:spacing w:after="0" w:line="129" w:lineRule="exact"/>
              <w:rPr>
                <w:sz w:val="20"/>
                <w:szCs w:val="20"/>
                <w:color w:val="auto"/>
              </w:rPr>
            </w:pPr>
            <w:r>
              <w:rPr>
                <w:rFonts w:ascii="Arial" w:cs="Arial" w:eastAsia="Arial" w:hAnsi="Arial"/>
                <w:sz w:val="12"/>
                <w:szCs w:val="12"/>
                <w:b w:val="1"/>
                <w:bCs w:val="1"/>
                <w:color w:val="auto"/>
                <w:w w:val="92"/>
              </w:rPr>
              <w:t>Number</w:t>
            </w: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jc w:val="center"/>
              <w:ind w:right="182"/>
              <w:spacing w:after="0"/>
              <w:rPr>
                <w:sz w:val="20"/>
                <w:szCs w:val="20"/>
                <w:color w:val="auto"/>
              </w:rPr>
            </w:pPr>
            <w:r>
              <w:rPr>
                <w:rFonts w:ascii="Arial" w:cs="Arial" w:eastAsia="Arial" w:hAnsi="Arial"/>
                <w:sz w:val="12"/>
                <w:szCs w:val="12"/>
                <w:b w:val="1"/>
                <w:bCs w:val="1"/>
                <w:color w:val="auto"/>
                <w:w w:val="94"/>
              </w:rPr>
              <w:t>Shares</w:t>
            </w: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104"/>
              <w:spacing w:after="0"/>
              <w:rPr>
                <w:sz w:val="20"/>
                <w:szCs w:val="20"/>
                <w:color w:val="auto"/>
              </w:rPr>
            </w:pPr>
            <w:r>
              <w:rPr>
                <w:rFonts w:ascii="Times New Roman" w:cs="Times New Roman" w:eastAsia="Times New Roman" w:hAnsi="Times New Roman"/>
                <w:sz w:val="11"/>
                <w:szCs w:val="11"/>
                <w:color w:val="008000"/>
                <w:w w:val="93"/>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jc w:val="center"/>
              <w:ind w:right="38"/>
              <w:spacing w:after="0"/>
              <w:rPr>
                <w:sz w:val="20"/>
                <w:szCs w:val="20"/>
                <w:color w:val="auto"/>
              </w:rPr>
            </w:pPr>
            <w:r>
              <w:rPr>
                <w:rFonts w:ascii="Times New Roman" w:cs="Times New Roman" w:eastAsia="Times New Roman" w:hAnsi="Times New Roman"/>
                <w:sz w:val="11"/>
                <w:szCs w:val="11"/>
                <w:color w:val="008000"/>
                <w:w w:val="93"/>
              </w:rPr>
              <w:t>(8)</w:t>
            </w:r>
          </w:p>
        </w:tc>
        <w:tc>
          <w:tcPr>
            <w:tcW w:w="720" w:type="dxa"/>
            <w:vAlign w:val="bottom"/>
          </w:tcPr>
          <w:p>
            <w:pPr>
              <w:spacing w:after="0"/>
              <w:rPr>
                <w:sz w:val="15"/>
                <w:szCs w:val="15"/>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3,169</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12/15/2024</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3,169</w:t>
            </w:r>
          </w:p>
        </w:tc>
        <w:tc>
          <w:tcPr>
            <w:tcW w:w="780" w:type="dxa"/>
            <w:vAlign w:val="bottom"/>
            <w:gridSpan w:val="2"/>
            <w:vMerge w:val="continue"/>
          </w:tcPr>
          <w:p>
            <w:pPr>
              <w:spacing w:after="0"/>
              <w:rPr>
                <w:sz w:val="12"/>
                <w:szCs w:val="12"/>
                <w:color w:val="auto"/>
              </w:rPr>
            </w:pPr>
          </w:p>
        </w:tc>
        <w:tc>
          <w:tcPr>
            <w:tcW w:w="720" w:type="dxa"/>
            <w:vAlign w:val="bottom"/>
          </w:tcPr>
          <w:p>
            <w:pPr>
              <w:jc w:val="center"/>
              <w:ind w:right="32"/>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60,200</w:t>
            </w:r>
          </w:p>
        </w:tc>
        <w:tc>
          <w:tcPr>
            <w:tcW w:w="280" w:type="dxa"/>
            <w:vAlign w:val="bottom"/>
          </w:tcPr>
          <w:p>
            <w:pPr>
              <w:spacing w:after="0"/>
              <w:rPr>
                <w:sz w:val="12"/>
                <w:szCs w:val="12"/>
                <w:color w:val="auto"/>
              </w:rPr>
            </w:pPr>
          </w:p>
        </w:tc>
        <w:tc>
          <w:tcPr>
            <w:tcW w:w="66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104"/>
              <w:spacing w:after="0"/>
              <w:rPr>
                <w:sz w:val="20"/>
                <w:szCs w:val="20"/>
                <w:color w:val="auto"/>
              </w:rPr>
            </w:pPr>
            <w:r>
              <w:rPr>
                <w:rFonts w:ascii="Times New Roman" w:cs="Times New Roman" w:eastAsia="Times New Roman" w:hAnsi="Times New Roman"/>
                <w:sz w:val="11"/>
                <w:szCs w:val="11"/>
                <w:color w:val="008000"/>
                <w:w w:val="93"/>
              </w:rPr>
              <w:t>(9)</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jc w:val="center"/>
              <w:ind w:right="38"/>
              <w:spacing w:after="0"/>
              <w:rPr>
                <w:sz w:val="20"/>
                <w:szCs w:val="20"/>
                <w:color w:val="auto"/>
              </w:rPr>
            </w:pPr>
            <w:r>
              <w:rPr>
                <w:rFonts w:ascii="Times New Roman" w:cs="Times New Roman" w:eastAsia="Times New Roman" w:hAnsi="Times New Roman"/>
                <w:sz w:val="11"/>
                <w:szCs w:val="11"/>
                <w:color w:val="008000"/>
                <w:w w:val="93"/>
              </w:rPr>
              <w:t>(8)</w:t>
            </w:r>
          </w:p>
        </w:tc>
        <w:tc>
          <w:tcPr>
            <w:tcW w:w="720" w:type="dxa"/>
            <w:vAlign w:val="bottom"/>
          </w:tcPr>
          <w:p>
            <w:pPr>
              <w:spacing w:after="0"/>
              <w:rPr>
                <w:sz w:val="15"/>
                <w:szCs w:val="15"/>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6"/>
              </w:rPr>
              <w:t>LT50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3,169</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12/15/2024</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3,169</w:t>
            </w:r>
          </w:p>
        </w:tc>
        <w:tc>
          <w:tcPr>
            <w:tcW w:w="780" w:type="dxa"/>
            <w:vAlign w:val="bottom"/>
            <w:gridSpan w:val="2"/>
            <w:vMerge w:val="continue"/>
          </w:tcPr>
          <w:p>
            <w:pPr>
              <w:spacing w:after="0"/>
              <w:rPr>
                <w:sz w:val="12"/>
                <w:szCs w:val="12"/>
                <w:color w:val="auto"/>
              </w:rPr>
            </w:pPr>
          </w:p>
        </w:tc>
        <w:tc>
          <w:tcPr>
            <w:tcW w:w="720" w:type="dxa"/>
            <w:vAlign w:val="bottom"/>
          </w:tcPr>
          <w:p>
            <w:pPr>
              <w:jc w:val="center"/>
              <w:ind w:right="32"/>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60,200</w:t>
            </w:r>
          </w:p>
        </w:tc>
        <w:tc>
          <w:tcPr>
            <w:tcW w:w="280" w:type="dxa"/>
            <w:vAlign w:val="bottom"/>
          </w:tcPr>
          <w:p>
            <w:pPr>
              <w:spacing w:after="0"/>
              <w:rPr>
                <w:sz w:val="12"/>
                <w:szCs w:val="12"/>
                <w:color w:val="auto"/>
              </w:rPr>
            </w:pPr>
          </w:p>
        </w:tc>
        <w:tc>
          <w:tcPr>
            <w:tcW w:w="66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64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6"/>
              </w:rPr>
              <w:t>(9)(10)</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7"/>
              </w:rPr>
              <w:t>(10)</w:t>
            </w:r>
          </w:p>
        </w:tc>
        <w:tc>
          <w:tcPr>
            <w:tcW w:w="720" w:type="dxa"/>
            <w:vAlign w:val="bottom"/>
            <w:vMerge w:val="restart"/>
          </w:tcPr>
          <w:p>
            <w:pPr>
              <w:jc w:val="center"/>
              <w:ind w:right="32"/>
              <w:spacing w:after="0"/>
              <w:rPr>
                <w:sz w:val="20"/>
                <w:szCs w:val="20"/>
                <w:color w:val="auto"/>
              </w:rPr>
            </w:pPr>
            <w:r>
              <w:rPr>
                <w:rFonts w:ascii="Times New Roman" w:cs="Times New Roman" w:eastAsia="Times New Roman" w:hAnsi="Times New Roman"/>
                <w:sz w:val="11"/>
                <w:szCs w:val="11"/>
                <w:color w:val="008000"/>
                <w:w w:val="97"/>
              </w:rPr>
              <w:t>(10)</w:t>
            </w: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3,169</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12/15/2024</w:t>
            </w: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M</w:t>
            </w: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3,169</w:t>
            </w:r>
          </w:p>
        </w:tc>
        <w:tc>
          <w:tcPr>
            <w:tcW w:w="4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131,040</w:t>
            </w:r>
          </w:p>
        </w:tc>
        <w:tc>
          <w:tcPr>
            <w:tcW w:w="660" w:type="dxa"/>
            <w:vAlign w:val="bottom"/>
            <w:vMerge w:val="restart"/>
          </w:tcPr>
          <w:p>
            <w:pPr>
              <w:jc w:val="center"/>
              <w:ind w:left="12"/>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line="109" w:lineRule="exact"/>
              <w:rPr>
                <w:sz w:val="20"/>
                <w:szCs w:val="20"/>
                <w:color w:val="auto"/>
              </w:rPr>
            </w:pPr>
            <w:r>
              <w:rPr>
                <w:rFonts w:ascii="Times New Roman" w:cs="Times New Roman" w:eastAsia="Times New Roman" w:hAnsi="Times New Roman"/>
                <w:sz w:val="8"/>
                <w:szCs w:val="8"/>
                <w:color w:val="0000FF"/>
              </w:rPr>
              <w:t>note</w:t>
            </w:r>
            <w:r>
              <w:rPr>
                <w:rFonts w:ascii="Times New Roman" w:cs="Times New Roman" w:eastAsia="Times New Roman" w:hAnsi="Times New Roman"/>
                <w:sz w:val="12"/>
                <w:szCs w:val="12"/>
                <w:color w:val="008000"/>
                <w:vertAlign w:val="superscript"/>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20" w:type="dxa"/>
            <w:vAlign w:val="bottom"/>
            <w:tcBorders>
              <w:right w:val="single" w:sz="8" w:color="2C2C2C"/>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-2538730</wp:posOffset>
            </wp:positionV>
            <wp:extent cx="29210" cy="254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438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Class A common stock. This transaction represents the settlement of vested RSUs in shares of Class A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RSUs for certain employees of the Issuer.</w:t>
      </w:r>
    </w:p>
    <w:p>
      <w:pPr>
        <w:spacing w:after="0" w:line="43" w:lineRule="exact"/>
        <w:rPr>
          <w:rFonts w:ascii="Times New Roman" w:cs="Times New Roman" w:eastAsia="Times New Roman" w:hAnsi="Times New Roman"/>
          <w:sz w:val="13"/>
          <w:szCs w:val="13"/>
          <w:color w:val="008000"/>
        </w:rPr>
      </w:pPr>
    </w:p>
    <w:p>
      <w:pPr>
        <w:ind w:left="40" w:right="30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These shares were sold in multiple transactions at prices ranging from $3.78 to $3.93,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granted as matched shares under the SPMP for certain employees of the Issuer.</w:t>
      </w:r>
    </w:p>
    <w:p>
      <w:pPr>
        <w:spacing w:after="0" w:line="43" w:lineRule="exact"/>
        <w:rPr>
          <w:rFonts w:ascii="Times New Roman" w:cs="Times New Roman" w:eastAsia="Times New Roman" w:hAnsi="Times New Roman"/>
          <w:sz w:val="13"/>
          <w:szCs w:val="13"/>
          <w:color w:val="008000"/>
        </w:rPr>
      </w:pPr>
    </w:p>
    <w:p>
      <w:pPr>
        <w:ind w:left="40" w:right="14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$3.70 to $3.91,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0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$3.80 to $3.91,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12.5% on September 15, 2022 and 1/32nd each quarter thereafter, on December 15th, March 15th, June 15th, and September 15th.</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LT50 common stock.</w:t>
      </w:r>
    </w:p>
    <w:p>
      <w:pPr>
        <w:spacing w:after="0" w:line="43" w:lineRule="exact"/>
        <w:rPr>
          <w:rFonts w:ascii="Times New Roman" w:cs="Times New Roman" w:eastAsia="Times New Roman" w:hAnsi="Times New Roman"/>
          <w:sz w:val="13"/>
          <w:szCs w:val="13"/>
          <w:color w:val="008000"/>
        </w:rPr>
      </w:pPr>
    </w:p>
    <w:p>
      <w:pPr>
        <w:ind w:left="40" w:right="240" w:firstLine="1"/>
        <w:spacing w:after="0"/>
        <w:tabs>
          <w:tab w:leader="none" w:pos="2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6" w:lineRule="exact"/>
        <w:rPr>
          <w:rFonts w:ascii="Times New Roman" w:cs="Times New Roman" w:eastAsia="Times New Roman" w:hAnsi="Times New Roman"/>
          <w:sz w:val="13"/>
          <w:szCs w:val="13"/>
          <w:color w:val="008000"/>
        </w:rPr>
      </w:pPr>
    </w:p>
    <w:p>
      <w:pPr>
        <w:ind w:left="220" w:hanging="179"/>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6"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Ryan Schaffer, as attorney-</w:t>
      </w:r>
      <w:r>
        <w:rPr>
          <w:sz w:val="20"/>
          <w:szCs w:val="20"/>
          <w:color w:val="auto"/>
        </w:rPr>
        <w:tab/>
      </w:r>
      <w:r>
        <w:rPr>
          <w:rFonts w:ascii="Times New Roman" w:cs="Times New Roman" w:eastAsia="Times New Roman" w:hAnsi="Times New Roman"/>
          <w:sz w:val="16"/>
          <w:szCs w:val="16"/>
          <w:color w:val="0000FF"/>
        </w:rPr>
        <w:t>12/18/2024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-9525</wp:posOffset>
            </wp:positionV>
            <wp:extent cx="1876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6425" cy="8255"/>
                    </a:xfrm>
                    <a:prstGeom prst="rect">
                      <a:avLst/>
                    </a:prstGeom>
                    <a:noFill/>
                  </pic:spPr>
                </pic:pic>
              </a:graphicData>
            </a:graphic>
          </wp:anchor>
        </w:drawing>
      </w:r>
    </w:p>
    <w:p>
      <w:pPr>
        <w:sectPr>
          <w:pgSz w:w="11900" w:h="16838" w:orient="portrait"/>
          <w:cols w:equalWidth="0" w:num="1">
            <w:col w:w="11080"/>
          </w:cols>
          <w:pgMar w:left="460" w:top="217"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-9525</wp:posOffset>
            </wp:positionV>
            <wp:extent cx="276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6225" cy="8255"/>
                    </a:xfrm>
                    <a:prstGeom prst="rect">
                      <a:avLst/>
                    </a:prstGeom>
                    <a:noFill/>
                  </pic:spPr>
                </pic:pic>
              </a:graphicData>
            </a:graphic>
          </wp:anchor>
        </w:drawing>
      </w:r>
    </w:p>
    <w:p>
      <w:pPr>
        <w:spacing w:after="0" w:line="41"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2559" w:firstLine="1"/>
        <w:spacing w:after="0" w:line="334"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91077"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2024-12-18T19:15:37Z</dcterms:created>
  <dcterms:modified xsi:type="dcterms:W3CDTF">2024-12-18T19:15:37Z</dcterms:modified>
</cp:coreProperties>
</file>