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4508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15146.88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79507184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1432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3076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03/07/2025 2002</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7067.06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February 24, 2025, as stated in Issuer's annual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December 31, 2024.</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03/18/2025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2025-03-18T17:14:08Z</dcterms:created>
  <dcterms:modified xsi:type="dcterms:W3CDTF">2025-03-18T17:14:08Z</dcterms:modified>
</cp:coreProperties>
</file>