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0001970717</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463"/>
        <w:gridCol w:w="3742"/>
      </w:tblGrid>
      <w:tr>
        <w:trPr/>
        <w:tc>
          <w:tcPr>
            <w:tcW w:w="6463" w:type="dxa"/>
            <w:tcBorders/>
            <w:shd w:fill="auto" w:val="clear"/>
            <w:vAlign w:val="center"/>
          </w:tcPr>
          <w:p>
            <w:pPr>
              <w:pStyle w:val="TableContents"/>
              <w:spacing w:before="0" w:after="283"/>
              <w:rPr/>
            </w:pPr>
            <w:r>
              <w:rPr/>
              <w:t>Name of Issuer</w:t>
            </w:r>
          </w:p>
        </w:tc>
        <w:tc>
          <w:tcPr>
            <w:tcW w:w="3742" w:type="dxa"/>
            <w:tcBorders/>
            <w:shd w:fill="auto" w:val="clear"/>
            <w:vAlign w:val="center"/>
          </w:tcPr>
          <w:p>
            <w:pPr>
              <w:pStyle w:val="TableContents"/>
              <w:spacing w:before="0" w:after="0"/>
              <w:rPr/>
            </w:pPr>
            <w:r>
              <w:rPr/>
              <w:t>Expensify</w:t>
            </w:r>
          </w:p>
        </w:tc>
      </w:tr>
      <w:tr>
        <w:trPr/>
        <w:tc>
          <w:tcPr>
            <w:tcW w:w="6463" w:type="dxa"/>
            <w:tcBorders/>
            <w:shd w:fill="auto" w:val="clear"/>
            <w:vAlign w:val="center"/>
          </w:tcPr>
          <w:p>
            <w:pPr>
              <w:pStyle w:val="TableContents"/>
              <w:spacing w:before="0" w:after="283"/>
              <w:rPr/>
            </w:pPr>
            <w:r>
              <w:rPr/>
              <w:t>SEC File Number</w:t>
            </w:r>
          </w:p>
        </w:tc>
        <w:tc>
          <w:tcPr>
            <w:tcW w:w="3742" w:type="dxa"/>
            <w:tcBorders/>
            <w:shd w:fill="auto" w:val="clear"/>
            <w:vAlign w:val="center"/>
          </w:tcPr>
          <w:p>
            <w:pPr>
              <w:pStyle w:val="TableContents"/>
              <w:spacing w:before="0" w:after="0"/>
              <w:rPr/>
            </w:pPr>
            <w:r>
              <w:rPr/>
              <w:t>001-41043</w:t>
            </w:r>
          </w:p>
        </w:tc>
      </w:tr>
      <w:tr>
        <w:trPr/>
        <w:tc>
          <w:tcPr>
            <w:tcW w:w="6463" w:type="dxa"/>
            <w:tcBorders/>
            <w:shd w:fill="auto" w:val="clear"/>
            <w:vAlign w:val="center"/>
          </w:tcPr>
          <w:p>
            <w:pPr>
              <w:pStyle w:val="TableContents"/>
              <w:spacing w:before="0" w:after="283"/>
              <w:rPr/>
            </w:pPr>
            <w:r>
              <w:rPr/>
              <w:t>Address of Issuer</w:t>
            </w:r>
          </w:p>
        </w:tc>
        <w:tc>
          <w:tcPr>
            <w:tcW w:w="3742" w:type="dxa"/>
            <w:tcBorders/>
            <w:shd w:fill="auto" w:val="clear"/>
            <w:vAlign w:val="center"/>
          </w:tcPr>
          <w:p>
            <w:pPr>
              <w:pStyle w:val="TableContents"/>
              <w:spacing w:before="0" w:after="0"/>
              <w:rPr/>
            </w:pPr>
            <w:r>
              <w:rPr/>
              <w:t>401 SW 5th Ave.</w:t>
              <w:br/>
              <w:t>Portland</w:t>
              <w:br/>
              <w:t xml:space="preserve">OREGON </w:t>
              <w:br/>
              <w:t>97204</w:t>
            </w:r>
          </w:p>
        </w:tc>
      </w:tr>
      <w:tr>
        <w:trPr/>
        <w:tc>
          <w:tcPr>
            <w:tcW w:w="6463" w:type="dxa"/>
            <w:tcBorders/>
            <w:shd w:fill="auto" w:val="clear"/>
            <w:vAlign w:val="center"/>
          </w:tcPr>
          <w:p>
            <w:pPr>
              <w:pStyle w:val="TableContents"/>
              <w:spacing w:before="0" w:after="283"/>
              <w:rPr/>
            </w:pPr>
            <w:r>
              <w:rPr/>
              <w:t>Phone</w:t>
            </w:r>
          </w:p>
        </w:tc>
        <w:tc>
          <w:tcPr>
            <w:tcW w:w="3742" w:type="dxa"/>
            <w:tcBorders/>
            <w:shd w:fill="auto" w:val="clear"/>
            <w:vAlign w:val="center"/>
          </w:tcPr>
          <w:p>
            <w:pPr>
              <w:pStyle w:val="TableContents"/>
              <w:spacing w:before="0" w:after="0"/>
              <w:rPr/>
            </w:pPr>
            <w:r>
              <w:rPr/>
              <w:t>971-365-3939</w:t>
            </w:r>
          </w:p>
        </w:tc>
      </w:tr>
      <w:tr>
        <w:trPr/>
        <w:tc>
          <w:tcPr>
            <w:tcW w:w="6463" w:type="dxa"/>
            <w:tcBorders/>
            <w:shd w:fill="auto" w:val="clear"/>
            <w:vAlign w:val="center"/>
          </w:tcPr>
          <w:p>
            <w:pPr>
              <w:pStyle w:val="TableContents"/>
              <w:spacing w:before="0" w:after="283"/>
              <w:rPr/>
            </w:pPr>
            <w:r>
              <w:rPr/>
              <w:t>Name of Person for Whose Account the Securities are To Be Sold</w:t>
            </w:r>
          </w:p>
        </w:tc>
        <w:tc>
          <w:tcPr>
            <w:tcW w:w="3742" w:type="dxa"/>
            <w:tcBorders/>
            <w:shd w:fill="auto" w:val="clear"/>
            <w:vAlign w:val="center"/>
          </w:tcPr>
          <w:p>
            <w:pPr>
              <w:pStyle w:val="TableContents"/>
              <w:spacing w:before="0" w:after="0"/>
              <w:rPr/>
            </w:pPr>
            <w:r>
              <w:rPr/>
              <w:t>Barrett Trust LLC</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3" w:type="dxa"/>
            <w:tcBorders/>
            <w:shd w:fill="auto" w:val="clear"/>
            <w:vAlign w:val="center"/>
          </w:tcPr>
          <w:p>
            <w:pPr>
              <w:pStyle w:val="TableContents"/>
              <w:spacing w:before="0" w:after="283"/>
              <w:rPr/>
            </w:pPr>
            <w:r>
              <w:rPr/>
              <w:t>Relationship to Issuer</w:t>
            </w:r>
          </w:p>
        </w:tc>
        <w:tc>
          <w:tcPr>
            <w:tcW w:w="3742" w:type="dxa"/>
            <w:tcBorders/>
            <w:shd w:fill="auto" w:val="clear"/>
            <w:vAlign w:val="center"/>
          </w:tcPr>
          <w:p>
            <w:pPr>
              <w:pStyle w:val="TableContents"/>
              <w:spacing w:before="0" w:after="0"/>
              <w:rPr/>
            </w:pPr>
            <w:r>
              <w:rPr/>
              <w:t>*See note 2(a) in Remarks below</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shd w:fill="auto" w:val="clear"/>
            <w:vAlign w:val="center"/>
          </w:tcPr>
          <w:p>
            <w:pPr>
              <w:pStyle w:val="TableHeading"/>
              <w:suppressLineNumbers/>
              <w:spacing w:before="0" w:after="283"/>
              <w:jc w:val="center"/>
              <w:rPr/>
            </w:pPr>
            <w:r>
              <w:rPr/>
              <w:t>Title of the Class of Securities To Be Sold</w:t>
            </w:r>
          </w:p>
        </w:tc>
        <w:tc>
          <w:tcPr>
            <w:tcW w:w="1739" w:type="dxa"/>
            <w:tcBorders/>
            <w:shd w:fill="auto" w:val="clear"/>
            <w:vAlign w:val="center"/>
          </w:tcPr>
          <w:p>
            <w:pPr>
              <w:pStyle w:val="TableHeading"/>
              <w:suppressLineNumbers/>
              <w:spacing w:before="0" w:after="283"/>
              <w:jc w:val="center"/>
              <w:rPr/>
            </w:pPr>
            <w:r>
              <w:rPr/>
              <w:t>Name and Address of the Broker</w:t>
            </w:r>
          </w:p>
        </w:tc>
        <w:tc>
          <w:tcPr>
            <w:tcW w:w="1142" w:type="dxa"/>
            <w:tcBorders/>
            <w:shd w:fill="auto" w:val="clear"/>
            <w:vAlign w:val="center"/>
          </w:tcPr>
          <w:p>
            <w:pPr>
              <w:pStyle w:val="TableHeading"/>
              <w:suppressLineNumbers/>
              <w:spacing w:before="0" w:after="283"/>
              <w:jc w:val="center"/>
              <w:rPr/>
            </w:pPr>
            <w:r>
              <w:rPr/>
              <w:t>Number of Shares or Other Units To Be Sold</w:t>
            </w:r>
          </w:p>
        </w:tc>
        <w:tc>
          <w:tcPr>
            <w:tcW w:w="1348" w:type="dxa"/>
            <w:tcBorders/>
            <w:shd w:fill="auto" w:val="clear"/>
            <w:vAlign w:val="center"/>
          </w:tcPr>
          <w:p>
            <w:pPr>
              <w:pStyle w:val="TableHeading"/>
              <w:suppressLineNumbers/>
              <w:spacing w:before="0" w:after="283"/>
              <w:jc w:val="center"/>
              <w:rPr/>
            </w:pPr>
            <w:r>
              <w:rPr/>
              <w:t>Aggregate Market Value</w:t>
            </w:r>
          </w:p>
        </w:tc>
        <w:tc>
          <w:tcPr>
            <w:tcW w:w="1528" w:type="dxa"/>
            <w:tcBorders/>
            <w:shd w:fill="auto" w:val="clear"/>
            <w:vAlign w:val="center"/>
          </w:tcPr>
          <w:p>
            <w:pPr>
              <w:pStyle w:val="TableHeading"/>
              <w:suppressLineNumbers/>
              <w:spacing w:before="0" w:after="283"/>
              <w:jc w:val="center"/>
              <w:rPr/>
            </w:pPr>
            <w:r>
              <w:rPr/>
              <w:t>Number of Shares or Other Units Outstanding</w:t>
            </w:r>
          </w:p>
        </w:tc>
        <w:tc>
          <w:tcPr>
            <w:tcW w:w="1552" w:type="dxa"/>
            <w:tcBorders/>
            <w:shd w:fill="auto" w:val="clear"/>
            <w:vAlign w:val="center"/>
          </w:tcPr>
          <w:p>
            <w:pPr>
              <w:pStyle w:val="TableHeading"/>
              <w:suppressLineNumbers/>
              <w:spacing w:before="0" w:after="283"/>
              <w:jc w:val="center"/>
              <w:rPr/>
            </w:pPr>
            <w:r>
              <w:rPr/>
              <w:t>Approximate Date of Sale</w:t>
            </w:r>
          </w:p>
        </w:tc>
        <w:tc>
          <w:tcPr>
            <w:tcW w:w="1380" w:type="dxa"/>
            <w:tcBorders/>
            <w:shd w:fill="auto" w:val="clear"/>
            <w:vAlign w:val="center"/>
          </w:tcPr>
          <w:p>
            <w:pPr>
              <w:pStyle w:val="TableHeading"/>
              <w:suppressLineNumbers/>
              <w:spacing w:before="0" w:after="283"/>
              <w:jc w:val="center"/>
              <w:rPr/>
            </w:pPr>
            <w:r>
              <w:rPr/>
              <w:t>Name the Securities Exchange</w:t>
            </w:r>
          </w:p>
        </w:tc>
      </w:tr>
      <w:tr>
        <w:trPr/>
        <w:tc>
          <w:tcPr>
            <w:tcW w:w="1516" w:type="dxa"/>
            <w:tcBorders/>
            <w:shd w:fill="auto" w:val="clear"/>
            <w:vAlign w:val="center"/>
          </w:tcPr>
          <w:p>
            <w:pPr>
              <w:pStyle w:val="TableContents"/>
              <w:spacing w:before="0" w:after="283"/>
              <w:rPr/>
            </w:pPr>
            <w:r>
              <w:rPr/>
              <w:t>Common A</w:t>
            </w:r>
          </w:p>
        </w:tc>
        <w:tc>
          <w:tcPr>
            <w:tcW w:w="1739" w:type="dxa"/>
            <w:tcBorders/>
            <w:shd w:fill="auto" w:val="clear"/>
            <w:vAlign w:val="center"/>
          </w:tcPr>
          <w:p>
            <w:pPr>
              <w:pStyle w:val="TableContents"/>
              <w:spacing w:before="0" w:after="0"/>
              <w:rPr/>
            </w:pPr>
            <w:r>
              <w:rPr/>
              <w:t>Raymond James &amp; Associates</w:t>
              <w:br/>
              <w:t>880 Carillon Parkway</w:t>
              <w:br/>
              <w:t>St Petersburg   FL   33716</w:t>
            </w:r>
          </w:p>
        </w:tc>
        <w:tc>
          <w:tcPr>
            <w:tcW w:w="1142" w:type="dxa"/>
            <w:tcBorders/>
            <w:shd w:fill="auto" w:val="clear"/>
            <w:vAlign w:val="center"/>
          </w:tcPr>
          <w:p>
            <w:pPr>
              <w:pStyle w:val="TableContents"/>
              <w:spacing w:before="0" w:after="283"/>
              <w:rPr/>
            </w:pPr>
            <w:r>
              <w:rPr/>
              <w:t>90000</w:t>
            </w:r>
          </w:p>
        </w:tc>
        <w:tc>
          <w:tcPr>
            <w:tcW w:w="1348" w:type="dxa"/>
            <w:tcBorders/>
            <w:shd w:fill="auto" w:val="clear"/>
            <w:vAlign w:val="center"/>
          </w:tcPr>
          <w:p>
            <w:pPr>
              <w:pStyle w:val="TableContents"/>
              <w:spacing w:before="0" w:after="283"/>
              <w:rPr/>
            </w:pPr>
            <w:r>
              <w:rPr/>
              <w:t>735300.00</w:t>
            </w:r>
          </w:p>
        </w:tc>
        <w:tc>
          <w:tcPr>
            <w:tcW w:w="1528" w:type="dxa"/>
            <w:tcBorders/>
            <w:shd w:fill="auto" w:val="clear"/>
            <w:vAlign w:val="center"/>
          </w:tcPr>
          <w:p>
            <w:pPr>
              <w:pStyle w:val="TableContents"/>
              <w:spacing w:before="0" w:after="283"/>
              <w:rPr/>
            </w:pPr>
            <w:r>
              <w:rPr/>
              <w:t>68252500</w:t>
            </w:r>
          </w:p>
        </w:tc>
        <w:tc>
          <w:tcPr>
            <w:tcW w:w="1552" w:type="dxa"/>
            <w:tcBorders/>
            <w:shd w:fill="auto" w:val="clear"/>
            <w:vAlign w:val="center"/>
          </w:tcPr>
          <w:p>
            <w:pPr>
              <w:pStyle w:val="TableContents"/>
              <w:spacing w:before="0" w:after="283"/>
              <w:rPr/>
            </w:pPr>
            <w:r>
              <w:rPr/>
              <w:t>04/12/2023</w:t>
            </w:r>
          </w:p>
        </w:tc>
        <w:tc>
          <w:tcPr>
            <w:tcW w:w="1380"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2"/>
        <w:gridCol w:w="1132"/>
        <w:gridCol w:w="1496"/>
        <w:gridCol w:w="1267"/>
        <w:gridCol w:w="530"/>
        <w:gridCol w:w="1132"/>
        <w:gridCol w:w="1198"/>
        <w:gridCol w:w="1074"/>
        <w:gridCol w:w="1224"/>
      </w:tblGrid>
      <w:tr>
        <w:trPr/>
        <w:tc>
          <w:tcPr>
            <w:tcW w:w="1152" w:type="dxa"/>
            <w:tcBorders/>
            <w:shd w:fill="auto" w:val="clear"/>
            <w:vAlign w:val="center"/>
          </w:tcPr>
          <w:p>
            <w:pPr>
              <w:pStyle w:val="TableHeading"/>
              <w:suppressLineNumbers/>
              <w:spacing w:before="0" w:after="283"/>
              <w:jc w:val="center"/>
              <w:rPr/>
            </w:pPr>
            <w:r>
              <w:rPr/>
              <w:t>Title of the Class</w:t>
            </w:r>
          </w:p>
        </w:tc>
        <w:tc>
          <w:tcPr>
            <w:tcW w:w="1132" w:type="dxa"/>
            <w:tcBorders/>
            <w:shd w:fill="auto" w:val="clear"/>
            <w:vAlign w:val="center"/>
          </w:tcPr>
          <w:p>
            <w:pPr>
              <w:pStyle w:val="TableHeading"/>
              <w:suppressLineNumbers/>
              <w:spacing w:before="0" w:after="283"/>
              <w:jc w:val="center"/>
              <w:rPr/>
            </w:pPr>
            <w:r>
              <w:rPr/>
              <w:t>Date you Acquired</w:t>
            </w:r>
          </w:p>
        </w:tc>
        <w:tc>
          <w:tcPr>
            <w:tcW w:w="1496" w:type="dxa"/>
            <w:tcBorders/>
            <w:shd w:fill="auto" w:val="clear"/>
            <w:vAlign w:val="center"/>
          </w:tcPr>
          <w:p>
            <w:pPr>
              <w:pStyle w:val="TableHeading"/>
              <w:suppressLineNumbers/>
              <w:spacing w:before="0" w:after="283"/>
              <w:jc w:val="center"/>
              <w:rPr/>
            </w:pPr>
            <w:r>
              <w:rPr/>
              <w:t>Nature of Acquisition Transaction</w:t>
            </w:r>
          </w:p>
        </w:tc>
        <w:tc>
          <w:tcPr>
            <w:tcW w:w="1267" w:type="dxa"/>
            <w:tcBorders/>
            <w:shd w:fill="auto" w:val="clear"/>
            <w:vAlign w:val="center"/>
          </w:tcPr>
          <w:p>
            <w:pPr>
              <w:pStyle w:val="TableHeading"/>
              <w:suppressLineNumbers/>
              <w:spacing w:before="0" w:after="283"/>
              <w:jc w:val="center"/>
              <w:rPr/>
            </w:pPr>
            <w:r>
              <w:rPr/>
              <w:t>Name of Person from Whom Acquired</w:t>
            </w:r>
          </w:p>
        </w:tc>
        <w:tc>
          <w:tcPr>
            <w:tcW w:w="530" w:type="dxa"/>
            <w:tcBorders/>
            <w:shd w:fill="auto" w:val="clear"/>
            <w:vAlign w:val="center"/>
          </w:tcPr>
          <w:p>
            <w:pPr>
              <w:pStyle w:val="TableHeading"/>
              <w:suppressLineNumbers/>
              <w:spacing w:before="0" w:after="283"/>
              <w:jc w:val="center"/>
              <w:rPr/>
            </w:pPr>
            <w:r>
              <w:rPr/>
              <w:t>Is this a Gift?</w:t>
            </w:r>
          </w:p>
        </w:tc>
        <w:tc>
          <w:tcPr>
            <w:tcW w:w="1132" w:type="dxa"/>
            <w:tcBorders/>
            <w:shd w:fill="auto" w:val="clear"/>
            <w:vAlign w:val="center"/>
          </w:tcPr>
          <w:p>
            <w:pPr>
              <w:pStyle w:val="TableHeading"/>
              <w:suppressLineNumbers/>
              <w:spacing w:before="0" w:after="283"/>
              <w:jc w:val="center"/>
              <w:rPr/>
            </w:pPr>
            <w:r>
              <w:rPr/>
              <w:t>Date Donor Acquired</w:t>
            </w:r>
          </w:p>
        </w:tc>
        <w:tc>
          <w:tcPr>
            <w:tcW w:w="1198" w:type="dxa"/>
            <w:tcBorders/>
            <w:shd w:fill="auto" w:val="clear"/>
            <w:vAlign w:val="center"/>
          </w:tcPr>
          <w:p>
            <w:pPr>
              <w:pStyle w:val="TableHeading"/>
              <w:suppressLineNumbers/>
              <w:spacing w:before="0" w:after="283"/>
              <w:jc w:val="center"/>
              <w:rPr/>
            </w:pPr>
            <w:r>
              <w:rPr/>
              <w:t>Amount of Securities Acquired</w:t>
            </w:r>
          </w:p>
        </w:tc>
        <w:tc>
          <w:tcPr>
            <w:tcW w:w="1074" w:type="dxa"/>
            <w:tcBorders/>
            <w:shd w:fill="auto" w:val="clear"/>
            <w:vAlign w:val="center"/>
          </w:tcPr>
          <w:p>
            <w:pPr>
              <w:pStyle w:val="TableHeading"/>
              <w:suppressLineNumbers/>
              <w:spacing w:before="0" w:after="283"/>
              <w:jc w:val="center"/>
              <w:rPr/>
            </w:pPr>
            <w:r>
              <w:rPr/>
              <w:t>Date of Payment</w:t>
            </w:r>
          </w:p>
        </w:tc>
        <w:tc>
          <w:tcPr>
            <w:tcW w:w="1224"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2" w:type="dxa"/>
            <w:tcBorders/>
            <w:shd w:fill="auto" w:val="clear"/>
            <w:vAlign w:val="center"/>
          </w:tcPr>
          <w:p>
            <w:pPr>
              <w:pStyle w:val="TableContents"/>
              <w:spacing w:before="0" w:after="283"/>
              <w:rPr/>
            </w:pPr>
            <w:r>
              <w:rPr/>
              <w:t>Common A</w:t>
            </w:r>
          </w:p>
        </w:tc>
        <w:tc>
          <w:tcPr>
            <w:tcW w:w="1132" w:type="dxa"/>
            <w:tcBorders/>
            <w:shd w:fill="auto" w:val="clear"/>
            <w:vAlign w:val="center"/>
          </w:tcPr>
          <w:p>
            <w:pPr>
              <w:pStyle w:val="TableContents"/>
              <w:spacing w:before="0" w:after="283"/>
              <w:rPr/>
            </w:pPr>
            <w:r>
              <w:rPr/>
              <w:t>04/29/2009</w:t>
            </w:r>
          </w:p>
        </w:tc>
        <w:tc>
          <w:tcPr>
            <w:tcW w:w="1496" w:type="dxa"/>
            <w:tcBorders/>
            <w:shd w:fill="auto" w:val="clear"/>
            <w:vAlign w:val="center"/>
          </w:tcPr>
          <w:p>
            <w:pPr>
              <w:pStyle w:val="TableContents"/>
              <w:spacing w:before="0" w:after="283"/>
              <w:rPr/>
            </w:pPr>
            <w:r>
              <w:rPr/>
              <w:t>Founding Shares</w:t>
            </w:r>
          </w:p>
        </w:tc>
        <w:tc>
          <w:tcPr>
            <w:tcW w:w="1267" w:type="dxa"/>
            <w:tcBorders/>
            <w:shd w:fill="auto" w:val="clear"/>
            <w:vAlign w:val="center"/>
          </w:tcPr>
          <w:p>
            <w:pPr>
              <w:pStyle w:val="TableContents"/>
              <w:spacing w:before="0" w:after="283"/>
              <w:rPr/>
            </w:pPr>
            <w:r>
              <w:rPr/>
              <w:t>Expensify, Inc.</w:t>
            </w:r>
          </w:p>
        </w:tc>
        <w:tc>
          <w:tcPr>
            <w:tcW w:w="530"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pPr>
            <w:r>
              <w:rPr/>
              <w:t>3588640</w:t>
            </w:r>
          </w:p>
        </w:tc>
        <w:tc>
          <w:tcPr>
            <w:tcW w:w="1074" w:type="dxa"/>
            <w:tcBorders/>
            <w:shd w:fill="auto" w:val="clear"/>
            <w:vAlign w:val="center"/>
          </w:tcPr>
          <w:p>
            <w:pPr>
              <w:pStyle w:val="TableContents"/>
              <w:spacing w:before="0" w:after="283"/>
              <w:rPr/>
            </w:pPr>
            <w:r>
              <w:rPr/>
              <w:t>04/29/2009</w:t>
            </w:r>
          </w:p>
        </w:tc>
        <w:tc>
          <w:tcPr>
            <w:tcW w:w="1224" w:type="dxa"/>
            <w:tcBorders/>
            <w:shd w:fill="auto" w:val="clear"/>
            <w:vAlign w:val="center"/>
          </w:tcPr>
          <w:p>
            <w:pPr>
              <w:pStyle w:val="TableContents"/>
              <w:spacing w:before="0" w:after="283"/>
              <w:rPr/>
            </w:pPr>
            <w:r>
              <w:rPr/>
              <w:t>N/A</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07"/>
        <w:gridCol w:w="2992"/>
        <w:gridCol w:w="954"/>
        <w:gridCol w:w="1575"/>
        <w:gridCol w:w="1777"/>
      </w:tblGrid>
      <w:tr>
        <w:trPr/>
        <w:tc>
          <w:tcPr>
            <w:tcW w:w="2907" w:type="dxa"/>
            <w:tcBorders/>
            <w:shd w:fill="auto" w:val="clear"/>
            <w:vAlign w:val="center"/>
          </w:tcPr>
          <w:p>
            <w:pPr>
              <w:pStyle w:val="TableHeading"/>
              <w:suppressLineNumbers/>
              <w:spacing w:before="0" w:after="283"/>
              <w:jc w:val="center"/>
              <w:rPr/>
            </w:pPr>
            <w:r>
              <w:rPr/>
              <w:t>Name and Address of Seller</w:t>
            </w:r>
          </w:p>
        </w:tc>
        <w:tc>
          <w:tcPr>
            <w:tcW w:w="2992" w:type="dxa"/>
            <w:tcBorders/>
            <w:shd w:fill="auto" w:val="clear"/>
            <w:vAlign w:val="center"/>
          </w:tcPr>
          <w:p>
            <w:pPr>
              <w:pStyle w:val="TableHeading"/>
              <w:suppressLineNumbers/>
              <w:spacing w:before="0" w:after="283"/>
              <w:jc w:val="center"/>
              <w:rPr/>
            </w:pPr>
            <w:r>
              <w:rPr/>
              <w:t>Title of Securities Sold</w:t>
            </w:r>
          </w:p>
        </w:tc>
        <w:tc>
          <w:tcPr>
            <w:tcW w:w="954" w:type="dxa"/>
            <w:tcBorders/>
            <w:shd w:fill="auto" w:val="clear"/>
            <w:vAlign w:val="center"/>
          </w:tcPr>
          <w:p>
            <w:pPr>
              <w:pStyle w:val="TableHeading"/>
              <w:suppressLineNumbers/>
              <w:spacing w:before="0" w:after="283"/>
              <w:jc w:val="center"/>
              <w:rPr/>
            </w:pPr>
            <w:r>
              <w:rPr/>
              <w:t>Date of Sale</w:t>
            </w:r>
          </w:p>
        </w:tc>
        <w:tc>
          <w:tcPr>
            <w:tcW w:w="1575" w:type="dxa"/>
            <w:tcBorders/>
            <w:shd w:fill="auto" w:val="clear"/>
            <w:vAlign w:val="center"/>
          </w:tcPr>
          <w:p>
            <w:pPr>
              <w:pStyle w:val="TableHeading"/>
              <w:suppressLineNumbers/>
              <w:spacing w:before="0" w:after="283"/>
              <w:jc w:val="center"/>
              <w:rPr/>
            </w:pPr>
            <w:r>
              <w:rPr/>
              <w:t>Amount of Securities Sold</w:t>
            </w:r>
          </w:p>
        </w:tc>
        <w:tc>
          <w:tcPr>
            <w:tcW w:w="1777" w:type="dxa"/>
            <w:tcBorders/>
            <w:shd w:fill="auto" w:val="clear"/>
            <w:vAlign w:val="center"/>
          </w:tcPr>
          <w:p>
            <w:pPr>
              <w:pStyle w:val="TableHeading"/>
              <w:suppressLineNumbers/>
              <w:spacing w:before="0" w:after="283"/>
              <w:jc w:val="center"/>
              <w:rPr/>
            </w:pPr>
            <w:r>
              <w:rPr/>
              <w:t>Gross Proceeds</w:t>
            </w:r>
          </w:p>
        </w:tc>
      </w:tr>
      <w:tr>
        <w:trPr/>
        <w:tc>
          <w:tcPr>
            <w:tcW w:w="2907" w:type="dxa"/>
            <w:tcBorders/>
            <w:shd w:fill="auto" w:val="clear"/>
            <w:vAlign w:val="center"/>
          </w:tcPr>
          <w:p>
            <w:pPr>
              <w:pStyle w:val="TableContents"/>
              <w:spacing w:before="0" w:after="283"/>
              <w:rPr/>
            </w:pPr>
            <w:r>
              <w:rPr/>
              <w:t>Barrett Trust LLC</w:t>
              <w:br/>
              <w:t>5331 NE 31st Ave</w:t>
              <w:br/>
              <w:t>Portland   OR   97211</w:t>
            </w:r>
          </w:p>
        </w:tc>
        <w:tc>
          <w:tcPr>
            <w:tcW w:w="2992" w:type="dxa"/>
            <w:tcBorders/>
            <w:shd w:fill="auto" w:val="clear"/>
            <w:vAlign w:val="center"/>
          </w:tcPr>
          <w:p>
            <w:pPr>
              <w:pStyle w:val="TableContents"/>
              <w:spacing w:before="0" w:after="283"/>
              <w:rPr/>
            </w:pPr>
            <w:r>
              <w:rPr/>
              <w:t>Common A</w:t>
            </w:r>
          </w:p>
        </w:tc>
        <w:tc>
          <w:tcPr>
            <w:tcW w:w="954" w:type="dxa"/>
            <w:tcBorders/>
            <w:shd w:fill="auto" w:val="clear"/>
            <w:vAlign w:val="center"/>
          </w:tcPr>
          <w:p>
            <w:pPr>
              <w:pStyle w:val="TableContents"/>
              <w:spacing w:before="0" w:after="283"/>
              <w:rPr/>
            </w:pPr>
            <w:r>
              <w:rPr/>
              <w:t>01/11/2023</w:t>
            </w:r>
          </w:p>
        </w:tc>
        <w:tc>
          <w:tcPr>
            <w:tcW w:w="1575" w:type="dxa"/>
            <w:tcBorders/>
            <w:shd w:fill="auto" w:val="clear"/>
            <w:vAlign w:val="center"/>
          </w:tcPr>
          <w:p>
            <w:pPr>
              <w:pStyle w:val="TableContents"/>
              <w:spacing w:before="0" w:after="283"/>
              <w:rPr/>
            </w:pPr>
            <w:r>
              <w:rPr/>
              <w:t>30000</w:t>
            </w:r>
          </w:p>
        </w:tc>
        <w:tc>
          <w:tcPr>
            <w:tcW w:w="1777" w:type="dxa"/>
            <w:tcBorders/>
            <w:shd w:fill="auto" w:val="clear"/>
            <w:vAlign w:val="center"/>
          </w:tcPr>
          <w:p>
            <w:pPr>
              <w:pStyle w:val="TableContents"/>
              <w:spacing w:before="0" w:after="283"/>
              <w:rPr/>
            </w:pPr>
            <w:r>
              <w:rPr/>
              <w:t>269468.81</w:t>
            </w:r>
          </w:p>
        </w:tc>
      </w:tr>
      <w:tr>
        <w:trPr/>
        <w:tc>
          <w:tcPr>
            <w:tcW w:w="2907" w:type="dxa"/>
            <w:tcBorders/>
            <w:shd w:fill="auto" w:val="clear"/>
            <w:vAlign w:val="center"/>
          </w:tcPr>
          <w:p>
            <w:pPr>
              <w:pStyle w:val="TableContents"/>
              <w:spacing w:before="0" w:after="283"/>
              <w:rPr/>
            </w:pPr>
            <w:r>
              <w:rPr/>
              <w:t>Barrett Trust LLC</w:t>
              <w:br/>
              <w:t>5331 NE 31st Ave</w:t>
              <w:br/>
              <w:t>Portland   OR   97211</w:t>
            </w:r>
          </w:p>
        </w:tc>
        <w:tc>
          <w:tcPr>
            <w:tcW w:w="2992" w:type="dxa"/>
            <w:tcBorders/>
            <w:shd w:fill="auto" w:val="clear"/>
            <w:vAlign w:val="center"/>
          </w:tcPr>
          <w:p>
            <w:pPr>
              <w:pStyle w:val="TableContents"/>
              <w:spacing w:before="0" w:after="283"/>
              <w:rPr/>
            </w:pPr>
            <w:r>
              <w:rPr/>
              <w:t>Common A</w:t>
            </w:r>
          </w:p>
        </w:tc>
        <w:tc>
          <w:tcPr>
            <w:tcW w:w="954" w:type="dxa"/>
            <w:tcBorders/>
            <w:shd w:fill="auto" w:val="clear"/>
            <w:vAlign w:val="center"/>
          </w:tcPr>
          <w:p>
            <w:pPr>
              <w:pStyle w:val="TableContents"/>
              <w:spacing w:before="0" w:after="283"/>
              <w:rPr/>
            </w:pPr>
            <w:r>
              <w:rPr/>
              <w:t>02/10/2023</w:t>
            </w:r>
          </w:p>
        </w:tc>
        <w:tc>
          <w:tcPr>
            <w:tcW w:w="1575" w:type="dxa"/>
            <w:tcBorders/>
            <w:shd w:fill="auto" w:val="clear"/>
            <w:vAlign w:val="center"/>
          </w:tcPr>
          <w:p>
            <w:pPr>
              <w:pStyle w:val="TableContents"/>
              <w:spacing w:before="0" w:after="283"/>
              <w:rPr/>
            </w:pPr>
            <w:r>
              <w:rPr/>
              <w:t>30000</w:t>
            </w:r>
          </w:p>
        </w:tc>
        <w:tc>
          <w:tcPr>
            <w:tcW w:w="1777" w:type="dxa"/>
            <w:tcBorders/>
            <w:shd w:fill="auto" w:val="clear"/>
            <w:vAlign w:val="center"/>
          </w:tcPr>
          <w:p>
            <w:pPr>
              <w:pStyle w:val="TableContents"/>
              <w:spacing w:before="0" w:after="283"/>
              <w:rPr/>
            </w:pPr>
            <w:r>
              <w:rPr/>
              <w:t>290291.31</w:t>
            </w:r>
          </w:p>
        </w:tc>
      </w:tr>
      <w:tr>
        <w:trPr/>
        <w:tc>
          <w:tcPr>
            <w:tcW w:w="2907" w:type="dxa"/>
            <w:tcBorders/>
            <w:shd w:fill="auto" w:val="clear"/>
            <w:vAlign w:val="center"/>
          </w:tcPr>
          <w:p>
            <w:pPr>
              <w:pStyle w:val="TableContents"/>
              <w:spacing w:before="0" w:after="283"/>
              <w:rPr/>
            </w:pPr>
            <w:r>
              <w:rPr/>
              <w:t>Barrett Trust LLC</w:t>
              <w:br/>
              <w:t>5331 NE 31st Ave</w:t>
              <w:br/>
              <w:t>Portland   OR   97211</w:t>
            </w:r>
          </w:p>
        </w:tc>
        <w:tc>
          <w:tcPr>
            <w:tcW w:w="2992" w:type="dxa"/>
            <w:tcBorders/>
            <w:shd w:fill="auto" w:val="clear"/>
            <w:vAlign w:val="center"/>
          </w:tcPr>
          <w:p>
            <w:pPr>
              <w:pStyle w:val="TableContents"/>
              <w:spacing w:before="0" w:after="283"/>
              <w:rPr/>
            </w:pPr>
            <w:r>
              <w:rPr/>
              <w:t>Common A</w:t>
            </w:r>
          </w:p>
        </w:tc>
        <w:tc>
          <w:tcPr>
            <w:tcW w:w="954" w:type="dxa"/>
            <w:tcBorders/>
            <w:shd w:fill="auto" w:val="clear"/>
            <w:vAlign w:val="center"/>
          </w:tcPr>
          <w:p>
            <w:pPr>
              <w:pStyle w:val="TableContents"/>
              <w:spacing w:before="0" w:after="283"/>
              <w:rPr/>
            </w:pPr>
            <w:r>
              <w:rPr/>
              <w:t>03/13/2023</w:t>
            </w:r>
          </w:p>
        </w:tc>
        <w:tc>
          <w:tcPr>
            <w:tcW w:w="1575" w:type="dxa"/>
            <w:tcBorders/>
            <w:shd w:fill="auto" w:val="clear"/>
            <w:vAlign w:val="center"/>
          </w:tcPr>
          <w:p>
            <w:pPr>
              <w:pStyle w:val="TableContents"/>
              <w:spacing w:before="0" w:after="283"/>
              <w:rPr/>
            </w:pPr>
            <w:r>
              <w:rPr/>
              <w:t>30000</w:t>
            </w:r>
          </w:p>
        </w:tc>
        <w:tc>
          <w:tcPr>
            <w:tcW w:w="1777" w:type="dxa"/>
            <w:tcBorders/>
            <w:shd w:fill="auto" w:val="clear"/>
            <w:vAlign w:val="center"/>
          </w:tcPr>
          <w:p>
            <w:pPr>
              <w:pStyle w:val="TableContents"/>
              <w:spacing w:before="0" w:after="283"/>
              <w:rPr/>
            </w:pPr>
            <w:r>
              <w:rPr/>
              <w:t>245302.06</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1094"/>
        <w:gridCol w:w="9111"/>
      </w:tblGrid>
      <w:tr>
        <w:trPr/>
        <w:tc>
          <w:tcPr>
            <w:tcW w:w="1094" w:type="dxa"/>
            <w:tcBorders/>
            <w:shd w:fill="auto" w:val="clear"/>
            <w:vAlign w:val="center"/>
          </w:tcPr>
          <w:p>
            <w:pPr>
              <w:pStyle w:val="TableContents"/>
              <w:spacing w:before="0" w:after="283"/>
              <w:rPr/>
            </w:pPr>
            <w:r>
              <w:rPr/>
              <w:t>Remarks</w:t>
            </w:r>
          </w:p>
        </w:tc>
        <w:tc>
          <w:tcPr>
            <w:tcW w:w="9111" w:type="dxa"/>
            <w:tcBorders/>
            <w:shd w:fill="auto" w:val="clear"/>
            <w:vAlign w:val="center"/>
          </w:tcPr>
          <w:p>
            <w:pPr>
              <w:pStyle w:val="TableContents"/>
              <w:spacing w:before="0" w:after="0"/>
              <w:rPr/>
            </w:pPr>
            <w:r>
              <w:rPr/>
              <w:t>Note for 2(a): The person for whose account the securities are to be sold is a private company, Barrett Trust LLC. Barrett Trust LLC has two members, (i) Barrett Trust dated October 7, 2021, which is an irrevocable grantor trust, and (ii) Barrett Family Trust dated April 5, 2018, which is a revocable living trust. David Barrett is the grantor of both Trusts, and is the CEO of the Issuer. Note for 3(d): based on sales price; closing price as of 4/12/23 is $7.91/sh. Note for 3(e): As of March 3, 2023, as stated in Issuer's annual report on Form 10-K for the fiscal year ending December 31, 2022.</w:t>
            </w:r>
          </w:p>
        </w:tc>
      </w:tr>
      <w:tr>
        <w:trPr/>
        <w:tc>
          <w:tcPr>
            <w:tcW w:w="1094" w:type="dxa"/>
            <w:tcBorders/>
            <w:shd w:fill="auto" w:val="clear"/>
            <w:vAlign w:val="center"/>
          </w:tcPr>
          <w:p>
            <w:pPr>
              <w:pStyle w:val="TableContents"/>
              <w:spacing w:before="0" w:after="283"/>
              <w:rPr/>
            </w:pPr>
            <w:r>
              <w:rPr/>
              <w:t>Date of Notice</w:t>
            </w:r>
          </w:p>
        </w:tc>
        <w:tc>
          <w:tcPr>
            <w:tcW w:w="9111" w:type="dxa"/>
            <w:tcBorders/>
            <w:shd w:fill="auto" w:val="clear"/>
            <w:vAlign w:val="center"/>
          </w:tcPr>
          <w:p>
            <w:pPr>
              <w:pStyle w:val="TableContents"/>
              <w:spacing w:before="0" w:after="0"/>
              <w:rPr/>
            </w:pPr>
            <w:r>
              <w:rPr/>
              <w:t>04/14/2023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94" w:type="dxa"/>
            <w:tcBorders/>
            <w:shd w:fill="auto" w:val="clear"/>
            <w:vAlign w:val="center"/>
          </w:tcPr>
          <w:p>
            <w:pPr>
              <w:pStyle w:val="TableContents"/>
              <w:spacing w:before="0" w:after="283"/>
              <w:rPr/>
            </w:pPr>
            <w:r>
              <w:rPr/>
              <w:t>Signature</w:t>
            </w:r>
          </w:p>
        </w:tc>
        <w:tc>
          <w:tcPr>
            <w:tcW w:w="9111" w:type="dxa"/>
            <w:tcBorders/>
            <w:shd w:fill="auto" w:val="clear"/>
            <w:vAlign w:val="center"/>
          </w:tcPr>
          <w:p>
            <w:pPr>
              <w:pStyle w:val="TableContents"/>
              <w:spacing w:before="0" w:after="0"/>
              <w:rPr/>
            </w:pPr>
            <w:r>
              <w:rPr/>
              <w:t>David M. Barrett, General Manager</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747</Words>
  <CharactersWithSpaces>4369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