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Liu Ying</w:t>
              </w:r>
            </w:hyperlink>
          </w:p>
        </w:tc>
        <w:tc>
          <w:tcPr>
            <w:tcW w:w="10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51,230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166,079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("RSUs") pursuant to the Non-Employee Director Compensation Program, which vest on the earlier of (i) the first anniversary of the grant date and (ii) immediately before the next Annual Meeting following the grant date. Each RSU represents a right to receive one share of Class A common stock.</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2025-06-17T17:00:47Z</dcterms:created>
  <dcterms:modified xsi:type="dcterms:W3CDTF">2025-06-17T17:00:47Z</dcterms:modified>
</cp:coreProperties>
</file>