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458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4580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Alvarez Divo Carlos Eduardo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60" w:type="dxa"/>
            <w:vAlign w:val="bottom"/>
            <w:tcBorders>
              <w:top w:val="single" w:sz="8" w:color="0000EE"/>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Expensify,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EXFY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center"/>
              <w:ind w:right="274"/>
              <w:spacing w:after="0"/>
              <w:rPr>
                <w:sz w:val="20"/>
                <w:szCs w:val="20"/>
                <w:color w:val="auto"/>
              </w:rPr>
            </w:pPr>
            <w:r>
              <w:rPr>
                <w:rFonts w:ascii="Arial" w:cs="Arial" w:eastAsia="Arial" w:hAnsi="Arial"/>
                <w:sz w:val="15"/>
                <w:szCs w:val="15"/>
                <w:color w:val="auto"/>
                <w:w w:val="99"/>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C/O EXPENSIFY, INC.</w:t>
            </w:r>
          </w:p>
        </w:tc>
        <w:tc>
          <w:tcPr>
            <w:tcW w:w="11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88 KEARNY ST, STE 1600</w:t>
            </w: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51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94018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60" w:type="dxa"/>
            <w:vAlign w:val="bottom"/>
          </w:tcPr>
          <w:p>
            <w:pPr>
              <w:jc w:val="center"/>
              <w:ind w:left="27"/>
              <w:spacing w:after="0"/>
              <w:rPr>
                <w:sz w:val="20"/>
                <w:szCs w:val="20"/>
                <w:color w:val="auto"/>
              </w:rPr>
            </w:pPr>
            <w:r>
              <w:rPr>
                <w:rFonts w:ascii="Times New Roman" w:cs="Times New Roman" w:eastAsia="Times New Roman" w:hAnsi="Times New Roman"/>
                <w:sz w:val="20"/>
                <w:szCs w:val="20"/>
                <w:color w:val="0000FF"/>
                <w:w w:val="98"/>
              </w:rPr>
              <w:t>328,072</w:t>
            </w:r>
          </w:p>
        </w:tc>
        <w:tc>
          <w:tcPr>
            <w:tcW w:w="920" w:type="dxa"/>
            <w:vAlign w:val="bottom"/>
            <w:gridSpan w:val="2"/>
          </w:tcPr>
          <w:p>
            <w:pPr>
              <w:ind w:left="74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2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LT10 Common Stock</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184,167</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LT50 Common Stock</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rPr>
              <w:t>(3)</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164,100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I</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See note</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04/12/2029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65,140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0.97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03/15/2031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16,380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7.21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10/12/2031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ind w:left="11"/>
              <w:spacing w:after="0"/>
              <w:rPr>
                <w:sz w:val="20"/>
                <w:szCs w:val="20"/>
                <w:color w:val="auto"/>
              </w:rPr>
            </w:pPr>
            <w:r>
              <w:rPr>
                <w:rFonts w:ascii="Times New Roman" w:cs="Times New Roman" w:eastAsia="Times New Roman" w:hAnsi="Times New Roman"/>
                <w:sz w:val="20"/>
                <w:szCs w:val="20"/>
                <w:color w:val="0000FF"/>
                <w:w w:val="97"/>
              </w:rPr>
              <w:t>6,540</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12.97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12/15/2029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37,012</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12/15/2029</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LT50 Common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37,012</w:t>
            </w:r>
          </w:p>
        </w:tc>
        <w:tc>
          <w:tcPr>
            <w:tcW w:w="6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6"/>
              </w:rPr>
              <w:t>Stock</w:t>
            </w: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0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LT10 Common Stock is convertible into the Issuer's Class A Common Stock on a one-to-one basis only upon, and generally cannot be transferred without, satisfaction of certain notice and other requirements, including a notice period of 10 months. The LT10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33"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Deposited into the Expensify Voting Trust (the "Voting Trust"). The Reporting Person retains investment control and dispositive power over the shares deposited into the Voting Trust.</w:t>
      </w:r>
    </w:p>
    <w:p>
      <w:pPr>
        <w:spacing w:after="0" w:line="17" w:lineRule="exact"/>
        <w:rPr>
          <w:rFonts w:ascii="Times New Roman" w:cs="Times New Roman" w:eastAsia="Times New Roman" w:hAnsi="Times New Roman"/>
          <w:sz w:val="15"/>
          <w:szCs w:val="15"/>
          <w:color w:val="008000"/>
        </w:rPr>
      </w:pPr>
    </w:p>
    <w:p>
      <w:pPr>
        <w:ind w:left="40" w:right="30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currently exercisable.</w:t>
      </w:r>
    </w:p>
    <w:p>
      <w:pPr>
        <w:spacing w:after="0" w:line="52" w:lineRule="exact"/>
        <w:rPr>
          <w:rFonts w:ascii="Times New Roman" w:cs="Times New Roman" w:eastAsia="Times New Roman" w:hAnsi="Times New Roman"/>
          <w:sz w:val="15"/>
          <w:szCs w:val="15"/>
          <w:color w:val="008000"/>
        </w:rPr>
      </w:pPr>
    </w:p>
    <w:p>
      <w:pPr>
        <w:ind w:right="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the remaining number of restricted stock units ("RSUs") that vested 12.5% on September 15, 2022 and began vesting 1/32nd each quarter thereafter, on December 15th, March 15th, June 15th and September 15th.</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one share of Class A common stock.</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one share of LT50 common stock.</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Ryan Schaffer,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SECTION 16 AND FORM 144 POWER OF ATTORNEY</w:t>
      </w:r>
    </w:p>
    <w:p>
      <w:pPr>
        <w:spacing w:after="0" w:line="251"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Expensify,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7" w:lineRule="exact"/>
        <w:rPr>
          <w:sz w:val="20"/>
          <w:szCs w:val="20"/>
          <w:color w:val="auto"/>
        </w:rPr>
      </w:pPr>
    </w:p>
    <w:p>
      <w:pPr>
        <w:jc w:val="both"/>
        <w:ind w:left="720" w:hanging="360"/>
        <w:spacing w:after="0" w:line="242" w:lineRule="auto"/>
        <w:tabs>
          <w:tab w:leader="none" w:pos="7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25" w:lineRule="exact"/>
        <w:rPr>
          <w:rFonts w:ascii="Times New Roman" w:cs="Times New Roman" w:eastAsia="Times New Roman" w:hAnsi="Times New Roman"/>
          <w:sz w:val="22"/>
          <w:szCs w:val="22"/>
          <w:color w:val="auto"/>
        </w:rPr>
      </w:pPr>
    </w:p>
    <w:p>
      <w:pPr>
        <w:jc w:val="both"/>
        <w:ind w:left="720" w:hanging="360"/>
        <w:spacing w:after="0" w:line="242" w:lineRule="auto"/>
        <w:tabs>
          <w:tab w:leader="none" w:pos="7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44"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15"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4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30th day of December, 2025.</w:t>
      </w:r>
    </w:p>
    <w:p>
      <w:pPr>
        <w:spacing w:after="0" w:line="200" w:lineRule="exact"/>
        <w:rPr>
          <w:sz w:val="20"/>
          <w:szCs w:val="20"/>
          <w:color w:val="auto"/>
        </w:rPr>
      </w:pPr>
    </w:p>
    <w:p>
      <w:pPr>
        <w:spacing w:after="0" w:line="3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/s/ Carlos Eduardo Alvarez Divo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26670</wp:posOffset>
            </wp:positionV>
            <wp:extent cx="27539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53995" cy="9525"/>
                    </a:xfrm>
                    <a:prstGeom prst="rect">
                      <a:avLst/>
                    </a:prstGeom>
                    <a:noFill/>
                  </pic:spPr>
                </pic:pic>
              </a:graphicData>
            </a:graphic>
          </wp:anchor>
        </w:drawing>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2"/>
          <w:szCs w:val="22"/>
          <w:color w:val="auto"/>
        </w:rPr>
        <w:t>Carlos Eduardo Alvarez Divo</w:t>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5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45" w:lineRule="exact"/>
        <w:rPr>
          <w:sz w:val="20"/>
          <w:szCs w:val="20"/>
          <w:color w:val="auto"/>
        </w:rPr>
      </w:pPr>
    </w:p>
    <w:p>
      <w:pPr>
        <w:ind w:left="220" w:hanging="220"/>
        <w:spacing w:after="0"/>
        <w:tabs>
          <w:tab w:leader="none" w:pos="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Michael Barrett, Chief Executive Officer of the Company</w:t>
      </w:r>
    </w:p>
    <w:p>
      <w:pPr>
        <w:spacing w:after="0" w:line="26" w:lineRule="exact"/>
        <w:rPr>
          <w:rFonts w:ascii="Times New Roman" w:cs="Times New Roman" w:eastAsia="Times New Roman" w:hAnsi="Times New Roman"/>
          <w:sz w:val="22"/>
          <w:szCs w:val="22"/>
          <w:color w:val="auto"/>
        </w:rPr>
      </w:pPr>
    </w:p>
    <w:p>
      <w:pPr>
        <w:ind w:left="220" w:hanging="220"/>
        <w:spacing w:after="0" w:line="227" w:lineRule="auto"/>
        <w:tabs>
          <w:tab w:leader="none" w:pos="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Ryan Schaffer, Chief Financial Officer of the Company</w:t>
      </w:r>
    </w:p>
    <w:p>
      <w:pPr>
        <w:ind w:left="220" w:hanging="220"/>
        <w:spacing w:after="0"/>
        <w:tabs>
          <w:tab w:leader="none" w:pos="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Cole Eason, Secretary of the Company</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04456" TargetMode="External"/><Relationship Id="rId11"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2026-01-12T15:28:45Z</dcterms:created>
  <dcterms:modified xsi:type="dcterms:W3CDTF">2026-01-12T15:28:45Z</dcterms:modified>
</cp:coreProperties>
</file>