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1160780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3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Times New Roman" w:cs="Times New Roman" w:eastAsia="Times New Roman" w:hAnsi="Times New Roman"/>
          <w:sz w:val="18"/>
          <w:szCs w:val="18"/>
          <w:b w:val="1"/>
          <w:bCs w:val="1"/>
          <w:color w:val="auto"/>
        </w:rPr>
        <w:t>_______</w:t>
      </w:r>
      <w:r>
        <w:rPr>
          <w:rFonts w:ascii="Arial" w:cs="Arial" w:eastAsia="Arial" w:hAnsi="Arial"/>
          <w:sz w:val="18"/>
          <w:szCs w:val="18"/>
          <w:b w:val="1"/>
          <w:bCs w:val="1"/>
          <w:color w:val="auto"/>
        </w:rPr>
        <w:t xml:space="preserve"> to </w:t>
      </w:r>
      <w:r>
        <w:rPr>
          <w:rFonts w:ascii="Times New Roman" w:cs="Times New Roman" w:eastAsia="Times New Roman" w:hAnsi="Times New Roman"/>
          <w:sz w:val="18"/>
          <w:szCs w:val="18"/>
          <w:b w:val="1"/>
          <w:bCs w:val="1"/>
          <w:color w:val="auto"/>
        </w:rPr>
        <w:t>_______</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001-41043</w:t>
      </w:r>
    </w:p>
    <w:p>
      <w:pPr>
        <w:spacing w:after="0" w:line="11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17145</wp:posOffset>
            </wp:positionV>
            <wp:extent cx="192024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24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EXPENSIFY, INC.</w:t>
      </w:r>
    </w:p>
    <w:p>
      <w:pPr>
        <w:spacing w:after="0" w:line="5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62" w:lineRule="exact"/>
        <w:rPr>
          <w:sz w:val="24"/>
          <w:szCs w:val="24"/>
          <w:color w:val="auto"/>
        </w:rPr>
      </w:pPr>
    </w:p>
    <w:tbl>
      <w:tblPr>
        <w:tblLayout w:type="fixed"/>
        <w:tblInd w:w="340" w:type="dxa"/>
        <w:tblCellMar>
          <w:top w:w="0" w:type="dxa"/>
          <w:left w:w="0" w:type="dxa"/>
          <w:bottom w:w="0" w:type="dxa"/>
          <w:right w:w="0" w:type="dxa"/>
        </w:tblCellMar>
      </w:tblPr>
      <w:tr>
        <w:trPr>
          <w:trHeight w:val="247"/>
        </w:trPr>
        <w:tc>
          <w:tcPr>
            <w:tcW w:w="5580" w:type="dxa"/>
            <w:vAlign w:val="bottom"/>
          </w:tcPr>
          <w:p>
            <w:pPr>
              <w:jc w:val="center"/>
              <w:ind w:right="874"/>
              <w:spacing w:after="0"/>
              <w:rPr>
                <w:sz w:val="20"/>
                <w:szCs w:val="20"/>
                <w:color w:val="auto"/>
              </w:rPr>
            </w:pPr>
            <w:r>
              <w:rPr>
                <w:rFonts w:ascii="Arial" w:cs="Arial" w:eastAsia="Arial" w:hAnsi="Arial"/>
                <w:sz w:val="18"/>
                <w:szCs w:val="18"/>
                <w:b w:val="1"/>
                <w:bCs w:val="1"/>
                <w:color w:val="auto"/>
                <w:w w:val="98"/>
              </w:rPr>
              <w:t>Delaware</w:t>
            </w:r>
          </w:p>
        </w:tc>
        <w:tc>
          <w:tcPr>
            <w:tcW w:w="3740" w:type="dxa"/>
            <w:vAlign w:val="bottom"/>
          </w:tcPr>
          <w:p>
            <w:pPr>
              <w:jc w:val="right"/>
              <w:ind w:right="812"/>
              <w:spacing w:after="0"/>
              <w:rPr>
                <w:sz w:val="20"/>
                <w:szCs w:val="20"/>
                <w:color w:val="auto"/>
              </w:rPr>
            </w:pPr>
            <w:r>
              <w:rPr>
                <w:rFonts w:ascii="Arial" w:cs="Arial" w:eastAsia="Arial" w:hAnsi="Arial"/>
                <w:sz w:val="18"/>
                <w:szCs w:val="18"/>
                <w:b w:val="1"/>
                <w:bCs w:val="1"/>
                <w:color w:val="auto"/>
              </w:rPr>
              <w:t>27-0239450</w:t>
            </w:r>
          </w:p>
        </w:tc>
      </w:tr>
      <w:tr>
        <w:trPr>
          <w:trHeight w:val="262"/>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(I.R.S. Employer Identification No.)</w:t>
            </w:r>
          </w:p>
        </w:tc>
      </w:tr>
      <w:tr>
        <w:trPr>
          <w:trHeight w:val="253"/>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401 SW 5th Ave</w:t>
            </w:r>
          </w:p>
        </w:tc>
        <w:tc>
          <w:tcPr>
            <w:tcW w:w="3740" w:type="dxa"/>
            <w:vAlign w:val="bottom"/>
          </w:tcPr>
          <w:p>
            <w:pPr>
              <w:jc w:val="right"/>
              <w:ind w:right="1072"/>
              <w:spacing w:after="0"/>
              <w:rPr>
                <w:sz w:val="20"/>
                <w:szCs w:val="20"/>
                <w:color w:val="auto"/>
              </w:rPr>
            </w:pPr>
            <w:r>
              <w:rPr>
                <w:rFonts w:ascii="Arial" w:cs="Arial" w:eastAsia="Arial" w:hAnsi="Arial"/>
                <w:sz w:val="16"/>
                <w:szCs w:val="16"/>
                <w:b w:val="1"/>
                <w:bCs w:val="1"/>
                <w:color w:val="auto"/>
              </w:rPr>
              <w:t>97204</w:t>
            </w:r>
          </w:p>
        </w:tc>
      </w:tr>
      <w:tr>
        <w:trPr>
          <w:trHeight w:val="223"/>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Portland, Oregon</w:t>
            </w:r>
          </w:p>
        </w:tc>
        <w:tc>
          <w:tcPr>
            <w:tcW w:w="3740" w:type="dxa"/>
            <w:vAlign w:val="bottom"/>
          </w:tcPr>
          <w:p>
            <w:pPr>
              <w:spacing w:after="0"/>
              <w:rPr>
                <w:sz w:val="19"/>
                <w:szCs w:val="19"/>
                <w:color w:val="auto"/>
              </w:rPr>
            </w:pPr>
          </w:p>
        </w:tc>
      </w:tr>
      <w:tr>
        <w:trPr>
          <w:trHeight w:val="240"/>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(Address of Principal Executive Offices)</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(Zip Code)</w:t>
            </w:r>
          </w:p>
        </w:tc>
      </w:tr>
    </w:tbl>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(971) 365-3939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8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rPr>
              <w:t>Class A Common Stock, par value $0.0001 per</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239"/>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share</w:t>
            </w:r>
          </w:p>
        </w:tc>
        <w:tc>
          <w:tcPr>
            <w:tcW w:w="24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EXFY</w:t>
            </w:r>
          </w:p>
        </w:tc>
        <w:tc>
          <w:tcPr>
            <w:tcW w:w="454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193"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88"/>
        </w:trPr>
        <w:tc>
          <w:tcPr>
            <w:tcW w:w="5440" w:type="dxa"/>
            <w:vAlign w:val="bottom"/>
          </w:tcPr>
          <w:p>
            <w:pPr>
              <w:ind w:left="51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00"/>
              <w:spacing w:after="0"/>
              <w:rPr>
                <w:sz w:val="20"/>
                <w:szCs w:val="20"/>
                <w:color w:val="auto"/>
              </w:rPr>
            </w:pPr>
            <w:r>
              <w:rPr>
                <w:rFonts w:ascii="Wingdings" w:cs="Wingdings" w:eastAsia="Wingdings" w:hAnsi="Wingdings"/>
                <w:sz w:val="18"/>
                <w:szCs w:val="18"/>
                <w:b w:val="1"/>
                <w:bCs w:val="1"/>
                <w:color w:val="auto"/>
                <w:w w:val="83"/>
              </w:rPr>
              <w:t>x</w:t>
            </w:r>
          </w:p>
        </w:tc>
        <w:tc>
          <w:tcPr>
            <w:tcW w:w="0" w:type="dxa"/>
            <w:vAlign w:val="bottom"/>
          </w:tcPr>
          <w:p>
            <w:pPr>
              <w:spacing w:after="0"/>
              <w:rPr>
                <w:sz w:val="1"/>
                <w:szCs w:val="1"/>
                <w:color w:val="auto"/>
              </w:rPr>
            </w:pPr>
          </w:p>
        </w:tc>
      </w:tr>
      <w:tr>
        <w:trPr>
          <w:trHeight w:val="130"/>
        </w:trPr>
        <w:tc>
          <w:tcPr>
            <w:tcW w:w="5440" w:type="dxa"/>
            <w:vAlign w:val="bottom"/>
          </w:tcPr>
          <w:p>
            <w:pPr>
              <w:spacing w:after="0" w:line="130" w:lineRule="exact"/>
              <w:rPr>
                <w:sz w:val="20"/>
                <w:szCs w:val="20"/>
                <w:color w:val="auto"/>
              </w:rPr>
            </w:pPr>
            <w:r>
              <w:rPr>
                <w:rFonts w:ascii="Arial" w:cs="Arial" w:eastAsia="Arial" w:hAnsi="Arial"/>
                <w:sz w:val="15"/>
                <w:szCs w:val="15"/>
                <w:color w:val="auto"/>
              </w:rPr>
              <w:t>Large accelerated filer</w:t>
            </w:r>
          </w:p>
        </w:tc>
        <w:tc>
          <w:tcPr>
            <w:tcW w:w="380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5440" w:type="dxa"/>
            <w:vAlign w:val="bottom"/>
          </w:tcPr>
          <w:p>
            <w:pPr>
              <w:ind w:left="51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00"/>
              <w:spacing w:after="0"/>
              <w:rPr>
                <w:sz w:val="20"/>
                <w:szCs w:val="20"/>
                <w:color w:val="auto"/>
              </w:rPr>
            </w:pPr>
            <w:r>
              <w:rPr>
                <w:rFonts w:ascii="Wingdings" w:cs="Wingdings" w:eastAsia="Wingdings" w:hAnsi="Wingdings"/>
                <w:sz w:val="18"/>
                <w:szCs w:val="18"/>
                <w:b w:val="1"/>
                <w:bCs w:val="1"/>
                <w:color w:val="auto"/>
                <w:w w:val="83"/>
              </w:rPr>
              <w:t>x</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800" w:type="dxa"/>
            <w:vAlign w:val="bottom"/>
            <w:vMerge w:val="continue"/>
          </w:tcPr>
          <w:p>
            <w:pPr>
              <w:spacing w:after="0"/>
              <w:rPr>
                <w:sz w:val="20"/>
                <w:szCs w:val="20"/>
                <w:color w:val="auto"/>
              </w:rPr>
            </w:pPr>
          </w:p>
        </w:tc>
        <w:tc>
          <w:tcPr>
            <w:tcW w:w="1680" w:type="dxa"/>
            <w:vAlign w:val="bottom"/>
            <w:vMerge w:val="restart"/>
          </w:tcPr>
          <w:p>
            <w:pPr>
              <w:ind w:left="15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4"/>
        </w:trPr>
        <w:tc>
          <w:tcPr>
            <w:tcW w:w="5440" w:type="dxa"/>
            <w:vAlign w:val="bottom"/>
          </w:tcPr>
          <w:p>
            <w:pPr>
              <w:spacing w:after="0"/>
              <w:rPr>
                <w:sz w:val="16"/>
                <w:szCs w:val="16"/>
                <w:color w:val="auto"/>
              </w:rPr>
            </w:pP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Emerging growth company</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44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0" w:gutter="0" w:footer="0" w:header="0"/>
        </w:sectPr>
      </w:pPr>
    </w:p>
    <w:bookmarkStart w:id="1" w:name="page2"/>
    <w:bookmarkEnd w:id="1"/>
    <w:p>
      <w:pPr>
        <w:spacing w:after="0" w:line="239"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61" w:lineRule="exact"/>
        <w:rPr>
          <w:sz w:val="20"/>
          <w:szCs w:val="20"/>
          <w:color w:val="auto"/>
        </w:rPr>
      </w:pPr>
    </w:p>
    <w:p>
      <w:pPr>
        <w:ind w:right="2040"/>
        <w:spacing w:after="0" w:line="287" w:lineRule="auto"/>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p>
    <w:p>
      <w:pPr>
        <w:spacing w:after="0" w:line="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registrant had outstanding 80,549,275 shares of Class A common stock, par value of $0.0001 per share, 4,209,827 shares of LT10 common stock, par value $0.0001 per share, and 7,891,478 shares of LT50 common stock, par value $0.0001 per share, as of August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640" w:type="dxa"/>
            <w:vAlign w:val="bottom"/>
            <w:gridSpan w:val="2"/>
          </w:tcPr>
          <w:p>
            <w:pPr>
              <w:spacing w:after="0"/>
              <w:rPr>
                <w:sz w:val="20"/>
                <w:szCs w:val="20"/>
                <w:color w:val="auto"/>
              </w:rPr>
            </w:pPr>
            <w:r>
              <w:rPr>
                <w:rFonts w:ascii="Arial" w:cs="Arial" w:eastAsia="Arial" w:hAnsi="Arial"/>
                <w:sz w:val="18"/>
                <w:szCs w:val="18"/>
                <w:color w:val="03D47C"/>
              </w:rPr>
              <w:t>Special Note Regarding Forward-Looking Statements</w:t>
            </w:r>
          </w:p>
        </w:tc>
        <w:tc>
          <w:tcPr>
            <w:tcW w:w="1560" w:type="dxa"/>
            <w:vAlign w:val="bottom"/>
          </w:tcPr>
          <w:p>
            <w:pPr>
              <w:spacing w:after="0"/>
              <w:rPr>
                <w:sz w:val="20"/>
                <w:szCs w:val="20"/>
                <w:color w:val="auto"/>
              </w:rPr>
            </w:pPr>
          </w:p>
        </w:tc>
      </w:tr>
      <w:tr>
        <w:trPr>
          <w:trHeight w:val="490"/>
        </w:trPr>
        <w:tc>
          <w:tcPr>
            <w:tcW w:w="9640" w:type="dxa"/>
            <w:vAlign w:val="bottom"/>
            <w:gridSpan w:val="2"/>
          </w:tcPr>
          <w:p>
            <w:pPr>
              <w:spacing w:after="0"/>
              <w:rPr>
                <w:sz w:val="20"/>
                <w:szCs w:val="20"/>
                <w:color w:val="auto"/>
              </w:rPr>
            </w:pPr>
            <w:r>
              <w:rPr>
                <w:rFonts w:ascii="Arial" w:cs="Arial" w:eastAsia="Arial" w:hAnsi="Arial"/>
                <w:sz w:val="18"/>
                <w:szCs w:val="18"/>
                <w:b w:val="1"/>
                <w:bCs w:val="1"/>
                <w:color w:val="03D47C"/>
              </w:rPr>
              <w:t>Part I - Financial Information</w:t>
            </w:r>
          </w:p>
        </w:tc>
        <w:tc>
          <w:tcPr>
            <w:tcW w:w="1560" w:type="dxa"/>
            <w:vAlign w:val="bottom"/>
          </w:tcPr>
          <w:p>
            <w:pPr>
              <w:spacing w:after="0"/>
              <w:rPr>
                <w:sz w:val="24"/>
                <w:szCs w:val="24"/>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03D47C"/>
              </w:rPr>
              <w:t>Item 1.</w:t>
            </w:r>
          </w:p>
        </w:tc>
        <w:tc>
          <w:tcPr>
            <w:tcW w:w="8700" w:type="dxa"/>
            <w:vAlign w:val="bottom"/>
          </w:tcPr>
          <w:p>
            <w:pPr>
              <w:ind w:left="260"/>
              <w:spacing w:after="0"/>
              <w:rPr>
                <w:sz w:val="20"/>
                <w:szCs w:val="20"/>
                <w:color w:val="auto"/>
              </w:rPr>
            </w:pPr>
            <w:r>
              <w:rPr>
                <w:rFonts w:ascii="Arial" w:cs="Arial" w:eastAsia="Arial" w:hAnsi="Arial"/>
                <w:sz w:val="18"/>
                <w:szCs w:val="18"/>
                <w:color w:val="03D47C"/>
              </w:rPr>
              <w:t>Condensed Consolidated Financial Statements</w:t>
            </w:r>
          </w:p>
        </w:tc>
        <w:tc>
          <w:tcPr>
            <w:tcW w:w="1560" w:type="dxa"/>
            <w:vAlign w:val="bottom"/>
          </w:tcPr>
          <w:p>
            <w:pPr>
              <w:jc w:val="right"/>
              <w:spacing w:after="0"/>
              <w:rPr>
                <w:sz w:val="20"/>
                <w:szCs w:val="20"/>
                <w:color w:val="auto"/>
              </w:rPr>
            </w:pPr>
            <w:r>
              <w:rPr>
                <w:rFonts w:ascii="Arial" w:cs="Arial" w:eastAsia="Arial" w:hAnsi="Arial"/>
                <w:sz w:val="18"/>
                <w:szCs w:val="18"/>
                <w:color w:val="03D47C"/>
              </w:rPr>
              <w:t>1</w:t>
            </w:r>
          </w:p>
        </w:tc>
      </w:tr>
      <w:tr>
        <w:trPr>
          <w:trHeight w:val="230"/>
        </w:trPr>
        <w:tc>
          <w:tcPr>
            <w:tcW w:w="940" w:type="dxa"/>
            <w:vAlign w:val="bottom"/>
          </w:tcPr>
          <w:p>
            <w:pPr>
              <w:spacing w:after="0"/>
              <w:rPr>
                <w:sz w:val="19"/>
                <w:szCs w:val="19"/>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03D47C"/>
              </w:rPr>
              <w:t>Condensed Consolidated Balance Sheets</w:t>
            </w:r>
          </w:p>
        </w:tc>
        <w:tc>
          <w:tcPr>
            <w:tcW w:w="1560" w:type="dxa"/>
            <w:vAlign w:val="bottom"/>
          </w:tcPr>
          <w:p>
            <w:pPr>
              <w:jc w:val="right"/>
              <w:spacing w:after="0"/>
              <w:rPr>
                <w:sz w:val="20"/>
                <w:szCs w:val="20"/>
                <w:color w:val="auto"/>
              </w:rPr>
            </w:pPr>
            <w:r>
              <w:rPr>
                <w:rFonts w:ascii="Arial" w:cs="Arial" w:eastAsia="Arial" w:hAnsi="Arial"/>
                <w:sz w:val="18"/>
                <w:szCs w:val="18"/>
                <w:color w:val="03D47C"/>
              </w:rPr>
              <w:t>2</w:t>
            </w:r>
          </w:p>
        </w:tc>
      </w:tr>
      <w:tr>
        <w:trPr>
          <w:trHeight w:val="229"/>
        </w:trPr>
        <w:tc>
          <w:tcPr>
            <w:tcW w:w="940" w:type="dxa"/>
            <w:vAlign w:val="bottom"/>
          </w:tcPr>
          <w:p>
            <w:pPr>
              <w:spacing w:after="0"/>
              <w:rPr>
                <w:sz w:val="19"/>
                <w:szCs w:val="19"/>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03D47C"/>
              </w:rPr>
              <w:t>Condensed Consolidated Statements of Operations</w:t>
            </w:r>
          </w:p>
        </w:tc>
        <w:tc>
          <w:tcPr>
            <w:tcW w:w="1560" w:type="dxa"/>
            <w:vAlign w:val="bottom"/>
          </w:tcPr>
          <w:p>
            <w:pPr>
              <w:jc w:val="right"/>
              <w:spacing w:after="0"/>
              <w:rPr>
                <w:sz w:val="20"/>
                <w:szCs w:val="20"/>
                <w:color w:val="auto"/>
              </w:rPr>
            </w:pPr>
            <w:r>
              <w:rPr>
                <w:rFonts w:ascii="Arial" w:cs="Arial" w:eastAsia="Arial" w:hAnsi="Arial"/>
                <w:sz w:val="18"/>
                <w:szCs w:val="18"/>
                <w:color w:val="03D47C"/>
              </w:rPr>
              <w:t>3</w:t>
            </w:r>
          </w:p>
        </w:tc>
      </w:tr>
      <w:tr>
        <w:trPr>
          <w:trHeight w:val="230"/>
        </w:trPr>
        <w:tc>
          <w:tcPr>
            <w:tcW w:w="940" w:type="dxa"/>
            <w:vAlign w:val="bottom"/>
          </w:tcPr>
          <w:p>
            <w:pPr>
              <w:spacing w:after="0"/>
              <w:rPr>
                <w:sz w:val="19"/>
                <w:szCs w:val="19"/>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03D47C"/>
              </w:rPr>
              <w:t>Condensed Consolidated Statements of Changes in Stockholders’ Equity</w:t>
            </w:r>
          </w:p>
        </w:tc>
        <w:tc>
          <w:tcPr>
            <w:tcW w:w="1560" w:type="dxa"/>
            <w:vAlign w:val="bottom"/>
          </w:tcPr>
          <w:p>
            <w:pPr>
              <w:jc w:val="right"/>
              <w:spacing w:after="0"/>
              <w:rPr>
                <w:sz w:val="20"/>
                <w:szCs w:val="20"/>
                <w:color w:val="auto"/>
              </w:rPr>
            </w:pPr>
            <w:r>
              <w:rPr>
                <w:rFonts w:ascii="Arial" w:cs="Arial" w:eastAsia="Arial" w:hAnsi="Arial"/>
                <w:sz w:val="18"/>
                <w:szCs w:val="18"/>
                <w:color w:val="03D47C"/>
              </w:rPr>
              <w:t>4</w:t>
            </w:r>
          </w:p>
        </w:tc>
      </w:tr>
      <w:tr>
        <w:trPr>
          <w:trHeight w:val="229"/>
        </w:trPr>
        <w:tc>
          <w:tcPr>
            <w:tcW w:w="940" w:type="dxa"/>
            <w:vAlign w:val="bottom"/>
          </w:tcPr>
          <w:p>
            <w:pPr>
              <w:spacing w:after="0"/>
              <w:rPr>
                <w:sz w:val="19"/>
                <w:szCs w:val="19"/>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03D47C"/>
              </w:rPr>
              <w:t>Condensed Consolidated Statements of Cash Flows</w:t>
            </w:r>
          </w:p>
        </w:tc>
        <w:tc>
          <w:tcPr>
            <w:tcW w:w="1560" w:type="dxa"/>
            <w:vAlign w:val="bottom"/>
          </w:tcPr>
          <w:p>
            <w:pPr>
              <w:jc w:val="right"/>
              <w:spacing w:after="0"/>
              <w:rPr>
                <w:sz w:val="20"/>
                <w:szCs w:val="20"/>
                <w:color w:val="auto"/>
              </w:rPr>
            </w:pPr>
            <w:r>
              <w:rPr>
                <w:rFonts w:ascii="Arial" w:cs="Arial" w:eastAsia="Arial" w:hAnsi="Arial"/>
                <w:sz w:val="18"/>
                <w:szCs w:val="18"/>
                <w:color w:val="03D47C"/>
              </w:rPr>
              <w:t>8</w:t>
            </w:r>
          </w:p>
        </w:tc>
      </w:tr>
      <w:tr>
        <w:trPr>
          <w:trHeight w:val="229"/>
        </w:trPr>
        <w:tc>
          <w:tcPr>
            <w:tcW w:w="940" w:type="dxa"/>
            <w:vAlign w:val="bottom"/>
          </w:tcPr>
          <w:p>
            <w:pPr>
              <w:spacing w:after="0"/>
              <w:rPr>
                <w:sz w:val="19"/>
                <w:szCs w:val="19"/>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03D47C"/>
              </w:rPr>
              <w:t>Notes to Condensed Consolidated Financial Statements</w:t>
            </w:r>
          </w:p>
        </w:tc>
        <w:tc>
          <w:tcPr>
            <w:tcW w:w="1560" w:type="dxa"/>
            <w:vAlign w:val="bottom"/>
          </w:tcPr>
          <w:p>
            <w:pPr>
              <w:jc w:val="right"/>
              <w:spacing w:after="0"/>
              <w:rPr>
                <w:sz w:val="20"/>
                <w:szCs w:val="20"/>
                <w:color w:val="auto"/>
              </w:rPr>
            </w:pPr>
            <w:r>
              <w:rPr>
                <w:rFonts w:ascii="Arial" w:cs="Arial" w:eastAsia="Arial" w:hAnsi="Arial"/>
                <w:sz w:val="18"/>
                <w:szCs w:val="18"/>
                <w:color w:val="03D47C"/>
              </w:rPr>
              <w:t>9</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03D47C"/>
              </w:rPr>
              <w:t>Item 2.</w:t>
            </w:r>
          </w:p>
        </w:tc>
        <w:tc>
          <w:tcPr>
            <w:tcW w:w="8700" w:type="dxa"/>
            <w:vAlign w:val="bottom"/>
          </w:tcPr>
          <w:p>
            <w:pPr>
              <w:ind w:left="260"/>
              <w:spacing w:after="0"/>
              <w:rPr>
                <w:sz w:val="20"/>
                <w:szCs w:val="20"/>
                <w:color w:val="auto"/>
              </w:rPr>
            </w:pPr>
            <w:r>
              <w:rPr>
                <w:rFonts w:ascii="Arial" w:cs="Arial" w:eastAsia="Arial" w:hAnsi="Arial"/>
                <w:sz w:val="18"/>
                <w:szCs w:val="18"/>
                <w:color w:val="03D47C"/>
              </w:rPr>
              <w:t>Management's Discussion and Analysis of Financial Condition and Results of Operations</w:t>
            </w:r>
          </w:p>
        </w:tc>
        <w:tc>
          <w:tcPr>
            <w:tcW w:w="1560" w:type="dxa"/>
            <w:vAlign w:val="bottom"/>
          </w:tcPr>
          <w:p>
            <w:pPr>
              <w:jc w:val="right"/>
              <w:spacing w:after="0"/>
              <w:rPr>
                <w:sz w:val="20"/>
                <w:szCs w:val="20"/>
                <w:color w:val="auto"/>
              </w:rPr>
            </w:pPr>
            <w:r>
              <w:rPr>
                <w:rFonts w:ascii="Arial" w:cs="Arial" w:eastAsia="Arial" w:hAnsi="Arial"/>
                <w:sz w:val="18"/>
                <w:szCs w:val="18"/>
                <w:color w:val="03D47C"/>
              </w:rPr>
              <w:t>25</w:t>
            </w: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03D47C"/>
              </w:rPr>
              <w:t>Item 3.</w:t>
            </w:r>
          </w:p>
        </w:tc>
        <w:tc>
          <w:tcPr>
            <w:tcW w:w="8700" w:type="dxa"/>
            <w:vAlign w:val="bottom"/>
          </w:tcPr>
          <w:p>
            <w:pPr>
              <w:ind w:left="260"/>
              <w:spacing w:after="0"/>
              <w:rPr>
                <w:sz w:val="20"/>
                <w:szCs w:val="20"/>
                <w:color w:val="auto"/>
              </w:rPr>
            </w:pPr>
            <w:r>
              <w:rPr>
                <w:rFonts w:ascii="Arial" w:cs="Arial" w:eastAsia="Arial" w:hAnsi="Arial"/>
                <w:sz w:val="18"/>
                <w:szCs w:val="18"/>
                <w:color w:val="03D47C"/>
              </w:rPr>
              <w:t>Quantitative and Qualitative Disclosures About Market Risk</w:t>
            </w:r>
          </w:p>
        </w:tc>
        <w:tc>
          <w:tcPr>
            <w:tcW w:w="1560" w:type="dxa"/>
            <w:vAlign w:val="bottom"/>
          </w:tcPr>
          <w:p>
            <w:pPr>
              <w:jc w:val="right"/>
              <w:spacing w:after="0"/>
              <w:rPr>
                <w:sz w:val="20"/>
                <w:szCs w:val="20"/>
                <w:color w:val="auto"/>
              </w:rPr>
            </w:pPr>
            <w:r>
              <w:rPr>
                <w:rFonts w:ascii="Arial" w:cs="Arial" w:eastAsia="Arial" w:hAnsi="Arial"/>
                <w:sz w:val="18"/>
                <w:szCs w:val="18"/>
                <w:color w:val="03D47C"/>
              </w:rPr>
              <w:t>41</w:t>
            </w:r>
          </w:p>
        </w:tc>
      </w:tr>
      <w:tr>
        <w:trPr>
          <w:trHeight w:val="239"/>
        </w:trPr>
        <w:tc>
          <w:tcPr>
            <w:tcW w:w="940" w:type="dxa"/>
            <w:vAlign w:val="bottom"/>
          </w:tcPr>
          <w:p>
            <w:pPr>
              <w:spacing w:after="0"/>
              <w:rPr>
                <w:sz w:val="20"/>
                <w:szCs w:val="20"/>
                <w:color w:val="auto"/>
              </w:rPr>
            </w:pPr>
            <w:r>
              <w:rPr>
                <w:rFonts w:ascii="Arial" w:cs="Arial" w:eastAsia="Arial" w:hAnsi="Arial"/>
                <w:sz w:val="18"/>
                <w:szCs w:val="18"/>
                <w:color w:val="03D47C"/>
              </w:rPr>
              <w:t>Item 4.</w:t>
            </w:r>
          </w:p>
        </w:tc>
        <w:tc>
          <w:tcPr>
            <w:tcW w:w="8700" w:type="dxa"/>
            <w:vAlign w:val="bottom"/>
          </w:tcPr>
          <w:p>
            <w:pPr>
              <w:ind w:left="260"/>
              <w:spacing w:after="0"/>
              <w:rPr>
                <w:sz w:val="20"/>
                <w:szCs w:val="20"/>
                <w:color w:val="auto"/>
              </w:rPr>
            </w:pPr>
            <w:r>
              <w:rPr>
                <w:rFonts w:ascii="Arial" w:cs="Arial" w:eastAsia="Arial" w:hAnsi="Arial"/>
                <w:sz w:val="18"/>
                <w:szCs w:val="18"/>
                <w:color w:val="03D47C"/>
              </w:rPr>
              <w:t>Controls and Procedures</w:t>
            </w:r>
          </w:p>
        </w:tc>
        <w:tc>
          <w:tcPr>
            <w:tcW w:w="1560" w:type="dxa"/>
            <w:vAlign w:val="bottom"/>
          </w:tcPr>
          <w:p>
            <w:pPr>
              <w:jc w:val="right"/>
              <w:spacing w:after="0"/>
              <w:rPr>
                <w:sz w:val="20"/>
                <w:szCs w:val="20"/>
                <w:color w:val="auto"/>
              </w:rPr>
            </w:pPr>
            <w:r>
              <w:rPr>
                <w:rFonts w:ascii="Arial" w:cs="Arial" w:eastAsia="Arial" w:hAnsi="Arial"/>
                <w:sz w:val="18"/>
                <w:szCs w:val="18"/>
                <w:color w:val="03D47C"/>
              </w:rPr>
              <w:t>41</w:t>
            </w:r>
          </w:p>
        </w:tc>
      </w:tr>
      <w:tr>
        <w:trPr>
          <w:trHeight w:val="490"/>
        </w:trPr>
        <w:tc>
          <w:tcPr>
            <w:tcW w:w="9640" w:type="dxa"/>
            <w:vAlign w:val="bottom"/>
            <w:gridSpan w:val="2"/>
          </w:tcPr>
          <w:p>
            <w:pPr>
              <w:spacing w:after="0"/>
              <w:rPr>
                <w:sz w:val="20"/>
                <w:szCs w:val="20"/>
                <w:color w:val="auto"/>
              </w:rPr>
            </w:pPr>
            <w:r>
              <w:rPr>
                <w:rFonts w:ascii="Arial" w:cs="Arial" w:eastAsia="Arial" w:hAnsi="Arial"/>
                <w:sz w:val="18"/>
                <w:szCs w:val="18"/>
                <w:b w:val="1"/>
                <w:bCs w:val="1"/>
                <w:color w:val="03D47C"/>
              </w:rPr>
              <w:t>Part II - Other Information</w:t>
            </w:r>
          </w:p>
        </w:tc>
        <w:tc>
          <w:tcPr>
            <w:tcW w:w="1560" w:type="dxa"/>
            <w:vAlign w:val="bottom"/>
          </w:tcPr>
          <w:p>
            <w:pPr>
              <w:spacing w:after="0"/>
              <w:rPr>
                <w:sz w:val="24"/>
                <w:szCs w:val="24"/>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03D47C"/>
              </w:rPr>
              <w:t>Item 1.</w:t>
            </w:r>
          </w:p>
        </w:tc>
        <w:tc>
          <w:tcPr>
            <w:tcW w:w="8700" w:type="dxa"/>
            <w:vAlign w:val="bottom"/>
          </w:tcPr>
          <w:p>
            <w:pPr>
              <w:ind w:left="260"/>
              <w:spacing w:after="0"/>
              <w:rPr>
                <w:sz w:val="20"/>
                <w:szCs w:val="20"/>
                <w:color w:val="auto"/>
              </w:rPr>
            </w:pPr>
            <w:r>
              <w:rPr>
                <w:rFonts w:ascii="Arial" w:cs="Arial" w:eastAsia="Arial" w:hAnsi="Arial"/>
                <w:sz w:val="18"/>
                <w:szCs w:val="18"/>
                <w:color w:val="03D47C"/>
              </w:rPr>
              <w:t>Legal Proceedings</w:t>
            </w:r>
          </w:p>
        </w:tc>
        <w:tc>
          <w:tcPr>
            <w:tcW w:w="1560" w:type="dxa"/>
            <w:vAlign w:val="bottom"/>
          </w:tcPr>
          <w:p>
            <w:pPr>
              <w:jc w:val="right"/>
              <w:spacing w:after="0"/>
              <w:rPr>
                <w:sz w:val="20"/>
                <w:szCs w:val="20"/>
                <w:color w:val="auto"/>
              </w:rPr>
            </w:pPr>
            <w:r>
              <w:rPr>
                <w:rFonts w:ascii="Arial" w:cs="Arial" w:eastAsia="Arial" w:hAnsi="Arial"/>
                <w:sz w:val="18"/>
                <w:szCs w:val="18"/>
                <w:color w:val="03D47C"/>
              </w:rPr>
              <w:t>42</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03D47C"/>
              </w:rPr>
              <w:t>Item 1A.</w:t>
            </w:r>
          </w:p>
        </w:tc>
        <w:tc>
          <w:tcPr>
            <w:tcW w:w="8700" w:type="dxa"/>
            <w:vAlign w:val="bottom"/>
          </w:tcPr>
          <w:p>
            <w:pPr>
              <w:ind w:left="260"/>
              <w:spacing w:after="0"/>
              <w:rPr>
                <w:sz w:val="20"/>
                <w:szCs w:val="20"/>
                <w:color w:val="auto"/>
              </w:rPr>
            </w:pPr>
            <w:r>
              <w:rPr>
                <w:rFonts w:ascii="Arial" w:cs="Arial" w:eastAsia="Arial" w:hAnsi="Arial"/>
                <w:sz w:val="18"/>
                <w:szCs w:val="18"/>
                <w:color w:val="03D47C"/>
              </w:rPr>
              <w:t>Risk Factors</w:t>
            </w:r>
          </w:p>
        </w:tc>
        <w:tc>
          <w:tcPr>
            <w:tcW w:w="1560" w:type="dxa"/>
            <w:vAlign w:val="bottom"/>
          </w:tcPr>
          <w:p>
            <w:pPr>
              <w:jc w:val="right"/>
              <w:spacing w:after="0"/>
              <w:rPr>
                <w:sz w:val="20"/>
                <w:szCs w:val="20"/>
                <w:color w:val="auto"/>
              </w:rPr>
            </w:pPr>
            <w:r>
              <w:rPr>
                <w:rFonts w:ascii="Arial" w:cs="Arial" w:eastAsia="Arial" w:hAnsi="Arial"/>
                <w:sz w:val="18"/>
                <w:szCs w:val="18"/>
                <w:color w:val="03D47C"/>
              </w:rPr>
              <w:t>43</w:t>
            </w: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03D47C"/>
              </w:rPr>
              <w:t>Item 2.</w:t>
            </w:r>
          </w:p>
        </w:tc>
        <w:tc>
          <w:tcPr>
            <w:tcW w:w="8700" w:type="dxa"/>
            <w:vAlign w:val="bottom"/>
          </w:tcPr>
          <w:p>
            <w:pPr>
              <w:ind w:left="260"/>
              <w:spacing w:after="0"/>
              <w:rPr>
                <w:sz w:val="20"/>
                <w:szCs w:val="20"/>
                <w:color w:val="auto"/>
              </w:rPr>
            </w:pPr>
            <w:r>
              <w:rPr>
                <w:rFonts w:ascii="Arial" w:cs="Arial" w:eastAsia="Arial" w:hAnsi="Arial"/>
                <w:sz w:val="18"/>
                <w:szCs w:val="18"/>
                <w:color w:val="03D47C"/>
              </w:rPr>
              <w:t>Unregistered Sales of Equity Securities and Use of Proceeds</w:t>
            </w:r>
          </w:p>
        </w:tc>
        <w:tc>
          <w:tcPr>
            <w:tcW w:w="1560" w:type="dxa"/>
            <w:vAlign w:val="bottom"/>
          </w:tcPr>
          <w:p>
            <w:pPr>
              <w:jc w:val="right"/>
              <w:spacing w:after="0"/>
              <w:rPr>
                <w:sz w:val="20"/>
                <w:szCs w:val="20"/>
                <w:color w:val="auto"/>
              </w:rPr>
            </w:pPr>
            <w:r>
              <w:rPr>
                <w:rFonts w:ascii="Arial" w:cs="Arial" w:eastAsia="Arial" w:hAnsi="Arial"/>
                <w:sz w:val="18"/>
                <w:szCs w:val="18"/>
                <w:color w:val="03D47C"/>
              </w:rPr>
              <w:t>44</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03D47C"/>
              </w:rPr>
              <w:t>Item 3.</w:t>
            </w:r>
          </w:p>
        </w:tc>
        <w:tc>
          <w:tcPr>
            <w:tcW w:w="8700" w:type="dxa"/>
            <w:vAlign w:val="bottom"/>
          </w:tcPr>
          <w:p>
            <w:pPr>
              <w:ind w:left="260"/>
              <w:spacing w:after="0"/>
              <w:rPr>
                <w:sz w:val="20"/>
                <w:szCs w:val="20"/>
                <w:color w:val="auto"/>
              </w:rPr>
            </w:pPr>
            <w:r>
              <w:rPr>
                <w:rFonts w:ascii="Arial" w:cs="Arial" w:eastAsia="Arial" w:hAnsi="Arial"/>
                <w:sz w:val="18"/>
                <w:szCs w:val="18"/>
                <w:color w:val="03D47C"/>
              </w:rPr>
              <w:t>Defaults Upon Senior Securities</w:t>
            </w:r>
          </w:p>
        </w:tc>
        <w:tc>
          <w:tcPr>
            <w:tcW w:w="1560" w:type="dxa"/>
            <w:vAlign w:val="bottom"/>
          </w:tcPr>
          <w:p>
            <w:pPr>
              <w:jc w:val="right"/>
              <w:spacing w:after="0"/>
              <w:rPr>
                <w:sz w:val="20"/>
                <w:szCs w:val="20"/>
                <w:color w:val="auto"/>
              </w:rPr>
            </w:pPr>
            <w:r>
              <w:rPr>
                <w:rFonts w:ascii="Arial" w:cs="Arial" w:eastAsia="Arial" w:hAnsi="Arial"/>
                <w:sz w:val="18"/>
                <w:szCs w:val="18"/>
                <w:color w:val="03D47C"/>
              </w:rPr>
              <w:t>44</w:t>
            </w: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03D47C"/>
              </w:rPr>
              <w:t>Item 4.</w:t>
            </w:r>
          </w:p>
        </w:tc>
        <w:tc>
          <w:tcPr>
            <w:tcW w:w="8700" w:type="dxa"/>
            <w:vAlign w:val="bottom"/>
          </w:tcPr>
          <w:p>
            <w:pPr>
              <w:ind w:left="260"/>
              <w:spacing w:after="0"/>
              <w:rPr>
                <w:sz w:val="20"/>
                <w:szCs w:val="20"/>
                <w:color w:val="auto"/>
              </w:rPr>
            </w:pPr>
            <w:r>
              <w:rPr>
                <w:rFonts w:ascii="Arial" w:cs="Arial" w:eastAsia="Arial" w:hAnsi="Arial"/>
                <w:sz w:val="18"/>
                <w:szCs w:val="18"/>
                <w:color w:val="03D47C"/>
              </w:rPr>
              <w:t>Mine Safety Disclosures</w:t>
            </w:r>
          </w:p>
        </w:tc>
        <w:tc>
          <w:tcPr>
            <w:tcW w:w="1560" w:type="dxa"/>
            <w:vAlign w:val="bottom"/>
          </w:tcPr>
          <w:p>
            <w:pPr>
              <w:jc w:val="right"/>
              <w:spacing w:after="0"/>
              <w:rPr>
                <w:sz w:val="20"/>
                <w:szCs w:val="20"/>
                <w:color w:val="auto"/>
              </w:rPr>
            </w:pPr>
            <w:r>
              <w:rPr>
                <w:rFonts w:ascii="Arial" w:cs="Arial" w:eastAsia="Arial" w:hAnsi="Arial"/>
                <w:sz w:val="18"/>
                <w:szCs w:val="18"/>
                <w:color w:val="03D47C"/>
              </w:rPr>
              <w:t>44</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03D47C"/>
              </w:rPr>
              <w:t>Item 5.</w:t>
            </w:r>
          </w:p>
        </w:tc>
        <w:tc>
          <w:tcPr>
            <w:tcW w:w="8700" w:type="dxa"/>
            <w:vAlign w:val="bottom"/>
          </w:tcPr>
          <w:p>
            <w:pPr>
              <w:ind w:left="260"/>
              <w:spacing w:after="0"/>
              <w:rPr>
                <w:sz w:val="20"/>
                <w:szCs w:val="20"/>
                <w:color w:val="auto"/>
              </w:rPr>
            </w:pPr>
            <w:r>
              <w:rPr>
                <w:rFonts w:ascii="Arial" w:cs="Arial" w:eastAsia="Arial" w:hAnsi="Arial"/>
                <w:sz w:val="18"/>
                <w:szCs w:val="18"/>
                <w:color w:val="03D47C"/>
              </w:rPr>
              <w:t>Other Information</w:t>
            </w:r>
          </w:p>
        </w:tc>
        <w:tc>
          <w:tcPr>
            <w:tcW w:w="1560" w:type="dxa"/>
            <w:vAlign w:val="bottom"/>
          </w:tcPr>
          <w:p>
            <w:pPr>
              <w:jc w:val="right"/>
              <w:spacing w:after="0"/>
              <w:rPr>
                <w:sz w:val="20"/>
                <w:szCs w:val="20"/>
                <w:color w:val="auto"/>
              </w:rPr>
            </w:pPr>
            <w:r>
              <w:rPr>
                <w:rFonts w:ascii="Arial" w:cs="Arial" w:eastAsia="Arial" w:hAnsi="Arial"/>
                <w:sz w:val="18"/>
                <w:szCs w:val="18"/>
                <w:color w:val="03D47C"/>
              </w:rPr>
              <w:t>44</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03D47C"/>
              </w:rPr>
              <w:t>Item 6.</w:t>
            </w:r>
          </w:p>
        </w:tc>
        <w:tc>
          <w:tcPr>
            <w:tcW w:w="8700" w:type="dxa"/>
            <w:vAlign w:val="bottom"/>
          </w:tcPr>
          <w:p>
            <w:pPr>
              <w:ind w:left="260"/>
              <w:spacing w:after="0"/>
              <w:rPr>
                <w:sz w:val="20"/>
                <w:szCs w:val="20"/>
                <w:color w:val="auto"/>
              </w:rPr>
            </w:pPr>
            <w:r>
              <w:rPr>
                <w:rFonts w:ascii="Arial" w:cs="Arial" w:eastAsia="Arial" w:hAnsi="Arial"/>
                <w:sz w:val="18"/>
                <w:szCs w:val="18"/>
                <w:color w:val="03D47C"/>
              </w:rPr>
              <w:t>Exhibits</w:t>
            </w:r>
          </w:p>
        </w:tc>
        <w:tc>
          <w:tcPr>
            <w:tcW w:w="1560" w:type="dxa"/>
            <w:vAlign w:val="bottom"/>
          </w:tcPr>
          <w:p>
            <w:pPr>
              <w:jc w:val="right"/>
              <w:spacing w:after="0"/>
              <w:rPr>
                <w:sz w:val="20"/>
                <w:szCs w:val="20"/>
                <w:color w:val="auto"/>
              </w:rPr>
            </w:pPr>
            <w:r>
              <w:rPr>
                <w:rFonts w:ascii="Arial" w:cs="Arial" w:eastAsia="Arial" w:hAnsi="Arial"/>
                <w:sz w:val="18"/>
                <w:szCs w:val="18"/>
                <w:color w:val="03D47C"/>
              </w:rPr>
              <w:t>45</w:t>
            </w:r>
          </w:p>
        </w:tc>
      </w:tr>
      <w:tr>
        <w:trPr>
          <w:trHeight w:val="247"/>
        </w:trPr>
        <w:tc>
          <w:tcPr>
            <w:tcW w:w="940" w:type="dxa"/>
            <w:vAlign w:val="bottom"/>
          </w:tcPr>
          <w:p>
            <w:pPr>
              <w:spacing w:after="0"/>
              <w:rPr>
                <w:sz w:val="21"/>
                <w:szCs w:val="21"/>
                <w:color w:val="auto"/>
              </w:rPr>
            </w:pPr>
          </w:p>
        </w:tc>
        <w:tc>
          <w:tcPr>
            <w:tcW w:w="8700" w:type="dxa"/>
            <w:vAlign w:val="bottom"/>
          </w:tcPr>
          <w:p>
            <w:pPr>
              <w:ind w:left="260"/>
              <w:spacing w:after="0"/>
              <w:rPr>
                <w:sz w:val="20"/>
                <w:szCs w:val="20"/>
                <w:color w:val="auto"/>
              </w:rPr>
            </w:pPr>
            <w:r>
              <w:rPr>
                <w:rFonts w:ascii="Arial" w:cs="Arial" w:eastAsia="Arial" w:hAnsi="Arial"/>
                <w:sz w:val="18"/>
                <w:szCs w:val="18"/>
                <w:b w:val="1"/>
                <w:bCs w:val="1"/>
                <w:color w:val="03D47C"/>
              </w:rPr>
              <w:t>Signatures</w:t>
            </w:r>
          </w:p>
        </w:tc>
        <w:tc>
          <w:tcPr>
            <w:tcW w:w="15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Special Note Regarding Forward-Looking Statements</w:t>
      </w:r>
    </w:p>
    <w:p>
      <w:pPr>
        <w:spacing w:after="0" w:line="1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We intend such forward-looking statements to be covered by the safe harbor provisions for forward-looking statements contained in the Private Securities Litigation Reform Act of 1995.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spacing w:after="0" w:line="115"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44" w:lineRule="exact"/>
        <w:rPr>
          <w:rFonts w:ascii="Arial" w:cs="Arial" w:eastAsia="Arial" w:hAnsi="Arial"/>
          <w:sz w:val="18"/>
          <w:szCs w:val="18"/>
          <w:color w:val="auto"/>
        </w:rPr>
      </w:pPr>
    </w:p>
    <w:p>
      <w:pPr>
        <w:ind w:left="340" w:right="34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85" w:lineRule="exact"/>
        <w:rPr>
          <w:rFonts w:ascii="Arial" w:cs="Arial" w:eastAsia="Arial" w:hAnsi="Arial"/>
          <w:sz w:val="18"/>
          <w:szCs w:val="18"/>
          <w:color w:val="auto"/>
        </w:rPr>
      </w:pPr>
    </w:p>
    <w:p>
      <w:pPr>
        <w:ind w:left="340" w:right="24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85" w:lineRule="exact"/>
        <w:rPr>
          <w:rFonts w:ascii="Arial" w:cs="Arial" w:eastAsia="Arial" w:hAnsi="Arial"/>
          <w:sz w:val="18"/>
          <w:szCs w:val="18"/>
          <w:color w:val="auto"/>
        </w:rPr>
      </w:pPr>
    </w:p>
    <w:p>
      <w:pPr>
        <w:ind w:left="340" w:right="76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that we may incur to maintain and expand our business and operations to remain competitive;</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57" w:lineRule="exact"/>
        <w:rPr>
          <w:rFonts w:ascii="Arial" w:cs="Arial" w:eastAsia="Arial" w:hAnsi="Arial"/>
          <w:sz w:val="18"/>
          <w:szCs w:val="18"/>
          <w:color w:val="auto"/>
        </w:rPr>
      </w:pPr>
    </w:p>
    <w:p>
      <w:pPr>
        <w:ind w:left="340" w:right="560" w:hanging="332"/>
        <w:spacing w:after="0" w:line="318"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cash flows, the prevailing stock prices, general economic and market conditions and other considerations that could affect the specific timing, price and size of repurchases under our stock repurchase program or our ability to fund any stock repurchases;</w:t>
      </w:r>
    </w:p>
    <w:p>
      <w:pPr>
        <w:spacing w:after="0" w:line="48"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geopolitical tensions, including the war in Ukraine and the conflict in Israel, Gaza and surrounding areas;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on us and our members;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borrowing costs, which have and may continue to increase as a result of increases in interest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340" w:right="26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impact on our business operations as a result of using artificial intelligence or other machine learning technologies in our services;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57" w:lineRule="exact"/>
        <w:rPr>
          <w:rFonts w:ascii="Arial" w:cs="Arial" w:eastAsia="Arial" w:hAnsi="Arial"/>
          <w:sz w:val="18"/>
          <w:szCs w:val="18"/>
          <w:color w:val="auto"/>
        </w:rPr>
      </w:pPr>
    </w:p>
    <w:p>
      <w:pPr>
        <w:ind w:left="340" w:right="36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71" w:lineRule="exact"/>
        <w:rPr>
          <w:rFonts w:ascii="Arial" w:cs="Arial" w:eastAsia="Arial" w:hAnsi="Arial"/>
          <w:sz w:val="18"/>
          <w:szCs w:val="18"/>
          <w:color w:val="auto"/>
        </w:rPr>
      </w:pPr>
    </w:p>
    <w:p>
      <w:pPr>
        <w:ind w:left="340" w:right="2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 and their effects on software spending;</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against security incidents, technical difficulties, or interruptions to our platform;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44" w:lineRule="exact"/>
        <w:rPr>
          <w:rFonts w:ascii="Arial" w:cs="Arial" w:eastAsia="Arial" w:hAnsi="Arial"/>
          <w:sz w:val="18"/>
          <w:szCs w:val="18"/>
          <w:color w:val="auto"/>
        </w:rPr>
      </w:pPr>
    </w:p>
    <w:p>
      <w:pPr>
        <w:ind w:left="340" w:right="24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tariffs and global trade disruptions on us, our customers and our vendors, including the impact on inflation, supply chains and consumer sentiment; and</w:t>
      </w:r>
    </w:p>
    <w:p>
      <w:pPr>
        <w:spacing w:after="0" w:line="85" w:lineRule="exact"/>
        <w:rPr>
          <w:rFonts w:ascii="Arial" w:cs="Arial" w:eastAsia="Arial" w:hAnsi="Arial"/>
          <w:sz w:val="18"/>
          <w:szCs w:val="18"/>
          <w:color w:val="auto"/>
        </w:rPr>
      </w:pPr>
    </w:p>
    <w:p>
      <w:pPr>
        <w:ind w:left="340" w:right="280" w:hanging="332"/>
        <w:spacing w:after="0" w:line="268"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risks and uncertainties identified under Part I, Item 1A. “Risk Factors” in our Annual Report on Form 10-K for the year ended December 31, 2024 and under Part II, Item 1A. “Risk Factors” in our Quarterly Report on Form 10-Q for the quarterly period ended March 31, 2025.</w:t>
      </w:r>
    </w:p>
    <w:p>
      <w:pPr>
        <w:spacing w:after="0" w:line="10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our Annual Report on Form 10-K for the year ended December 31, 2024,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and its consolidated subsidiaries. Capitalized terms used and not defined above are defined elsewhere within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Part I - Financial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8"/>
          <w:szCs w:val="28"/>
          <w:b w:val="1"/>
          <w:bCs w:val="1"/>
          <w:color w:val="002E22"/>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June 30,</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60,519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48,772</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12,701</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Settlement assets, net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52,715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42,406</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12,089</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assets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24,277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20,908</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136,876</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Capitalized software, net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14,866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16,232</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13,621</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Lease right-of-use assets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5,094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5,441</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187,138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173,680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Accrued expenses and other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9,035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8,240</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 current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 liabilities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37,093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28,845</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38,010</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Lease liabilities, non-current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5,738</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1,689</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55,323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45,437</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4)</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0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Preferred stock, par value $0.0001; 10,000,000 shares authorized as of June 30, 2025 and December 31, 2024; no shares</w:t>
            </w:r>
          </w:p>
        </w:tc>
        <w:tc>
          <w:tcPr>
            <w:tcW w:w="20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issued and outstanding as of June 30, 2025 and December 31, 2024</w:t>
            </w:r>
          </w:p>
        </w:tc>
        <w:tc>
          <w:tcPr>
            <w:tcW w:w="20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020" w:type="dxa"/>
            <w:vAlign w:val="bottom"/>
          </w:tcPr>
          <w:p>
            <w:pPr>
              <w:ind w:left="20"/>
              <w:spacing w:after="0"/>
              <w:rPr>
                <w:sz w:val="20"/>
                <w:szCs w:val="20"/>
                <w:color w:val="auto"/>
              </w:rPr>
            </w:pPr>
            <w:r>
              <w:rPr>
                <w:rFonts w:ascii="Arial" w:cs="Arial" w:eastAsia="Arial" w:hAnsi="Arial"/>
                <w:sz w:val="14"/>
                <w:szCs w:val="14"/>
                <w:color w:val="auto"/>
              </w:rPr>
              <w:t>Common stock, par value $0.0001</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020" w:type="dxa"/>
            <w:vAlign w:val="bottom"/>
          </w:tcPr>
          <w:p>
            <w:pPr>
              <w:ind w:left="20"/>
              <w:spacing w:after="0" w:line="149" w:lineRule="exact"/>
              <w:rPr>
                <w:sz w:val="20"/>
                <w:szCs w:val="20"/>
                <w:color w:val="auto"/>
              </w:rPr>
            </w:pPr>
            <w:r>
              <w:rPr>
                <w:rFonts w:ascii="Arial" w:cs="Arial" w:eastAsia="Arial" w:hAnsi="Arial"/>
                <w:sz w:val="14"/>
                <w:szCs w:val="14"/>
                <w:color w:val="auto"/>
              </w:rPr>
              <w:t>Class A common stock; 1,000,000,000 shares authorized as of June 30, 2025 and December 31, 2024; 80,545,905 and</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20" w:type="dxa"/>
            <w:vAlign w:val="bottom"/>
          </w:tcPr>
          <w:p>
            <w:pPr>
              <w:ind w:left="180"/>
              <w:spacing w:after="0" w:line="149" w:lineRule="exact"/>
              <w:rPr>
                <w:sz w:val="20"/>
                <w:szCs w:val="20"/>
                <w:color w:val="auto"/>
              </w:rPr>
            </w:pPr>
            <w:r>
              <w:rPr>
                <w:rFonts w:ascii="Arial" w:cs="Arial" w:eastAsia="Arial" w:hAnsi="Arial"/>
                <w:sz w:val="14"/>
                <w:szCs w:val="14"/>
                <w:color w:val="auto"/>
              </w:rPr>
              <w:t>79,471,414 shares of Class A common stock issued and outstanding as of June 30, 2025 and December 31, 2024,</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02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020" w:type="dxa"/>
            <w:vAlign w:val="bottom"/>
          </w:tcPr>
          <w:p>
            <w:pPr>
              <w:ind w:left="20"/>
              <w:spacing w:after="0" w:line="149" w:lineRule="exact"/>
              <w:rPr>
                <w:sz w:val="20"/>
                <w:szCs w:val="20"/>
                <w:color w:val="auto"/>
              </w:rPr>
            </w:pPr>
            <w:r>
              <w:rPr>
                <w:rFonts w:ascii="Arial" w:cs="Arial" w:eastAsia="Arial" w:hAnsi="Arial"/>
                <w:sz w:val="14"/>
                <w:szCs w:val="14"/>
                <w:color w:val="auto"/>
              </w:rPr>
              <w:t>LT10 common stock; 21,871,197 shares authorized as of June 30, 2025 and December 31, 2024; 4,209,827 shares of LT10</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180"/>
              <w:spacing w:after="0"/>
              <w:rPr>
                <w:sz w:val="20"/>
                <w:szCs w:val="20"/>
                <w:color w:val="auto"/>
              </w:rPr>
            </w:pPr>
            <w:r>
              <w:rPr>
                <w:rFonts w:ascii="Arial" w:cs="Arial" w:eastAsia="Arial" w:hAnsi="Arial"/>
                <w:sz w:val="14"/>
                <w:szCs w:val="14"/>
                <w:color w:val="auto"/>
              </w:rPr>
              <w:t>common stock issued and outstanding as of June 30, 2025 and December 31, 2024</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8020" w:type="dxa"/>
            <w:vAlign w:val="bottom"/>
          </w:tcPr>
          <w:p>
            <w:pPr>
              <w:ind w:left="20"/>
              <w:spacing w:after="0" w:line="157" w:lineRule="exact"/>
              <w:rPr>
                <w:sz w:val="20"/>
                <w:szCs w:val="20"/>
                <w:color w:val="auto"/>
              </w:rPr>
            </w:pPr>
            <w:r>
              <w:rPr>
                <w:rFonts w:ascii="Arial" w:cs="Arial" w:eastAsia="Arial" w:hAnsi="Arial"/>
                <w:sz w:val="14"/>
                <w:szCs w:val="14"/>
                <w:color w:val="auto"/>
              </w:rPr>
              <w:t>LT50 common stock; 24,967,114 shares authorized as of June 30, 2025 and December 31, 2024; 7,891,478 and 7,695,524</w:t>
            </w:r>
          </w:p>
        </w:tc>
        <w:tc>
          <w:tcPr>
            <w:tcW w:w="2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8020" w:type="dxa"/>
            <w:vAlign w:val="bottom"/>
          </w:tcPr>
          <w:p>
            <w:pPr>
              <w:ind w:left="180"/>
              <w:spacing w:after="0"/>
              <w:rPr>
                <w:sz w:val="20"/>
                <w:szCs w:val="20"/>
                <w:color w:val="auto"/>
              </w:rPr>
            </w:pPr>
            <w:r>
              <w:rPr>
                <w:rFonts w:ascii="Arial" w:cs="Arial" w:eastAsia="Arial" w:hAnsi="Arial"/>
                <w:sz w:val="14"/>
                <w:szCs w:val="14"/>
                <w:color w:val="auto"/>
              </w:rPr>
              <w:t>shares of LT50 common stock issued and outstanding as of June 30, 2025 and December 31, 2024, respectively</w:t>
            </w:r>
          </w:p>
        </w:tc>
        <w:tc>
          <w:tcPr>
            <w:tcW w:w="2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279,062</w:t>
            </w:r>
          </w:p>
        </w:tc>
        <w:tc>
          <w:tcPr>
            <w:tcW w:w="0" w:type="dxa"/>
            <w:vAlign w:val="bottom"/>
          </w:tcPr>
          <w:p>
            <w:pPr>
              <w:spacing w:after="0"/>
              <w:rPr>
                <w:sz w:val="1"/>
                <w:szCs w:val="1"/>
                <w:color w:val="auto"/>
              </w:rPr>
            </w:pPr>
          </w:p>
        </w:tc>
      </w:tr>
      <w:tr>
        <w:trPr>
          <w:trHeight w:val="19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(162,785)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(150,828)</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131,815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128,243</w:t>
            </w:r>
          </w:p>
        </w:tc>
        <w:tc>
          <w:tcPr>
            <w:tcW w:w="0" w:type="dxa"/>
            <w:vAlign w:val="bottom"/>
          </w:tcPr>
          <w:p>
            <w:pPr>
              <w:spacing w:after="0"/>
              <w:rPr>
                <w:sz w:val="1"/>
                <w:szCs w:val="1"/>
                <w:color w:val="auto"/>
              </w:rPr>
            </w:pPr>
          </w:p>
        </w:tc>
      </w:tr>
      <w:tr>
        <w:trPr>
          <w:trHeight w:val="200"/>
        </w:trPr>
        <w:tc>
          <w:tcPr>
            <w:tcW w:w="8020" w:type="dxa"/>
            <w:vAlign w:val="bottom"/>
          </w:tcPr>
          <w:p>
            <w:pPr>
              <w:ind w:left="46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187,138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173,680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66,823</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28,947</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37,876</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20,676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39,450</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(expenses),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shares of common stock used to</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00" w:type="dxa"/>
            <w:vAlign w:val="bottom"/>
          </w:tcPr>
          <w:p>
            <w:pPr>
              <w:ind w:left="180"/>
              <w:spacing w:after="0"/>
              <w:rPr>
                <w:sz w:val="20"/>
                <w:szCs w:val="20"/>
                <w:color w:val="auto"/>
              </w:rPr>
            </w:pPr>
            <w:r>
              <w:rPr>
                <w:rFonts w:ascii="Arial" w:cs="Arial" w:eastAsia="Arial" w:hAnsi="Arial"/>
                <w:sz w:val="18"/>
                <w:szCs w:val="18"/>
                <w:color w:val="auto"/>
              </w:rPr>
              <w:t>compute net loss per share:</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92,271,924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86,593,955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91,888,633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85,867,683</w:t>
            </w:r>
          </w:p>
        </w:tc>
        <w:tc>
          <w:tcPr>
            <w:tcW w:w="0" w:type="dxa"/>
            <w:vAlign w:val="bottom"/>
          </w:tcPr>
          <w:p>
            <w:pPr>
              <w:spacing w:after="0"/>
              <w:rPr>
                <w:sz w:val="1"/>
                <w:szCs w:val="1"/>
                <w:color w:val="auto"/>
              </w:rPr>
            </w:pPr>
          </w:p>
        </w:tc>
      </w:tr>
      <w:tr>
        <w:trPr>
          <w:trHeight w:val="54"/>
        </w:trPr>
        <w:tc>
          <w:tcPr>
            <w:tcW w:w="47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34925</wp:posOffset>
            </wp:positionV>
            <wp:extent cx="70548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2529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292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8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20"/>
                <w:szCs w:val="20"/>
                <w:color w:val="auto"/>
              </w:rPr>
            </w:pPr>
            <w:r>
              <w:rPr>
                <w:rFonts w:ascii="Arial" w:cs="Arial" w:eastAsia="Arial" w:hAnsi="Arial"/>
                <w:sz w:val="16"/>
                <w:szCs w:val="16"/>
                <w:b w:val="1"/>
                <w:bCs w:val="1"/>
                <w:color w:val="auto"/>
              </w:rPr>
              <w:t>Three months ended June 30, 2025</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March 31, 2025</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on exercise of</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stock 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Settlement of liability-classified restricted</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common shares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 and retirement of common</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June 30, 2025</w:t>
            </w: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10"/>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92,383,667</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288,639</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(153,997)</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134,651</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20,793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1,515</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144,820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954,258</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427,493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(1,285,336)</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(3,026)</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7,463</w:t>
            </w:r>
          </w:p>
        </w:tc>
        <w:tc>
          <w:tcPr>
            <w:tcW w:w="0" w:type="dxa"/>
            <w:vAlign w:val="bottom"/>
          </w:tcPr>
          <w:p>
            <w:pPr>
              <w:spacing w:after="0"/>
              <w:rPr>
                <w:sz w:val="1"/>
                <w:szCs w:val="1"/>
                <w:color w:val="auto"/>
              </w:rPr>
            </w:pP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(8,788)</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92,647,210</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294,591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(162,785)</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131,815</w:t>
            </w: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-16510</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160"/>
            <w:col w:w="58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4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4"/>
          </w:tcPr>
          <w:p>
            <w:pPr>
              <w:jc w:val="right"/>
              <w:ind w:right="222"/>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right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140" w:type="dxa"/>
            <w:vAlign w:val="bottom"/>
          </w:tcPr>
          <w:p>
            <w:pPr>
              <w:spacing w:after="0"/>
              <w:rPr>
                <w:sz w:val="4"/>
                <w:szCs w:val="4"/>
                <w:color w:val="auto"/>
              </w:rPr>
            </w:pPr>
          </w:p>
        </w:tc>
        <w:tc>
          <w:tcPr>
            <w:tcW w:w="7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2024</w:t>
            </w: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Balance at March 31, 2024</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3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86,484,507</w:t>
            </w:r>
          </w:p>
        </w:tc>
        <w:tc>
          <w:tcPr>
            <w:tcW w:w="80" w:type="dxa"/>
            <w:vAlign w:val="bottom"/>
          </w:tcPr>
          <w:p>
            <w:pPr>
              <w:spacing w:after="0"/>
              <w:rPr>
                <w:sz w:val="18"/>
                <w:szCs w:val="18"/>
                <w:color w:val="auto"/>
              </w:rPr>
            </w:pPr>
          </w:p>
        </w:tc>
        <w:tc>
          <w:tcPr>
            <w:tcW w:w="8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251,055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(144,554)</w:t>
            </w:r>
          </w:p>
        </w:tc>
        <w:tc>
          <w:tcPr>
            <w:tcW w:w="8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106,510</w:t>
            </w:r>
          </w:p>
        </w:tc>
        <w:tc>
          <w:tcPr>
            <w:tcW w:w="0" w:type="dxa"/>
            <w:vAlign w:val="bottom"/>
          </w:tcPr>
          <w:p>
            <w:pPr>
              <w:spacing w:after="0"/>
              <w:rPr>
                <w:sz w:val="1"/>
                <w:szCs w:val="1"/>
                <w:color w:val="auto"/>
              </w:rPr>
            </w:pPr>
          </w:p>
        </w:tc>
      </w:tr>
      <w:tr>
        <w:trPr>
          <w:trHeight w:val="163"/>
        </w:trPr>
        <w:tc>
          <w:tcPr>
            <w:tcW w:w="390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 upon exercise</w:t>
            </w: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14,225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of stock options</w:t>
            </w:r>
          </w:p>
        </w:tc>
        <w:tc>
          <w:tcPr>
            <w:tcW w:w="34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34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8,971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2"/>
        </w:trPr>
        <w:tc>
          <w:tcPr>
            <w:tcW w:w="39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4"/>
                <w:szCs w:val="14"/>
                <w:color w:val="auto"/>
              </w:rPr>
            </w:pPr>
          </w:p>
        </w:tc>
        <w:tc>
          <w:tcPr>
            <w:tcW w:w="3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1,422,832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15"/>
        </w:trPr>
        <w:tc>
          <w:tcPr>
            <w:tcW w:w="3900" w:type="dxa"/>
            <w:vAlign w:val="bottom"/>
            <w:gridSpan w:val="2"/>
          </w:tcPr>
          <w:p>
            <w:pPr>
              <w:ind w:left="18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0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264,155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9,027</w:t>
            </w:r>
          </w:p>
        </w:tc>
        <w:tc>
          <w:tcPr>
            <w:tcW w:w="0" w:type="dxa"/>
            <w:vAlign w:val="bottom"/>
          </w:tcPr>
          <w:p>
            <w:pPr>
              <w:spacing w:after="0"/>
              <w:rPr>
                <w:sz w:val="1"/>
                <w:szCs w:val="1"/>
                <w:color w:val="auto"/>
              </w:rPr>
            </w:pPr>
          </w:p>
        </w:tc>
      </w:tr>
      <w:tr>
        <w:trPr>
          <w:trHeight w:val="217"/>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249"/>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Balance at June 30, 2024</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88,194,690</w:t>
            </w:r>
          </w:p>
        </w:tc>
        <w:tc>
          <w:tcPr>
            <w:tcW w:w="80" w:type="dxa"/>
            <w:vAlign w:val="bottom"/>
          </w:tcPr>
          <w:p>
            <w:pPr>
              <w:spacing w:after="0"/>
              <w:rPr>
                <w:sz w:val="21"/>
                <w:szCs w:val="21"/>
                <w:color w:val="auto"/>
              </w:rPr>
            </w:pPr>
          </w:p>
        </w:tc>
        <w:tc>
          <w:tcPr>
            <w:tcW w:w="8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261,309</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(147,318)</w:t>
            </w:r>
          </w:p>
        </w:tc>
        <w:tc>
          <w:tcPr>
            <w:tcW w:w="80" w:type="dxa"/>
            <w:vAlign w:val="bottom"/>
          </w:tcPr>
          <w:p>
            <w:pPr>
              <w:spacing w:after="0"/>
              <w:rPr>
                <w:sz w:val="21"/>
                <w:szCs w:val="21"/>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114,000</w:t>
            </w:r>
          </w:p>
        </w:tc>
        <w:tc>
          <w:tcPr>
            <w:tcW w:w="0" w:type="dxa"/>
            <w:vAlign w:val="bottom"/>
          </w:tcPr>
          <w:p>
            <w:pPr>
              <w:spacing w:after="0"/>
              <w:rPr>
                <w:sz w:val="1"/>
                <w:szCs w:val="1"/>
                <w:color w:val="auto"/>
              </w:rPr>
            </w:pPr>
          </w:p>
        </w:tc>
      </w:tr>
      <w:tr>
        <w:trPr>
          <w:trHeight w:val="21"/>
        </w:trPr>
        <w:tc>
          <w:tcPr>
            <w:tcW w:w="314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2529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292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8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20"/>
                <w:szCs w:val="20"/>
                <w:color w:val="auto"/>
              </w:rPr>
            </w:pPr>
            <w:r>
              <w:rPr>
                <w:rFonts w:ascii="Arial" w:cs="Arial" w:eastAsia="Arial" w:hAnsi="Arial"/>
                <w:sz w:val="16"/>
                <w:szCs w:val="16"/>
                <w:b w:val="1"/>
                <w:bCs w:val="1"/>
                <w:color w:val="auto"/>
              </w:rPr>
              <w:t>Six months ended June 30, 2025</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December 31, 2024</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on exercise of</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stock 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Settlement of liability-classified restricted</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common shares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3"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 and retirement of common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June 30, 2025</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10"/>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91,376,765</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279,062</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(150,828)</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128,243</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96,082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6,472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144,820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1,683,744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2,610</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624,663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(1,285,336)</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(3,026)</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15,692</w:t>
            </w:r>
          </w:p>
        </w:tc>
        <w:tc>
          <w:tcPr>
            <w:tcW w:w="0" w:type="dxa"/>
            <w:vAlign w:val="bottom"/>
          </w:tcPr>
          <w:p>
            <w:pPr>
              <w:spacing w:after="0"/>
              <w:rPr>
                <w:sz w:val="1"/>
                <w:szCs w:val="1"/>
                <w:color w:val="auto"/>
              </w:rPr>
            </w:pP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(11,957)</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92,647,210</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294,591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(162,785)</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131,815</w:t>
            </w: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-16510</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160"/>
            <w:col w:w="582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2288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2885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8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20"/>
                <w:szCs w:val="20"/>
                <w:color w:val="auto"/>
              </w:rPr>
            </w:pPr>
            <w:r>
              <w:rPr>
                <w:rFonts w:ascii="Arial" w:cs="Arial" w:eastAsia="Arial" w:hAnsi="Arial"/>
                <w:sz w:val="16"/>
                <w:szCs w:val="16"/>
                <w:b w:val="1"/>
                <w:bCs w:val="1"/>
                <w:color w:val="auto"/>
              </w:rPr>
              <w:t>Six months ended June 30, 2024</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December 31, 2023</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upon exercise</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of stock 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 of early exercised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June 30, 2024</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10"/>
        </w:trPr>
        <w:tc>
          <w:tcPr>
            <w:tcW w:w="10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85,225,328</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241,509</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(140,773)</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100,744</w:t>
            </w:r>
          </w:p>
        </w:tc>
        <w:tc>
          <w:tcPr>
            <w:tcW w:w="0" w:type="dxa"/>
            <w:vAlign w:val="bottom"/>
          </w:tcPr>
          <w:p>
            <w:pPr>
              <w:spacing w:after="0"/>
              <w:rPr>
                <w:sz w:val="1"/>
                <w:szCs w:val="1"/>
                <w:color w:val="auto"/>
              </w:rPr>
            </w:pPr>
          </w:p>
        </w:tc>
      </w:tr>
      <w:tr>
        <w:trPr>
          <w:trHeight w:val="378"/>
        </w:trPr>
        <w:tc>
          <w:tcPr>
            <w:tcW w:w="1040" w:type="dxa"/>
            <w:vAlign w:val="bottom"/>
          </w:tcPr>
          <w:p>
            <w:pPr>
              <w:jc w:val="right"/>
              <w:ind w:right="1"/>
              <w:spacing w:after="0"/>
              <w:rPr>
                <w:sz w:val="20"/>
                <w:szCs w:val="20"/>
                <w:color w:val="auto"/>
              </w:rPr>
            </w:pPr>
            <w:r>
              <w:rPr>
                <w:rFonts w:ascii="Arial" w:cs="Arial" w:eastAsia="Arial" w:hAnsi="Arial"/>
                <w:sz w:val="16"/>
                <w:szCs w:val="16"/>
                <w:color w:val="auto"/>
              </w:rPr>
              <w:t>56,529</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6"/>
        </w:trPr>
        <w:tc>
          <w:tcPr>
            <w:tcW w:w="1040" w:type="dxa"/>
            <w:vAlign w:val="bottom"/>
          </w:tcPr>
          <w:p>
            <w:pPr>
              <w:jc w:val="right"/>
              <w:ind w:right="1"/>
              <w:spacing w:after="0"/>
              <w:rPr>
                <w:sz w:val="20"/>
                <w:szCs w:val="20"/>
                <w:color w:val="auto"/>
              </w:rPr>
            </w:pPr>
            <w:r>
              <w:rPr>
                <w:rFonts w:ascii="Arial" w:cs="Arial" w:eastAsia="Arial" w:hAnsi="Arial"/>
                <w:sz w:val="16"/>
                <w:szCs w:val="16"/>
                <w:color w:val="auto"/>
              </w:rPr>
              <w:t>16,259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(30,434)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ind w:right="1"/>
              <w:spacing w:after="0"/>
              <w:rPr>
                <w:sz w:val="20"/>
                <w:szCs w:val="20"/>
                <w:color w:val="auto"/>
              </w:rPr>
            </w:pPr>
            <w:r>
              <w:rPr>
                <w:rFonts w:ascii="Arial" w:cs="Arial" w:eastAsia="Arial" w:hAnsi="Arial"/>
                <w:sz w:val="16"/>
                <w:szCs w:val="16"/>
                <w:color w:val="auto"/>
              </w:rPr>
              <w:t>2,452,976</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2,004</w:t>
            </w:r>
          </w:p>
        </w:tc>
        <w:tc>
          <w:tcPr>
            <w:tcW w:w="0" w:type="dxa"/>
            <w:vAlign w:val="bottom"/>
          </w:tcPr>
          <w:p>
            <w:pPr>
              <w:spacing w:after="0"/>
              <w:rPr>
                <w:sz w:val="1"/>
                <w:szCs w:val="1"/>
                <w:color w:val="auto"/>
              </w:rPr>
            </w:pPr>
          </w:p>
        </w:tc>
      </w:tr>
      <w:tr>
        <w:trPr>
          <w:trHeight w:val="378"/>
        </w:trPr>
        <w:tc>
          <w:tcPr>
            <w:tcW w:w="1040" w:type="dxa"/>
            <w:vAlign w:val="bottom"/>
          </w:tcPr>
          <w:p>
            <w:pPr>
              <w:jc w:val="right"/>
              <w:ind w:right="1"/>
              <w:spacing w:after="0"/>
              <w:rPr>
                <w:sz w:val="20"/>
                <w:szCs w:val="20"/>
                <w:color w:val="auto"/>
              </w:rPr>
            </w:pPr>
            <w:r>
              <w:rPr>
                <w:rFonts w:ascii="Arial" w:cs="Arial" w:eastAsia="Arial" w:hAnsi="Arial"/>
                <w:sz w:val="16"/>
                <w:szCs w:val="16"/>
                <w:color w:val="auto"/>
              </w:rPr>
              <w:t>474,032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17,466</w:t>
            </w:r>
          </w:p>
        </w:tc>
        <w:tc>
          <w:tcPr>
            <w:tcW w:w="0" w:type="dxa"/>
            <w:vAlign w:val="bottom"/>
          </w:tcPr>
          <w:p>
            <w:pPr>
              <w:spacing w:after="0"/>
              <w:rPr>
                <w:sz w:val="1"/>
                <w:szCs w:val="1"/>
                <w:color w:val="auto"/>
              </w:rPr>
            </w:pP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(6,545)</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88,194,690</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261,309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(147,318)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114,000</w:t>
            </w: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160"/>
            <w:col w:w="582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20" w:type="dxa"/>
            <w:vAlign w:val="bottom"/>
            <w:tcBorders>
              <w:top w:val="single" w:sz="8" w:color="auto"/>
            </w:tcBorders>
          </w:tcPr>
          <w:p>
            <w:pPr>
              <w:spacing w:after="0"/>
              <w:rPr>
                <w:sz w:val="17"/>
                <w:szCs w:val="17"/>
                <w:color w:val="auto"/>
              </w:rPr>
            </w:pPr>
          </w:p>
        </w:tc>
        <w:tc>
          <w:tcPr>
            <w:tcW w:w="2640" w:type="dxa"/>
            <w:vAlign w:val="bottom"/>
            <w:tcBorders>
              <w:top w:val="single" w:sz="8" w:color="auto"/>
              <w:bottom w:val="single" w:sz="8" w:color="auto"/>
            </w:tcBorders>
            <w:gridSpan w:val="4"/>
          </w:tcPr>
          <w:p>
            <w:pPr>
              <w:jc w:val="right"/>
              <w:ind w:right="157"/>
              <w:spacing w:after="0"/>
              <w:rPr>
                <w:sz w:val="20"/>
                <w:szCs w:val="20"/>
                <w:color w:val="auto"/>
              </w:rPr>
            </w:pPr>
            <w:r>
              <w:rPr>
                <w:rFonts w:ascii="Arial" w:cs="Arial" w:eastAsia="Arial" w:hAnsi="Arial"/>
                <w:sz w:val="13"/>
                <w:szCs w:val="13"/>
                <w:b w:val="1"/>
                <w:bCs w:val="1"/>
                <w:color w:val="auto"/>
              </w:rPr>
              <w:t>Six Months Ended June 30,</w:t>
            </w:r>
          </w:p>
        </w:tc>
        <w:tc>
          <w:tcPr>
            <w:tcW w:w="580" w:type="dxa"/>
            <w:vAlign w:val="bottom"/>
            <w:tcBorders>
              <w:top w:val="single" w:sz="8" w:color="auto"/>
              <w:bottom w:val="single" w:sz="8" w:color="auto"/>
            </w:tcBorders>
          </w:tcPr>
          <w:p>
            <w:pPr>
              <w:spacing w:after="0"/>
              <w:rPr>
                <w:sz w:val="17"/>
                <w:szCs w:val="17"/>
                <w:color w:val="auto"/>
              </w:rPr>
            </w:pPr>
          </w:p>
        </w:tc>
      </w:tr>
      <w:tr>
        <w:trPr>
          <w:trHeight w:val="167"/>
        </w:trPr>
        <w:tc>
          <w:tcPr>
            <w:tcW w:w="80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r>
      <w:tr>
        <w:trPr>
          <w:trHeight w:val="153"/>
        </w:trPr>
        <w:tc>
          <w:tcPr>
            <w:tcW w:w="802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(6,545)</w:t>
            </w: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3,053</w:t>
            </w: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Reduction of operating lease right-of-use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273</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impairment, receivables and sale or disposal of equipment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14,917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15,905</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original issue discount and debt issuance costs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assets and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175</w:t>
            </w: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assets, net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(7,876)</w:t>
            </w: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Prepaid expenses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9,565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1,831</w:t>
            </w: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1,838</w:t>
            </w: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(1,105)</w:t>
            </w: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lease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Settlement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8,248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4,887</w:t>
            </w: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w:t>
            </w:r>
          </w:p>
        </w:tc>
      </w:tr>
      <w:tr>
        <w:trPr>
          <w:trHeight w:val="164"/>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13,721</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12,788</w:t>
            </w:r>
          </w:p>
        </w:tc>
      </w:tr>
      <w:tr>
        <w:trPr>
          <w:trHeight w:val="16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Purchases of property and equipment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Software development costs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(1,655)</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(4,867)</w:t>
            </w:r>
          </w:p>
        </w:tc>
      </w:tr>
      <w:tr>
        <w:trPr>
          <w:trHeight w:val="164"/>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investing activities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(1,672)</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(4,867)</w:t>
            </w:r>
          </w:p>
        </w:tc>
      </w:tr>
      <w:tr>
        <w:trPr>
          <w:trHeight w:val="16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Principal payments of finance leases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of outstanding debt</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Payments for debt issuance costs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Repurchases of early exercised stock options</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Proceeds from common stock purchased under Matching Plan</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2,610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2,004</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upon exercise of stock options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17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Repurchase and retirement of common stock</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(3,026)</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provided by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1,816</w:t>
            </w:r>
          </w:p>
        </w:tc>
      </w:tr>
      <w:tr>
        <w:trPr>
          <w:trHeight w:val="164"/>
        </w:trPr>
        <w:tc>
          <w:tcPr>
            <w:tcW w:w="8020" w:type="dxa"/>
            <w:vAlign w:val="bottom"/>
          </w:tcPr>
          <w:p>
            <w:pPr>
              <w:ind w:left="20"/>
              <w:spacing w:after="0"/>
              <w:rPr>
                <w:sz w:val="20"/>
                <w:szCs w:val="20"/>
                <w:color w:val="auto"/>
              </w:rPr>
            </w:pPr>
            <w:r>
              <w:rPr>
                <w:rFonts w:ascii="Arial" w:cs="Arial" w:eastAsia="Arial" w:hAnsi="Arial"/>
                <w:sz w:val="13"/>
                <w:szCs w:val="13"/>
                <w:color w:val="auto"/>
              </w:rPr>
              <w:t>Net increase in cash and cash equivalents and restricted cash</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11,594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9,737</w:t>
            </w:r>
          </w:p>
        </w:tc>
      </w:tr>
      <w:tr>
        <w:trPr>
          <w:trHeight w:val="175"/>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beginning of period</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90,834</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96,658</w:t>
            </w:r>
          </w:p>
        </w:tc>
      </w:tr>
      <w:tr>
        <w:trPr>
          <w:trHeight w:val="174"/>
        </w:trPr>
        <w:tc>
          <w:tcPr>
            <w:tcW w:w="8020" w:type="dxa"/>
            <w:vAlign w:val="bottom"/>
          </w:tcPr>
          <w:p>
            <w:pPr>
              <w:ind w:left="20"/>
              <w:spacing w:after="0"/>
              <w:rPr>
                <w:sz w:val="20"/>
                <w:szCs w:val="20"/>
                <w:color w:val="auto"/>
              </w:rPr>
            </w:pPr>
            <w:r>
              <w:rPr>
                <w:rFonts w:ascii="Arial" w:cs="Arial" w:eastAsia="Arial" w:hAnsi="Arial"/>
                <w:sz w:val="13"/>
                <w:szCs w:val="13"/>
                <w:color w:val="auto"/>
              </w:rPr>
              <w:t>Cash and cash equivalents and restricted cash, end of period</w:t>
            </w: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102,428</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106,395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43"/>
        </w:trPr>
        <w:tc>
          <w:tcPr>
            <w:tcW w:w="802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Supplemental disclosure of cash flow information:</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Cash paid for interest</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903</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income taxes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2,439</w:t>
            </w: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Noncash investing and financing items: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capitalized as software development costs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1,561</w:t>
            </w: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Purchases of property and equipment and capitalized software in accounts payable and accrued expenses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290</w:t>
            </w: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value of common stock issued to settle liability-classified restricted stock units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Reconciliation of cash and cash equivalents and restricted cash to the Condensed Consolidated Balance Sheets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60,519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53,234</w:t>
            </w: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Restricted cash included in other current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21,132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30,591</w:t>
            </w:r>
          </w:p>
        </w:tc>
      </w:tr>
      <w:tr>
        <w:trPr>
          <w:trHeight w:val="176"/>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settlement assets, net</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20,777</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22,570</w:t>
            </w:r>
          </w:p>
        </w:tc>
      </w:tr>
      <w:tr>
        <w:trPr>
          <w:trHeight w:val="174"/>
        </w:trPr>
        <w:tc>
          <w:tcPr>
            <w:tcW w:w="8020" w:type="dxa"/>
            <w:vAlign w:val="bottom"/>
          </w:tcPr>
          <w:p>
            <w:pPr>
              <w:ind w:left="20"/>
              <w:spacing w:after="0"/>
              <w:rPr>
                <w:sz w:val="20"/>
                <w:szCs w:val="20"/>
                <w:color w:val="auto"/>
              </w:rPr>
            </w:pPr>
            <w:r>
              <w:rPr>
                <w:rFonts w:ascii="Arial" w:cs="Arial" w:eastAsia="Arial" w:hAnsi="Arial"/>
                <w:sz w:val="13"/>
                <w:szCs w:val="13"/>
                <w:color w:val="auto"/>
              </w:rPr>
              <w:t>Total cash, cash equivalents and restricted cash</w:t>
            </w: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102,428</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106,395</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1 – GENERAL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license arrangements and offers unique pricing options for small and medium-sized businesses and enterprises on a per-active-member basis. Expensify has subsidiaries in the United States ("U.S."), Australia, Canada, Netherlands and United Kingdom ("UK").</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Expensify also offers an Expensify charge card (the "Expensify Card"), which is primarily distributed to corporate customers in the U.S. who subsequently distribute the card to their employees for business use. The Expensify Card allows customers to have real-time control over their employees' spending and compliance with spending limits in addition to eReceipt reporting on purchases.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June 30, 2025, the Expensify Card substantially consisted of a single card program that launched in February 2024 (the "Updated Card Program"). The Updated Card Program operates under an agreement with the issuing bank, The Bancorp Bank, N.A. ("Bancorp"), to issue Expensify Cards to customers and authorize and settle transactions on the Visa card network.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accompanying condensed consolidated financial statements include the accounts of Expensify, its wholly-owned subsidiaries, and Expensify.org (collectively, the "Company") and have been prepared in accordance with U.S.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2024 ("2024 Annual Report").</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Results of operations for the three and six months ended June 30, 2025 are not necessarily indicative of the results that may be expected for the year ending December 31, 2025 or for any other future annual or interim period.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 Actual results could differ from those estimates. Changes in estimates are recorded in the period in which they become known.</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Estimates and assumptions by management affect the Company’s classification of employee and employee-related expenses, the useful lives and recoverability of long-lived assets and deferred contract acquisition costs, income taxes, capitalization of internal-use software costs, stock-based compensation and the Company's incremental borrowing rate utilized to measure its lease right-of-use ("ROU") assets and lease liabilities.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operates as one reportable segment because its chief operating decision maker ("CODM"), a committee that consists of the chief executive officer, the chief financial officer, and the chief operating officer, reviews the Company’s financial information on a consolidated basis for purposes of making decisions regarding allocating resources and assessing performance. Accordingly, the CODM uses Net loss on a consolidated basis to measure segment profit or loss and reviews significant segment expenses on a consolidated basis to manage the Company's operations, which includes Cost of revenue, net, Research and development, General and administrative, and Sales and marketing. All significant segment expenses are presented on the Condensed Consolidated Statements of Operations. Interest income is recorded within Other income (expenses), net on the Condensed Consolidated Statements of Operations. Interest income for the three months ended June 30, 2025 and 2024 was $0.5 million and $0.4 million, respectively. Interest income for the six months ended June 30, 2025 and 2024 was $0.9 million and $0.5 million, respectively. The measure of segment assets is Total assets as reported on the Condensed Consolidated Balance Sheets. Substantially all long-lived assets are located in the United States.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Significant Accounting Policies</w:t>
      </w:r>
    </w:p>
    <w:p>
      <w:pPr>
        <w:spacing w:after="0" w:line="14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Company’s significant accounting policies are discussed in Note 2 of the 2024 Annual Report. Since the date the 2024 Annual Report was filed with the SEC, there have been no material changes to the Company's significant accounting policies, including the adoption status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8"/>
          <w:szCs w:val="28"/>
          <w:b w:val="1"/>
          <w:bCs w:val="1"/>
          <w:color w:val="002E22"/>
        </w:rPr>
        <w:t>NOTE 2 - REVENUE AND CERTAIN STATEMENT OF OPERATIONS COMPONENTS</w:t>
      </w:r>
    </w:p>
    <w:p>
      <w:pPr>
        <w:spacing w:after="0" w:line="17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table below provides the Company's total revenue by geographic region based on the transaction currency (in thousands). No other individual country outside of the United States accounted for more than 10% of total revenue.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6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60,692</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No individual customer represented more than 10% of the Company’s total revenue during the three and six months ended June 30, 2025 and 2024.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Cashback Rewards</w:t>
      </w:r>
    </w:p>
    <w:p>
      <w:pPr>
        <w:spacing w:after="0" w:line="15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offers a cashback rewards program to all customers on the Updated Card Program based on volume of Expensify Card transactions. Cashback rewards are earned on a monthly basis and are applied against outstanding customer receivables or paid out the following month. The Company considers cashback rewards as consideration payable to a customer, and it is recorded as contra revenue within Revenue on the Condensed Consolidated Statements of Operations. Cashback rewards were $2.5 million and $2.0 million for the three months ended June 30, 2025 and 2024, respectively. Cashback rewards were $4.8 million and $4.0 million for the six months ended June 30, 2025 and 2024,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Interchange</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generates revenue from the authorization and settlement of Expensify Card transactions under the Updated Card Program. The Company is contractually entitled to all interchange generated on Expensify Card transactions based on its agreement with the issuing bank, and such funds are held as restricted cash within Other current assets on the Condensed Consolidated Balance Sheets until released by the issuing bank. Under the Updated Card Program, the Company is the principal in the transaction and recognizes interchange as revenue on a gross basis within Revenue on the accompanying Condensed Consolidated Statements of Operations. Interchange revenue was $5.3 million and $ 0.5 million for three months ended June 30, 2025 and 2024, respectively. Interchange revenue was $10.3 million and $0.5 million for the six months ended June 30, 2025 and 2024,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From a Vendor</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Updated Card Program, the Company receives consideration from a vendor for certain volume-based incentives from Visa, which are included as a reduction to Cost of revenue, net on the accompanying Condensed Consolidated Statements of Operations as they are earned. The amounts earned under these volume-based incentives were $0.8 million and $1.0 million for the three and six months ended June 30, 2025, respectively. The amounts earned under these volume-based incentives were immaterial for both the three and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Under the Company's previous card program (the "Legacy Card Program"), which an immaterial number of cardholders continue to operate within, the Company receives consideration from a vendor for monetizing Expensify Card activities. The Legacy Card Program operates under an agreement with the payment processor, Marqeta, Inc. ("Marqeta"), and relies on Marqeta to manage the relationship with the issuing bank, Sutton Bank, and the card network, Visa, in authorizing and settling transactions. This consideration, net of fees paid to the vendor, is included as a reduction to Cost of revenue, net on the accompanying Condensed Consolidated Statements of Operations as it is earned. Consideration earned under the Legacy Card Program, net of fees paid to the vendor, was immaterial for both the three and six months ended June 30, 2025. Consideration earned under the Legacy Card Program, net of fees paid to the vendor, was $3.1 million and $6.3 million for the three and six months ended June 30, 2024,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3 - CERTAIN BALANCE SHEET COMPONENTS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Card posted collateral for funds held for customers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Expensify.org restricted cash</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5,972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Earned interchange restricted cash</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restricted cash</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20,908</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51"/>
        </w:trPr>
        <w:tc>
          <w:tcPr>
            <w:tcW w:w="7980" w:type="dxa"/>
            <w:vAlign w:val="bottom"/>
          </w:tcPr>
          <w:p>
            <w:pPr>
              <w:spacing w:after="0"/>
              <w:rPr>
                <w:sz w:val="20"/>
                <w:szCs w:val="20"/>
                <w:color w:val="auto"/>
              </w:rPr>
            </w:pPr>
            <w:r>
              <w:rPr>
                <w:rFonts w:ascii="Arial" w:cs="Arial" w:eastAsia="Arial" w:hAnsi="Arial"/>
                <w:sz w:val="18"/>
                <w:szCs w:val="18"/>
                <w:b w:val="1"/>
                <w:bCs w:val="1"/>
                <w:color w:val="auto"/>
              </w:rPr>
              <w:t>Capitalized Software, Net</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7"/>
        </w:trPr>
        <w:tc>
          <w:tcPr>
            <w:tcW w:w="7980" w:type="dxa"/>
            <w:vAlign w:val="bottom"/>
          </w:tcPr>
          <w:p>
            <w:pPr>
              <w:spacing w:after="0"/>
              <w:rPr>
                <w:sz w:val="20"/>
                <w:szCs w:val="20"/>
                <w:color w:val="auto"/>
              </w:rPr>
            </w:pPr>
            <w:r>
              <w:rPr>
                <w:rFonts w:ascii="Arial" w:cs="Arial" w:eastAsia="Arial" w:hAnsi="Arial"/>
                <w:sz w:val="18"/>
                <w:szCs w:val="18"/>
                <w:color w:val="auto"/>
              </w:rPr>
              <w:t>Capitalized software, net consisted of the following (in thousands):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5"/>
        </w:trPr>
        <w:tc>
          <w:tcPr>
            <w:tcW w:w="7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r>
      <w:tr>
        <w:trPr>
          <w:trHeight w:val="202"/>
        </w:trPr>
        <w:tc>
          <w:tcPr>
            <w:tcW w:w="7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Pr>
          <w:p>
            <w:pPr>
              <w:spacing w:after="0"/>
              <w:rPr>
                <w:sz w:val="17"/>
                <w:szCs w:val="17"/>
                <w:color w:val="auto"/>
              </w:rPr>
            </w:pPr>
          </w:p>
        </w:tc>
        <w:tc>
          <w:tcPr>
            <w:tcW w:w="1460" w:type="dxa"/>
            <w:vAlign w:val="bottom"/>
          </w:tcPr>
          <w:p>
            <w:pPr>
              <w:jc w:val="center"/>
              <w:ind w:right="3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32,332</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Amortization expense related to capitalized software development costs is recorded in Cost of revenue, net on the Condensed Consolidated Statements of Operations. Amortization expense was $1.9 million and $ 1.4 million for the three months ended June 30, 2025 and 2024, respectively. Amortization expense was $3.7 million and $2.5 million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6,493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2,570</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Depreciation expense is recorded in General and administrative, Sales and marketing, and Other income (expenses), net on the Condensed Consolidated Statements of Operations. Depreciation expense was $0.1 million and $0.2 million for the three months ended June 30, 2025 and 2024, respectively. Depreciation expense was $0.3 million and $0.5 million for the six months ended June 30, 2025 and 2024,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payroll and other taxes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 payouts and advertising fees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Matching Plan payroll liability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card processing fees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Cashback rewards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4 - COMMITMENTS AND CONTINGENCIES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Mortgage</w:t>
      </w:r>
    </w:p>
    <w:p>
      <w:pPr>
        <w:spacing w:after="0" w:line="144"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In August 2019, the Company entered into an $8.3 million amortizing term mortgage agreement with Canadian Imperial Bank of Commerce ("CIBC") for the Company's commercial building located in Portland, Oregon. The agreement required principal and interest payments to be made each month over a five-year period. Interest accrued at a fixed rate of 5.00% per year until August 2024, at which point the remaining outstanding principal balance on the amortizing term mortgage was due in full. The borrowings were secured by the building. On August 29, 2024, the Company repaid in full the then-outstanding balance of $7.6 million and terminated the associated mortgage agreement with CIBC and secured promissory note.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and Security Agreement</w:t>
      </w:r>
    </w:p>
    <w:p>
      <w:pPr>
        <w:spacing w:after="0" w:line="15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February 2024, the Company entered into a Second Amended and Restated Loan and Security Agreement (as amended by the amendments described below, the "2024 Amended Loan and Security Agreement") with CIBC. The 2024 Amended Loan and Security Agreement provided for a $ 25.0 million revolving credit facility that was set to expire in September 2025. Borrowings under the revolving line of credit accrued interest at CIBC’s reference rate plus 1.00% and were secured by substantially all of the Company's assets.</w:t>
      </w:r>
    </w:p>
    <w:p>
      <w:pPr>
        <w:spacing w:after="0" w:line="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April 2024, the Company entered into an irrevocable standby letter of credit (the "Letter of Credit") issued under the 2024 Amended Loan and Security Agreement to reduce cash collateral requirements in connection with the Updated Card Program. The Letter of Credit was issued in the amount of $1.0 million for the benefit of Bancorp. The Letter of Credit was renewed on February 28, 2025 and expires on March 20, 2026. On April 16, 2025, the Company entered into an amendment to the irrevocable standby letter of credit to increase the Letter of Credit to $7.5 million. No amounts had been drawn on the Letter of Credit as of June 30, 2025.</w:t>
      </w:r>
    </w:p>
    <w:p>
      <w:pPr>
        <w:spacing w:after="0" w:line="1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May 2024, the Company entered into a First Amendment to the 2024 Amended Loan and Security Agreement, which amended the covenant restricting the amount of repurchases of common stock to allow for certain additional repurchase activity and provided a waiver for the Company's non-compliance during prior periods with the previous version of such covenant.</w:t>
      </w:r>
    </w:p>
    <w:p>
      <w:pPr>
        <w:spacing w:after="0" w:line="10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then-outstanding balance of $15.0 million and an immaterial amount of accrued interest on the revolving line of credit were repaid in full on July 10, 2024.</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2024, the Company entered into a Second Amendment to the 2024 Amended Loan and Security Agreement, which permitted the Company's wholly-owned subsidiary, 401 SW 5th Ave LLC, to remain an excluded subsidiary provided that the subsidiary does not engage in any operations or activities except to maintain legal existence and ownership of the real property or any related activities thereto, does not hold assets other than real estate assets, and does not incur any indebtedness except for intercompany liabilities permitted under the agreement or grant any liens.</w:t>
      </w:r>
    </w:p>
    <w:p>
      <w:pPr>
        <w:spacing w:after="0" w:line="11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February 2025, the Company entered into a Third Amendment to the 2024 Amended Loan and Security Agreement, which amended the covenant restricting the amount of repurchases of common stock, which includes net share settlements of stock-based awards, to allow for certain additional net share settlement activity.</w:t>
      </w:r>
    </w:p>
    <w:p>
      <w:pPr>
        <w:spacing w:after="0" w:line="10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As of June 30, 2025 and December 31, 2024, the Company had no borrowings under the revolving line of credit. As of June 30, 2025, the Company had $17.5 million of capacity available for additional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July 1, 2025, the Company terminated the 2024 Amended Loan and Security Agreement. At the time of termination, the Company had no borrowings under the revolving line of credit and no amounts drawn on the Letter of Credit, which remains outstanding, secured with cash collateral. There were no penalties incurred by the Company as a result of the termination of the 2024 Amended Loan and Security Agreement.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spacing w:after="0" w:line="11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As of June 30, 2025, there were no legal contingency matters, either individually or in aggregate, that would have a material adverse effect on the Company’s financial position, results of operations or cash flows.</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5 - STOCK INCENTIVE PLANS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and 2019 Stock Plans</w:t>
      </w:r>
    </w:p>
    <w:p>
      <w:pPr>
        <w:spacing w:after="0" w:line="15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In September 2021, the Board of Directors approved the grant of 8,679,380 restricted stock units under the 2019 Stock Plan, which consisted of an aggregate of 4,339,690 shares of each of Class A and LT50 common stock effective immediately prior to the effectiveness of the Company's IPO Registration Statement on Form S-1 ("IPO Registration Statement") on November 9, 2021. On November 9, 2021, the Board of Directors amended and restated the 2019 Stock Plan to, among other things, increase the common stock reserved for issuance under the 2019 Stock Plan to an aggregate of 16,856,770 shares of Class A and LT50 common stock.</w:t>
      </w:r>
    </w:p>
    <w:p>
      <w:pPr>
        <w:spacing w:after="0" w:line="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Stock Plans will continue to govern the terms and conditions of the outstanding awards granted under them.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Plans</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November 2021, the Board of Directors adopted, and the Company's stockholders approved, the 2021 Incentive Plans, which both became effective immediately before the effectiveness of the IPO Registration Statement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and available for issuance under the 2021 Incentive Plans as of June 30, 2025 and December 31, 2024 was 24,293,896 shares and 20,879,081 shares, respectively. The number of shares will automatically increase each subsequent January 1 through January 1, 2031, by the lesser of (A) 6% of the aggregate number of shares of all classes of common stock outstanding on the immediately preceding calendar year end, or (B) such lesser number of shares as determined by the Company’s Board of Directors or compensation committee; provided, however, that no more than 87,576,990 shares of Class A common stock may be issued upon the exercise of incentive stock options.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and Matching Plan</w:t>
      </w:r>
    </w:p>
    <w:p>
      <w:pPr>
        <w:spacing w:after="0" w:line="158"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The Matching Plan operates using consecutive three-month offering periods that commenced on March 15, 2022. Employees, consultants and directors (collectively, "Service Providers") of the Company can participate in the Matching Plan by electing to contribute compensation through deductions from payroll or fee payments, or by receiving discretionary awards under the plan. On the last day of the offering period, the contributions made during the offering period are used to purchase shares of Class A common stock.</w:t>
      </w:r>
    </w:p>
    <w:p>
      <w:pPr>
        <w:spacing w:after="0" w:line="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or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closing price of the Company's Class A common stock on the Nasdaq Stock Market LLC on the date of grant. The Company recognizes stock-based compensation expense related to the matched shares pursuant to its Matching Plan on a straight-line basis over the applicable three-month offering period.</w:t>
      </w:r>
    </w:p>
    <w:p>
      <w:pPr>
        <w:spacing w:after="0" w:line="11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Service Providers who participated in the Matching Plan for the offering period ended June 14, 2025 purchased a total of 636,759 Class A common shares, based on a purchase price of $2.29, resulting in gross cash proceeds to the Company of $1.5 million.</w:t>
      </w:r>
    </w:p>
    <w:p>
      <w:pPr>
        <w:spacing w:after="0" w:line="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Service Providers who participated in the Matching Plan for the offering period ended June 14, 2024 purchased a total of 808,836 Class A common shares, based on a purchase price of $1.35, resulting in gross cash proceeds to the Company of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offering period ended June 14, 2025, the Company elected to match each share of Class A common stock purchased or issued under the Matching Plan with 1/20 of a share of Class A common stock. During the three and six months ended June 30, 2025, the Company granted 251,964 and 470,468 shares of Class A common stock as matching contributions under the Matching Plan, respectively.</w:t>
      </w:r>
    </w:p>
    <w:p>
      <w:pPr>
        <w:spacing w:after="0" w:line="1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offering period ended June 14, 2024, the Company elected to match each share of Class A common stock purchased or issued under the Matching Plan with 1/20 of a share of Class A common stock. During the three and six months ended June 30, 2024, the Company granted 157,138 and 267,222 shares of Class A common stock as matching contributions under the Matching Plan, respectively.</w:t>
      </w:r>
    </w:p>
    <w:p>
      <w:pPr>
        <w:spacing w:after="0" w:line="90"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Company has made discretionary contributions under the Matching Plan to eligible Service Providers. During the three and six months ended June 30, 2025, the Company granted 65,535 and 243,734 shares of Class A common stock as discretionary contributions under the Matching Plan, respectively.</w:t>
      </w:r>
    </w:p>
    <w:p>
      <w:pPr>
        <w:spacing w:after="0" w:line="10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During the three and six months ended June 30, 2024, the Company granted 456,858 and 935,377 shares of Class A common stock as discretionary contributions under the Matching Plan,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Equity-Classified Awards</w:t>
      </w:r>
    </w:p>
    <w:p>
      <w:pPr>
        <w:spacing w:after="0" w:line="15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Company's Non-Employee Director Compensation Program, which was adopted under the 2021 Incentive Plans, the Company granted 153,690 Class A common stock RSUs during the six months ended June 30, 2025. A total of 230,064 Class A common stock RSUs vested during the six months ended June 30, 2025 related to previously-granted RSU awards, as the service conditions were satisfied.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2025, equity-classified RSU activity for Service Providers and non-employee directors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Class A Common</w:t>
            </w: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LT50 Common Stock</w:t>
            </w:r>
          </w:p>
        </w:tc>
        <w:tc>
          <w:tcPr>
            <w:tcW w:w="1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5"/>
        </w:trPr>
        <w:tc>
          <w:tcPr>
            <w:tcW w:w="634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55"/>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2,150,101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1,894,470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153,690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RSUs cancelled/forfeited/expired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June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1,843,197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As of June 30, 2025, the Company had $ 86.3 million of unamortized stock-based compensation expense related to unvested equity-classified RSUs, which is expected to be recognized over the remaining weighted average life of 4.02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Liability-Classified Awards</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20, 2025, pursuant to the 2021 Incentive Plans, the Company's compensation committee approved and authorized the grant of Class A common stock RSUs to certain Service Providers, to be issued on a quarterly basis through March 2029. Issuances of the Class A common stock RSUs will occur automatically each quarter using a predetermined fixed dollar amount each quarter that gradually decreases over time. Each RSU will vest immediately on the date it is issued, and both the issuance and vesting are subject to a service condition that will ultimately be satisfied over four years. The first quarterly automatic issuance occurred on June 20, 2025 and the remaining RSUs will be subject to quarterly issuance and vesting thereon until fully issued. The number of RSUs to be automatically issued on each issuance date will be determined based on the closing price of the Company's Class A common stock on the Nasdaq Stock Market LLC on the 15th calendar day of the month during which the RSU award is issued, or the immediately preceding trading day. The awards are accounted for as liability awards and will be recognized on a straight-line basis over the life of the award.</w:t>
      </w:r>
    </w:p>
    <w:p>
      <w:pPr>
        <w:spacing w:after="0" w:line="11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issued 144,820 Class A common stock RSUs and settled liability-classified awards of $0.3 million during the six months ended June 30, 2025.</w:t>
      </w:r>
    </w:p>
    <w:p>
      <w:pPr>
        <w:spacing w:after="0" w:line="7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of June 30, 2025, the Company had $3.6 million of unamortized stock-based compensation expense related to unvested liability-classified RSUs, which is expected to be recognized over the remaining weighted average life of 1.40 years.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Stock Plans and the 2021 Plan provide for the grant of incentive and nonstatutory stock options to Service Providers.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liability accounting. There were no repurchases of exercised restricted common stock during the six months ended June 30, 2025 and an immaterial amount during the six months ended June 30, 2024.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139"/>
        </w:trPr>
        <w:tc>
          <w:tcPr>
            <w:tcW w:w="6340" w:type="dxa"/>
            <w:vAlign w:val="bottom"/>
          </w:tcPr>
          <w:p>
            <w:pPr>
              <w:spacing w:after="0"/>
              <w:rPr>
                <w:sz w:val="12"/>
                <w:szCs w:val="12"/>
                <w:color w:val="auto"/>
              </w:rPr>
            </w:pPr>
          </w:p>
        </w:tc>
        <w:tc>
          <w:tcPr>
            <w:tcW w:w="15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exercise price per</w:t>
            </w: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197"/>
        </w:trPr>
        <w:tc>
          <w:tcPr>
            <w:tcW w:w="63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4"/>
        </w:trPr>
        <w:tc>
          <w:tcPr>
            <w:tcW w:w="63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3,759,580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(96,082)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cancelled/forfeited/expired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60"/>
              <w:spacing w:after="0"/>
              <w:rPr>
                <w:sz w:val="20"/>
                <w:szCs w:val="20"/>
                <w:color w:val="auto"/>
              </w:rPr>
            </w:pPr>
            <w:r>
              <w:rPr>
                <w:rFonts w:ascii="Arial" w:cs="Arial" w:eastAsia="Arial" w:hAnsi="Arial"/>
                <w:sz w:val="18"/>
                <w:szCs w:val="18"/>
                <w:color w:val="auto"/>
              </w:rPr>
              <w:t>Outstanding at June 30, 2025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3,525,766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Exercisable at June 30, 2025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3,524,356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54"/>
        </w:trPr>
        <w:tc>
          <w:tcPr>
            <w:tcW w:w="63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total pretax intrinsic value of options outstanding and exercisable at June 30, 2025 and December 31, 2024 was $4.6 million and</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$7.4 million, respectively. The intrinsic value is the difference between the estimated fair market value of the Company’s common stock at the date of exercise and the exercise price for in-the-money options.</w:t>
      </w:r>
    </w:p>
    <w:p>
      <w:pPr>
        <w:spacing w:after="0" w:line="10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June 30, 2025, the Company had $0.2 million of unrecognized stock-based compensation expense related to unvested stock options, which is expected to be recognized over a weighted average period of 0.19 years.</w:t>
      </w:r>
    </w:p>
    <w:p>
      <w:pPr>
        <w:spacing w:after="0" w:line="7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Cash received from option exercises and purchases of shares under the Stock Plans for each of the six months ended June 30, 2025 and 2024 was $0.1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summarizes the stock-based compensation recognized for options granted under the 2009 Stock Plan, options and RSUs granted under the 2019 Stock Plan, RSUs granted under the 2021 Plan and matching and discretionary shares issued under the Matching Plan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40" w:type="dxa"/>
            <w:vAlign w:val="bottom"/>
            <w:tcBorders>
              <w:top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shares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Equity-classified restricted stock units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5,937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7,029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13,290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liability-classified restricted stock units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17,466</w:t>
            </w:r>
          </w:p>
        </w:tc>
        <w:tc>
          <w:tcPr>
            <w:tcW w:w="0" w:type="dxa"/>
            <w:vAlign w:val="bottom"/>
          </w:tcPr>
          <w:p>
            <w:pPr>
              <w:spacing w:after="0"/>
              <w:rPr>
                <w:sz w:val="1"/>
                <w:szCs w:val="1"/>
                <w:color w:val="auto"/>
              </w:rPr>
            </w:pPr>
          </w:p>
        </w:tc>
      </w:tr>
      <w:tr>
        <w:trPr>
          <w:trHeight w:val="184"/>
        </w:trPr>
        <w:tc>
          <w:tcPr>
            <w:tcW w:w="4740" w:type="dxa"/>
            <w:vAlign w:val="bottom"/>
          </w:tcPr>
          <w:p>
            <w:pPr>
              <w:ind w:left="140"/>
              <w:spacing w:after="0" w:line="183" w:lineRule="exact"/>
              <w:rPr>
                <w:sz w:val="20"/>
                <w:szCs w:val="20"/>
                <w:color w:val="auto"/>
              </w:rPr>
            </w:pPr>
            <w:r>
              <w:rPr>
                <w:rFonts w:ascii="Arial" w:cs="Arial" w:eastAsia="Arial" w:hAnsi="Arial"/>
                <w:sz w:val="18"/>
                <w:szCs w:val="18"/>
                <w:color w:val="auto"/>
              </w:rPr>
              <w:t>Less: stock-based compensation capitalized as software</w:t>
            </w:r>
          </w:p>
        </w:tc>
        <w:tc>
          <w:tcPr>
            <w:tcW w:w="9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35"/>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development costs</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Stock-based compensation expense is allocated based on the cost center to which the award holder spent time during the reported periods. Stock-based compensation expense is included in the following components of expenses on the accompanying Condensed Consolidated Statements of Operations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Borders>
              <w:top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5,894</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6 - INCOME TAXES</w:t>
      </w:r>
    </w:p>
    <w:p>
      <w:pPr>
        <w:spacing w:after="0" w:line="18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For the three and six months ended June 30, 2025, the Company prepared its interim tax provision by applying a year-to-date effective tax rate, which the Company believes results in the best estimate of the annual effective tax rate.</w:t>
      </w:r>
    </w:p>
    <w:p>
      <w:pPr>
        <w:spacing w:after="0" w:line="72"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Company recorded a benefit from income taxes of $0.7 million and a provision for income taxes of $2.7 million for the three months ended June 30, 2025 and 2024, respectively, which resulted in effective tax rates of 7.0% and (6,641.5)%, respectively.</w:t>
      </w:r>
    </w:p>
    <w:p>
      <w:pPr>
        <w:spacing w:after="0" w:line="8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Company recorded a provision for income taxes of $1.3 million and $3.8 million for the six months ended June 30, 2025 and 2024, respectively, which resulted in effective tax rates of (12.7)% and (134.8)%, respectively.</w:t>
      </w:r>
    </w:p>
    <w:p>
      <w:pPr>
        <w:spacing w:after="0" w:line="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effective income tax rate differs from the statutory tax rate in 2025 and 2024 primarily due to non-deductible stock-based compensation and the change in valuation allowance.</w:t>
      </w:r>
    </w:p>
    <w:p>
      <w:pPr>
        <w:spacing w:after="0" w:line="7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Company follows the provisions of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June 30, 2025 and December 31, 2024, the Company recorded an uncertain tax position liability of $1.4 million and $1.5 million, respectively, within Other liabilities on the Condensed Consolidated Balance Sheets. This liability includes $0.2 million and an immaterial amount of interest and penalties as of June 30, 2025 and December 31, 2024,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An examination of the Company's 2021 federal tax return by the Internal Revenue Service ("IRS") commenced in the fourth quarter of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IRS concluded this examination as of June 30, 2025. There were no adjustments proposed by the IRS as a result of the examination.</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4, 2025, H.R.1 was enacted into law, which includes provisions modifying the corporate income tax code, including the immediate expensing of domestic research and development expenditures for tax purposes, 100% bonus depreciation for qualified assets, and an increase in the statutory tax rate on foreign earnings from 10.5% to 12.6%. The legislation has multiple effective dates, with certain provisions effective for the 2025 tax year and others being implemented through 2027. The Company is currently evaluating the potential tax impacts of these provisions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7 - NET LOSS PER SHARE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June 30, 2025</w:t>
            </w: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Class A</w:t>
            </w:r>
          </w:p>
        </w:tc>
        <w:tc>
          <w:tcPr>
            <w:tcW w:w="24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LT10</w:t>
            </w:r>
          </w:p>
        </w:tc>
        <w:tc>
          <w:tcPr>
            <w:tcW w:w="2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LT50</w:t>
            </w:r>
          </w:p>
        </w:tc>
        <w:tc>
          <w:tcPr>
            <w:tcW w:w="2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00"/>
              <w:spacing w:after="0"/>
              <w:rPr>
                <w:sz w:val="20"/>
                <w:szCs w:val="20"/>
                <w:color w:val="auto"/>
              </w:rPr>
            </w:pPr>
            <w:r>
              <w:rPr>
                <w:rFonts w:ascii="Arial" w:cs="Arial" w:eastAsia="Arial" w:hAnsi="Arial"/>
                <w:sz w:val="18"/>
                <w:szCs w:val="18"/>
                <w:color w:val="auto"/>
              </w:rPr>
              <w:t>Net loss,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(7,643)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(8,788)</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shares of common stock used to</w:t>
            </w:r>
          </w:p>
        </w:tc>
        <w:tc>
          <w:tcPr>
            <w:tcW w:w="240" w:type="dxa"/>
            <w:vAlign w:val="bottom"/>
          </w:tcPr>
          <w:p>
            <w:pPr>
              <w:spacing w:after="0"/>
              <w:rPr>
                <w:sz w:val="15"/>
                <w:szCs w:val="15"/>
                <w:color w:val="auto"/>
              </w:rPr>
            </w:pPr>
          </w:p>
        </w:tc>
        <w:tc>
          <w:tcPr>
            <w:tcW w:w="1340" w:type="dxa"/>
            <w:vAlign w:val="bottom"/>
            <w:vMerge w:val="restart"/>
          </w:tcPr>
          <w:p>
            <w:pPr>
              <w:jc w:val="center"/>
              <w:ind w:right="155"/>
              <w:spacing w:after="0"/>
              <w:rPr>
                <w:sz w:val="20"/>
                <w:szCs w:val="20"/>
                <w:color w:val="auto"/>
              </w:rPr>
            </w:pPr>
            <w:r>
              <w:rPr>
                <w:rFonts w:ascii="Arial" w:cs="Arial" w:eastAsia="Arial" w:hAnsi="Arial"/>
                <w:sz w:val="18"/>
                <w:szCs w:val="18"/>
                <w:color w:val="auto"/>
                <w:w w:val="99"/>
              </w:rPr>
              <w:t>80,251,423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center"/>
              <w:ind w:right="157"/>
              <w:spacing w:after="0"/>
              <w:rPr>
                <w:sz w:val="20"/>
                <w:szCs w:val="20"/>
                <w:color w:val="auto"/>
              </w:rPr>
            </w:pPr>
            <w:r>
              <w:rPr>
                <w:rFonts w:ascii="Arial" w:cs="Arial" w:eastAsia="Arial" w:hAnsi="Arial"/>
                <w:sz w:val="18"/>
                <w:szCs w:val="18"/>
                <w:color w:val="auto"/>
                <w:w w:val="99"/>
              </w:rPr>
              <w:t>4,209,827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vMerge w:val="restart"/>
          </w:tcPr>
          <w:p>
            <w:pPr>
              <w:jc w:val="center"/>
              <w:ind w:right="175"/>
              <w:spacing w:after="0"/>
              <w:rPr>
                <w:sz w:val="20"/>
                <w:szCs w:val="20"/>
                <w:color w:val="auto"/>
              </w:rPr>
            </w:pPr>
            <w:r>
              <w:rPr>
                <w:rFonts w:ascii="Arial" w:cs="Arial" w:eastAsia="Arial" w:hAnsi="Arial"/>
                <w:sz w:val="18"/>
                <w:szCs w:val="18"/>
                <w:color w:val="auto"/>
                <w:w w:val="99"/>
              </w:rPr>
              <w:t>7,810,674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vMerge w:val="restart"/>
          </w:tcPr>
          <w:p>
            <w:pPr>
              <w:jc w:val="right"/>
              <w:ind w:right="255"/>
              <w:spacing w:after="0"/>
              <w:rPr>
                <w:sz w:val="20"/>
                <w:szCs w:val="20"/>
                <w:color w:val="auto"/>
              </w:rPr>
            </w:pPr>
            <w:r>
              <w:rPr>
                <w:rFonts w:ascii="Arial" w:cs="Arial" w:eastAsia="Arial" w:hAnsi="Arial"/>
                <w:sz w:val="18"/>
                <w:szCs w:val="18"/>
                <w:color w:val="auto"/>
              </w:rPr>
              <w:t>92,271,924</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compute net loss per share, basic and diluted</w:t>
            </w:r>
          </w:p>
        </w:tc>
        <w:tc>
          <w:tcPr>
            <w:tcW w:w="2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54"/>
        </w:trPr>
        <w:tc>
          <w:tcPr>
            <w:tcW w:w="4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5"/>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June 30, 2024</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Class A</w:t>
            </w:r>
          </w:p>
        </w:tc>
        <w:tc>
          <w:tcPr>
            <w:tcW w:w="24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LT10</w:t>
            </w:r>
          </w:p>
        </w:tc>
        <w:tc>
          <w:tcPr>
            <w:tcW w:w="2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LT50</w:t>
            </w:r>
          </w:p>
        </w:tc>
        <w:tc>
          <w:tcPr>
            <w:tcW w:w="2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00"/>
              <w:spacing w:after="0"/>
              <w:rPr>
                <w:sz w:val="20"/>
                <w:szCs w:val="20"/>
                <w:color w:val="auto"/>
              </w:rPr>
            </w:pPr>
            <w:r>
              <w:rPr>
                <w:rFonts w:ascii="Arial" w:cs="Arial" w:eastAsia="Arial" w:hAnsi="Arial"/>
                <w:sz w:val="18"/>
                <w:szCs w:val="18"/>
                <w:color w:val="auto"/>
              </w:rPr>
              <w:t>Net loss,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shares of common stock used to</w:t>
            </w:r>
          </w:p>
        </w:tc>
        <w:tc>
          <w:tcPr>
            <w:tcW w:w="240" w:type="dxa"/>
            <w:vAlign w:val="bottom"/>
          </w:tcPr>
          <w:p>
            <w:pPr>
              <w:spacing w:after="0"/>
              <w:rPr>
                <w:sz w:val="15"/>
                <w:szCs w:val="15"/>
                <w:color w:val="auto"/>
              </w:rPr>
            </w:pPr>
          </w:p>
        </w:tc>
        <w:tc>
          <w:tcPr>
            <w:tcW w:w="1340" w:type="dxa"/>
            <w:vAlign w:val="bottom"/>
            <w:vMerge w:val="restart"/>
          </w:tcPr>
          <w:p>
            <w:pPr>
              <w:jc w:val="center"/>
              <w:ind w:right="135"/>
              <w:spacing w:after="0"/>
              <w:rPr>
                <w:sz w:val="20"/>
                <w:szCs w:val="20"/>
                <w:color w:val="auto"/>
              </w:rPr>
            </w:pPr>
            <w:r>
              <w:rPr>
                <w:rFonts w:ascii="Arial" w:cs="Arial" w:eastAsia="Arial" w:hAnsi="Arial"/>
                <w:sz w:val="18"/>
                <w:szCs w:val="18"/>
                <w:color w:val="auto"/>
                <w:w w:val="97"/>
              </w:rPr>
              <w:t>72,110,387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center"/>
              <w:ind w:right="157"/>
              <w:spacing w:after="0"/>
              <w:rPr>
                <w:sz w:val="20"/>
                <w:szCs w:val="20"/>
                <w:color w:val="auto"/>
              </w:rPr>
            </w:pPr>
            <w:r>
              <w:rPr>
                <w:rFonts w:ascii="Arial" w:cs="Arial" w:eastAsia="Arial" w:hAnsi="Arial"/>
                <w:sz w:val="18"/>
                <w:szCs w:val="18"/>
                <w:color w:val="auto"/>
                <w:w w:val="99"/>
              </w:rPr>
              <w:t>7,069,872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vMerge w:val="restart"/>
          </w:tcPr>
          <w:p>
            <w:pPr>
              <w:jc w:val="center"/>
              <w:ind w:right="175"/>
              <w:spacing w:after="0"/>
              <w:rPr>
                <w:sz w:val="20"/>
                <w:szCs w:val="20"/>
                <w:color w:val="auto"/>
              </w:rPr>
            </w:pPr>
            <w:r>
              <w:rPr>
                <w:rFonts w:ascii="Arial" w:cs="Arial" w:eastAsia="Arial" w:hAnsi="Arial"/>
                <w:sz w:val="18"/>
                <w:szCs w:val="18"/>
                <w:color w:val="auto"/>
                <w:w w:val="99"/>
              </w:rPr>
              <w:t>7,413,696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vMerge w:val="restart"/>
          </w:tcPr>
          <w:p>
            <w:pPr>
              <w:jc w:val="right"/>
              <w:ind w:right="255"/>
              <w:spacing w:after="0"/>
              <w:rPr>
                <w:sz w:val="20"/>
                <w:szCs w:val="20"/>
                <w:color w:val="auto"/>
              </w:rPr>
            </w:pPr>
            <w:r>
              <w:rPr>
                <w:rFonts w:ascii="Arial" w:cs="Arial" w:eastAsia="Arial" w:hAnsi="Arial"/>
                <w:sz w:val="18"/>
                <w:szCs w:val="18"/>
                <w:color w:val="auto"/>
              </w:rPr>
              <w:t>86,593,955</w:t>
            </w:r>
          </w:p>
        </w:tc>
        <w:tc>
          <w:tcPr>
            <w:tcW w:w="0" w:type="dxa"/>
            <w:vAlign w:val="bottom"/>
          </w:tcPr>
          <w:p>
            <w:pPr>
              <w:spacing w:after="0"/>
              <w:rPr>
                <w:sz w:val="1"/>
                <w:szCs w:val="1"/>
                <w:color w:val="auto"/>
              </w:rPr>
            </w:pPr>
          </w:p>
        </w:tc>
      </w:tr>
      <w:tr>
        <w:trPr>
          <w:trHeight w:val="235"/>
        </w:trPr>
        <w:tc>
          <w:tcPr>
            <w:tcW w:w="4660" w:type="dxa"/>
            <w:vAlign w:val="bottom"/>
          </w:tcPr>
          <w:p>
            <w:pPr>
              <w:ind w:left="180"/>
              <w:spacing w:after="0"/>
              <w:rPr>
                <w:sz w:val="20"/>
                <w:szCs w:val="20"/>
                <w:color w:val="auto"/>
              </w:rPr>
            </w:pPr>
            <w:r>
              <w:rPr>
                <w:rFonts w:ascii="Arial" w:cs="Arial" w:eastAsia="Arial" w:hAnsi="Arial"/>
                <w:sz w:val="18"/>
                <w:szCs w:val="18"/>
                <w:color w:val="auto"/>
              </w:rPr>
              <w:t>compute net loss per share, basic and diluted</w:t>
            </w:r>
          </w:p>
        </w:tc>
        <w:tc>
          <w:tcPr>
            <w:tcW w:w="2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54"/>
        </w:trPr>
        <w:tc>
          <w:tcPr>
            <w:tcW w:w="4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Six Months Ended June 30, 2025</w:t>
            </w: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Class A</w:t>
            </w:r>
          </w:p>
        </w:tc>
        <w:tc>
          <w:tcPr>
            <w:tcW w:w="24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LT10</w:t>
            </w:r>
          </w:p>
        </w:tc>
        <w:tc>
          <w:tcPr>
            <w:tcW w:w="2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LT50</w:t>
            </w:r>
          </w:p>
        </w:tc>
        <w:tc>
          <w:tcPr>
            <w:tcW w:w="2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00"/>
              <w:spacing w:after="0"/>
              <w:rPr>
                <w:sz w:val="20"/>
                <w:szCs w:val="20"/>
                <w:color w:val="auto"/>
              </w:rPr>
            </w:pPr>
            <w:r>
              <w:rPr>
                <w:rFonts w:ascii="Arial" w:cs="Arial" w:eastAsia="Arial" w:hAnsi="Arial"/>
                <w:sz w:val="18"/>
                <w:szCs w:val="18"/>
                <w:color w:val="auto"/>
              </w:rPr>
              <w:t>Net loss,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(10,399)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shares of common stock used to</w:t>
            </w:r>
          </w:p>
        </w:tc>
        <w:tc>
          <w:tcPr>
            <w:tcW w:w="240" w:type="dxa"/>
            <w:vAlign w:val="bottom"/>
          </w:tcPr>
          <w:p>
            <w:pPr>
              <w:spacing w:after="0"/>
              <w:rPr>
                <w:sz w:val="15"/>
                <w:szCs w:val="15"/>
                <w:color w:val="auto"/>
              </w:rPr>
            </w:pPr>
          </w:p>
        </w:tc>
        <w:tc>
          <w:tcPr>
            <w:tcW w:w="1340" w:type="dxa"/>
            <w:vAlign w:val="bottom"/>
            <w:vMerge w:val="restart"/>
          </w:tcPr>
          <w:p>
            <w:pPr>
              <w:jc w:val="center"/>
              <w:ind w:right="155"/>
              <w:spacing w:after="0"/>
              <w:rPr>
                <w:sz w:val="20"/>
                <w:szCs w:val="20"/>
                <w:color w:val="auto"/>
              </w:rPr>
            </w:pPr>
            <w:r>
              <w:rPr>
                <w:rFonts w:ascii="Arial" w:cs="Arial" w:eastAsia="Arial" w:hAnsi="Arial"/>
                <w:sz w:val="18"/>
                <w:szCs w:val="18"/>
                <w:color w:val="auto"/>
                <w:w w:val="99"/>
              </w:rPr>
              <w:t>79,916,193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center"/>
              <w:ind w:right="157"/>
              <w:spacing w:after="0"/>
              <w:rPr>
                <w:sz w:val="20"/>
                <w:szCs w:val="20"/>
                <w:color w:val="auto"/>
              </w:rPr>
            </w:pPr>
            <w:r>
              <w:rPr>
                <w:rFonts w:ascii="Arial" w:cs="Arial" w:eastAsia="Arial" w:hAnsi="Arial"/>
                <w:sz w:val="18"/>
                <w:szCs w:val="18"/>
                <w:color w:val="auto"/>
                <w:w w:val="99"/>
              </w:rPr>
              <w:t>4,209,827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vMerge w:val="restart"/>
          </w:tcPr>
          <w:p>
            <w:pPr>
              <w:jc w:val="center"/>
              <w:ind w:right="175"/>
              <w:spacing w:after="0"/>
              <w:rPr>
                <w:sz w:val="20"/>
                <w:szCs w:val="20"/>
                <w:color w:val="auto"/>
              </w:rPr>
            </w:pPr>
            <w:r>
              <w:rPr>
                <w:rFonts w:ascii="Arial" w:cs="Arial" w:eastAsia="Arial" w:hAnsi="Arial"/>
                <w:sz w:val="18"/>
                <w:szCs w:val="18"/>
                <w:color w:val="auto"/>
                <w:w w:val="99"/>
              </w:rPr>
              <w:t>7,762,613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vMerge w:val="restart"/>
          </w:tcPr>
          <w:p>
            <w:pPr>
              <w:jc w:val="right"/>
              <w:ind w:right="255"/>
              <w:spacing w:after="0"/>
              <w:rPr>
                <w:sz w:val="20"/>
                <w:szCs w:val="20"/>
                <w:color w:val="auto"/>
              </w:rPr>
            </w:pPr>
            <w:r>
              <w:rPr>
                <w:rFonts w:ascii="Arial" w:cs="Arial" w:eastAsia="Arial" w:hAnsi="Arial"/>
                <w:sz w:val="18"/>
                <w:szCs w:val="18"/>
                <w:color w:val="auto"/>
              </w:rPr>
              <w:t>91,888,633</w:t>
            </w:r>
          </w:p>
        </w:tc>
        <w:tc>
          <w:tcPr>
            <w:tcW w:w="0" w:type="dxa"/>
            <w:vAlign w:val="bottom"/>
          </w:tcPr>
          <w:p>
            <w:pPr>
              <w:spacing w:after="0"/>
              <w:rPr>
                <w:sz w:val="1"/>
                <w:szCs w:val="1"/>
                <w:color w:val="auto"/>
              </w:rPr>
            </w:pPr>
          </w:p>
        </w:tc>
      </w:tr>
      <w:tr>
        <w:trPr>
          <w:trHeight w:val="235"/>
        </w:trPr>
        <w:tc>
          <w:tcPr>
            <w:tcW w:w="4660" w:type="dxa"/>
            <w:vAlign w:val="bottom"/>
          </w:tcPr>
          <w:p>
            <w:pPr>
              <w:ind w:left="180"/>
              <w:spacing w:after="0"/>
              <w:rPr>
                <w:sz w:val="20"/>
                <w:szCs w:val="20"/>
                <w:color w:val="auto"/>
              </w:rPr>
            </w:pPr>
            <w:r>
              <w:rPr>
                <w:rFonts w:ascii="Arial" w:cs="Arial" w:eastAsia="Arial" w:hAnsi="Arial"/>
                <w:sz w:val="18"/>
                <w:szCs w:val="18"/>
                <w:color w:val="auto"/>
              </w:rPr>
              <w:t>compute net loss per share, basic and diluted</w:t>
            </w:r>
          </w:p>
        </w:tc>
        <w:tc>
          <w:tcPr>
            <w:tcW w:w="2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54"/>
        </w:trPr>
        <w:tc>
          <w:tcPr>
            <w:tcW w:w="4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gridSpan w:val="5"/>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4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Six Months Ended June 30, 2024</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Class A</w:t>
            </w:r>
          </w:p>
        </w:tc>
        <w:tc>
          <w:tcPr>
            <w:tcW w:w="24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LT10</w:t>
            </w:r>
          </w:p>
        </w:tc>
        <w:tc>
          <w:tcPr>
            <w:tcW w:w="2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LT50</w:t>
            </w:r>
          </w:p>
        </w:tc>
        <w:tc>
          <w:tcPr>
            <w:tcW w:w="22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00"/>
              <w:spacing w:after="0"/>
              <w:rPr>
                <w:sz w:val="20"/>
                <w:szCs w:val="20"/>
                <w:color w:val="auto"/>
              </w:rPr>
            </w:pPr>
            <w:r>
              <w:rPr>
                <w:rFonts w:ascii="Arial" w:cs="Arial" w:eastAsia="Arial" w:hAnsi="Arial"/>
                <w:sz w:val="18"/>
                <w:szCs w:val="18"/>
                <w:color w:val="auto"/>
              </w:rPr>
              <w:t>Net loss,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6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shares of common stock used to</w:t>
            </w:r>
          </w:p>
        </w:tc>
        <w:tc>
          <w:tcPr>
            <w:tcW w:w="240" w:type="dxa"/>
            <w:vAlign w:val="bottom"/>
          </w:tcPr>
          <w:p>
            <w:pPr>
              <w:spacing w:after="0"/>
              <w:rPr>
                <w:sz w:val="15"/>
                <w:szCs w:val="15"/>
                <w:color w:val="auto"/>
              </w:rPr>
            </w:pPr>
          </w:p>
        </w:tc>
        <w:tc>
          <w:tcPr>
            <w:tcW w:w="1340" w:type="dxa"/>
            <w:vAlign w:val="bottom"/>
            <w:vMerge w:val="restart"/>
          </w:tcPr>
          <w:p>
            <w:pPr>
              <w:jc w:val="center"/>
              <w:ind w:right="155"/>
              <w:spacing w:after="0"/>
              <w:rPr>
                <w:sz w:val="20"/>
                <w:szCs w:val="20"/>
                <w:color w:val="auto"/>
              </w:rPr>
            </w:pPr>
            <w:r>
              <w:rPr>
                <w:rFonts w:ascii="Arial" w:cs="Arial" w:eastAsia="Arial" w:hAnsi="Arial"/>
                <w:sz w:val="18"/>
                <w:szCs w:val="18"/>
                <w:color w:val="auto"/>
                <w:w w:val="99"/>
              </w:rPr>
              <w:t>71,298,267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center"/>
              <w:ind w:right="157"/>
              <w:spacing w:after="0"/>
              <w:rPr>
                <w:sz w:val="20"/>
                <w:szCs w:val="20"/>
                <w:color w:val="auto"/>
              </w:rPr>
            </w:pPr>
            <w:r>
              <w:rPr>
                <w:rFonts w:ascii="Arial" w:cs="Arial" w:eastAsia="Arial" w:hAnsi="Arial"/>
                <w:sz w:val="18"/>
                <w:szCs w:val="18"/>
                <w:color w:val="auto"/>
                <w:w w:val="99"/>
              </w:rPr>
              <w:t>7,201,652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vMerge w:val="restart"/>
          </w:tcPr>
          <w:p>
            <w:pPr>
              <w:jc w:val="center"/>
              <w:ind w:right="175"/>
              <w:spacing w:after="0"/>
              <w:rPr>
                <w:sz w:val="20"/>
                <w:szCs w:val="20"/>
                <w:color w:val="auto"/>
              </w:rPr>
            </w:pPr>
            <w:r>
              <w:rPr>
                <w:rFonts w:ascii="Arial" w:cs="Arial" w:eastAsia="Arial" w:hAnsi="Arial"/>
                <w:sz w:val="18"/>
                <w:szCs w:val="18"/>
                <w:color w:val="auto"/>
                <w:w w:val="99"/>
              </w:rPr>
              <w:t>7,367,764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vMerge w:val="restart"/>
          </w:tcPr>
          <w:p>
            <w:pPr>
              <w:jc w:val="right"/>
              <w:ind w:right="255"/>
              <w:spacing w:after="0"/>
              <w:rPr>
                <w:sz w:val="20"/>
                <w:szCs w:val="20"/>
                <w:color w:val="auto"/>
              </w:rPr>
            </w:pPr>
            <w:r>
              <w:rPr>
                <w:rFonts w:ascii="Arial" w:cs="Arial" w:eastAsia="Arial" w:hAnsi="Arial"/>
                <w:sz w:val="18"/>
                <w:szCs w:val="18"/>
                <w:color w:val="auto"/>
              </w:rPr>
              <w:t>85,867,683</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compute net loss per share, basic and diluted</w:t>
            </w:r>
          </w:p>
        </w:tc>
        <w:tc>
          <w:tcPr>
            <w:tcW w:w="2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54"/>
        </w:trPr>
        <w:tc>
          <w:tcPr>
            <w:tcW w:w="4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ten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ten-month notice period for LT10 common stock and a 50-month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attributable to common stockholders will be the same for the Class A, LT10 and LT50 common stock on an individual or combined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68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4"/>
          </w:tcPr>
          <w:p>
            <w:pPr>
              <w:jc w:val="center"/>
              <w:ind w:left="228"/>
              <w:spacing w:after="0"/>
              <w:rPr>
                <w:sz w:val="20"/>
                <w:szCs w:val="20"/>
                <w:color w:val="auto"/>
              </w:rPr>
            </w:pPr>
            <w:r>
              <w:rPr>
                <w:rFonts w:ascii="Arial" w:cs="Arial" w:eastAsia="Arial" w:hAnsi="Arial"/>
                <w:sz w:val="14"/>
                <w:szCs w:val="14"/>
                <w:b w:val="1"/>
                <w:bCs w:val="1"/>
                <w:color w:val="auto"/>
              </w:rPr>
              <w:t>Three Months Ended June 30, 2025</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Class A</w:t>
            </w:r>
          </w:p>
        </w:tc>
        <w:tc>
          <w:tcPr>
            <w:tcW w:w="1120" w:type="dxa"/>
            <w:vAlign w:val="bottom"/>
          </w:tcPr>
          <w:p>
            <w:pPr>
              <w:ind w:left="600"/>
              <w:spacing w:after="0"/>
              <w:rPr>
                <w:sz w:val="20"/>
                <w:szCs w:val="20"/>
                <w:color w:val="auto"/>
              </w:rPr>
            </w:pPr>
            <w:r>
              <w:rPr>
                <w:rFonts w:ascii="Arial" w:cs="Arial" w:eastAsia="Arial" w:hAnsi="Arial"/>
                <w:sz w:val="14"/>
                <w:szCs w:val="14"/>
                <w:b w:val="1"/>
                <w:bCs w:val="1"/>
                <w:color w:val="auto"/>
              </w:rPr>
              <w:t>LT10</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LT50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235"/>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7"/>
                <w:szCs w:val="17"/>
                <w:color w:val="auto"/>
              </w:rPr>
            </w:pPr>
          </w:p>
        </w:tc>
      </w:tr>
      <w:tr>
        <w:trPr>
          <w:trHeight w:val="224"/>
        </w:trPr>
        <w:tc>
          <w:tcPr>
            <w:tcW w:w="40" w:type="dxa"/>
            <w:vAlign w:val="bottom"/>
          </w:tcPr>
          <w:p>
            <w:pPr>
              <w:spacing w:after="0"/>
              <w:rPr>
                <w:sz w:val="19"/>
                <w:szCs w:val="19"/>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stock options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1,763,170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1,763,170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Matching Plan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19,228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19,228</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1,782,398</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4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2"/>
        </w:trPr>
        <w:tc>
          <w:tcPr>
            <w:tcW w:w="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center"/>
              <w:ind w:left="268"/>
              <w:spacing w:after="0"/>
              <w:rPr>
                <w:sz w:val="20"/>
                <w:szCs w:val="20"/>
                <w:color w:val="auto"/>
              </w:rPr>
            </w:pPr>
            <w:r>
              <w:rPr>
                <w:rFonts w:ascii="Arial" w:cs="Arial" w:eastAsia="Arial" w:hAnsi="Arial"/>
                <w:sz w:val="14"/>
                <w:szCs w:val="14"/>
                <w:b w:val="1"/>
                <w:bCs w:val="1"/>
                <w:color w:val="auto"/>
              </w:rPr>
              <w:t>Three Months Ended June 30, 2024</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Class A</w:t>
            </w:r>
          </w:p>
        </w:tc>
        <w:tc>
          <w:tcPr>
            <w:tcW w:w="1120" w:type="dxa"/>
            <w:vAlign w:val="bottom"/>
          </w:tcPr>
          <w:p>
            <w:pPr>
              <w:ind w:left="620"/>
              <w:spacing w:after="0"/>
              <w:rPr>
                <w:sz w:val="20"/>
                <w:szCs w:val="20"/>
                <w:color w:val="auto"/>
              </w:rPr>
            </w:pPr>
            <w:r>
              <w:rPr>
                <w:rFonts w:ascii="Arial" w:cs="Arial" w:eastAsia="Arial" w:hAnsi="Arial"/>
                <w:sz w:val="14"/>
                <w:szCs w:val="14"/>
                <w:b w:val="1"/>
                <w:bCs w:val="1"/>
                <w:color w:val="auto"/>
              </w:rPr>
              <w:t>LT10</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LT50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215"/>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7"/>
                <w:szCs w:val="17"/>
                <w:color w:val="auto"/>
              </w:rPr>
            </w:pPr>
          </w:p>
        </w:tc>
      </w:tr>
      <w:tr>
        <w:trPr>
          <w:trHeight w:val="224"/>
        </w:trPr>
        <w:tc>
          <w:tcPr>
            <w:tcW w:w="4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stock options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1,197,970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1,197,970</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Matching Plan shares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7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8"/>
        </w:trPr>
        <w:tc>
          <w:tcPr>
            <w:tcW w:w="4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1,197,970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gridSpan w:val="4"/>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38"/>
        </w:trPr>
        <w:tc>
          <w:tcPr>
            <w:tcW w:w="4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01"/>
        </w:trPr>
        <w:tc>
          <w:tcPr>
            <w:tcW w:w="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center"/>
              <w:ind w:left="268"/>
              <w:spacing w:after="0"/>
              <w:rPr>
                <w:sz w:val="20"/>
                <w:szCs w:val="20"/>
                <w:color w:val="auto"/>
              </w:rPr>
            </w:pPr>
            <w:r>
              <w:rPr>
                <w:rFonts w:ascii="Arial" w:cs="Arial" w:eastAsia="Arial" w:hAnsi="Arial"/>
                <w:sz w:val="14"/>
                <w:szCs w:val="14"/>
                <w:b w:val="1"/>
                <w:bCs w:val="1"/>
                <w:color w:val="auto"/>
              </w:rPr>
              <w:t>Six Months Ended June 30, 2025</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Class A</w:t>
            </w:r>
          </w:p>
        </w:tc>
        <w:tc>
          <w:tcPr>
            <w:tcW w:w="1120" w:type="dxa"/>
            <w:vAlign w:val="bottom"/>
          </w:tcPr>
          <w:p>
            <w:pPr>
              <w:ind w:left="620"/>
              <w:spacing w:after="0"/>
              <w:rPr>
                <w:sz w:val="20"/>
                <w:szCs w:val="20"/>
                <w:color w:val="auto"/>
              </w:rPr>
            </w:pPr>
            <w:r>
              <w:rPr>
                <w:rFonts w:ascii="Arial" w:cs="Arial" w:eastAsia="Arial" w:hAnsi="Arial"/>
                <w:sz w:val="14"/>
                <w:szCs w:val="14"/>
                <w:b w:val="1"/>
                <w:bCs w:val="1"/>
                <w:color w:val="auto"/>
              </w:rPr>
              <w:t>LT10</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LT50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215"/>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7"/>
                <w:szCs w:val="17"/>
                <w:color w:val="auto"/>
              </w:rPr>
            </w:pPr>
          </w:p>
        </w:tc>
      </w:tr>
      <w:tr>
        <w:trPr>
          <w:trHeight w:val="224"/>
        </w:trPr>
        <w:tc>
          <w:tcPr>
            <w:tcW w:w="4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stock options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1,913,124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1,913,124</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Matching Plan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38,461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38,461</w:t>
            </w:r>
          </w:p>
        </w:tc>
        <w:tc>
          <w:tcPr>
            <w:tcW w:w="20" w:type="dxa"/>
            <w:vAlign w:val="bottom"/>
          </w:tcPr>
          <w:p>
            <w:pPr>
              <w:spacing w:after="0"/>
              <w:rPr>
                <w:sz w:val="19"/>
                <w:szCs w:val="19"/>
                <w:color w:val="auto"/>
              </w:rPr>
            </w:pPr>
          </w:p>
        </w:tc>
      </w:tr>
      <w:tr>
        <w:trPr>
          <w:trHeight w:val="248"/>
        </w:trPr>
        <w:tc>
          <w:tcPr>
            <w:tcW w:w="4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1,951,585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gridSpan w:val="4"/>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52"/>
        </w:trPr>
        <w:tc>
          <w:tcPr>
            <w:tcW w:w="4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02"/>
        </w:trPr>
        <w:tc>
          <w:tcPr>
            <w:tcW w:w="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center"/>
              <w:ind w:left="268"/>
              <w:spacing w:after="0"/>
              <w:rPr>
                <w:sz w:val="20"/>
                <w:szCs w:val="20"/>
                <w:color w:val="auto"/>
              </w:rPr>
            </w:pPr>
            <w:r>
              <w:rPr>
                <w:rFonts w:ascii="Arial" w:cs="Arial" w:eastAsia="Arial" w:hAnsi="Arial"/>
                <w:sz w:val="14"/>
                <w:szCs w:val="14"/>
                <w:b w:val="1"/>
                <w:bCs w:val="1"/>
                <w:color w:val="auto"/>
              </w:rPr>
              <w:t>Six Months Ended June 30, 2024</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Class A</w:t>
            </w:r>
          </w:p>
        </w:tc>
        <w:tc>
          <w:tcPr>
            <w:tcW w:w="1120" w:type="dxa"/>
            <w:vAlign w:val="bottom"/>
          </w:tcPr>
          <w:p>
            <w:pPr>
              <w:ind w:left="620"/>
              <w:spacing w:after="0"/>
              <w:rPr>
                <w:sz w:val="20"/>
                <w:szCs w:val="20"/>
                <w:color w:val="auto"/>
              </w:rPr>
            </w:pPr>
            <w:r>
              <w:rPr>
                <w:rFonts w:ascii="Arial" w:cs="Arial" w:eastAsia="Arial" w:hAnsi="Arial"/>
                <w:sz w:val="14"/>
                <w:szCs w:val="14"/>
                <w:b w:val="1"/>
                <w:bCs w:val="1"/>
                <w:color w:val="auto"/>
              </w:rPr>
              <w:t>LT10</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LT50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215"/>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7"/>
                <w:szCs w:val="17"/>
                <w:color w:val="auto"/>
              </w:rPr>
            </w:pPr>
          </w:p>
        </w:tc>
      </w:tr>
      <w:tr>
        <w:trPr>
          <w:trHeight w:val="224"/>
        </w:trPr>
        <w:tc>
          <w:tcPr>
            <w:tcW w:w="4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stock options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1,283,359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1,283,359</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Matching Plan shares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7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8"/>
        </w:trPr>
        <w:tc>
          <w:tcPr>
            <w:tcW w:w="4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1,283,359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8 - EQUITY</w:t>
      </w:r>
    </w:p>
    <w:p>
      <w:pPr>
        <w:spacing w:after="0" w:line="1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May 10, 2022, the Executive Committee of the Board of Directors (the "Executive Committee") approved a share repurchase program with authorization to purchase up to $50.0 million of shares of Class A common stock ("2022 Share Repurchase Program"). The 2022 Share Repurchase Program authorized the Company to repurchase shares from time to time through open market purchases, in privately negotiated transactions or by other means, including the use of trading plans intended to qualify under Rule 10b5-1 of the Securities Exchange Act of 1934, as amended (the "Exchange Act"), in accordance with applicable securities laws and other restrictions. The actual timing, manner, price and total amount of repurchases was dependent on a variety of factors, including business, economic and market conditions, corporate and regulatory requirements, prevailing stock prices, restrictions under the terms of loan agreements and other considerations. The 2022 Share Repurchase Program did not obligate the Company to acquire any particular amount of Class A common stock, and the Company was permitted to suspend or terminate the program at any time at its discretion without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03D47C"/>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25, 2025, the Executive Committee approved a new share repurchase program with authorization to purchase up to $50.0 million of shares of Class A common stock ("2025 Share Repurchase Program"). The 2025 Share Repurchase Program replaced the 2022 Share Repurchase Program, which would have expired in March 2025. Under the 2025 Share Repurchase Program, the Company may repurchase shares from time to time through open market purchases, in privately negotiated transactions or by other means, including through the use of trading plans intended to qualify under Rule 10b5-1 under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our loan agreements and other considerations. The 2025 Share Repurchase Program does not obligate the Company to acquire any particular amount of Class A common stock, and the program may be suspended or terminated at any time by the Company at any time at its discretion without prior notice.</w:t>
      </w:r>
    </w:p>
    <w:p>
      <w:pPr>
        <w:spacing w:after="0" w:line="11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During both the three and six months ended June 30, 2025, the Company repurchased 1,285,336 shares of Class A common stock under the 2025 Share Repurchase Program, at a total cost to the Company of $3.0 million.</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both the three and six months ended June 30, 2024, the Company did not repurchase any shares of Class A common stock under the 2022 Share Repurchase Program.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the Company had $47.0 million remaining under the share repurchase authorization.</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9 - RELATED PARTY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related party transactions for the Company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20"/>
        <w:spacing w:after="0" w:line="288" w:lineRule="auto"/>
        <w:rPr>
          <w:sz w:val="20"/>
          <w:szCs w:val="20"/>
          <w:color w:val="auto"/>
        </w:rPr>
      </w:pPr>
      <w:r>
        <w:rPr>
          <w:rFonts w:ascii="Arial" w:cs="Arial" w:eastAsia="Arial" w:hAnsi="Arial"/>
          <w:sz w:val="29"/>
          <w:szCs w:val="29"/>
          <w:b w:val="1"/>
          <w:bCs w:val="1"/>
          <w:color w:val="002E22"/>
        </w:rPr>
        <w:t>Item 2. Management's Discussion and Analysis of Financial Condition and Results of Operations</w:t>
      </w:r>
    </w:p>
    <w:p>
      <w:pPr>
        <w:spacing w:after="0" w:line="5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December 31, 2024 ("2024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2024 Annual Report and included elsewhere in this Quarterly Report on Form 10-Q. See "Special Note Regarding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OVERVIEW</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1.8 billion expense transactions on our platform as of June 30, 2025, freeing people to spend less time managing expenses and more time doing the things they love. For the quarter ended June 30, 2025, an average of 652,000 paid members across an average of 42,800 companies and over 200 countries and territories used Expensify to make money easy.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MACROECONOMIC TRENDS</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business and the operations of our customers, the majority of which are small and medium-sized businesses, depend on the overall state of the economy, and we and they could be negatively impacted by slower economic growth and a potential for a recession. Although certain indicators have suggested that inflation has made downward progress, the economy continues to be impacted by elevated inflation rates and faces further inflation risk. Tariff and trade issues also continue to cause overall uncertainty with respect to the economy. See Part II, Item 1A. “Risk Factors” in this Quarterly Report on Form 10-Q and Part I, Item 1A. "Risk Factors" in our 2024 Annual Report for further discussion of the possible impact of such macroeconomic trends on our business. Additionally, other potential challenging macroeconomic conditions, and the resulting impact on business continuity and travel,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Components of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generate revenue from subscription fees based on the usage of our cloud-based expense management software platform under arrangements paid monthly in arrears that are either (i) month-to-month and can be terminated by either party without penalty at any time or</w:t>
      </w:r>
    </w:p>
    <w:p>
      <w:pPr>
        <w:ind w:right="20" w:firstLine="8"/>
        <w:spacing w:after="0" w:line="253" w:lineRule="auto"/>
        <w:tabs>
          <w:tab w:leader="none" w:pos="25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for customers on bespoke service contracts.</w:t>
      </w:r>
    </w:p>
    <w:p>
      <w:pPr>
        <w:spacing w:after="0" w:line="10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June 30, 2025, the Expensify Card substantially consisted of a single card program that launched in February 2024 (the "Updated Card Program"). The Updated Card Program operates under an agreement with the issuing bank, The Bancorp Bank, N.A. ("Bancorp"), to issue Expensify Cards to customers and authorize and settle transactions on the Visa card network.</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Updated Card Program, we generate revenue from the authorization and settlement of Expensify Card transactions and are contractually entitled to all interchange generated on Expensify Card transactions based on our agreement with Bancorp. We are the principal in the transaction and recognize interchange as revenue on a gross basis within Revenue on the accompanying Condensed Consolidated Statements of Operations. Interchange revenue was $5.3 million and $10.3 million for the three and six months ended June 30, 2025, respectively. Interchange revenue was $0.5 million for both the three and six months ended June 30, 2024.</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offer a cashback rewards program to all customers on the Updated Card Program based on volume of Expensify Card transactions. Cashback rewards are earned on a monthly basis and are applied against outstanding customer receivables or are paid out the following month. We consider our cashback rewards as consideration payable to a customer, and they are recorded as contra revenue within Revenue on the Condensed Consolidated Statements of Operations. Cashback rewards applied against outstanding customer receivables are reflected as a reduction to Accounts receivable, net on the Condensed Consolidated Balance Sheets. Cashback rewards liability is recorded within Accrued expenses and other liabilities on the Condensed Consolidated Balance Sheets. The cashback rewards fluctuate over time as customers meet eligibility requirements and based on the timing of payments made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w:t>
      </w:r>
    </w:p>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Cost of revenue, net primarily consists of expenses related to hosting our service, including the costs of data center capacity, credit card processing fees, third-party software license fees, outsourcing engineering costs to maintain our platform, outsourcing costs to support customer service and outsourcing costs to support our patented scanning technology SmartScan, net of consideration from a vendor under the Updated Card Program for certain volume-based incentives from Visa and consideration from a vendor under our previous card program (the "Legacy Card Program"), which an immaterial number of cardholders continue to operate within, for monetizing Expensify Card activities. Additional costs include amortization of finance right-of-use assets, amortization expense on capitalized software development costs and personnel-related expenses, including stock-based compensation and employee costs attributable to supporting our customers and maintenance of our platform.</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Legacy Card Program operates under an agreement with the payment processor, Marqeta, Inc. ("Marqeta"), and relies on Marqeta to manage the relationship with the issuing bank, Sutton Bank, and the card network, Visa, in authorizing and settling transactions.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This consideration, net of fees paid to the vendor, is included as a reduction to Cost of revenue, net on the accompanying Condensed Consolidated Statements of Operations as it is earned. Consideration earned under the Legacy Card Program, net was immaterial for both the three and six months ended June 30, 2025. Consideration earned under the Legacy Card Program was $3.1 million, net of $0.4 million of fees paid to the vendor, for the three months ended June 30, 2024. Consideration earned under the Legacy Card Program was $6.3 million, net of $0.7 million of fees paid to the vendor, for the six months ended June 30, 2024.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OPERATING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and external contributor costs incurred related to the planning and preliminary project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any employee time allocated to administrative functions, including finance and accounting, legal and compliance, and human resources. In addition to personnel-related expenses, general and administrative expenses consist of business insurance, rent, utilities, depreciation, amortization of operating right-of-use assets, information technology and external professional services, including finance and accounting, audit, tax, legal and compliance,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4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Sales and marketing expenses primarily consist of personnel-related expenses, including stock-based compensation, advertising expenses, depreciation, outsourcing costs for sales and product demos, branding and public relations expenses, referral fees for strategic partners and other benefits that we provide to our referral and affiliate partners. We expect sales and marketing expenses to decrease on a quarter-over-quarter basis as a result of a one-time charge recognized in the second quarter of 2025 related to our title sponsorship of </w:t>
      </w:r>
      <w:r>
        <w:rPr>
          <w:rFonts w:ascii="Arial" w:cs="Arial" w:eastAsia="Arial" w:hAnsi="Arial"/>
          <w:sz w:val="18"/>
          <w:szCs w:val="18"/>
          <w:i w:val="1"/>
          <w:iCs w:val="1"/>
          <w:color w:val="auto"/>
        </w:rPr>
        <w:t>F1® The Movie</w:t>
      </w:r>
      <w:r>
        <w:rPr>
          <w:rFonts w:ascii="Arial" w:cs="Arial" w:eastAsia="Arial" w:hAnsi="Arial"/>
          <w:sz w:val="18"/>
          <w:szCs w:val="18"/>
          <w:color w:val="auto"/>
        </w:rPr>
        <w:t>, which was released in theaters in June 2025.</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 Net</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income (expenses), net, consists of the results of operations of our Fifth &amp; Harvey, LLC subsidiary, which holds title to and manages operations of the operating lease for lots in Portland, Oregon that are currently used to host multiple portable food vendors open to the general public, as well as interest income, realized gains and losses on foreign currency transactions, foreign currency remeasurement, and interest paid under our credit facilities with Canadian Imperial Bank of Commerce ("CIBC"). See “Liquidity and Capital Resources—Credit Facilities.”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1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4, 2025, H.R.1 was enacted into law, which includes provisions modifying the corporate income tax code, including the immediate expensing of domestic research and development expenditures for tax purposes, 100% bonus depreciation for qualified assets, and an increase in the statutory tax rate on foreign earnings from 10.5% to 12.6%. The legislation has multiple effective dates, with certain provisions effective for the 2025 tax year and others being implemented through 2027. We are currently evaluating the potential tax impacts of these provisions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Results of Operations</w:t>
      </w:r>
    </w:p>
    <w:p>
      <w:pPr>
        <w:spacing w:after="0" w:line="16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each of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340" w:type="dxa"/>
            <w:vAlign w:val="bottom"/>
            <w:gridSpan w:val="9"/>
          </w:tcPr>
          <w:p>
            <w:pPr>
              <w:jc w:val="right"/>
              <w:ind w:right="10"/>
              <w:spacing w:after="0"/>
              <w:rPr>
                <w:sz w:val="20"/>
                <w:szCs w:val="20"/>
                <w:color w:val="auto"/>
              </w:rPr>
            </w:pPr>
            <w:r>
              <w:rPr>
                <w:rFonts w:ascii="Arial" w:cs="Arial" w:eastAsia="Arial" w:hAnsi="Arial"/>
                <w:sz w:val="14"/>
                <w:szCs w:val="14"/>
                <w:b w:val="1"/>
                <w:bCs w:val="1"/>
                <w:color w:val="auto"/>
              </w:rPr>
              <w:t>(in thousands, except percentages, share and per share data)</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35,764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33,288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71,838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66,823</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17,187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14,363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35,019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28,947</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18,577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18,925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36,819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37,876</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12,318</w:t>
            </w:r>
          </w:p>
        </w:tc>
        <w:tc>
          <w:tcPr>
            <w:tcW w:w="0" w:type="dxa"/>
            <w:vAlign w:val="bottom"/>
          </w:tcPr>
          <w:p>
            <w:pPr>
              <w:spacing w:after="0"/>
              <w:rPr>
                <w:sz w:val="1"/>
                <w:szCs w:val="1"/>
                <w:color w:val="auto"/>
              </w:rPr>
            </w:pPr>
          </w:p>
        </w:tc>
      </w:tr>
      <w:tr>
        <w:trPr>
          <w:trHeight w:val="229"/>
        </w:trPr>
        <w:tc>
          <w:tcPr>
            <w:tcW w:w="4320" w:type="dxa"/>
            <w:vAlign w:val="bottom"/>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9,411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20,240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20,676</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14,346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17,888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28,915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18,706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48,644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39,450</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(10,338)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(11,825)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(expenses), net</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889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(9,449)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(10,612)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661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(8,788)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(11,957)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84"/>
        </w:trPr>
        <w:tc>
          <w:tcPr>
            <w:tcW w:w="432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shares of common stock used to</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320" w:type="dxa"/>
            <w:vAlign w:val="bottom"/>
          </w:tcPr>
          <w:p>
            <w:pPr>
              <w:ind w:left="180"/>
              <w:spacing w:after="0"/>
              <w:rPr>
                <w:sz w:val="20"/>
                <w:szCs w:val="20"/>
                <w:color w:val="auto"/>
              </w:rPr>
            </w:pPr>
            <w:r>
              <w:rPr>
                <w:rFonts w:ascii="Arial" w:cs="Arial" w:eastAsia="Arial" w:hAnsi="Arial"/>
                <w:sz w:val="18"/>
                <w:szCs w:val="18"/>
                <w:color w:val="auto"/>
              </w:rPr>
              <w:t>compute net loss per share:</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92,271,924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86,593,955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91,888,633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85,867,683</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4800" w:type="dxa"/>
            <w:vAlign w:val="bottom"/>
            <w:tcBorders>
              <w:top w:val="single" w:sz="8" w:color="auto"/>
            </w:tcBorders>
          </w:tcPr>
          <w:p>
            <w:pPr>
              <w:spacing w:after="0"/>
              <w:rPr>
                <w:sz w:val="19"/>
                <w:szCs w:val="19"/>
                <w:color w:val="auto"/>
              </w:rPr>
            </w:pPr>
          </w:p>
        </w:tc>
        <w:tc>
          <w:tcPr>
            <w:tcW w:w="2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00" w:type="dxa"/>
            <w:vAlign w:val="bottom"/>
          </w:tcPr>
          <w:p>
            <w:pPr>
              <w:spacing w:after="0"/>
              <w:rPr>
                <w:sz w:val="17"/>
                <w:szCs w:val="17"/>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r>
      <w:tr>
        <w:trPr>
          <w:trHeight w:val="196"/>
        </w:trPr>
        <w:tc>
          <w:tcPr>
            <w:tcW w:w="4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0"/>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 net</w:t>
            </w:r>
          </w:p>
        </w:tc>
        <w:tc>
          <w:tcPr>
            <w:tcW w:w="960" w:type="dxa"/>
            <w:vAlign w:val="bottom"/>
            <w:shd w:val="clear" w:color="auto" w:fill="CCEEFF"/>
          </w:tcPr>
          <w:p>
            <w:pPr>
              <w:jc w:val="right"/>
              <w:ind w:right="813"/>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2,770</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4"/>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2,886</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5,818</w:t>
            </w:r>
          </w:p>
        </w:tc>
      </w:tr>
      <w:tr>
        <w:trPr>
          <w:trHeight w:val="183"/>
        </w:trPr>
        <w:tc>
          <w:tcPr>
            <w:tcW w:w="480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2,018</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3,144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5,894</w:t>
            </w:r>
          </w:p>
        </w:tc>
      </w:tr>
      <w:tr>
        <w:trPr>
          <w:trHeight w:val="195"/>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3,405</w:t>
            </w:r>
          </w:p>
        </w:tc>
      </w:tr>
      <w:tr>
        <w:trPr>
          <w:trHeight w:val="18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Sales and marketing</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961</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788</w:t>
            </w:r>
          </w:p>
        </w:tc>
      </w:tr>
      <w:tr>
        <w:trPr>
          <w:trHeight w:val="20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stock-based compensation expense</w:t>
            </w:r>
          </w:p>
        </w:tc>
        <w:tc>
          <w:tcPr>
            <w:tcW w:w="96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6,927</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8,381</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14,917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15,905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COMPARISON OF THE THREE MONTHS ENDED JUNE 30, 2025 AND 2024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35,764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33,288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2,476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54"/>
        </w:trPr>
        <w:tc>
          <w:tcPr>
            <w:tcW w:w="4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increased by $2.5 million, or 7%, for the three months ended June 30, 2025 compared to the same period in 2024, primarily due to an increase in interchange revenue driven primarily by a shift in cardholder spend from the Legacy Card Program to the Updated Card Program. This increase was partially offset by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96"/>
        </w:trPr>
        <w:tc>
          <w:tcPr>
            <w:tcW w:w="4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40" w:type="dxa"/>
            <w:vAlign w:val="bottom"/>
            <w:gridSpan w:val="4"/>
          </w:tcPr>
          <w:p>
            <w:pPr>
              <w:jc w:val="right"/>
              <w:ind w:right="999"/>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7"/>
                <w:szCs w:val="17"/>
                <w:color w:val="auto"/>
              </w:rPr>
            </w:pPr>
          </w:p>
        </w:tc>
      </w:tr>
      <w:tr>
        <w:trPr>
          <w:trHeight w:val="231"/>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17,187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14,363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2,824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7"/>
              <w:spacing w:after="0"/>
              <w:rPr>
                <w:sz w:val="20"/>
                <w:szCs w:val="20"/>
                <w:color w:val="auto"/>
              </w:rPr>
            </w:pPr>
            <w:r>
              <w:rPr>
                <w:rFonts w:ascii="Arial" w:cs="Arial" w:eastAsia="Arial" w:hAnsi="Arial"/>
                <w:sz w:val="18"/>
                <w:szCs w:val="18"/>
                <w:color w:val="auto"/>
              </w:rPr>
              <w:t>18,577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18,925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559"/>
              <w:spacing w:after="0"/>
              <w:rPr>
                <w:sz w:val="20"/>
                <w:szCs w:val="20"/>
                <w:color w:val="auto"/>
              </w:rPr>
            </w:pPr>
            <w:r>
              <w:rPr>
                <w:rFonts w:ascii="Arial" w:cs="Arial" w:eastAsia="Arial" w:hAnsi="Arial"/>
                <w:sz w:val="18"/>
                <w:szCs w:val="18"/>
                <w:color w:val="auto"/>
              </w:rPr>
              <w:t>(348)</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Cost of revenue, net increased by $2.8 million, or 20%, for the three months ended June 30, 2025 compared to the same period in 2024. Cost of revenue, net increased primarily due to a decrease in consideration earned under the Legacy Card Program driven primarily by a shift in cardholder spend from the Legacy Card Program to the Updated Card Program, partially offset by a decrease in SmartScan costs due to increased use of artificial intelligence ("AI") instead of human agents.</w:t>
      </w:r>
    </w:p>
    <w:p>
      <w:pPr>
        <w:spacing w:after="0" w:line="10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Gross margin decreased to 52% for the three months ended June 30, 2025 compared to 57% in the same period in 2024 due to the factors described in the preceding paragraphs for Revenue and Cost of revenue, net.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OPERATING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Borders>
              <w:top w:val="single" w:sz="8" w:color="auto"/>
            </w:tcBorders>
          </w:tcPr>
          <w:p>
            <w:pPr>
              <w:spacing w:after="0"/>
              <w:rPr>
                <w:sz w:val="19"/>
                <w:szCs w:val="19"/>
                <w:color w:val="auto"/>
              </w:rPr>
            </w:pPr>
          </w:p>
        </w:tc>
        <w:tc>
          <w:tcPr>
            <w:tcW w:w="2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gridSpan w:val="5"/>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0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(1,231)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54"/>
        </w:trPr>
        <w:tc>
          <w:tcPr>
            <w:tcW w:w="46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Research and development expenses decreased by $1.2 million, or 19%, for the three months ended June 30, 2025 compared to the same period in 2024, primarily due to a decrease in internal employee and external contributor time spent on project initiatives and new product features as a result of increased focus on sales and marketing efforts related to our title sponsorship of </w:t>
      </w:r>
      <w:r>
        <w:rPr>
          <w:rFonts w:ascii="Arial" w:cs="Arial" w:eastAsia="Arial" w:hAnsi="Arial"/>
          <w:sz w:val="18"/>
          <w:szCs w:val="18"/>
          <w:i w:val="1"/>
          <w:iCs w:val="1"/>
          <w:color w:val="auto"/>
        </w:rPr>
        <w:t>F1® The Movie</w:t>
      </w:r>
      <w:r>
        <w:rPr>
          <w:rFonts w:ascii="Arial" w:cs="Arial" w:eastAsia="Arial" w:hAnsi="Arial"/>
          <w:sz w:val="18"/>
          <w:szCs w:val="18"/>
          <w:color w:val="auto"/>
        </w:rPr>
        <w:t>, which was released in theaters in 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1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9,411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9,245</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166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54"/>
        </w:trPr>
        <w:tc>
          <w:tcPr>
            <w:tcW w:w="4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General and administrative expenses increased by $ 0.2 million, or 2%, for the three months ended June 30, 2025 compared to the same period in 2024. There were no significant changes in General and administrative expense period-over-period.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8"/>
                <w:szCs w:val="18"/>
                <w:color w:val="auto"/>
              </w:rPr>
            </w:pPr>
          </w:p>
        </w:tc>
      </w:tr>
      <w:tr>
        <w:trPr>
          <w:trHeight w:val="223"/>
        </w:trPr>
        <w:tc>
          <w:tcPr>
            <w:tcW w:w="4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920" w:type="dxa"/>
            <w:vAlign w:val="bottom"/>
            <w:gridSpan w:val="5"/>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14,346</w:t>
            </w:r>
          </w:p>
        </w:tc>
        <w:tc>
          <w:tcPr>
            <w:tcW w:w="10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11,274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367 %</w:t>
            </w:r>
          </w:p>
        </w:tc>
      </w:tr>
      <w:tr>
        <w:trPr>
          <w:trHeight w:val="54"/>
        </w:trPr>
        <w:tc>
          <w:tcPr>
            <w:tcW w:w="46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Sales and marketing expenses increased by $11.3 million, or 367%, for the three months ended June 30, 2025 compared to the same period in 2024, primarily due to an increase in advertising spend related to our title sponsorship of </w:t>
      </w:r>
      <w:r>
        <w:rPr>
          <w:rFonts w:ascii="Arial" w:cs="Arial" w:eastAsia="Arial" w:hAnsi="Arial"/>
          <w:sz w:val="18"/>
          <w:szCs w:val="18"/>
          <w:i w:val="1"/>
          <w:iCs w:val="1"/>
          <w:color w:val="auto"/>
        </w:rPr>
        <w:t>F1® The Movie</w:t>
      </w:r>
      <w:r>
        <w:rPr>
          <w:rFonts w:ascii="Arial" w:cs="Arial" w:eastAsia="Arial" w:hAnsi="Arial"/>
          <w:sz w:val="18"/>
          <w:szCs w:val="18"/>
          <w:color w:val="auto"/>
        </w:rPr>
        <w:t>, which was released in theaters in June 2025.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20" w:type="dxa"/>
            <w:vAlign w:val="bottom"/>
            <w:gridSpan w:val="5"/>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12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(260)  $</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1,149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54"/>
        </w:trPr>
        <w:tc>
          <w:tcPr>
            <w:tcW w:w="46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Other income (expenses), net changed by $1.1 million, or 442%, for the three months ended June 30, 2025 compared to the same period in 2024, primarily due to period-over-period favorability in net foreign currency gains/losses and a decrease in interest expense incurred due to the repayments of the revolving line of credit and amortizing term mortgage discussed below under “—Liquidity and Capital Resources— 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661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3,384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54"/>
        </w:trPr>
        <w:tc>
          <w:tcPr>
            <w:tcW w:w="4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recorded a benefit from income taxes of $0.7 million during the three months ended June 30, 2025 compared to a provision for income taxes of $2.7 million for the same period in 2024.</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three months ended June 30, 2025 and 2024, our effective income tax rate was 7.0% and (6641.5)%, respectively. The effective income tax rate differs from the statutory rate in 2025 and 2024 primarily due to non-deductible stock-based compensation and the change in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COMPARISON OF THE SIX MONTHS ENDED JUNE 30, 2025 AND 2024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71,838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66,823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5,015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increased by $5.0 million, or 8%, for the six months ended June 30, 2025 compared to the same period in 2024, primarily due to an increase in interchange revenue driven primarily by a shift in cardholder spend from the Legacy Card Program to the Updated Card Program. This increase was partially offset by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ind w:left="1060"/>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96"/>
        </w:trPr>
        <w:tc>
          <w:tcPr>
            <w:tcW w:w="4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4"/>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7"/>
                <w:szCs w:val="17"/>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35,019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28,947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6,072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97"/>
              <w:spacing w:after="0"/>
              <w:rPr>
                <w:sz w:val="20"/>
                <w:szCs w:val="20"/>
                <w:color w:val="auto"/>
              </w:rPr>
            </w:pPr>
            <w:r>
              <w:rPr>
                <w:rFonts w:ascii="Arial" w:cs="Arial" w:eastAsia="Arial" w:hAnsi="Arial"/>
                <w:sz w:val="18"/>
                <w:szCs w:val="18"/>
                <w:color w:val="auto"/>
              </w:rPr>
              <w:t>36,819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37,876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559"/>
              <w:spacing w:after="0"/>
              <w:rPr>
                <w:sz w:val="20"/>
                <w:szCs w:val="20"/>
                <w:color w:val="auto"/>
              </w:rPr>
            </w:pPr>
            <w:r>
              <w:rPr>
                <w:rFonts w:ascii="Arial" w:cs="Arial" w:eastAsia="Arial" w:hAnsi="Arial"/>
                <w:sz w:val="18"/>
                <w:szCs w:val="18"/>
                <w:color w:val="auto"/>
              </w:rPr>
              <w:t>(1,057)</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Cost of revenue, net increased by $6.1 million, or 21%, for the six months ended June 30, 2025 compared to the same period in 2024. Cost of revenue, net increased primarily due to (i) a decrease in consideration earned under the Legacy Card Program driven primarily by a shift in cardholder spend from the Legacy Card Program to the Updated Card Program, and (ii) an increase in payment processing fees. These were partially offset by a decrease in SmartScan costs due to increased use of AI instead of human agents.</w:t>
      </w:r>
    </w:p>
    <w:p>
      <w:pPr>
        <w:spacing w:after="0" w:line="10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Gross margin decreased to 51% for the six months ended June 30, 2025 compared to 57% in the same period in 2024 due to the factors described in the preceding paragraphs for Revenue and Cost of revenue, net.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10,516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12,318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(1,802)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54"/>
        </w:trPr>
        <w:tc>
          <w:tcPr>
            <w:tcW w:w="4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Research and development expenses decreased by $1.8 million, or 15%, for the six months ended June 30, 2025 compared to the same period in 2024, primarily due to a decrease in internal employee and external contributor time spent on project initiatives and new product features as a result of increased focus on sales and marketing efforts related to our title sponsorship of </w:t>
      </w:r>
      <w:r>
        <w:rPr>
          <w:rFonts w:ascii="Arial" w:cs="Arial" w:eastAsia="Arial" w:hAnsi="Arial"/>
          <w:sz w:val="18"/>
          <w:szCs w:val="18"/>
          <w:i w:val="1"/>
          <w:iCs w:val="1"/>
          <w:color w:val="auto"/>
        </w:rPr>
        <w:t>F1® The Movie</w:t>
      </w:r>
      <w:r>
        <w:rPr>
          <w:rFonts w:ascii="Arial" w:cs="Arial" w:eastAsia="Arial" w:hAnsi="Arial"/>
          <w:sz w:val="18"/>
          <w:szCs w:val="18"/>
          <w:color w:val="auto"/>
        </w:rPr>
        <w:t>, which was released in theaters in 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20,240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20,676</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(436)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General and administrative expenses decreased by $0.4 million, or 2%, for the six months ended June 30, 2025 compared to the same period in 2024. There were no significant changes in General and administrative expense period-over-period.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8"/>
                <w:szCs w:val="18"/>
                <w:color w:val="auto"/>
              </w:rPr>
            </w:pPr>
          </w:p>
        </w:tc>
      </w:tr>
      <w:tr>
        <w:trPr>
          <w:trHeight w:val="223"/>
        </w:trPr>
        <w:tc>
          <w:tcPr>
            <w:tcW w:w="4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920" w:type="dxa"/>
            <w:vAlign w:val="bottom"/>
            <w:gridSpan w:val="5"/>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17,888</w:t>
            </w:r>
          </w:p>
        </w:tc>
        <w:tc>
          <w:tcPr>
            <w:tcW w:w="10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11,432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r>
      <w:tr>
        <w:trPr>
          <w:trHeight w:val="54"/>
        </w:trPr>
        <w:tc>
          <w:tcPr>
            <w:tcW w:w="4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Sales and marketing expenses increased by $11.4 million, or 177%, for the six months ended June 30, 2025 compared to the same period in 2024, primarily due to an increase in advertising spend related to our title sponsorship of </w:t>
      </w:r>
      <w:r>
        <w:rPr>
          <w:rFonts w:ascii="Arial" w:cs="Arial" w:eastAsia="Arial" w:hAnsi="Arial"/>
          <w:sz w:val="18"/>
          <w:szCs w:val="18"/>
          <w:i w:val="1"/>
          <w:iCs w:val="1"/>
          <w:color w:val="auto"/>
        </w:rPr>
        <w:t>F1® The Movie</w:t>
      </w:r>
      <w:r>
        <w:rPr>
          <w:rFonts w:ascii="Arial" w:cs="Arial" w:eastAsia="Arial" w:hAnsi="Arial"/>
          <w:sz w:val="18"/>
          <w:szCs w:val="18"/>
          <w:color w:val="auto"/>
        </w:rPr>
        <w:t>, which was released in theaters in June 2025.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1,213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2,427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54"/>
        </w:trPr>
        <w:tc>
          <w:tcPr>
            <w:tcW w:w="4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Other income (expenses), net changed by $2.4 million, or 200%, for the six months ended June 30, 2025 compared to the same period in 2024, primarily due to period-over-period favorability in net foreign currency gains/losses and a decrease in interest expense incurred due to the repayments of the revolving line of credit and amortizing term mortgage discussed below under “Liquidity and Capital Resources—Credit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(1,345)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2,412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54"/>
        </w:trPr>
        <w:tc>
          <w:tcPr>
            <w:tcW w:w="4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recorded a provision for income taxes of $1.3 million during the six months ended June 30, 2025 compared to a provision for income taxes of $3.8 million for the same period in 2024.</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effective income tax rate was (12.7)% and (134.8)% during the six months ended June 30, 2025 and 2024, respectively. The effective income tax rate differs from the statutory rate in 2025 and 2024 primarily due to non-deductible stock-based compensation and the change in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Liquidity and Capital Resources</w:t>
      </w:r>
    </w:p>
    <w:p>
      <w:pPr>
        <w:spacing w:after="0" w:line="168"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Since our inception, we have financed our operations primarily through our cash flow from operations, sales of our equity securities and borrowings under our credit facilities. As of June 30, 2025, we had $60.5 million in cash and cash equivalents, with no outstanding indebtedness and $17.5 million of capacity available for additional borrowings under our revolving line of credit, which we subsequently terminated on July 1, 2025. Our $7.5 million letter of credit remains outstanding.</w:t>
      </w:r>
    </w:p>
    <w:p>
      <w:pPr>
        <w:spacing w:after="0" w:line="10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for the foreseeable future.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Borders>
              <w:top w:val="single" w:sz="8" w:color="auto"/>
            </w:tcBorders>
          </w:tcPr>
          <w:p>
            <w:pPr>
              <w:spacing w:after="0"/>
              <w:rPr>
                <w:sz w:val="19"/>
                <w:szCs w:val="19"/>
                <w:color w:val="auto"/>
              </w:rPr>
            </w:pPr>
          </w:p>
        </w:tc>
        <w:tc>
          <w:tcPr>
            <w:tcW w:w="2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196"/>
        </w:trPr>
        <w:tc>
          <w:tcPr>
            <w:tcW w:w="79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96"/>
        </w:trPr>
        <w:tc>
          <w:tcPr>
            <w:tcW w:w="7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13,721</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12,788</w:t>
            </w:r>
          </w:p>
        </w:tc>
        <w:tc>
          <w:tcPr>
            <w:tcW w:w="100" w:type="dxa"/>
            <w:vAlign w:val="bottom"/>
            <w:shd w:val="clear" w:color="auto" w:fill="CCEEFF"/>
          </w:tcPr>
          <w:p>
            <w:pPr>
              <w:spacing w:after="0"/>
              <w:rPr>
                <w:sz w:val="20"/>
                <w:szCs w:val="20"/>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CCEEFF"/>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11,594</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9,737</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 FROM OPERATING ACTIVITIES</w:t>
      </w:r>
    </w:p>
    <w:p>
      <w:pPr>
        <w:spacing w:after="0" w:line="15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Net cash provided by operating activities was $ 13.7 million for the six months ended June 30, 2025 compared to $12.8 million for the same period in 2024. The increase was primarily due to an increase in interchange revenue driven by the increased adoption and spend captured from members using the Expensify Card and a decrease in SmartScan costs, partially offset by a decrease in subscription revenue and an increase in marketing and advertising spend related to our title sponsorship of </w:t>
      </w:r>
      <w:r>
        <w:rPr>
          <w:rFonts w:ascii="Arial" w:cs="Arial" w:eastAsia="Arial" w:hAnsi="Arial"/>
          <w:sz w:val="18"/>
          <w:szCs w:val="18"/>
          <w:i w:val="1"/>
          <w:iCs w:val="1"/>
          <w:color w:val="auto"/>
        </w:rPr>
        <w:t>F1® The Movie</w:t>
      </w:r>
      <w:r>
        <w:rPr>
          <w:rFonts w:ascii="Arial" w:cs="Arial" w:eastAsia="Arial" w:hAnsi="Arial"/>
          <w:sz w:val="18"/>
          <w:szCs w:val="18"/>
          <w:color w:val="auto"/>
        </w:rPr>
        <w:t>, which was released in theaters in June 2025.</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 FROM INVESTING ACTIVITIES</w:t>
      </w:r>
    </w:p>
    <w:p>
      <w:pPr>
        <w:spacing w:after="0" w:line="15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Net cash used in investing activities was $1.7 million for the six months ended June 30, 2025, primarily consisting of software development costs.</w:t>
      </w:r>
    </w:p>
    <w:p>
      <w:pPr>
        <w:spacing w:after="0" w:line="7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Net cash used in investing activities decreased for the six months ended June 30, 2025 compared to the same period in 2024, primarily due to a decrease in employee and external contributor software development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 FROM FINANCING ACTIVITIES</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Net cash used in financing activities was $0.5 million for the six months ended June 30, 2025, primarily consisting of the repurchase and retirement of common stock, partially offset by proceeds from common stock purchased under the 2021 Stock Purchase and Matching Plan (the "Matching Plan").</w:t>
      </w:r>
    </w:p>
    <w:p>
      <w:pPr>
        <w:spacing w:after="0" w:line="9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During the six months ended June 30, 2024, net cash provided by financing activities primarily consisted of proceeds from common stock purchased under the Matching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SHARE REPURCHASE PROGRAM</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May 2022, the Executive Committee of our Board of Directors (the “Executive Committee”) approved a share repurchase program with authorization to purchase up to $50.0 million of shares of Class A common stock (“2022 Share Repurchase Program”). The 2022 Share Repurchase Program was scheduled to expire on March 31, 2025. On February 25, 2025, the Executive Committee approved a new share repurchase program with authorization to purchase up to $50.0 million of shares of Class A common stock ("2025 Share Repurchase Program") that replaced the 2022 Share Repurchase Program. Pursuant to the 2025 Share Repurchase Program, we may repurchase shares from time to time through open market purchases, in privately negotiated transactions or by other means, including the use of trading plans intended to qualify under Rule 10b5-1 of the Exchange Act,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2025 Share Repurchase Program does not obligate us to acquire any particular amount of Class A common stock, and the program may be suspended or terminated by us at any time at our discretion without prior notice. As of June 30, 2025, the Company had $47.0 million remaining under the 2025 Share Repurchase Program, not including amounts used for net share settlement of vested equity incentive awards. See Note 8 to our condensed consolidated financial statements included elsewhere in this Quarterly Report on Form 10-Q for further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CREDIT FACILITIES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Amortizing Term Mortgage</w:t>
      </w:r>
    </w:p>
    <w:p>
      <w:pPr>
        <w:spacing w:after="0" w:line="14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August 2019, we entered into an $8.3 million amortizing term mortgage agreement with CIBC for our commercial building located in Portland, Oregon. The agreement required principal and interest payments due each month over a five-year period. Interest accrued at a fixed rate of 5.00% per year until August 2024, at which point the remaining outstanding principal balance on the amortizing term mortgage was due in full. The borrowings were secured by the building. On August 29, 2024, we repaid in full the then-outstanding balance of $7.6 million and an immaterial amount of accrued interest and terminated the associated mortgage agreement with CIBC and secured promissory note. See Note 4 to our condensed consolidated financial statements included elsewhere in this Quarterly Report on Form 10-Q for further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February 2024, we entered into a Second Amended and Restated Loan and Security Agreement (as amended by the amendments described below, the "2024 Amended Loan and Security Agreement") with CIBC. The 2024 Amended Loan and Security Agreement provided for a $25.0 million revolving credit facility that was set to expire in September 2025. Borrowings under the revolving line of credit accrued interest at CIBC’s reference rate plus 1.00% and were secured by substantially all of our assets.</w:t>
      </w:r>
    </w:p>
    <w:p>
      <w:pPr>
        <w:spacing w:after="0" w:line="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April 2024, we entered into an irrevocable standby letter of credit (the "Letter of Credit") issued under the 2024 Amended Loan and Security Agreement to reduce cash collateral requirements in connection with the Updated Card Program. The Letter of Credit was issued in the amount of $1.0 million for the benefit of Bancorp. The Letter of Credit was renewed on February 28, 2025 and expires on March 20, 2026. On April 16, 2025, we entered into an amendment to the irrevocable standby letter of credit to increase the Letter of Credit to $7.5 million. No amounts had been drawn on the Letter of Credit as of June 30, 2025.</w:t>
      </w:r>
    </w:p>
    <w:p>
      <w:pPr>
        <w:spacing w:after="0" w:line="11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May 2024, we entered into a First Amendment to the 2024 Amended Loan and Security Agreement, which amended the covenant restricting the amount of repurchases of common stock to allow for certain additional repurchase activity and provided a waiver for our non-compliance during prior periods with the previous version of such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then-outstanding balance of $15.0 million and an immaterial amount of accrued interest on the revolving line of credit were repaid in full on July 10, 2024.</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August 2024, we entered into a Second Amendment to the 2024 Amended Loan and Security Agreement, which permitted our wholly-owned subsidiary, 401 SW 5th Ave LLC, to remain an excluded subsidiary provided that the subsidiary does not engage in any operations or activities except to maintain legal existence and ownership of the real property or any related activities thereto, does not hold assets other than real estate assets, and does not incur any indebtedness except for intercompany liabilities permitted under the agreement or grant any liens.</w:t>
      </w:r>
    </w:p>
    <w:p>
      <w:pPr>
        <w:spacing w:after="0" w:line="11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February 2025, we entered into a Third Amendment to the 2024 Amended Loan and Security Agreement, which amended the covenant restricting the amount of repurchases of common stock, which includes net share settlements of stock-based awards, to allow for certain additional net share settlement activity.</w:t>
      </w:r>
    </w:p>
    <w:p>
      <w:pPr>
        <w:spacing w:after="0" w:line="10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On July 1, 2025, we terminated our 2024 Amended Loan and Security Agreement. At the time of termination, we had no borrowings under the revolving line of credit and no amounts drawn on the Letter of Credit, which remains outstanding, secured with cash collateral. We incurred no penalties as a result of the termination of the 2024 Amended Loan and Security Agreement.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and prior to June 30, 2025, we were subject to customary covenants under the 2024 Amended Loan and Security Agreement, which, unless waived by CIBC, restricted our and our subsidiaries' ability to, among other things, incur additional indebtedness, create or incur liens, permit a change of control, merge or consolidate with other companies, sell or transfer assets, pay dividends or make distributions, make acquisitions, investments or loans, or payments and prepayments of subordinated indebtedness, subject to certain exceptions. We were also required to maintain certain financial covenants including a total EBITDA net leverage ratio, as defined in the 2024 Amended Loan and Security Agreement, tested each quarter, not to exceed 2.50 to 1.00 from the quarter ended March 31, 2025 and each quarter thereafter.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we were in compliance with all debt covenants.</w:t>
      </w:r>
    </w:p>
    <w:p>
      <w:pPr>
        <w:spacing w:after="0" w:line="14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As discussed elsewhere in this Quarterly Report on Form 10-Q, on July 1, 2025, we terminated the 2024 Amended Loan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Key Business Metrics and Non-GAAP Financial Measures</w:t>
      </w:r>
    </w:p>
    <w:p>
      <w:pPr>
        <w:spacing w:after="0" w:line="16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KEY BUSINESS METRICS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drives our success as a business. Our customers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small and medium businesses or sole proprietors with only one employee, the business owner may also be the only paid member.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each of the periods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Paid members</w:t>
            </w:r>
          </w:p>
        </w:tc>
      </w:tr>
      <w:tr>
        <w:trPr>
          <w:trHeight w:val="224"/>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30, 2025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3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June 30, 2024</w:t>
            </w:r>
          </w:p>
        </w:tc>
        <w:tc>
          <w:tcPr>
            <w:tcW w:w="156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45"/>
        </w:trPr>
        <w:tc>
          <w:tcPr>
            <w:tcW w:w="9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NON-GAAP FINANCIAL MEASURES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Non-GAAP Financial Measures</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4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define adjusted EBITDA as net loss excluding (benefit from) provision for income taxes, other (income) expenses, net, depreciation and amortization and stock-based compensation expense.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2024</w:t>
            </w:r>
          </w:p>
        </w:tc>
      </w:tr>
      <w:tr>
        <w:trPr>
          <w:trHeight w:val="196"/>
        </w:trPr>
        <w:tc>
          <w:tcPr>
            <w:tcW w:w="4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(1,393)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10,190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7,053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17,304</w:t>
            </w: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10 %</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45"/>
        </w:trPr>
        <w:tc>
          <w:tcPr>
            <w:tcW w:w="43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and Non-GAAP Net Income Margin</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define non-GAAP net income as net loss excluding stock-based compensation expense.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expense, which is not considered indicative of the core operating performance of our business.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2024</w:t>
            </w:r>
          </w:p>
        </w:tc>
      </w:tr>
      <w:tr>
        <w:trPr>
          <w:trHeight w:val="196"/>
        </w:trPr>
        <w:tc>
          <w:tcPr>
            <w:tcW w:w="4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(loss)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(1,861)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2,960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9,360</w:t>
            </w: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Non-GAAP net (loss) income margin</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4 %</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45"/>
        </w:trPr>
        <w:tc>
          <w:tcPr>
            <w:tcW w:w="43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1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define free cash flow as net cash provided by operating activities excluding changes in settlement assets and liabilities, which represent funds held for customers and customer funds in transit, respectively, reduced by the purchases of property and equipment and software development costs. We define free cash flow margin as free cash flow divided by total revenue for the same period.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2024</w:t>
            </w:r>
          </w:p>
        </w:tc>
      </w:tr>
      <w:tr>
        <w:trPr>
          <w:trHeight w:val="196"/>
        </w:trPr>
        <w:tc>
          <w:tcPr>
            <w:tcW w:w="4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6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6,311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5,718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15,415</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10,910</w:t>
            </w: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Free cash flow margin</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18 %</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21 %</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45"/>
        </w:trPr>
        <w:tc>
          <w:tcPr>
            <w:tcW w:w="43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(2,764)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(11,957)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520" w:type="dxa"/>
            <w:vAlign w:val="bottom"/>
          </w:tcPr>
          <w:p>
            <w:pPr>
              <w:spacing w:after="0"/>
              <w:rPr>
                <w:sz w:val="19"/>
                <w:szCs w:val="19"/>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6,927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8,381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14,917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15,905</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10,190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7,053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17,304</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54"/>
        </w:trPr>
        <w:tc>
          <w:tcPr>
            <w:tcW w:w="4860" w:type="dxa"/>
            <w:vAlign w:val="bottom"/>
            <w:tcBorders>
              <w:bottom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3"/>
        </w:trPr>
        <w:tc>
          <w:tcPr>
            <w:tcW w:w="4860" w:type="dxa"/>
            <w:vAlign w:val="bottom"/>
            <w:gridSpan w:val="2"/>
          </w:tcPr>
          <w:p>
            <w:pPr>
              <w:spacing w:after="0"/>
              <w:rPr>
                <w:sz w:val="20"/>
                <w:szCs w:val="20"/>
                <w:color w:val="auto"/>
              </w:rPr>
            </w:pPr>
            <w:r>
              <w:rPr>
                <w:rFonts w:ascii="Arial" w:cs="Arial" w:eastAsia="Arial" w:hAnsi="Arial"/>
                <w:sz w:val="18"/>
                <w:szCs w:val="18"/>
                <w:i w:val="1"/>
                <w:iCs w:val="1"/>
                <w:color w:val="auto"/>
              </w:rPr>
              <w:t>Non-GAAP Net Income and Non-GAAP Net Income Margin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7"/>
                <w:szCs w:val="17"/>
                <w:color w:val="auto"/>
              </w:rPr>
            </w:pPr>
          </w:p>
        </w:tc>
        <w:tc>
          <w:tcPr>
            <w:tcW w:w="30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(2,764)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(11,957)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6,927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8,381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14,917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15,905</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(loss) income</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5,617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9,360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Non-GAAP net (loss) income margin</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45"/>
        </w:trPr>
        <w:tc>
          <w:tcPr>
            <w:tcW w:w="43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and Free Cash Flow Margin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8,916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9,317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13,721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12,788</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Operating cash flow margin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184"/>
        </w:trPr>
        <w:tc>
          <w:tcPr>
            <w:tcW w:w="43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(Increase) decrease in changes in assets and</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Arial" w:cs="Arial" w:eastAsia="Arial" w:hAnsi="Arial"/>
                <w:sz w:val="18"/>
                <w:szCs w:val="18"/>
                <w:color w:val="auto"/>
              </w:rPr>
              <w:t>Settlement assets, net</w:t>
            </w:r>
          </w:p>
        </w:tc>
        <w:tc>
          <w:tcPr>
            <w:tcW w:w="40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11,614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(8,248)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Less: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Software development costs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5,718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15,415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10,910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Free cash flow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45"/>
        </w:trPr>
        <w:tc>
          <w:tcPr>
            <w:tcW w:w="43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Contractual Obligations and Commitments</w:t>
      </w:r>
    </w:p>
    <w:p>
      <w:pPr>
        <w:spacing w:after="0" w:line="1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June 30, 2025, there have been no material changes in our contractual obligations and commitments as disclosed in our 2024 Annual Report. As discussed elsewhere in this Quarterly Report on Form 10-Q, on July 1, 2025, we terminated our 2024 Amended Loan and Security Agreement.</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Indemnification Agreements</w:t>
      </w:r>
    </w:p>
    <w:p>
      <w:pPr>
        <w:spacing w:after="0" w:line="16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Changes in Stockholders’ Equity, or Condensed Consolidated Statements of Cash Flows.</w:t>
      </w:r>
    </w:p>
    <w:p>
      <w:pPr>
        <w:spacing w:after="0" w:line="75"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Off-Balance Sheet Arrangements</w:t>
      </w:r>
    </w:p>
    <w:p>
      <w:pPr>
        <w:spacing w:after="0" w:line="18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Critical Accounting Policies and Estimates</w:t>
      </w:r>
    </w:p>
    <w:p>
      <w:pPr>
        <w:spacing w:after="0" w:line="1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Part II, Item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included in our 2024 Annual Report.</w:t>
      </w:r>
    </w:p>
    <w:p>
      <w:pPr>
        <w:spacing w:after="0" w:line="11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Recent Accounting Pronouncements</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Note 1 to our condensed consolidated financial statements included elsewhere in this Quarterly Report on Form 10-Q for recently issued accounting pronouncements not yet adopted as of the date of this Quarterly Report.</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3. Quantitative and Qualitative Disclosures About Market Risk</w:t>
      </w:r>
    </w:p>
    <w:p>
      <w:pPr>
        <w:spacing w:after="0" w:line="16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There have been no material changes in our market risk from the disclosure included under Part II, Item 7A. “Quantitative and Qualitative Disclosures About Market Risk” in our 2024 Annual Report.</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4. Controls and Procedures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EVALUATION OF DISCLOSURE CONTROLS AND PROCEDURES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("Exchange Act")), as of the end of the period covered by this Quarterly Report on Form 10-Q.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Securities and Exchange Commission ("SEC") rules and forms. Based on such evaluation, our chief executive officer and chief financial officer have concluded that as of June 30, 2025, our disclosure controls and procedures were effective at a reasonable assurance level.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CHANGES IN INTERNAL CONTROL OVER FINANCIAL REPORTING</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LIMITATIONS OF EFFECTIVENESS OF CONTROLS AND PROCEDURES</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Part II - Other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 Legal Proceedings</w:t>
      </w:r>
    </w:p>
    <w:p>
      <w:pPr>
        <w:spacing w:after="0" w:line="16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November 29, 2023, a putative securities class action (the “Putative Class Action”) was filed in the United States District Court for the District of Oregon captioned Wilhite v. Expensify, Inc., et al., Case No. 3:23-cv-01784-JR, naming us, two of our executive officers and two of our former directors as defendants (collectively, the “Defendants”). The lawsuit is purportedly brought on behalf of all those who purchase or acquired our stock pursuant or traceable to our initial public offering (“IPO”). The complaint alleges claims under Sections 11 and 15 of the Securities Act of 1933 based on allegedly false or misleading statements in the offering documents filed in connection with our IPO. The lawsuit seeks unspecified damages and other relief. On January 29, 2024, three shareholders moved to be appointed lead plaintiff in the Putative Class Action. The court appointed a lead plaintiff and lead counsel on March 11, 2024. Pursuant to the parties’ stipulation, the lead plaintiff’s amended complaint was filed May 10, 2024, naming six of our current board members as additional defendants (together with the Defendants, the “Amended Defendants”). Amended Defendants’ motion to dismiss the amended complaint was filed on July 9, 2024. The lead plaintiff’s opposition was filed on September 6, 2024, and the Amended Defendants’ reply was filed on October 18, 2024. On December 30, 2024, the magistrate judge issued findings and recommendation that the Amended Defendants’ motion to dismiss be granted in part and denied in part. The lead plaintiff and Amended Defendants each filed objections to the magistrate judge’s findings and recommendation on January 21, 2025, and responses to the objections on February 4, 2025. On March 24, 2025, the court adopted, with certain modifications, the magistrate judge's findings and recommendation. The defendants intend to deny the allegations of wrongdoing and vigorously defend against the claims in the Putative Class Action.</w:t>
      </w:r>
    </w:p>
    <w:p>
      <w:pPr>
        <w:spacing w:after="0" w:line="11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May 9, 2024, a shareholder derivative lawsuit was filed in the United States District Court for the District of Oregon captioned O’Halloran v. Barrett, et al., Case No. 3:24-cv-00775 (the “O’Halloran Action”), purportedly on our behalf, naming us as nominal defendant, and all of our current board members and executive officers and two of our former directors as defendants (collectively, the “Derivative Defendants”). On August 14, 2024, the Court stayed the O’Halloran Action pending resolution of any and all motion(s) to dismiss the Putative Class Action.</w:t>
      </w:r>
    </w:p>
    <w:p>
      <w:pPr>
        <w:spacing w:after="0" w:line="9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December 18, 2024, a shareholder derivative lawsuit was filed in the United States District Court for the District of Oregon captioned Da Silva v. Barrett, et al., Case No. 3:24-cv-02095 (the “Da Silva Action” and with the O’Halloran Action, the “Derivative Action”), purportedly on our behalf against the Derivative Defendants and asserting substantively the same claims as those asserted in the O’Halloran Action. On January 2, 2025, the parties to the Derivative Action filed a stipulation to consolidate the O’Halloran and Da Silva Actions and apply the stay entered in the O’Halloran Action to the Derivative Action. On February 10, 2025, the Court consolidated the O’Halloran and Da Silva Actions and applied the existing stay to the consolidated action under the caption In re Expensify, Inc. Derivative Litigation, Case No. 3:24-cv-00775-SI. The Derivative Defendants deny the allegations of wrongdoing and will continue to vigorously defend against the claims in the Derivative Action.</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July 23, 2025 a shareholder derivative lawsuit was filed in the United States District Court for the District of Oregon captioned Choi v. Barrett, et al., Case No. 3:25-cv-1300 (the “Choi Action”), purportedly on our behalf against the Derivative Defendants and asserting substantively the same claims as those asserted in the O’Halloran Action. The Derivative Defendants deny the allegations of wrongdoing and will continue to vigorously defend against the claims in the Derivative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to the matter described above, 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Regardless of the outcome, any litigation can have an adverse impact on our company as a result of defense and settlement costs, the diversion of management resources, and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1A. Risk Factors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have been no material changes to the risk factors set forth in Part I, Item IA. “Risk Factors” of our 2024 Annual Report, as supplemented by the risk factors set forth in Part II, Item 1A. “Risk Factors” of our Quarterly Report on Form 10-Q for the quarterly period ended March 31, 2025. You should carefully read and consider the risks and uncertainties, together with all of the other information included in the 2024 Annual Report and this Quarterly Report on Form 10-Q, including the section titled "Management's Discussion and Analysis of Financial Condition and Results of Operations" and our condensed consolidated financial statements and related notes, and in the other documents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2. Unregistered Sales of Equity Securities and Use of Proceeds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ISSUER PURCHASES OF EQUITY SECURITIES</w:t>
      </w:r>
    </w:p>
    <w:p>
      <w:pPr>
        <w:spacing w:after="0" w:line="15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sets forth information regarding our purchases of shares of Class A common stock during the three months ended June 30, 2025.</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number</w:t>
            </w: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(or approximate</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dollar value) of</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Weighted average</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 purchased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shares that may</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6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Total number of</w:t>
            </w:r>
          </w:p>
        </w:tc>
        <w:tc>
          <w:tcPr>
            <w:tcW w:w="8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6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6"/>
                <w:szCs w:val="16"/>
                <w:color w:val="auto"/>
              </w:rPr>
            </w:pPr>
          </w:p>
        </w:tc>
        <w:tc>
          <w:tcPr>
            <w:tcW w:w="166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yet be purchased</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price paid per</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under the</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shares purchased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share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8"/>
              </w:rPr>
              <w:t>programs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93"/>
              </w:rPr>
              <w:t>program</w:t>
            </w:r>
            <w:r>
              <w:rPr>
                <w:rFonts w:ascii="Arial" w:cs="Arial" w:eastAsia="Arial" w:hAnsi="Arial"/>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1 - 30, 2025</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May 1 - 31, 2025</w:t>
            </w:r>
          </w:p>
        </w:tc>
        <w:tc>
          <w:tcPr>
            <w:tcW w:w="1640" w:type="dxa"/>
            <w:vAlign w:val="bottom"/>
          </w:tcPr>
          <w:p>
            <w:pPr>
              <w:jc w:val="right"/>
              <w:spacing w:after="0"/>
              <w:rPr>
                <w:sz w:val="20"/>
                <w:szCs w:val="20"/>
                <w:color w:val="auto"/>
              </w:rPr>
            </w:pPr>
            <w:r>
              <w:rPr>
                <w:rFonts w:ascii="Arial" w:cs="Arial" w:eastAsia="Arial" w:hAnsi="Arial"/>
                <w:sz w:val="18"/>
                <w:szCs w:val="18"/>
                <w:color w:val="auto"/>
              </w:rPr>
              <w:t>478,307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478,307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48,890,116</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1 - 30,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47,000,006</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 2025</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1,285,336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1,285,336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40" w:right="100" w:hanging="332"/>
        <w:spacing w:after="0" w:line="281" w:lineRule="auto"/>
        <w:tabs>
          <w:tab w:leader="none" w:pos="370" w:val="left"/>
        </w:tabs>
        <w:numPr>
          <w:ilvl w:val="0"/>
          <w:numId w:val="7"/>
        </w:numPr>
        <w:rPr>
          <w:rFonts w:ascii="Arial" w:cs="Arial" w:eastAsia="Arial" w:hAnsi="Arial"/>
          <w:sz w:val="13"/>
          <w:szCs w:val="13"/>
          <w:color w:val="auto"/>
        </w:rPr>
      </w:pPr>
      <w:r>
        <w:rPr>
          <w:rFonts w:ascii="Arial" w:cs="Arial" w:eastAsia="Arial" w:hAnsi="Arial"/>
          <w:sz w:val="13"/>
          <w:szCs w:val="13"/>
          <w:color w:val="auto"/>
        </w:rPr>
        <w:t>On February 27, 2025, we announced the approval of a share repurchase program with authorization to purchase up to $50.0 million of our Class A common stock at management’s discretion that expires on March 31, 2028, does not obligate us to repurchase any specific number of shares and may be modified, suspended or terminated at any time at our discretion. As of June 30, 2025, we had $47.0 million remaining under the share repurchase authorization.</w:t>
      </w:r>
    </w:p>
    <w:p>
      <w:pPr>
        <w:spacing w:after="0" w:line="74"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3. Defaults Upon Senior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4. Mine Safety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5.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6.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740" w:type="dxa"/>
            <w:vAlign w:val="bottom"/>
            <w:tcBorders>
              <w:bottom w:val="single" w:sz="8" w:color="auto"/>
            </w:tcBorders>
          </w:tcPr>
          <w:p>
            <w:pPr>
              <w:spacing w:after="0"/>
              <w:rPr>
                <w:sz w:val="17"/>
                <w:szCs w:val="17"/>
                <w:color w:val="auto"/>
              </w:rPr>
            </w:pPr>
          </w:p>
        </w:tc>
      </w:tr>
      <w:tr>
        <w:trPr>
          <w:trHeight w:val="398"/>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180" w:type="dxa"/>
            <w:vAlign w:val="bottom"/>
            <w:gridSpan w:val="11"/>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1220" w:type="dxa"/>
            <w:vAlign w:val="bottom"/>
          </w:tcPr>
          <w:p>
            <w:pPr>
              <w:jc w:val="center"/>
              <w:ind w:left="22"/>
              <w:spacing w:after="0"/>
              <w:rPr>
                <w:sz w:val="20"/>
                <w:szCs w:val="20"/>
                <w:color w:val="auto"/>
              </w:rPr>
            </w:pPr>
            <w:r>
              <w:rPr>
                <w:rFonts w:ascii="Arial" w:cs="Arial" w:eastAsia="Arial" w:hAnsi="Arial"/>
                <w:sz w:val="14"/>
                <w:szCs w:val="14"/>
                <w:b w:val="1"/>
                <w:bCs w:val="1"/>
                <w:color w:val="auto"/>
              </w:rPr>
              <w:t>Form</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File No.</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170"/>
        </w:trPr>
        <w:tc>
          <w:tcPr>
            <w:tcW w:w="130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6"/>
                <w:szCs w:val="16"/>
                <w:color w:val="auto"/>
              </w:rPr>
              <w:t>3.1</w:t>
            </w:r>
          </w:p>
        </w:tc>
        <w:tc>
          <w:tcPr>
            <w:tcW w:w="80" w:type="dxa"/>
            <w:vAlign w:val="bottom"/>
          </w:tcPr>
          <w:p>
            <w:pPr>
              <w:spacing w:after="0"/>
              <w:rPr>
                <w:sz w:val="14"/>
                <w:szCs w:val="14"/>
                <w:color w:val="auto"/>
              </w:rPr>
            </w:pPr>
          </w:p>
        </w:tc>
        <w:tc>
          <w:tcPr>
            <w:tcW w:w="4180" w:type="dxa"/>
            <w:vAlign w:val="bottom"/>
            <w:tcBorders>
              <w:top w:val="single" w:sz="8" w:color="auto"/>
            </w:tcBorders>
            <w:gridSpan w:val="11"/>
          </w:tcPr>
          <w:p>
            <w:pPr>
              <w:spacing w:after="0" w:line="170" w:lineRule="exact"/>
              <w:rPr>
                <w:rFonts w:ascii="Arial" w:cs="Arial" w:eastAsia="Arial" w:hAnsi="Arial"/>
                <w:sz w:val="16"/>
                <w:szCs w:val="16"/>
                <w:color w:val="0000FF"/>
              </w:rPr>
            </w:pPr>
            <w:hyperlink r:id="rId115">
              <w:r>
                <w:rPr>
                  <w:rFonts w:ascii="Arial" w:cs="Arial" w:eastAsia="Arial" w:hAnsi="Arial"/>
                  <w:sz w:val="16"/>
                  <w:szCs w:val="16"/>
                  <w:color w:val="0000FF"/>
                </w:rPr>
                <w:t>Amended and Restated Certificate of Incorporation of the</w:t>
              </w:r>
            </w:hyperlink>
          </w:p>
        </w:tc>
        <w:tc>
          <w:tcPr>
            <w:tcW w:w="100" w:type="dxa"/>
            <w:vAlign w:val="bottom"/>
          </w:tcPr>
          <w:p>
            <w:pPr>
              <w:spacing w:after="0"/>
              <w:rPr>
                <w:sz w:val="14"/>
                <w:szCs w:val="14"/>
                <w:color w:val="auto"/>
              </w:rPr>
            </w:pPr>
          </w:p>
        </w:tc>
        <w:tc>
          <w:tcPr>
            <w:tcW w:w="1220" w:type="dxa"/>
            <w:vAlign w:val="bottom"/>
            <w:tcBorders>
              <w:top w:val="single" w:sz="8" w:color="auto"/>
            </w:tcBorders>
          </w:tcPr>
          <w:p>
            <w:pPr>
              <w:jc w:val="center"/>
              <w:ind w:left="22"/>
              <w:spacing w:after="0" w:line="170" w:lineRule="exact"/>
              <w:rPr>
                <w:sz w:val="20"/>
                <w:szCs w:val="20"/>
                <w:color w:val="auto"/>
              </w:rPr>
            </w:pPr>
            <w:r>
              <w:rPr>
                <w:rFonts w:ascii="Arial" w:cs="Arial" w:eastAsia="Arial" w:hAnsi="Arial"/>
                <w:sz w:val="16"/>
                <w:szCs w:val="16"/>
                <w:color w:val="auto"/>
              </w:rPr>
              <w:t>10-Q</w:t>
            </w:r>
          </w:p>
        </w:tc>
        <w:tc>
          <w:tcPr>
            <w:tcW w:w="14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color w:val="auto"/>
                <w:w w:val="99"/>
              </w:rPr>
              <w:t>001-41043</w:t>
            </w:r>
          </w:p>
        </w:tc>
        <w:tc>
          <w:tcPr>
            <w:tcW w:w="11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color w:val="auto"/>
              </w:rPr>
              <w:t>3.1</w:t>
            </w:r>
          </w:p>
        </w:tc>
        <w:tc>
          <w:tcPr>
            <w:tcW w:w="17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color w:val="auto"/>
              </w:rPr>
              <w:t>November 8, 2024</w:t>
            </w: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115">
              <w:r>
                <w:rPr>
                  <w:rFonts w:ascii="Arial" w:cs="Arial" w:eastAsia="Arial" w:hAnsi="Arial"/>
                  <w:sz w:val="16"/>
                  <w:szCs w:val="16"/>
                  <w:color w:val="0000FF"/>
                </w:rPr>
                <w:t>Registrant.</w:t>
              </w:r>
            </w:hyperlink>
          </w:p>
        </w:tc>
        <w:tc>
          <w:tcPr>
            <w:tcW w:w="330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1"/>
                <w:szCs w:val="21"/>
                <w:color w:val="auto"/>
              </w:rPr>
            </w:pPr>
          </w:p>
        </w:tc>
        <w:tc>
          <w:tcPr>
            <w:tcW w:w="4180" w:type="dxa"/>
            <w:vAlign w:val="bottom"/>
            <w:gridSpan w:val="11"/>
          </w:tcPr>
          <w:p>
            <w:pPr>
              <w:spacing w:after="0"/>
              <w:rPr>
                <w:rFonts w:ascii="Arial" w:cs="Arial" w:eastAsia="Arial" w:hAnsi="Arial"/>
                <w:sz w:val="16"/>
                <w:szCs w:val="16"/>
                <w:color w:val="0000FF"/>
              </w:rPr>
            </w:pPr>
            <w:hyperlink r:id="rId116">
              <w:r>
                <w:rPr>
                  <w:rFonts w:ascii="Arial" w:cs="Arial" w:eastAsia="Arial" w:hAnsi="Arial"/>
                  <w:sz w:val="16"/>
                  <w:szCs w:val="16"/>
                  <w:color w:val="0000FF"/>
                </w:rPr>
                <w:t>Amended and Restated Bylaws of the Registrant.</w:t>
              </w:r>
            </w:hyperlink>
          </w:p>
        </w:tc>
        <w:tc>
          <w:tcPr>
            <w:tcW w:w="100" w:type="dxa"/>
            <w:vAlign w:val="bottom"/>
          </w:tcPr>
          <w:p>
            <w:pPr>
              <w:spacing w:after="0"/>
              <w:rPr>
                <w:sz w:val="21"/>
                <w:szCs w:val="21"/>
                <w:color w:val="auto"/>
              </w:rPr>
            </w:pPr>
          </w:p>
        </w:tc>
        <w:tc>
          <w:tcPr>
            <w:tcW w:w="1220" w:type="dxa"/>
            <w:vAlign w:val="bottom"/>
          </w:tcPr>
          <w:p>
            <w:pPr>
              <w:jc w:val="center"/>
              <w:ind w:left="2"/>
              <w:spacing w:after="0"/>
              <w:rPr>
                <w:sz w:val="20"/>
                <w:szCs w:val="20"/>
                <w:color w:val="auto"/>
              </w:rPr>
            </w:pPr>
            <w:r>
              <w:rPr>
                <w:rFonts w:ascii="Arial" w:cs="Arial" w:eastAsia="Arial" w:hAnsi="Arial"/>
                <w:sz w:val="16"/>
                <w:szCs w:val="16"/>
                <w:color w:val="auto"/>
              </w:rPr>
              <w:t>8-K</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001-41043</w:t>
            </w:r>
          </w:p>
        </w:tc>
        <w:tc>
          <w:tcPr>
            <w:tcW w:w="1160" w:type="dxa"/>
            <w:vAlign w:val="bottom"/>
          </w:tcPr>
          <w:p>
            <w:pPr>
              <w:jc w:val="center"/>
              <w:spacing w:after="0"/>
              <w:rPr>
                <w:sz w:val="20"/>
                <w:szCs w:val="20"/>
                <w:color w:val="auto"/>
              </w:rPr>
            </w:pPr>
            <w:r>
              <w:rPr>
                <w:rFonts w:ascii="Arial" w:cs="Arial" w:eastAsia="Arial" w:hAnsi="Arial"/>
                <w:sz w:val="16"/>
                <w:szCs w:val="16"/>
                <w:color w:val="auto"/>
              </w:rPr>
              <w:t>3.2</w:t>
            </w:r>
          </w:p>
        </w:tc>
        <w:tc>
          <w:tcPr>
            <w:tcW w:w="1740" w:type="dxa"/>
            <w:vAlign w:val="bottom"/>
          </w:tcPr>
          <w:p>
            <w:pPr>
              <w:jc w:val="center"/>
              <w:spacing w:after="0"/>
              <w:rPr>
                <w:sz w:val="20"/>
                <w:szCs w:val="20"/>
                <w:color w:val="auto"/>
              </w:rPr>
            </w:pPr>
            <w:r>
              <w:rPr>
                <w:rFonts w:ascii="Arial" w:cs="Arial" w:eastAsia="Arial" w:hAnsi="Arial"/>
                <w:sz w:val="16"/>
                <w:szCs w:val="16"/>
                <w:color w:val="auto"/>
              </w:rPr>
              <w:t>November 15, 2021</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31.1</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42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1"/>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31.2</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360" w:type="dxa"/>
            <w:vAlign w:val="bottom"/>
            <w:tcBorders>
              <w:top w:val="single" w:sz="8" w:color="0000FF"/>
            </w:tcBorders>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1"/>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4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8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10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344"/>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101.INS</w:t>
            </w:r>
            <w:r>
              <w:rPr>
                <w:rFonts w:ascii="Arial" w:cs="Arial" w:eastAsia="Arial" w:hAnsi="Arial"/>
                <w:sz w:val="21"/>
                <w:szCs w:val="21"/>
                <w:color w:val="auto"/>
                <w:vertAlign w:val="superscript"/>
              </w:rPr>
              <w:t>*</w:t>
            </w:r>
          </w:p>
        </w:tc>
        <w:tc>
          <w:tcPr>
            <w:tcW w:w="28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Inline XBRL Instance Document.</w:t>
            </w:r>
          </w:p>
        </w:tc>
        <w:tc>
          <w:tcPr>
            <w:tcW w:w="134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101.SCH</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63"/>
        </w:trPr>
        <w:tc>
          <w:tcPr>
            <w:tcW w:w="1380" w:type="dxa"/>
            <w:vAlign w:val="bottom"/>
            <w:gridSpan w:val="2"/>
          </w:tcPr>
          <w:p>
            <w:pPr>
              <w:ind w:left="140"/>
              <w:spacing w:after="0" w:line="163" w:lineRule="exact"/>
              <w:rPr>
                <w:sz w:val="20"/>
                <w:szCs w:val="20"/>
                <w:color w:val="auto"/>
              </w:rPr>
            </w:pPr>
            <w:r>
              <w:rPr>
                <w:rFonts w:ascii="Arial" w:cs="Arial" w:eastAsia="Arial" w:hAnsi="Arial"/>
                <w:sz w:val="14"/>
                <w:szCs w:val="14"/>
                <w:color w:val="auto"/>
              </w:rPr>
              <w:t>101.CAL</w:t>
            </w:r>
            <w:r>
              <w:rPr>
                <w:rFonts w:ascii="Arial" w:cs="Arial" w:eastAsia="Arial" w:hAnsi="Arial"/>
                <w:sz w:val="18"/>
                <w:szCs w:val="18"/>
                <w:color w:val="auto"/>
                <w:vertAlign w:val="superscript"/>
              </w:rPr>
              <w:t>*</w:t>
            </w:r>
          </w:p>
        </w:tc>
        <w:tc>
          <w:tcPr>
            <w:tcW w:w="4180" w:type="dxa"/>
            <w:vAlign w:val="bottom"/>
            <w:gridSpan w:val="11"/>
          </w:tcPr>
          <w:p>
            <w:pPr>
              <w:spacing w:after="0" w:line="163" w:lineRule="exact"/>
              <w:rPr>
                <w:sz w:val="20"/>
                <w:szCs w:val="20"/>
                <w:color w:val="auto"/>
              </w:rPr>
            </w:pPr>
            <w:r>
              <w:rPr>
                <w:rFonts w:ascii="Arial" w:cs="Arial" w:eastAsia="Arial" w:hAnsi="Arial"/>
                <w:sz w:val="16"/>
                <w:szCs w:val="16"/>
                <w:color w:val="auto"/>
              </w:rPr>
              <w:t>Inline XBRL Taxonomy Extension Calculation Linkbase</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1380" w:type="dxa"/>
            <w:vAlign w:val="bottom"/>
            <w:gridSpan w:val="2"/>
          </w:tcPr>
          <w:p>
            <w:pPr>
              <w:ind w:left="140"/>
              <w:spacing w:after="0" w:line="218" w:lineRule="exact"/>
              <w:rPr>
                <w:sz w:val="20"/>
                <w:szCs w:val="20"/>
                <w:color w:val="auto"/>
              </w:rPr>
            </w:pPr>
            <w:r>
              <w:rPr>
                <w:rFonts w:ascii="Arial" w:cs="Arial" w:eastAsia="Arial" w:hAnsi="Arial"/>
                <w:sz w:val="16"/>
                <w:szCs w:val="16"/>
                <w:color w:val="auto"/>
              </w:rPr>
              <w:t>101.DEF</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1380" w:type="dxa"/>
            <w:vAlign w:val="bottom"/>
            <w:gridSpan w:val="2"/>
          </w:tcPr>
          <w:p>
            <w:pPr>
              <w:ind w:left="140"/>
              <w:spacing w:after="0" w:line="218" w:lineRule="exact"/>
              <w:rPr>
                <w:sz w:val="20"/>
                <w:szCs w:val="20"/>
                <w:color w:val="auto"/>
              </w:rPr>
            </w:pPr>
            <w:r>
              <w:rPr>
                <w:rFonts w:ascii="Arial" w:cs="Arial" w:eastAsia="Arial" w:hAnsi="Arial"/>
                <w:sz w:val="16"/>
                <w:szCs w:val="16"/>
                <w:color w:val="auto"/>
              </w:rPr>
              <w:t>101.PRE</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Linkable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1300" w:type="dxa"/>
            <w:vAlign w:val="bottom"/>
          </w:tcPr>
          <w:p>
            <w:pPr>
              <w:ind w:left="140"/>
              <w:spacing w:after="0" w:line="218" w:lineRule="exact"/>
              <w:rPr>
                <w:sz w:val="20"/>
                <w:szCs w:val="20"/>
                <w:color w:val="auto"/>
              </w:rPr>
            </w:pPr>
            <w:r>
              <w:rPr>
                <w:rFonts w:ascii="Arial" w:cs="Arial" w:eastAsia="Arial" w:hAnsi="Arial"/>
                <w:sz w:val="16"/>
                <w:szCs w:val="16"/>
                <w:color w:val="auto"/>
              </w:rPr>
              <w:t>104</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Cover Page Interactive Data File (embedded within the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55"/>
        </w:trPr>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40" w:type="dxa"/>
            <w:vAlign w:val="bottom"/>
          </w:tcPr>
          <w:p>
            <w:pPr>
              <w:spacing w:after="0"/>
              <w:rPr>
                <w:sz w:val="4"/>
                <w:szCs w:val="4"/>
                <w:color w:val="auto"/>
              </w:rPr>
            </w:pPr>
          </w:p>
        </w:tc>
      </w:tr>
    </w:tbl>
    <w:p>
      <w:pPr>
        <w:spacing w:after="0" w:line="122" w:lineRule="exact"/>
        <w:rPr>
          <w:sz w:val="20"/>
          <w:szCs w:val="20"/>
          <w:color w:val="auto"/>
        </w:rPr>
      </w:pPr>
    </w:p>
    <w:p>
      <w:pPr>
        <w:ind w:left="360" w:hanging="334"/>
        <w:spacing w:after="0"/>
        <w:tabs>
          <w:tab w:leader="none" w:pos="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0" w:lineRule="exact"/>
        <w:rPr>
          <w:sz w:val="20"/>
          <w:szCs w:val="20"/>
          <w:color w:val="auto"/>
        </w:rPr>
      </w:pPr>
    </w:p>
    <w:p>
      <w:pPr>
        <w:ind w:left="360" w:right="440" w:hanging="334"/>
        <w:spacing w:after="0" w:line="238" w:lineRule="auto"/>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17780</wp:posOffset>
            </wp:positionV>
            <wp:extent cx="61804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03D47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Signatures</w:t>
      </w:r>
    </w:p>
    <w:p>
      <w:pPr>
        <w:spacing w:after="0" w:line="31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740" w:type="dxa"/>
            <w:vAlign w:val="bottom"/>
          </w:tcPr>
          <w:p>
            <w:pPr>
              <w:spacing w:after="0"/>
              <w:rPr>
                <w:sz w:val="21"/>
                <w:szCs w:val="21"/>
                <w:color w:val="auto"/>
              </w:rPr>
            </w:pPr>
          </w:p>
        </w:tc>
        <w:tc>
          <w:tcPr>
            <w:tcW w:w="7480" w:type="dxa"/>
            <w:vAlign w:val="bottom"/>
            <w:gridSpan w:val="2"/>
          </w:tcPr>
          <w:p>
            <w:pPr>
              <w:ind w:left="2040"/>
              <w:spacing w:after="0"/>
              <w:rPr>
                <w:sz w:val="20"/>
                <w:szCs w:val="20"/>
                <w:color w:val="auto"/>
              </w:rPr>
            </w:pPr>
            <w:r>
              <w:rPr>
                <w:rFonts w:ascii="Arial" w:cs="Arial" w:eastAsia="Arial" w:hAnsi="Arial"/>
                <w:sz w:val="18"/>
                <w:szCs w:val="18"/>
                <w:b w:val="1"/>
                <w:bCs w:val="1"/>
                <w:color w:val="auto"/>
              </w:rPr>
              <w:t>EXPENSIFY, INC.</w:t>
            </w:r>
          </w:p>
        </w:tc>
      </w:tr>
      <w:tr>
        <w:trPr>
          <w:trHeight w:val="474"/>
        </w:trPr>
        <w:tc>
          <w:tcPr>
            <w:tcW w:w="3740" w:type="dxa"/>
            <w:vAlign w:val="bottom"/>
          </w:tcPr>
          <w:p>
            <w:pPr>
              <w:spacing w:after="0"/>
              <w:rPr>
                <w:sz w:val="20"/>
                <w:szCs w:val="20"/>
                <w:color w:val="auto"/>
              </w:rPr>
            </w:pPr>
            <w:r>
              <w:rPr>
                <w:rFonts w:ascii="Arial" w:cs="Arial" w:eastAsia="Arial" w:hAnsi="Arial"/>
                <w:sz w:val="18"/>
                <w:szCs w:val="18"/>
                <w:color w:val="auto"/>
              </w:rPr>
              <w:t>Date: August 7, 2025</w:t>
            </w:r>
          </w:p>
        </w:tc>
        <w:tc>
          <w:tcPr>
            <w:tcW w:w="7480" w:type="dxa"/>
            <w:vAlign w:val="bottom"/>
            <w:gridSpan w:val="2"/>
          </w:tcPr>
          <w:p>
            <w:pPr>
              <w:ind w:left="2240"/>
              <w:spacing w:after="0"/>
              <w:rPr>
                <w:sz w:val="20"/>
                <w:szCs w:val="20"/>
                <w:color w:val="auto"/>
              </w:rPr>
            </w:pPr>
            <w:r>
              <w:rPr>
                <w:rFonts w:ascii="Arial" w:cs="Arial" w:eastAsia="Arial" w:hAnsi="Arial"/>
                <w:sz w:val="18"/>
                <w:szCs w:val="18"/>
                <w:color w:val="auto"/>
              </w:rPr>
              <w:t>By: /s/ David Barrett</w:t>
            </w:r>
          </w:p>
        </w:tc>
      </w:tr>
      <w:tr>
        <w:trPr>
          <w:trHeight w:val="218"/>
        </w:trPr>
        <w:tc>
          <w:tcPr>
            <w:tcW w:w="3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Barrett</w:t>
            </w:r>
          </w:p>
        </w:tc>
      </w:tr>
      <w:tr>
        <w:trPr>
          <w:trHeight w:val="232"/>
        </w:trPr>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7"/>
        </w:trPr>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2"/>
        </w:trPr>
        <w:tc>
          <w:tcPr>
            <w:tcW w:w="3740" w:type="dxa"/>
            <w:vAlign w:val="bottom"/>
          </w:tcPr>
          <w:p>
            <w:pPr>
              <w:spacing w:after="0"/>
              <w:rPr>
                <w:sz w:val="20"/>
                <w:szCs w:val="20"/>
                <w:color w:val="auto"/>
              </w:rPr>
            </w:pPr>
            <w:r>
              <w:rPr>
                <w:rFonts w:ascii="Arial" w:cs="Arial" w:eastAsia="Arial" w:hAnsi="Arial"/>
                <w:sz w:val="18"/>
                <w:szCs w:val="18"/>
                <w:color w:val="auto"/>
              </w:rPr>
              <w:t>Date: August 7, 2025</w:t>
            </w:r>
          </w:p>
        </w:tc>
        <w:tc>
          <w:tcPr>
            <w:tcW w:w="7480" w:type="dxa"/>
            <w:vAlign w:val="bottom"/>
            <w:gridSpan w:val="2"/>
          </w:tcPr>
          <w:p>
            <w:pPr>
              <w:ind w:left="2240"/>
              <w:spacing w:after="0"/>
              <w:rPr>
                <w:sz w:val="20"/>
                <w:szCs w:val="20"/>
                <w:color w:val="auto"/>
              </w:rPr>
            </w:pPr>
            <w:r>
              <w:rPr>
                <w:rFonts w:ascii="Arial" w:cs="Arial" w:eastAsia="Arial" w:hAnsi="Arial"/>
                <w:sz w:val="18"/>
                <w:szCs w:val="18"/>
                <w:color w:val="auto"/>
              </w:rPr>
              <w:t>By: /s/ Ryan Schaffer</w:t>
            </w:r>
          </w:p>
        </w:tc>
      </w:tr>
      <w:tr>
        <w:trPr>
          <w:trHeight w:val="218"/>
        </w:trPr>
        <w:tc>
          <w:tcPr>
            <w:tcW w:w="3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Ryan Schaffer</w:t>
            </w:r>
          </w:p>
        </w:tc>
      </w:tr>
      <w:tr>
        <w:trPr>
          <w:trHeight w:val="232"/>
        </w:trPr>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7"/>
        </w:trPr>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22"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Barrett, certify that:</w:t>
      </w:r>
    </w:p>
    <w:p>
      <w:pPr>
        <w:spacing w:after="0" w:line="15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Expensify, Inc.;</w:t>
      </w:r>
    </w:p>
    <w:p>
      <w:pPr>
        <w:spacing w:after="0" w:line="14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Barrett</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Barrett</w:t>
            </w:r>
          </w:p>
        </w:tc>
      </w:tr>
      <w:tr>
        <w:trPr>
          <w:trHeight w:val="228"/>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Schaffer, certify that:</w:t>
      </w:r>
    </w:p>
    <w:p>
      <w:pPr>
        <w:spacing w:after="0" w:line="25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Expensify, Inc.;</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Schaffer</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Schaffer</w:t>
            </w:r>
          </w:p>
        </w:tc>
      </w:tr>
      <w:tr>
        <w:trPr>
          <w:trHeight w:val="227"/>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9" w:lineRule="exact"/>
        <w:rPr>
          <w:sz w:val="20"/>
          <w:szCs w:val="20"/>
          <w:color w:val="auto"/>
        </w:rPr>
      </w:pPr>
    </w:p>
    <w:p>
      <w:pPr>
        <w:ind w:right="500" w:firstLine="188"/>
        <w:spacing w:after="0" w:line="266" w:lineRule="auto"/>
        <w:tabs>
          <w:tab w:leader="none" w:pos="5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2025 as filed with the Securities and Exchange Commission on the date hereof (the “Report”) fully complies with the requirements of Section 13(a) or Section 15(d), as applicable,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580" w:hanging="392"/>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Barrett</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Barrett</w:t>
            </w:r>
          </w:p>
        </w:tc>
      </w:tr>
      <w:tr>
        <w:trPr>
          <w:trHeight w:val="228"/>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9" w:lineRule="exact"/>
        <w:rPr>
          <w:sz w:val="20"/>
          <w:szCs w:val="20"/>
          <w:color w:val="auto"/>
        </w:rPr>
      </w:pPr>
    </w:p>
    <w:p>
      <w:pPr>
        <w:ind w:right="500" w:firstLine="188"/>
        <w:spacing w:after="0" w:line="266" w:lineRule="auto"/>
        <w:tabs>
          <w:tab w:leader="none" w:pos="5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2025 as filed with the Securities and Exchange Commission on the date hereof (the “Report”) fully complies with the requirements of Section 13(a) or Section 15(d), as applicable,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580" w:hanging="39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Ryan Schaffer</w:t>
            </w: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Schaffer</w:t>
            </w:r>
          </w:p>
        </w:tc>
      </w:tr>
      <w:tr>
        <w:trPr>
          <w:trHeight w:val="228"/>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Roman"/>
      <w:start w:val="2"/>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5" Type="http://schemas.openxmlformats.org/officeDocument/2006/relationships/hyperlink" Target="https://www.sec.gov/Archives/edgar/data/1476840/000147684024000215/exhibit31-10xqq32024.htm" TargetMode="External"/><Relationship Id="rId116" Type="http://schemas.openxmlformats.org/officeDocument/2006/relationships/hyperlink" Target="https://www.sec.gov/Archives/edgar/data/0001476840/000162828021023404/exhibit32-8xk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2025-08-07T15:29:46Z</dcterms:created>
  <dcterms:modified xsi:type="dcterms:W3CDTF">2025-08-07T15:29:46Z</dcterms:modified>
</cp:coreProperties>
</file>