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692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69252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spacing w:after="0" w:line="181" w:lineRule="exact"/>
              <w:rPr>
                <w:rFonts w:ascii="Arial" w:cs="Arial" w:eastAsia="Arial" w:hAnsi="Arial"/>
                <w:sz w:val="16"/>
                <w:szCs w:val="16"/>
                <w:color w:val="0000EE"/>
                <w:w w:val="90"/>
              </w:rPr>
            </w:pPr>
            <w:hyperlink r:id="rId11">
              <w:r>
                <w:rPr>
                  <w:rFonts w:ascii="Arial" w:cs="Arial" w:eastAsia="Arial" w:hAnsi="Arial"/>
                  <w:sz w:val="16"/>
                  <w:szCs w:val="16"/>
                  <w:color w:val="0000EE"/>
                  <w:w w:val="90"/>
                </w:rPr>
                <w:t>Muralidharan Anuradha</w:t>
              </w:r>
            </w:hyperlink>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Borders>
              <w:bottom w:val="single" w:sz="8" w:color="0000EE"/>
            </w:tcBorders>
            <w:gridSpan w:val="2"/>
            <w:vMerge w:val="continue"/>
          </w:tcPr>
          <w:p>
            <w:pPr>
              <w:spacing w:after="0"/>
              <w:rPr>
                <w:sz w:val="9"/>
                <w:szCs w:val="9"/>
                <w:color w:val="auto"/>
              </w:rPr>
            </w:pPr>
          </w:p>
        </w:tc>
        <w:tc>
          <w:tcPr>
            <w:tcW w:w="4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11/09/2021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gridSpan w:val="2"/>
          </w:tcPr>
          <w:p>
            <w:pPr>
              <w:spacing w:after="0"/>
              <w:rPr>
                <w:sz w:val="3"/>
                <w:szCs w:val="3"/>
                <w:color w:val="auto"/>
              </w:rPr>
            </w:pPr>
          </w:p>
        </w:tc>
        <w:tc>
          <w:tcPr>
            <w:tcW w:w="4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0"/>
                <w:szCs w:val="10"/>
                <w:color w:val="auto"/>
              </w:rPr>
              <w:t>(Last)</w:t>
            </w:r>
          </w:p>
        </w:tc>
        <w:tc>
          <w:tcPr>
            <w:tcW w:w="1140" w:type="dxa"/>
            <w:vAlign w:val="bottom"/>
            <w:gridSpan w:val="2"/>
          </w:tcPr>
          <w:p>
            <w:pPr>
              <w:ind w:left="18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5"/>
          </w:tcPr>
          <w:p>
            <w:pPr>
              <w:spacing w:after="0"/>
              <w:rPr>
                <w:sz w:val="20"/>
                <w:szCs w:val="20"/>
                <w:color w:val="auto"/>
              </w:rPr>
            </w:pPr>
            <w:r>
              <w:rPr>
                <w:rFonts w:ascii="Arial" w:cs="Arial" w:eastAsia="Arial" w:hAnsi="Arial"/>
                <w:sz w:val="13"/>
                <w:szCs w:val="13"/>
                <w:color w:val="0000FF"/>
              </w:rPr>
              <w:t>C/O EXPENSIFY, INC. 401 SW 5TH AVE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00" w:type="dxa"/>
            <w:vAlign w:val="bottom"/>
            <w:gridSpan w:val="3"/>
          </w:tcPr>
          <w:p>
            <w:pPr>
              <w:spacing w:after="0"/>
              <w:rPr>
                <w:sz w:val="20"/>
                <w:szCs w:val="20"/>
                <w:color w:val="auto"/>
              </w:rPr>
            </w:pPr>
            <w:r>
              <w:rPr>
                <w:rFonts w:ascii="Arial" w:cs="Arial" w:eastAsia="Arial" w:hAnsi="Arial"/>
                <w:sz w:val="10"/>
                <w:szCs w:val="10"/>
                <w:color w:val="auto"/>
              </w:rPr>
              <w:t>(Street)</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3"/>
                <w:szCs w:val="13"/>
                <w:color w:val="0000FF"/>
              </w:rPr>
              <w:t>PORTLAND</w:t>
            </w:r>
          </w:p>
        </w:tc>
        <w:tc>
          <w:tcPr>
            <w:tcW w:w="1140" w:type="dxa"/>
            <w:vAlign w:val="bottom"/>
            <w:gridSpan w:val="2"/>
          </w:tcPr>
          <w:p>
            <w:pPr>
              <w:ind w:left="180"/>
              <w:spacing w:after="0"/>
              <w:rPr>
                <w:sz w:val="20"/>
                <w:szCs w:val="20"/>
                <w:color w:val="auto"/>
              </w:rPr>
            </w:pPr>
            <w:r>
              <w:rPr>
                <w:rFonts w:ascii="Arial" w:cs="Arial" w:eastAsia="Arial" w:hAnsi="Arial"/>
                <w:sz w:val="13"/>
                <w:szCs w:val="13"/>
                <w:color w:val="0000FF"/>
              </w:rPr>
              <w:t>OR</w:t>
            </w:r>
          </w:p>
        </w:tc>
        <w:tc>
          <w:tcPr>
            <w:tcW w:w="1140" w:type="dxa"/>
            <w:vAlign w:val="bottom"/>
          </w:tcPr>
          <w:p>
            <w:pPr>
              <w:ind w:left="100"/>
              <w:spacing w:after="0"/>
              <w:rPr>
                <w:sz w:val="20"/>
                <w:szCs w:val="20"/>
                <w:color w:val="auto"/>
              </w:rPr>
            </w:pPr>
            <w:r>
              <w:rPr>
                <w:rFonts w:ascii="Arial" w:cs="Arial" w:eastAsia="Arial" w:hAnsi="Arial"/>
                <w:sz w:val="13"/>
                <w:szCs w:val="13"/>
                <w:color w:val="0000FF"/>
              </w:rPr>
              <w:t>97204</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Expensify,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182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0" w:type="dxa"/>
            <w:vAlign w:val="bottom"/>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00"/>
        </w:trPr>
        <w:tc>
          <w:tcPr>
            <w:tcW w:w="400" w:type="dxa"/>
            <w:vAlign w:val="bottom"/>
            <w:vMerge w:val="continue"/>
          </w:tcPr>
          <w:p>
            <w:pPr>
              <w:spacing w:after="0"/>
              <w:rPr>
                <w:sz w:val="8"/>
                <w:szCs w:val="8"/>
                <w:color w:val="auto"/>
              </w:rPr>
            </w:pP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2840" w:type="dxa"/>
            <w:vAlign w:val="bottom"/>
            <w:gridSpan w:val="2"/>
            <w:vMerge w:val="restart"/>
          </w:tcPr>
          <w:p>
            <w:pPr>
              <w:ind w:left="560"/>
              <w:spacing w:after="0"/>
              <w:rPr>
                <w:sz w:val="20"/>
                <w:szCs w:val="20"/>
                <w:color w:val="auto"/>
              </w:rPr>
            </w:pPr>
            <w:r>
              <w:rPr>
                <w:rFonts w:ascii="Arial" w:cs="Arial" w:eastAsia="Arial" w:hAnsi="Arial"/>
                <w:sz w:val="13"/>
                <w:szCs w:val="13"/>
                <w:color w:val="0000FF"/>
              </w:rPr>
              <w:t>Chief Operating Officer</w:t>
            </w:r>
          </w:p>
        </w:tc>
        <w:tc>
          <w:tcPr>
            <w:tcW w:w="1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52"/>
        </w:trPr>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jc w:val="right"/>
              <w:ind w:right="966"/>
              <w:spacing w:after="0"/>
              <w:rPr>
                <w:sz w:val="20"/>
                <w:szCs w:val="20"/>
                <w:color w:val="auto"/>
              </w:rPr>
            </w:pPr>
            <w:r>
              <w:rPr>
                <w:rFonts w:ascii="Arial" w:cs="Arial" w:eastAsia="Arial" w:hAnsi="Arial"/>
                <w:sz w:val="13"/>
                <w:szCs w:val="13"/>
                <w:color w:val="0000FF"/>
              </w:rPr>
              <w:t>76,800</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3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020"/>
          </w:cols>
          <w:pgMar w:left="440" w:top="203" w:right="439" w:bottom="1440" w:gutter="0" w:footer="0" w:header="0"/>
          <w:type w:val="continuous"/>
        </w:sectPr>
      </w:pPr>
    </w:p>
    <w:p>
      <w:pPr>
        <w:jc w:val="right"/>
        <w:ind w:right="2100"/>
        <w:spacing w:after="0"/>
        <w:rPr>
          <w:sz w:val="20"/>
          <w:szCs w:val="20"/>
          <w:color w:val="auto"/>
        </w:rPr>
      </w:pPr>
      <w:r>
        <w:rPr>
          <w:sz w:val="1"/>
          <w:szCs w:val="1"/>
          <w:color w:val="auto"/>
        </w:rPr>
        <w:drawing>
          <wp:inline distT="0" distB="0" distL="0" distR="0">
            <wp:extent cx="31750" cy="180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750" cy="180975"/>
                    </a:xfrm>
                    <a:prstGeom prst="rect">
                      <a:avLst/>
                    </a:prstGeom>
                    <a:noFill/>
                    <a:ln>
                      <a:noFill/>
                    </a:ln>
                  </pic:spPr>
                </pic:pic>
              </a:graphicData>
            </a:graphic>
          </wp:inline>
        </w:drawing>
      </w:r>
      <w:r>
        <w:rPr>
          <w:rFonts w:ascii="Arial" w:cs="Arial" w:eastAsia="Arial" w:hAnsi="Arial"/>
          <w:sz w:val="11"/>
          <w:szCs w:val="11"/>
          <w:color w:val="0000FF"/>
        </w:rPr>
        <w:t xml:space="preserve"> LT10 Common Stock</w:t>
      </w:r>
    </w:p>
    <w:p>
      <w:pPr>
        <w:spacing w:after="0" w:line="34" w:lineRule="exact"/>
        <w:rPr>
          <w:sz w:val="24"/>
          <w:szCs w:val="24"/>
          <w:color w:val="auto"/>
        </w:rPr>
      </w:pPr>
    </w:p>
    <w:p>
      <w:pPr>
        <w:jc w:val="right"/>
        <w:ind w:right="2100"/>
        <w:spacing w:after="0"/>
        <w:rPr>
          <w:sz w:val="20"/>
          <w:szCs w:val="20"/>
          <w:color w:val="auto"/>
        </w:rPr>
      </w:pPr>
      <w:r>
        <w:rPr>
          <w:rFonts w:ascii="Arial" w:cs="Arial" w:eastAsia="Arial" w:hAnsi="Arial"/>
          <w:sz w:val="12"/>
          <w:szCs w:val="12"/>
          <w:color w:val="0000FF"/>
        </w:rPr>
        <w:t>LT50 Common Stock</w:t>
      </w:r>
    </w:p>
    <w:p>
      <w:pPr>
        <w:spacing w:after="0" w:line="35" w:lineRule="exact"/>
        <w:rPr>
          <w:sz w:val="24"/>
          <w:szCs w:val="24"/>
          <w:color w:val="auto"/>
        </w:rPr>
      </w:pPr>
    </w:p>
    <w:p>
      <w:pPr>
        <w:jc w:val="right"/>
        <w:ind w:right="2520"/>
        <w:spacing w:after="0"/>
        <w:rPr>
          <w:sz w:val="20"/>
          <w:szCs w:val="20"/>
          <w:color w:val="auto"/>
        </w:rPr>
      </w:pPr>
      <w:r>
        <w:rPr>
          <w:sz w:val="1"/>
          <w:szCs w:val="1"/>
          <w:color w:val="auto"/>
        </w:rPr>
        <w:drawing>
          <wp:inline distT="0" distB="0" distL="0" distR="0">
            <wp:extent cx="31750" cy="190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20"/>
        <w:spacing w:after="0"/>
        <w:rPr>
          <w:sz w:val="20"/>
          <w:szCs w:val="20"/>
          <w:color w:val="auto"/>
        </w:rPr>
      </w:pPr>
      <w:r>
        <w:rPr>
          <w:rFonts w:ascii="Arial" w:cs="Arial" w:eastAsia="Arial" w:hAnsi="Arial"/>
          <w:sz w:val="13"/>
          <w:szCs w:val="13"/>
          <w:color w:val="0000FF"/>
        </w:rPr>
        <w:t>Stock Option</w:t>
      </w:r>
    </w:p>
    <w:p>
      <w:pPr>
        <w:spacing w:after="0" w:line="23" w:lineRule="exact"/>
        <w:rPr>
          <w:sz w:val="24"/>
          <w:szCs w:val="24"/>
          <w:color w:val="auto"/>
        </w:rPr>
      </w:pPr>
    </w:p>
    <w:p>
      <w:pPr>
        <w:jc w:val="right"/>
        <w:ind w:right="2040"/>
        <w:spacing w:after="0"/>
        <w:rPr>
          <w:sz w:val="20"/>
          <w:szCs w:val="20"/>
          <w:color w:val="auto"/>
        </w:rPr>
      </w:pPr>
      <w:r>
        <w:rPr>
          <w:sz w:val="1"/>
          <w:szCs w:val="1"/>
          <w:color w:val="auto"/>
        </w:rPr>
        <w:drawing>
          <wp:inline distT="0" distB="0" distL="0" distR="0">
            <wp:extent cx="31750"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Restricted Stock Units</w:t>
      </w:r>
    </w:p>
    <w:p>
      <w:pPr>
        <w:spacing w:after="0" w:line="24" w:lineRule="exact"/>
        <w:rPr>
          <w:sz w:val="24"/>
          <w:szCs w:val="24"/>
          <w:color w:val="auto"/>
        </w:rPr>
      </w:pPr>
    </w:p>
    <w:p>
      <w:pPr>
        <w:jc w:val="right"/>
        <w:ind w:right="2040"/>
        <w:spacing w:after="0"/>
        <w:rPr>
          <w:sz w:val="20"/>
          <w:szCs w:val="20"/>
          <w:color w:val="auto"/>
        </w:rPr>
      </w:pPr>
      <w:r>
        <w:rPr>
          <w:rFonts w:ascii="Arial" w:cs="Arial" w:eastAsia="Arial" w:hAnsi="Arial"/>
          <w:sz w:val="12"/>
          <w:szCs w:val="12"/>
          <w:color w:val="0000FF"/>
        </w:rPr>
        <w:t>Restricted Stock Units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9"/>
          <w:szCs w:val="9"/>
          <w:b w:val="1"/>
          <w:bCs w:val="1"/>
          <w:color w:val="auto"/>
        </w:rPr>
        <w:t>Explanation of Responses: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(1)</w:t>
            </w:r>
          </w:p>
        </w:tc>
        <w:tc>
          <w:tcPr>
            <w:tcW w:w="880" w:type="dxa"/>
            <w:vAlign w:val="bottom"/>
          </w:tcPr>
          <w:p>
            <w:pPr>
              <w:jc w:val="center"/>
              <w:ind w:right="33"/>
              <w:spacing w:after="0"/>
              <w:rPr>
                <w:sz w:val="20"/>
                <w:szCs w:val="20"/>
                <w:color w:val="auto"/>
              </w:rPr>
            </w:pPr>
            <w:r>
              <w:rPr>
                <w:rFonts w:ascii="Arial" w:cs="Arial" w:eastAsia="Arial" w:hAnsi="Arial"/>
                <w:sz w:val="8"/>
                <w:szCs w:val="8"/>
                <w:color w:val="008000"/>
                <w:w w:val="81"/>
              </w:rPr>
              <w:t>(1)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102,140</w:t>
            </w:r>
          </w:p>
        </w:tc>
        <w:tc>
          <w:tcPr>
            <w:tcW w:w="780" w:type="dxa"/>
            <w:vAlign w:val="bottom"/>
          </w:tcPr>
          <w:p>
            <w:pPr>
              <w:jc w:val="center"/>
              <w:ind w:right="71"/>
              <w:spacing w:after="0"/>
              <w:rPr>
                <w:sz w:val="20"/>
                <w:szCs w:val="20"/>
                <w:color w:val="auto"/>
              </w:rPr>
            </w:pPr>
            <w:r>
              <w:rPr>
                <w:rFonts w:ascii="Arial" w:cs="Arial" w:eastAsia="Arial" w:hAnsi="Arial"/>
                <w:sz w:val="8"/>
                <w:szCs w:val="8"/>
                <w:color w:val="008000"/>
              </w:rPr>
              <w:t>(1)</w:t>
            </w:r>
          </w:p>
        </w:tc>
        <w:tc>
          <w:tcPr>
            <w:tcW w:w="620" w:type="dxa"/>
            <w:vAlign w:val="bottom"/>
          </w:tcPr>
          <w:p>
            <w:pPr>
              <w:jc w:val="center"/>
              <w:ind w:left="35"/>
              <w:spacing w:after="0"/>
              <w:rPr>
                <w:sz w:val="20"/>
                <w:szCs w:val="20"/>
                <w:color w:val="auto"/>
              </w:rPr>
            </w:pPr>
            <w:r>
              <w:rPr>
                <w:rFonts w:ascii="Arial" w:cs="Arial" w:eastAsia="Arial" w:hAnsi="Arial"/>
                <w:sz w:val="13"/>
                <w:szCs w:val="13"/>
                <w:color w:val="0000FF"/>
              </w:rPr>
              <w:t>I</w:t>
            </w:r>
          </w:p>
        </w:tc>
        <w:tc>
          <w:tcPr>
            <w:tcW w:w="780" w:type="dxa"/>
            <w:vAlign w:val="bottom"/>
          </w:tcPr>
          <w:p>
            <w:pPr>
              <w:ind w:left="220"/>
              <w:spacing w:after="0"/>
              <w:rPr>
                <w:sz w:val="20"/>
                <w:szCs w:val="20"/>
                <w:color w:val="auto"/>
              </w:rPr>
            </w:pPr>
            <w:r>
              <w:rPr>
                <w:rFonts w:ascii="Arial" w:cs="Arial" w:eastAsia="Arial" w:hAnsi="Arial"/>
                <w:sz w:val="13"/>
                <w:szCs w:val="13"/>
                <w:color w:val="0000FF"/>
                <w:w w:val="82"/>
              </w:rPr>
              <w:t>See note</w:t>
            </w:r>
            <w:r>
              <w:rPr>
                <w:rFonts w:ascii="Arial" w:cs="Arial" w:eastAsia="Arial" w:hAnsi="Arial"/>
                <w:sz w:val="16"/>
                <w:szCs w:val="16"/>
                <w:color w:val="008000"/>
                <w:w w:val="82"/>
                <w:vertAlign w:val="superscript"/>
              </w:rPr>
              <w:t>(2)</w:t>
            </w: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(3)</w:t>
            </w:r>
          </w:p>
        </w:tc>
        <w:tc>
          <w:tcPr>
            <w:tcW w:w="880" w:type="dxa"/>
            <w:vAlign w:val="bottom"/>
          </w:tcPr>
          <w:p>
            <w:pPr>
              <w:jc w:val="center"/>
              <w:ind w:right="33"/>
              <w:spacing w:after="0"/>
              <w:rPr>
                <w:sz w:val="20"/>
                <w:szCs w:val="20"/>
                <w:color w:val="auto"/>
              </w:rPr>
            </w:pPr>
            <w:r>
              <w:rPr>
                <w:rFonts w:ascii="Arial" w:cs="Arial" w:eastAsia="Arial" w:hAnsi="Arial"/>
                <w:sz w:val="8"/>
                <w:szCs w:val="8"/>
                <w:color w:val="008000"/>
                <w:w w:val="81"/>
              </w:rPr>
              <w:t>(3)</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89,850</w:t>
            </w:r>
          </w:p>
        </w:tc>
        <w:tc>
          <w:tcPr>
            <w:tcW w:w="780" w:type="dxa"/>
            <w:vAlign w:val="bottom"/>
          </w:tcPr>
          <w:p>
            <w:pPr>
              <w:jc w:val="center"/>
              <w:ind w:right="71"/>
              <w:spacing w:after="0"/>
              <w:rPr>
                <w:sz w:val="20"/>
                <w:szCs w:val="20"/>
                <w:color w:val="auto"/>
              </w:rPr>
            </w:pPr>
            <w:r>
              <w:rPr>
                <w:rFonts w:ascii="Arial" w:cs="Arial" w:eastAsia="Arial" w:hAnsi="Arial"/>
                <w:sz w:val="8"/>
                <w:szCs w:val="8"/>
                <w:color w:val="008000"/>
              </w:rPr>
              <w:t>(3)</w:t>
            </w:r>
          </w:p>
        </w:tc>
        <w:tc>
          <w:tcPr>
            <w:tcW w:w="620" w:type="dxa"/>
            <w:vAlign w:val="bottom"/>
          </w:tcPr>
          <w:p>
            <w:pPr>
              <w:jc w:val="center"/>
              <w:ind w:left="35"/>
              <w:spacing w:after="0"/>
              <w:rPr>
                <w:sz w:val="20"/>
                <w:szCs w:val="20"/>
                <w:color w:val="auto"/>
              </w:rPr>
            </w:pPr>
            <w:r>
              <w:rPr>
                <w:rFonts w:ascii="Arial" w:cs="Arial" w:eastAsia="Arial" w:hAnsi="Arial"/>
                <w:sz w:val="13"/>
                <w:szCs w:val="13"/>
                <w:color w:val="0000FF"/>
              </w:rPr>
              <w:t>I</w:t>
            </w:r>
          </w:p>
        </w:tc>
        <w:tc>
          <w:tcPr>
            <w:tcW w:w="780" w:type="dxa"/>
            <w:vAlign w:val="bottom"/>
          </w:tcPr>
          <w:p>
            <w:pPr>
              <w:ind w:left="220"/>
              <w:spacing w:after="0"/>
              <w:rPr>
                <w:sz w:val="20"/>
                <w:szCs w:val="20"/>
                <w:color w:val="auto"/>
              </w:rPr>
            </w:pPr>
            <w:r>
              <w:rPr>
                <w:rFonts w:ascii="Arial" w:cs="Arial" w:eastAsia="Arial" w:hAnsi="Arial"/>
                <w:sz w:val="13"/>
                <w:szCs w:val="13"/>
                <w:color w:val="0000FF"/>
                <w:w w:val="82"/>
              </w:rPr>
              <w:t>See note</w:t>
            </w:r>
            <w:r>
              <w:rPr>
                <w:rFonts w:ascii="Arial" w:cs="Arial" w:eastAsia="Arial" w:hAnsi="Arial"/>
                <w:sz w:val="16"/>
                <w:szCs w:val="16"/>
                <w:color w:val="008000"/>
                <w:w w:val="82"/>
                <w:vertAlign w:val="superscript"/>
              </w:rPr>
              <w:t>(2)</w:t>
            </w:r>
          </w:p>
        </w:tc>
      </w:tr>
      <w:tr>
        <w:trPr>
          <w:trHeight w:val="203"/>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(4)</w:t>
            </w:r>
          </w:p>
        </w:tc>
        <w:tc>
          <w:tcPr>
            <w:tcW w:w="880" w:type="dxa"/>
            <w:vAlign w:val="bottom"/>
          </w:tcPr>
          <w:p>
            <w:pPr>
              <w:jc w:val="center"/>
              <w:ind w:right="33"/>
              <w:spacing w:after="0"/>
              <w:rPr>
                <w:sz w:val="20"/>
                <w:szCs w:val="20"/>
                <w:color w:val="auto"/>
              </w:rPr>
            </w:pPr>
            <w:r>
              <w:rPr>
                <w:rFonts w:ascii="Arial" w:cs="Arial" w:eastAsia="Arial" w:hAnsi="Arial"/>
                <w:sz w:val="10"/>
                <w:szCs w:val="10"/>
                <w:color w:val="0000FF"/>
                <w:w w:val="87"/>
              </w:rPr>
              <w:t>03/15/2031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31,370</w:t>
            </w:r>
          </w:p>
        </w:tc>
        <w:tc>
          <w:tcPr>
            <w:tcW w:w="780" w:type="dxa"/>
            <w:vAlign w:val="bottom"/>
          </w:tcPr>
          <w:p>
            <w:pPr>
              <w:jc w:val="center"/>
              <w:ind w:right="71"/>
              <w:spacing w:after="0"/>
              <w:rPr>
                <w:sz w:val="20"/>
                <w:szCs w:val="20"/>
                <w:color w:val="auto"/>
              </w:rPr>
            </w:pPr>
            <w:r>
              <w:rPr>
                <w:rFonts w:ascii="Arial" w:cs="Arial" w:eastAsia="Arial" w:hAnsi="Arial"/>
                <w:sz w:val="13"/>
                <w:szCs w:val="13"/>
                <w:color w:val="0000FF"/>
                <w:w w:val="86"/>
              </w:rPr>
              <w:t>7.21</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(5)</w:t>
            </w:r>
          </w:p>
        </w:tc>
        <w:tc>
          <w:tcPr>
            <w:tcW w:w="880" w:type="dxa"/>
            <w:vAlign w:val="bottom"/>
          </w:tcPr>
          <w:p>
            <w:pPr>
              <w:jc w:val="center"/>
              <w:ind w:right="33"/>
              <w:spacing w:after="0"/>
              <w:rPr>
                <w:sz w:val="20"/>
                <w:szCs w:val="20"/>
                <w:color w:val="auto"/>
              </w:rPr>
            </w:pPr>
            <w:r>
              <w:rPr>
                <w:rFonts w:ascii="Arial" w:cs="Arial" w:eastAsia="Arial" w:hAnsi="Arial"/>
                <w:sz w:val="10"/>
                <w:szCs w:val="10"/>
                <w:color w:val="0000FF"/>
                <w:w w:val="87"/>
              </w:rPr>
              <w:t>10/12/2031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6,880</w:t>
            </w:r>
          </w:p>
        </w:tc>
        <w:tc>
          <w:tcPr>
            <w:tcW w:w="780" w:type="dxa"/>
            <w:vAlign w:val="bottom"/>
          </w:tcPr>
          <w:p>
            <w:pPr>
              <w:jc w:val="center"/>
              <w:ind w:right="71"/>
              <w:spacing w:after="0"/>
              <w:rPr>
                <w:sz w:val="20"/>
                <w:szCs w:val="20"/>
                <w:color w:val="auto"/>
              </w:rPr>
            </w:pPr>
            <w:r>
              <w:rPr>
                <w:rFonts w:ascii="Arial" w:cs="Arial" w:eastAsia="Arial" w:hAnsi="Arial"/>
                <w:sz w:val="13"/>
                <w:szCs w:val="13"/>
                <w:color w:val="0000FF"/>
                <w:w w:val="92"/>
              </w:rPr>
              <w:t>12.97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(6)</w:t>
            </w:r>
          </w:p>
        </w:tc>
        <w:tc>
          <w:tcPr>
            <w:tcW w:w="880" w:type="dxa"/>
            <w:vAlign w:val="bottom"/>
          </w:tcPr>
          <w:p>
            <w:pPr>
              <w:jc w:val="center"/>
              <w:ind w:right="33"/>
              <w:spacing w:after="0"/>
              <w:rPr>
                <w:sz w:val="20"/>
                <w:szCs w:val="20"/>
                <w:color w:val="auto"/>
              </w:rPr>
            </w:pPr>
            <w:r>
              <w:rPr>
                <w:rFonts w:ascii="Arial" w:cs="Arial" w:eastAsia="Arial" w:hAnsi="Arial"/>
                <w:sz w:val="10"/>
                <w:szCs w:val="10"/>
                <w:color w:val="0000FF"/>
                <w:w w:val="87"/>
              </w:rPr>
              <w:t>12/15/2029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101,390</w:t>
            </w:r>
          </w:p>
        </w:tc>
        <w:tc>
          <w:tcPr>
            <w:tcW w:w="780" w:type="dxa"/>
            <w:vAlign w:val="bottom"/>
          </w:tcPr>
          <w:p>
            <w:pPr>
              <w:jc w:val="center"/>
              <w:ind w:right="71"/>
              <w:spacing w:after="0"/>
              <w:rPr>
                <w:sz w:val="20"/>
                <w:szCs w:val="20"/>
                <w:color w:val="auto"/>
              </w:rPr>
            </w:pPr>
            <w:r>
              <w:rPr>
                <w:rFonts w:ascii="Arial" w:cs="Arial" w:eastAsia="Arial" w:hAnsi="Arial"/>
                <w:sz w:val="8"/>
                <w:szCs w:val="8"/>
                <w:color w:val="008000"/>
              </w:rPr>
              <w:t>(7)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(6)</w:t>
            </w:r>
          </w:p>
        </w:tc>
        <w:tc>
          <w:tcPr>
            <w:tcW w:w="880" w:type="dxa"/>
            <w:vAlign w:val="bottom"/>
          </w:tcPr>
          <w:p>
            <w:pPr>
              <w:jc w:val="center"/>
              <w:ind w:right="33"/>
              <w:spacing w:after="0"/>
              <w:rPr>
                <w:sz w:val="20"/>
                <w:szCs w:val="20"/>
                <w:color w:val="auto"/>
              </w:rPr>
            </w:pPr>
            <w:r>
              <w:rPr>
                <w:rFonts w:ascii="Arial" w:cs="Arial" w:eastAsia="Arial" w:hAnsi="Arial"/>
                <w:sz w:val="10"/>
                <w:szCs w:val="10"/>
                <w:color w:val="0000FF"/>
                <w:w w:val="87"/>
              </w:rPr>
              <w:t>12/15/2029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LT50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101,390</w:t>
            </w:r>
          </w:p>
        </w:tc>
        <w:tc>
          <w:tcPr>
            <w:tcW w:w="780" w:type="dxa"/>
            <w:vAlign w:val="bottom"/>
          </w:tcPr>
          <w:p>
            <w:pPr>
              <w:jc w:val="center"/>
              <w:ind w:right="71"/>
              <w:spacing w:after="0"/>
              <w:rPr>
                <w:sz w:val="20"/>
                <w:szCs w:val="20"/>
                <w:color w:val="auto"/>
              </w:rPr>
            </w:pPr>
            <w:r>
              <w:rPr>
                <w:rFonts w:ascii="Arial" w:cs="Arial" w:eastAsia="Arial" w:hAnsi="Arial"/>
                <w:sz w:val="8"/>
                <w:szCs w:val="8"/>
                <w:color w:val="008000"/>
              </w:rPr>
              <w:t>(8)</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bl>
    <w:p>
      <w:pPr>
        <w:spacing w:after="0" w:line="235" w:lineRule="exact"/>
        <w:rPr>
          <w:sz w:val="24"/>
          <w:szCs w:val="24"/>
          <w:color w:val="auto"/>
        </w:rPr>
      </w:pPr>
    </w:p>
    <w:p>
      <w:pPr>
        <w:sectPr>
          <w:pgSz w:w="11900" w:h="16838" w:orient="portrait"/>
          <w:cols w:equalWidth="0" w:num="2">
            <w:col w:w="3280" w:space="720"/>
            <w:col w:w="7020"/>
          </w:cols>
          <w:pgMar w:left="440" w:top="203" w:right="439" w:bottom="1440" w:gutter="0" w:footer="0" w:header="0"/>
          <w:type w:val="continuous"/>
        </w:sectPr>
      </w:pPr>
    </w:p>
    <w:p>
      <w:pPr>
        <w:ind w:left="40" w:right="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LT10 Common Stock is convertible into the Issuer's Class A Common Stock on a one-to-one basis only upon, and generally cannot be transferred without, satisfaction of certain notice and other requirements, including a notice period of 10 months. The LT10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Deposited into the Expensify Voting Trust (the "Voting Trust"). The Reporting Person retains investment control and dispositive power over the shares deposited into the Voting Trust.</w:t>
      </w:r>
    </w:p>
    <w:p>
      <w:pPr>
        <w:spacing w:after="0" w:line="35" w:lineRule="exact"/>
        <w:rPr>
          <w:rFonts w:ascii="Arial" w:cs="Arial" w:eastAsia="Arial" w:hAnsi="Arial"/>
          <w:sz w:val="10"/>
          <w:szCs w:val="10"/>
          <w:color w:val="008000"/>
        </w:rPr>
      </w:pPr>
    </w:p>
    <w:p>
      <w:pPr>
        <w:ind w:left="40" w:right="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Reflects remaining portion of the stock option that originally vested in 48 equal monthly installments beginning on April 1, 2021.</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September 16, 2021.</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restricted stock units vest 12.5% on September 15, 2022 and 1/32nd each quarter thereafter, on December 15th, March 15th, June 15th and September 15th.</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the contingent right to receive one share of Class A common stock.</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the contingent right to receive one share of LT50 common stock.</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Ryan Schaffer,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11/09/2021</w:t>
            </w:r>
          </w:p>
        </w:tc>
      </w:tr>
      <w:tr>
        <w:trPr>
          <w:trHeight w:val="170"/>
        </w:trPr>
        <w:tc>
          <w:tcPr>
            <w:tcW w:w="6580" w:type="dxa"/>
            <w:vAlign w:val="bottom"/>
          </w:tcPr>
          <w:p>
            <w:pPr>
              <w:spacing w:after="0"/>
              <w:rPr>
                <w:sz w:val="14"/>
                <w:szCs w:val="14"/>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30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Filings under Section 16 of 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(Expensify, Inc.)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David Michael Barrett, Chief Executive Officer of Expensify, Inc. (the "Company") and Ryan Sch</w:t>
      </w:r>
    </w:p>
    <w:p>
      <w:pPr>
        <w:spacing w:after="0" w:line="153" w:lineRule="exact"/>
        <w:rPr>
          <w:sz w:val="20"/>
          <w:szCs w:val="20"/>
          <w:color w:val="auto"/>
        </w:rPr>
      </w:pPr>
    </w:p>
    <w:p>
      <w:pPr>
        <w:ind w:left="620" w:hanging="620"/>
        <w:spacing w:after="0"/>
        <w:tabs>
          <w:tab w:leader="none" w:pos="6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the Company, Forms 3, 4 a</w:t>
      </w:r>
    </w:p>
    <w:p>
      <w:pPr>
        <w:spacing w:after="0" w:line="152" w:lineRule="exact"/>
        <w:rPr>
          <w:rFonts w:ascii="Courier New" w:cs="Courier New" w:eastAsia="Courier New" w:hAnsi="Courier New"/>
          <w:sz w:val="13"/>
          <w:szCs w:val="13"/>
          <w:color w:val="auto"/>
        </w:rPr>
      </w:pPr>
    </w:p>
    <w:p>
      <w:pPr>
        <w:ind w:left="620" w:hanging="620"/>
        <w:spacing w:after="0"/>
        <w:tabs>
          <w:tab w:leader="none" w:pos="6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w:t>
      </w:r>
    </w:p>
    <w:p>
      <w:pPr>
        <w:spacing w:after="0" w:line="153" w:lineRule="exact"/>
        <w:rPr>
          <w:rFonts w:ascii="Courier New" w:cs="Courier New" w:eastAsia="Courier New" w:hAnsi="Courier New"/>
          <w:sz w:val="13"/>
          <w:szCs w:val="13"/>
          <w:color w:val="auto"/>
        </w:rPr>
      </w:pPr>
    </w:p>
    <w:p>
      <w:pPr>
        <w:spacing w:after="0" w:line="243" w:lineRule="auto"/>
        <w:tabs>
          <w:tab w:leader="none" w:pos="62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solely in connection with the foregoing which, in the opinion of such attorney-in-fact, may be of benefit to, in The undersigned hereby grants to each such attorney-in-fact full power and authority to do and perform any and every act and thing whatsoever This Limited Power of Attorney shall remain in full force and effect until the undersigned is no longer required to file Forms 3, 4 and 5 with</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executed this Limited Power of Attorney this 5th day of November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Anuradha Muralidharan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Anuradha Muralidharan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91077" TargetMode="External"/><Relationship Id="rId12"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2021-11-09T17:46:05Z</dcterms:created>
  <dcterms:modified xsi:type="dcterms:W3CDTF">2021-11-09T17:46:05Z</dcterms:modified>
</cp:coreProperties>
</file>