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Expensify,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001-41043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27-0239450</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 Kearny St, Ste 1600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California 94108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(971) 365-3939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693"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235"/>
        <w:gridCol w:w="235"/>
        <w:gridCol w:w="236"/>
        <w:gridCol w:w="109"/>
        <w:gridCol w:w="109"/>
        <w:gridCol w:w="109"/>
        <w:gridCol w:w="816"/>
        <w:gridCol w:w="816"/>
        <w:gridCol w:w="1157"/>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16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On August 6, 2026, the Expensify, Inc. (“Expensify” or “the Company”) issued a press release announcing its financial results for the year and quarter ended June 30, 2026. A copy of this press release is furnished as Exhibit 99.1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On August 6, 2026, the Company posted an investor presentation to its website at https://ir.expensify.com (the “Investor Presentation”). A copy of the Investor Presentation is attached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2.02 and this Item 7.01, including Exhibit 99.1 and 99.2, is being furnished and shall not be deemed “filed” for the purposed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76" w:before="0" w:after="16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 xml:space="preserve">. </w:t>
      </w:r>
    </w:p>
    <w:tbl>
      <w:tblPr>
        <w:tblW w:w="7916"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39"/>
        <w:gridCol w:w="1939"/>
        <w:gridCol w:w="276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1-8xkq226earnings.htm">
              <w:r>
                <w:rPr>
                  <w:rStyle w:val="InternetLink"/>
                  <w:rFonts w:ascii="Times New Roman;serif" w:hAnsi="Times New Roman;serif"/>
                  <w:b w:val="false"/>
                  <w:color w:val="0000FF"/>
                  <w:sz w:val="20"/>
                  <w:u w:val="single"/>
                </w:rPr>
                <w:t>Press Release issued by Expensify, Inc., dated August 6,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2-8xkq226investor.htm">
              <w:r>
                <w:rPr>
                  <w:rStyle w:val="InternetLink"/>
                  <w:rFonts w:ascii="Times New Roman;serif" w:hAnsi="Times New Roman;serif"/>
                  <w:b w:val="false"/>
                  <w:color w:val="0000FF"/>
                  <w:sz w:val="20"/>
                  <w:u w:val="single"/>
                </w:rPr>
                <w:t>Investor Presentation, dated August 6,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SIGNATURE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Layout w:type="fixed"/>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086"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Expensify,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EXPENSIFY ANNOUNCES Q2 2026 RESULTS</w:t>
      </w:r>
    </w:p>
    <w:p>
      <w:pPr>
        <w:pStyle w:val="TextBody"/>
        <w:bidi w:val="0"/>
        <w:spacing w:lineRule="auto" w:line="276" w:before="0" w:after="160"/>
        <w:jc w:val="center"/>
        <w:rPr>
          <w:rFonts w:ascii="Times New Roman;serif" w:hAnsi="Times New Roman;serif"/>
          <w:b w:val="false"/>
          <w:i/>
          <w:color w:val="000000"/>
          <w:sz w:val="20"/>
        </w:rPr>
      </w:pPr>
      <w:r>
        <w:rPr>
          <w:rFonts w:ascii="Times New Roman;serif" w:hAnsi="Times New Roman;serif"/>
          <w:b w:val="false"/>
          <w:i/>
          <w:color w:val="000000"/>
          <w:sz w:val="20"/>
        </w:rPr>
        <w:t>Interchange revenue derived from the Expensify Card grew to $5.9 million, an increase of 12% as compared to the same period last year.</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SAN FRANCISCO, CAL.--(BUSINESS WIRE)--August 6, 2026-- Expensify, Inc. (Nasdaq: EXFY), the easiest way to manage expenses, corporate cards, and travel, today released a letter to shareholders from Founder and CEO David Barrett alongside results for its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A Message From Our Founder</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This is the most exciting quarter in years, as we are finally able to pull back the curtain on New Expensify's growth. To set the stage, recall that Expensify is not just one product, but two:</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Expensify Classic</w:t>
      </w:r>
      <w:r>
        <w:rPr>
          <w:color w:val="000000"/>
        </w:rPr>
        <w:t xml:space="preserve"> </w:t>
      </w:r>
      <w:r>
        <w:rPr>
          <w:rFonts w:ascii="Times New Roman;serif" w:hAnsi="Times New Roman;serif"/>
          <w:b w:val="false"/>
          <w:color w:val="000000"/>
          <w:sz w:val="20"/>
        </w:rPr>
        <w:t>is what established us in the market, and – I think is fair to say – established the standard by which everyone else in the industry is currently being measured: credit card import into a mobile app that scans, categorizes, and reconciles receipts, powered by a robust workflow engine that automatically submits, approves, reimburses, and exports to third party systems. Even though we were the first, everyone else in the industry has largely copied this design. This defined the first twelve or so years of Expensify's life, up to IPO.</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New Expensify</w:t>
      </w:r>
      <w:r>
        <w:rPr>
          <w:color w:val="000000"/>
        </w:rPr>
        <w:t xml:space="preserve"> </w:t>
      </w:r>
      <w:r>
        <w:rPr>
          <w:rFonts w:ascii="Times New Roman;serif" w:hAnsi="Times New Roman;serif"/>
          <w:b w:val="false"/>
          <w:color w:val="000000"/>
          <w:sz w:val="20"/>
        </w:rPr>
        <w:t>is a complete redesign (and major rewrite) based on the sobering realization that no matter how good we made Expensify Classic, it would never appeal to more than a tiny fraction of the global market. Of the 300 million businesses in the world – all of which manage expenses (because you get expenses long before you get revenue) – less than 1% (and closer to 0.1%) has ever paid us or any of our competition. To break out of this tiny corner of a vast market, we needed to radically rethink our product.</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These are essentially two different businesses intertwined into one: they share the same servers, the same data, and a lot of the same code. They are both built and maintained by the same team, and to a very large degree, are used by the same customers: most can switch back and forth freely between them, and many do. However, users behave very, very differently on each – and each provides a completely different benefit to our business.</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Expensify Classic is a reliable, profitable workhorse: with minimal investment, it has generated steady for us from a stable but slowly shrinking customer base. Expensify Classic is a "fixed" pool of customers: you can't sign up for Expensify Classic today, so it's a pool that will naturally drain. Every business has some nonzero amount of churn, and that churn will gradually reduce our Classic customer base over time.</w:t>
      </w:r>
    </w:p>
    <w:p>
      <w:pPr>
        <w:pStyle w:val="TextBody"/>
        <w:bidi w:val="0"/>
        <w:spacing w:lineRule="auto" w:line="300" w:before="0" w:after="160"/>
        <w:jc w:val="left"/>
        <w:rPr/>
      </w:pPr>
      <w:r>
        <w:rPr>
          <w:rFonts w:ascii="Times New Roman;serif" w:hAnsi="Times New Roman;serif"/>
          <w:b w:val="false"/>
          <w:color w:val="000000"/>
          <w:sz w:val="20"/>
        </w:rPr>
        <w:t xml:space="preserve">This has allowed us to pour our efforts into building and growing New Expensify, which is growing very quickly. We'll talk about this more on the earnings call, but revenue from net new customers – meaning, customers who have signed up on New Expensify and have never seen or used Classic – has grown by over </w:t>
      </w:r>
      <w:r>
        <w:rPr>
          <w:rFonts w:ascii="Times New Roman;serif" w:hAnsi="Times New Roman;serif"/>
          <w:b/>
          <w:color w:val="000000"/>
          <w:sz w:val="20"/>
        </w:rPr>
        <w:t>250% year-over-year</w:t>
      </w:r>
      <w:r>
        <w:rPr>
          <w:rFonts w:ascii="Times New Roman;serif" w:hAnsi="Times New Roman;serif"/>
          <w:b w:val="false"/>
          <w:color w:val="000000"/>
          <w:sz w:val="20"/>
        </w:rPr>
        <w:t xml:space="preserve">, to over $10 million ARR across over 10,000 </w:t>
      </w:r>
      <w:r>
        <w:rPr>
          <w:rFonts w:ascii="Times New Roman;serif" w:hAnsi="Times New Roman;serif"/>
          <w:b w:val="false"/>
          <w:i/>
          <w:color w:val="000000"/>
          <w:sz w:val="20"/>
        </w:rPr>
        <w:t>new customers</w:t>
      </w:r>
      <w:r>
        <w:rPr>
          <w:rFonts w:ascii="Times New Roman;serif" w:hAnsi="Times New Roman;serif"/>
          <w:b w:val="false"/>
          <w:color w:val="000000"/>
          <w:sz w:val="20"/>
        </w:rPr>
        <w:t xml:space="preserve">. This is </w:t>
      </w:r>
      <w:r>
        <w:rPr>
          <w:rFonts w:ascii="Times New Roman;serif" w:hAnsi="Times New Roman;serif"/>
          <w:b w:val="false"/>
          <w:i/>
          <w:color w:val="000000"/>
          <w:sz w:val="20"/>
        </w:rPr>
        <w:t>exclusive</w:t>
      </w:r>
      <w:r>
        <w:rPr>
          <w:color w:val="000000"/>
        </w:rPr>
        <w:t xml:space="preserve"> </w:t>
      </w:r>
      <w:r>
        <w:rPr>
          <w:rFonts w:ascii="Times New Roman;serif" w:hAnsi="Times New Roman;serif"/>
          <w:b w:val="false"/>
          <w:color w:val="000000"/>
          <w:sz w:val="20"/>
        </w:rPr>
        <w:t>of Classic customers who have switched to New (which at this point, is most of them).</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 my opinion, the conclusion to draw from this is that Expensify isn't a sleepy, low-growth company. Rather, it is the combination of:</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A large, robust, traditional Expensify Classic product that requires minimal maintenance but generates stable cashflow, most of which is being invested into building…</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A small, innovative, and quickly growing New Expensify product that aims to capture a market 10-100x larger than our traditional product ever could.</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We feel either of these alone should be reasonably valued higher than the current business is being today – and the sum of the two should be valued even higher still.</w:t>
      </w: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Based on that conviction, we attempted to repurchase $25 million of Class A common stock using a modified Dutch auction tender offer, and successfully repurchased 6.1 million shares of Class A common stock at $1.20 per share. (The tender was substantially undersubscribed despite the premium offered on the share price.) We then purchased approximately 712,000 additional shares, for $1.2 million, bringing the total Q2 repurchase to 6.8 million shares of Class A common stock, representing a ~7% reduction in shares outstanding.</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We still have a long road ahead of us, and our path back to sustained growth depends on how effectively we:</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Retain and expand our Classic customers by migrating the last of them onto New Expensify, where they can benefit from a dramatically improved experience for both traditional and modern agentic workflows, and…</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Continue accelerating new customer acquisition by scaling both lead generation and high-velocity self-service sales in this large, untapped market.</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This isn't a new story. It's the same story we told at IPO, and on every earnings call since. This isn't a new market: it's the same market that's been there all along.</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All that's new is (I feel) we have increasingly solid evidence the plan is going to work – and though I never doubted it, it's extremely exciting to see it play out in practice.</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-david</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Founder and CEO of Expensify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Financial</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 xml:space="preserve">Second Quarter 2026 Highlights </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Revenue, net was $33.9 million, a decrease of 5% as compared to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Generated $8.4 million of cash from operating activities.</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Free cash flow was $6.4 million.</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Net loss was $3.9 million, compared to $8.8 million for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Non-GAAP net income was $3.4 million.</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Adjusted EBITDA was $6.6 million.</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Interchange revenue derived from the Expensify Card grew to $5.9 million, an increase of 12% as compared to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See Financial Outlook section for Free Cash Flow guidance for fiscal year ending December 31, 2026.</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Business</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Second Quarter 2026 Highlights</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Paid members</w:t>
      </w:r>
      <w:r>
        <w:rPr>
          <w:color w:val="000000"/>
        </w:rPr>
        <w:t xml:space="preserve"> </w:t>
      </w:r>
      <w:r>
        <w:rPr>
          <w:rFonts w:ascii="Times New Roman;serif" w:hAnsi="Times New Roman;serif"/>
          <w:b w:val="false"/>
          <w:color w:val="000000"/>
          <w:sz w:val="20"/>
        </w:rPr>
        <w:t>- Paid members were 640,000, a decrease of 2% as compared to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AI expands across the platform</w:t>
      </w:r>
      <w:r>
        <w:rPr>
          <w:color w:val="000000"/>
        </w:rPr>
        <w:t xml:space="preserve"> </w:t>
      </w:r>
      <w:r>
        <w:rPr>
          <w:rFonts w:ascii="Times New Roman;serif" w:hAnsi="Times New Roman;serif"/>
          <w:b w:val="false"/>
          <w:color w:val="000000"/>
          <w:sz w:val="20"/>
        </w:rPr>
        <w:t>- Customers can now set up Expensify, automate expenses, and analyze spend using natural language via email, text, or in-app, with AI-powered workflow agents entering beta.</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Expanded commercial ecosystem</w:t>
      </w:r>
      <w:r>
        <w:rPr>
          <w:color w:val="000000"/>
        </w:rPr>
        <w:t xml:space="preserve"> </w:t>
      </w:r>
      <w:r>
        <w:rPr>
          <w:rFonts w:ascii="Times New Roman;serif" w:hAnsi="Times New Roman;serif"/>
          <w:b w:val="false"/>
          <w:color w:val="000000"/>
          <w:sz w:val="20"/>
        </w:rPr>
        <w:t>- Launched the Expensify MCP, connecting Expensify to AI assistants like ChatGPT, Claude, and Cursor for natural-language access to expense data.</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Product velocity remained strong</w:t>
      </w:r>
      <w:r>
        <w:rPr>
          <w:color w:val="000000"/>
        </w:rPr>
        <w:t xml:space="preserve"> </w:t>
      </w:r>
      <w:r>
        <w:rPr>
          <w:rFonts w:ascii="Times New Roman;serif" w:hAnsi="Times New Roman;serif"/>
          <w:b w:val="false"/>
          <w:color w:val="000000"/>
          <w:sz w:val="20"/>
        </w:rPr>
        <w:t>- Shipped 30+ product improvements in Q2 across cards, mileage tracking, policy controls, bulk editing, and AI-powered spend controls, and was named Expense Management Platform of the Year in the TravelTech Breakthrough Awards.</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Capital return to shareholders</w:t>
      </w:r>
      <w:r>
        <w:rPr>
          <w:color w:val="000000"/>
        </w:rPr>
        <w:t xml:space="preserve"> </w:t>
      </w:r>
      <w:r>
        <w:rPr>
          <w:rFonts w:ascii="Times New Roman;serif" w:hAnsi="Times New Roman;serif"/>
          <w:b w:val="false"/>
          <w:color w:val="000000"/>
          <w:sz w:val="20"/>
        </w:rPr>
        <w:t>- Repurchased approximately 6.1 million shares of Class A common stock at $1.20 per share through a modified Dutch auction tender offer, as well as approximately 0.7 million additional shares repurchased at an average price of $1.63 per share. Total repurchases of approximately 6.8 million shares of Class A common stock represent an approximately 7% reduction in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160" w:after="160"/>
        <w:jc w:val="left"/>
        <w:rPr>
          <w:rFonts w:ascii="Times New Roman;serif" w:hAnsi="Times New Roman;serif"/>
          <w:b/>
          <w:color w:val="000000"/>
          <w:sz w:val="20"/>
          <w:u w:val="single"/>
        </w:rPr>
      </w:pPr>
      <w:r>
        <w:rPr>
          <w:rFonts w:ascii="Times New Roman;serif" w:hAnsi="Times New Roman;serif"/>
          <w:b/>
          <w:color w:val="000000"/>
          <w:sz w:val="20"/>
          <w:u w:val="single"/>
        </w:rPr>
        <w:t>Financial Outlook</w: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Free Cash Flow</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Expensify estimates free cash flow of $12.0 million - $14.0 million for the fiscal year ending December 31, 2026. </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does not provide a reconciliation for free cash flow estimates on a forward-looking basis because it is unable, without making unreasonable efforts, to provide a meaningful or reasonably accurate calculation or estimation of net cash provided by operating activities and certain reconciling items on a forward-looking basis, which could be significant to the Company's results.</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Stock Based Compensation</w: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An estimate of expected stock-based compensation for the next four fiscal quarters is as follows, which is driven primarily by the pre-IPO grant of RSUs issued to all employees (which vest quarterly over eight years with approximately three years remaining).</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Est. stock-based compensation (millions)</w:t>
      </w:r>
    </w:p>
    <w:tbl>
      <w:tblPr>
        <w:tblW w:w="9792" w:type="dxa"/>
        <w:jc w:val="left"/>
        <w:tblInd w:w="0" w:type="dxa"/>
        <w:tblLayout w:type="fixed"/>
        <w:tblCellMar>
          <w:top w:w="28" w:type="dxa"/>
          <w:left w:w="28" w:type="dxa"/>
          <w:bottom w:w="28" w:type="dxa"/>
          <w:right w:w="28" w:type="dxa"/>
        </w:tblCellMar>
      </w:tblPr>
      <w:tblGrid>
        <w:gridCol w:w="727"/>
        <w:gridCol w:w="639"/>
        <w:gridCol w:w="644"/>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Q3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Q4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Q1 2027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Q2 2027</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High</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Availability of Information on Expensify’s Website</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 xml:space="preserve">Conference Call </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 </w:t>
      </w: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 addition to financial measures prepared in accordance with U.S. generally accepted accounting principles (“GAAP”), we provide certain non-GAAP financial measures, including adjusted EBITDA, non-GAAP net (loss) income, and free cash flow.</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pStyle w:val="TextBody"/>
        <w:bidi w:val="0"/>
        <w:spacing w:lineRule="auto" w:line="300" w:before="0" w:after="16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We define adjusted EBITDA as net loss excluding provision for (benefit from) income taxes, other income, net, depreciation and amortization, and stock-based compensation expense.</w:t>
      </w:r>
    </w:p>
    <w:p>
      <w:pPr>
        <w:pStyle w:val="TextBody"/>
        <w:bidi w:val="0"/>
        <w:spacing w:lineRule="auto" w:line="300" w:before="0" w:after="160"/>
        <w:jc w:val="left"/>
        <w:rPr/>
      </w:pPr>
      <w:r>
        <w:rPr>
          <w:rFonts w:ascii="Times New Roman;serif" w:hAnsi="Times New Roman;serif"/>
          <w:b/>
          <w:color w:val="000000"/>
          <w:sz w:val="20"/>
        </w:rPr>
        <w:t xml:space="preserve">Non-GAAP </w:t>
      </w:r>
      <w:r>
        <w:rPr>
          <w:rFonts w:ascii="Times New Roman;serif" w:hAnsi="Times New Roman;serif"/>
          <w:b w:val="false"/>
          <w:color w:val="000000"/>
          <w:sz w:val="20"/>
        </w:rPr>
        <w:t>net income (loss)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We define non-GAAP net income (loss) as net loss excluding stock-based compensation expense.</w:t>
      </w:r>
    </w:p>
    <w:p>
      <w:pPr>
        <w:pStyle w:val="TextBody"/>
        <w:bidi w:val="0"/>
        <w:spacing w:lineRule="auto" w:line="300" w:before="0" w:after="160"/>
        <w:jc w:val="left"/>
        <w:rPr/>
      </w:pPr>
      <w:r>
        <w:rPr>
          <w:rFonts w:ascii="Times New Roman;serif" w:hAnsi="Times New Roman;serif"/>
          <w:b/>
          <w:color w:val="000000"/>
          <w:sz w:val="20"/>
        </w:rPr>
        <w:t>Free cash flow.</w:t>
      </w:r>
      <w:r>
        <w:rPr>
          <w:color w:val="000000"/>
        </w:rPr>
        <w:t xml:space="preserve"> </w:t>
      </w:r>
      <w:r>
        <w:rPr>
          <w:rFonts w:ascii="Times New Roman;serif" w:hAnsi="Times New Roman;serif"/>
          <w:b w:val="false"/>
          <w:color w:val="000000"/>
          <w:sz w:val="20"/>
        </w:rPr>
        <w:t>We define free cash flow as net cash provided by operating activities excluding changes in settlement assets, net and settlement liabilities, reduced by the purchases of property and equipment and software development costs.</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The tables at the end of the Condensed Consolidated Financial Statements provide reconciliations to the most directly comparable GAAP financial measure to each of these non-GAAP financial measures.</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 this press release, or made during the earnings call, which are not historical facts, are forward-looking statements within the meaning of the Private Securities Litigation Reform Act of 1995. These statements include statements regarding our strategy, future financial condition, future operations, future cash flow, projected costs, prospects, plans, objectives of management and expected market growth, product developments and their potential impact and our stock-based compensation estimates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which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w:t>
      </w: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any other changes in the competitive landscape of our market; the amount and timing of operating expenses that we may incur to maintain and expand our business and operations to remain competitive; the sufficiency of our cash, cash equivalents and investments to meet our liquidity needs; our ability to meet the Nasdaq continued listing requirements for minimum bid price or other Nasdaq listing requirements and the potential delisting of our common stock;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 geopolitical tensions, including the war in Ukraine and the conflict in the Middle East; our ability to effectively manage our exposure to fluctuations in foreign currency exchange rates; the size of our addressable markets, market share and market trends; anticipated trends, developments and challenges in our industry, business and the highly competitive markets in which we operate; any adverse impact on our business operations as a result of using artificial intelligence or other machine learning technologies in our services;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including geopolitical uncertainty and instability, and their effects on software spending; our ability to protect against security incidents, technical difficulties, or interruptions to our platform; our ability to maintain, protect and enhance our intellectual property; the impact of tariffs and global trade disruptions on us, our customers and our vendors, including the impact on inflation, supply chains and consumer sentiment;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About Expensify</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Expensify is the easiest way to do your expenses, travel, and corporate cards. Built for businesses of all sizes and trusted by 15 million members worldwide, Expensify is a top-rated app across G2, TrustRadius, Capterra, and more. Learn more at use.expensify.com.</w:t>
      </w:r>
    </w:p>
    <w:p>
      <w:pPr>
        <w:pStyle w:val="TextBody"/>
        <w:bidi w:val="0"/>
        <w:spacing w:lineRule="auto" w:line="276" w:before="0" w:after="160"/>
        <w:jc w:val="left"/>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Nick Tooker</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investors@expensify.com</w:t>
      </w:r>
    </w:p>
    <w:p>
      <w:pPr>
        <w:pStyle w:val="TextBody"/>
        <w:bidi w:val="0"/>
        <w:spacing w:lineRule="auto" w:line="276" w:before="0" w:after="160"/>
        <w:jc w:val="left"/>
        <w:rPr>
          <w:rFonts w:ascii="Times New Roman;serif" w:hAnsi="Times New Roman;serif"/>
          <w:b/>
          <w:color w:val="000000"/>
          <w:sz w:val="20"/>
        </w:rPr>
      </w:pPr>
      <w:r>
        <w:rPr>
          <w:rFonts w:ascii="Times New Roman;serif" w:hAnsi="Times New Roman;serif"/>
          <w:b/>
          <w:color w:val="000000"/>
          <w:sz w:val="20"/>
        </w:rPr>
        <w:t>Press Contact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James Dean</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press@expensify.com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2800"/>
        <w:gridCol w:w="2325"/>
        <w:gridCol w:w="2346"/>
        <w:gridCol w:w="207"/>
        <w:gridCol w:w="780"/>
        <w:gridCol w:w="115"/>
        <w:gridCol w:w="109"/>
        <w:gridCol w:w="109"/>
        <w:gridCol w:w="109"/>
        <w:gridCol w:w="234"/>
        <w:gridCol w:w="882"/>
        <w:gridCol w:w="189"/>
      </w:tblGrid>
      <w:tr>
        <w:trPr/>
        <w:tc>
          <w:tcPr>
            <w:tcW w:w="2800"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47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632" w:type="dxa"/>
            <w:gridSpan w:val="6"/>
            <w:tcBorders/>
          </w:tcPr>
          <w:p>
            <w:pPr>
              <w:pStyle w:val="TableContents"/>
              <w:bidi w:val="0"/>
              <w:spacing w:before="0" w:after="283"/>
              <w:jc w:val="left"/>
              <w:rPr>
                <w:sz w:val="4"/>
                <w:szCs w:val="4"/>
              </w:rPr>
            </w:pPr>
            <w:r>
              <w:rPr>
                <w:sz w:val="4"/>
                <w:szCs w:val="4"/>
              </w:rPr>
            </w:r>
          </w:p>
        </w:tc>
      </w:tr>
      <w:tr>
        <w:trPr/>
        <w:tc>
          <w:tcPr>
            <w:tcW w:w="74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7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Assets</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65,760 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63,080 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12,617 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assets,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51,484 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45,378 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5,588 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21,380 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26,344 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154,191 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153,007 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Capitalized software,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12,401 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13,596 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12,707 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13,016 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Lease right-of-use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4,730 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185,406 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185,989 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8,064 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17,893 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747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Lease liabilities, current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liabilities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34,275 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27,545 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44,096 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46,405 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Lease liabilities, non-current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5,061 </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1,778 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50,844 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53,244 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$0.0001; 10,000,000 shares authorized; no shares issued and outstanding as of June 30, 2026 and December 31, 2025</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par value $0.0001;</w:t>
            </w:r>
          </w:p>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 1,000,000,000 shares authorized; 79,647,207 and 80,767,385 shares issued and outstanding as of June 30, 2026 and December 31, 2025, respectively;</w:t>
            </w:r>
          </w:p>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LT10 common stock; 21,871,197 shares authorized; 4,209,827 shares issued and outstanding as of June 30, 2026 and December 31, 2025;</w:t>
            </w:r>
          </w:p>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LT50 common stock; 24,893,067 and 24,967,114 shares authorized as of June 30, 2026 and December 31, 2025, respectively; 8,040,033 and 8,083,690 shares issued and outstanding as of June 30, 2026 and December 31, 2025, respectively</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312,958 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304,953 </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(178,405)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(172,217)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134,562 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132,745 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185,406 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185,989 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1772"/>
        <w:gridCol w:w="1534"/>
        <w:gridCol w:w="1549"/>
        <w:gridCol w:w="223"/>
        <w:gridCol w:w="738"/>
        <w:gridCol w:w="117"/>
        <w:gridCol w:w="117"/>
        <w:gridCol w:w="117"/>
        <w:gridCol w:w="117"/>
        <w:gridCol w:w="223"/>
        <w:gridCol w:w="738"/>
        <w:gridCol w:w="117"/>
        <w:gridCol w:w="109"/>
        <w:gridCol w:w="109"/>
        <w:gridCol w:w="109"/>
        <w:gridCol w:w="223"/>
        <w:gridCol w:w="738"/>
        <w:gridCol w:w="109"/>
        <w:gridCol w:w="109"/>
        <w:gridCol w:w="109"/>
        <w:gridCol w:w="109"/>
        <w:gridCol w:w="219"/>
        <w:gridCol w:w="742"/>
        <w:gridCol w:w="158"/>
      </w:tblGrid>
      <w:tr>
        <w:trPr/>
        <w:tc>
          <w:tcPr>
            <w:tcW w:w="1772"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33,866 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35,764 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71,838 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erif" w:hAnsi="Times New Roman;serif"/>
                <w:b w:val="false"/>
                <w:color w:val="000000"/>
                <w:sz w:val="18"/>
              </w:rPr>
              <w:t>Cost of revenue, net</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17,536 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17,187 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35,019 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16,330 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18,577 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36,819 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erif" w:hAnsi="Times New Roman;serif"/>
                <w:b w:val="false"/>
                <w:color w:val="000000"/>
                <w:sz w:val="18"/>
              </w:rPr>
              <w:t>Research and development</w:t>
            </w:r>
            <w:r>
              <w:rPr>
                <w:rFonts w:ascii="Times New Roman;serif" w:hAnsi="Times New Roman;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erif" w:hAnsi="Times New Roman;serif"/>
                <w:b w:val="false"/>
                <w:color w:val="000000"/>
                <w:sz w:val="18"/>
              </w:rPr>
              <w:t>General and administrative</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9,591 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9,411 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erif" w:hAnsi="Times New Roman;serif"/>
                <w:b w:val="false"/>
                <w:color w:val="000000"/>
                <w:sz w:val="18"/>
              </w:rPr>
              <w:t>Sales and marketing</w:t>
            </w:r>
            <w:r>
              <w:rPr>
                <w:rFonts w:ascii="Times New Roman;serif" w:hAnsi="Times New Roman;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14,346 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19,251 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28,915 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48,644 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(2,921)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(10,338)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(11,825)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(2,719)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(9,449)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(10,612)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(1,345)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(3,851)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(8,788)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(11,957)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22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 average shares of common stock used to compute net loss per share:</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95,441,380 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92,271,924 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94,585,048 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91,888,633 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center"/>
        <w:rPr>
          <w:color w:val="000000"/>
        </w:rPr>
      </w:pPr>
      <w:r>
        <w:rPr>
          <w:color w:val="000000"/>
        </w:rPr>
        <w:t>    </w:t>
      </w:r>
    </w:p>
    <w:p>
      <w:pPr>
        <w:pStyle w:val="TextBody"/>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(1)Includes stock-based compensation expense as follows:</w:t>
      </w:r>
    </w:p>
    <w:tbl>
      <w:tblPr>
        <w:tblW w:w="7984" w:type="dxa"/>
        <w:jc w:val="center"/>
        <w:tblInd w:w="0" w:type="dxa"/>
        <w:tblLayout w:type="fixed"/>
        <w:tblCellMar>
          <w:top w:w="28" w:type="dxa"/>
          <w:left w:w="28" w:type="dxa"/>
          <w:bottom w:w="28" w:type="dxa"/>
          <w:right w:w="28" w:type="dxa"/>
        </w:tblCellMar>
      </w:tblPr>
      <w:tblGrid>
        <w:gridCol w:w="1064"/>
        <w:gridCol w:w="934"/>
        <w:gridCol w:w="941"/>
        <w:gridCol w:w="233"/>
        <w:gridCol w:w="663"/>
        <w:gridCol w:w="130"/>
        <w:gridCol w:w="130"/>
        <w:gridCol w:w="130"/>
        <w:gridCol w:w="130"/>
        <w:gridCol w:w="233"/>
        <w:gridCol w:w="663"/>
        <w:gridCol w:w="130"/>
        <w:gridCol w:w="109"/>
        <w:gridCol w:w="109"/>
        <w:gridCol w:w="109"/>
        <w:gridCol w:w="196"/>
        <w:gridCol w:w="647"/>
        <w:gridCol w:w="109"/>
        <w:gridCol w:w="109"/>
        <w:gridCol w:w="109"/>
        <w:gridCol w:w="109"/>
        <w:gridCol w:w="196"/>
        <w:gridCol w:w="647"/>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Cost of revenue, net</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2,770 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961 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7,211 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6,927 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2436"/>
        <w:gridCol w:w="2045"/>
        <w:gridCol w:w="2061"/>
        <w:gridCol w:w="109"/>
        <w:gridCol w:w="109"/>
        <w:gridCol w:w="175"/>
        <w:gridCol w:w="175"/>
        <w:gridCol w:w="316"/>
        <w:gridCol w:w="1187"/>
        <w:gridCol w:w="175"/>
        <w:gridCol w:w="109"/>
        <w:gridCol w:w="109"/>
        <w:gridCol w:w="109"/>
        <w:gridCol w:w="196"/>
        <w:gridCol w:w="736"/>
        <w:gridCol w:w="158"/>
      </w:tblGrid>
      <w:tr>
        <w:trPr/>
        <w:tc>
          <w:tcPr>
            <w:tcW w:w="2436"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417" w:type="dxa"/>
            <w:gridSpan w:val="6"/>
            <w:tcBorders/>
          </w:tcPr>
          <w:p>
            <w:pPr>
              <w:pStyle w:val="TableContents"/>
              <w:bidi w:val="0"/>
              <w:spacing w:before="0" w:after="283"/>
              <w:jc w:val="left"/>
              <w:rPr>
                <w:sz w:val="4"/>
                <w:szCs w:val="4"/>
              </w:rPr>
            </w:pPr>
            <w:r>
              <w:rPr>
                <w:sz w:val="4"/>
                <w:szCs w:val="4"/>
              </w:rPr>
            </w:r>
          </w:p>
        </w:tc>
      </w:tr>
      <w:tr>
        <w:trPr/>
        <w:tc>
          <w:tcPr>
            <w:tcW w:w="6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(6,188)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(11,957)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4,598 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Reduction of 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on impairment, receivables and sale or disposal of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13,188 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14,917 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(5,994)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9,565 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6,525 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(2,186)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(9,995)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8,551 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16,040 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Software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(2,491)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(1,655)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(2,491)</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(1,672)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Change in customer funds,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4,251 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Payments for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Proceeds from common stock purchased under the Matching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3,283 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2,610 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(8,451)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(3,026)</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(1,066)</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(2,774)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4,994 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11,594 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104,624 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90,834 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109,618 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102,428 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5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Stock-based compensation capitalized as software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Repurchases and retirement of common stock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and capitalized software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Fair value of common stock issued to settle liability-classified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5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Reconciliation of cash and cash equivalents and restricted cash to the Condensed Consolidated Balance Sheets: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65,760 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60,519 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20,074 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21,132 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settlement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23,784 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20,777 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109,618 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102,428 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2"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Reconciliation of GAAP to Non-GAAP Financial Measures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percentages)</w:t>
      </w:r>
    </w:p>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Adjusted EBITDA and Adjusted EBITDA Margin</w:t>
      </w:r>
    </w:p>
    <w:tbl>
      <w:tblPr>
        <w:tblW w:w="8522" w:type="dxa"/>
        <w:jc w:val="left"/>
        <w:tblInd w:w="0" w:type="dxa"/>
        <w:tblLayout w:type="fixed"/>
        <w:tblCellMar>
          <w:top w:w="28" w:type="dxa"/>
          <w:left w:w="28" w:type="dxa"/>
          <w:bottom w:w="28" w:type="dxa"/>
          <w:right w:w="28" w:type="dxa"/>
        </w:tblCellMar>
      </w:tblPr>
      <w:tblGrid>
        <w:gridCol w:w="1107"/>
        <w:gridCol w:w="971"/>
        <w:gridCol w:w="981"/>
        <w:gridCol w:w="196"/>
        <w:gridCol w:w="631"/>
        <w:gridCol w:w="256"/>
        <w:gridCol w:w="109"/>
        <w:gridCol w:w="109"/>
        <w:gridCol w:w="109"/>
        <w:gridCol w:w="196"/>
        <w:gridCol w:w="631"/>
        <w:gridCol w:w="256"/>
        <w:gridCol w:w="109"/>
        <w:gridCol w:w="109"/>
        <w:gridCol w:w="109"/>
        <w:gridCol w:w="196"/>
        <w:gridCol w:w="646"/>
        <w:gridCol w:w="256"/>
        <w:gridCol w:w="109"/>
        <w:gridCol w:w="109"/>
        <w:gridCol w:w="109"/>
        <w:gridCol w:w="196"/>
        <w:gridCol w:w="721"/>
        <w:gridCol w:w="301"/>
      </w:tblGrid>
      <w:tr>
        <w:trPr/>
        <w:tc>
          <w:tcPr>
            <w:tcW w:w="110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380" w:type="dxa"/>
            <w:gridSpan w:val="18"/>
            <w:tcBorders/>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(3,851)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(8,788)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(6,188)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(11,957)</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Net loss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(17)</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(1,213)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3,961 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13,188 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14,917 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6,591 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(1,393)</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12,812 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7,053 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Adjusted EBITDA margin</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19 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(4)</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19 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10 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0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Non-GAAP Net Income (Loss) and Non-GAAP Net Income (Loss) Margin</w:t>
      </w:r>
    </w:p>
    <w:tbl>
      <w:tblPr>
        <w:tblW w:w="8207" w:type="dxa"/>
        <w:jc w:val="left"/>
        <w:tblInd w:w="0" w:type="dxa"/>
        <w:tblLayout w:type="fixed"/>
        <w:tblCellMar>
          <w:top w:w="28" w:type="dxa"/>
          <w:left w:w="28" w:type="dxa"/>
          <w:bottom w:w="28" w:type="dxa"/>
          <w:right w:w="28" w:type="dxa"/>
        </w:tblCellMar>
      </w:tblPr>
      <w:tblGrid>
        <w:gridCol w:w="999"/>
        <w:gridCol w:w="876"/>
        <w:gridCol w:w="884"/>
        <w:gridCol w:w="196"/>
        <w:gridCol w:w="631"/>
        <w:gridCol w:w="256"/>
        <w:gridCol w:w="109"/>
        <w:gridCol w:w="109"/>
        <w:gridCol w:w="109"/>
        <w:gridCol w:w="196"/>
        <w:gridCol w:w="631"/>
        <w:gridCol w:w="256"/>
        <w:gridCol w:w="109"/>
        <w:gridCol w:w="109"/>
        <w:gridCol w:w="109"/>
        <w:gridCol w:w="196"/>
        <w:gridCol w:w="631"/>
        <w:gridCol w:w="256"/>
        <w:gridCol w:w="109"/>
        <w:gridCol w:w="109"/>
        <w:gridCol w:w="109"/>
        <w:gridCol w:w="196"/>
        <w:gridCol w:w="721"/>
        <w:gridCol w:w="301"/>
      </w:tblGrid>
      <w:tr>
        <w:trPr/>
        <w:tc>
          <w:tcPr>
            <w:tcW w:w="9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365" w:type="dxa"/>
            <w:gridSpan w:val="18"/>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(3,851)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(8,788)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(6,188)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(11,957)</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Net loss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(17)</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13,188 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14,917 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Non-GAAP 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(1,861)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2,960 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Non-GAAP net income (loss) margin</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10 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(5)</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10 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4 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7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Free Cash Flow and Free Cash Flow Margin</w:t>
      </w:r>
    </w:p>
    <w:tbl>
      <w:tblPr>
        <w:tblW w:w="10205" w:type="dxa"/>
        <w:jc w:val="left"/>
        <w:tblInd w:w="0" w:type="dxa"/>
        <w:tblLayout w:type="fixed"/>
        <w:tblCellMar>
          <w:top w:w="28" w:type="dxa"/>
          <w:left w:w="28" w:type="dxa"/>
          <w:bottom w:w="28" w:type="dxa"/>
          <w:right w:w="28" w:type="dxa"/>
        </w:tblCellMar>
      </w:tblPr>
      <w:tblGrid>
        <w:gridCol w:w="953"/>
        <w:gridCol w:w="776"/>
        <w:gridCol w:w="784"/>
        <w:gridCol w:w="201"/>
        <w:gridCol w:w="573"/>
        <w:gridCol w:w="263"/>
        <w:gridCol w:w="111"/>
        <w:gridCol w:w="111"/>
        <w:gridCol w:w="111"/>
        <w:gridCol w:w="201"/>
        <w:gridCol w:w="573"/>
        <w:gridCol w:w="263"/>
        <w:gridCol w:w="109"/>
        <w:gridCol w:w="109"/>
        <w:gridCol w:w="109"/>
        <w:gridCol w:w="196"/>
        <w:gridCol w:w="556"/>
        <w:gridCol w:w="256"/>
        <w:gridCol w:w="109"/>
        <w:gridCol w:w="109"/>
        <w:gridCol w:w="109"/>
        <w:gridCol w:w="196"/>
        <w:gridCol w:w="646"/>
        <w:gridCol w:w="256"/>
        <w:gridCol w:w="109"/>
        <w:gridCol w:w="109"/>
        <w:gridCol w:w="109"/>
        <w:gridCol w:w="407"/>
        <w:gridCol w:w="1156"/>
        <w:gridCol w:w="635"/>
      </w:tblGrid>
      <w:tr>
        <w:trPr/>
        <w:tc>
          <w:tcPr>
            <w:tcW w:w="9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5285" w:type="dxa"/>
            <w:gridSpan w:val="18"/>
            <w:tcBorders/>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8,433 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8,184 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8,551 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16,040 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Operating cash flow margin</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25 </w:t>
            </w:r>
          </w:p>
        </w:tc>
        <w:tc>
          <w:tcPr>
            <w:tcW w:w="26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23 </w:t>
            </w:r>
          </w:p>
        </w:tc>
        <w:tc>
          <w:tcPr>
            <w:tcW w:w="26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35" w:type="dxa"/>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Changes in settlement assets and liabilities:</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assets, net</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(1,160)</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5,994 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4,481 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liabilities</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(1,138)</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(4,947)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(730)</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Software development costs</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(1,079)</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(1,157)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(1,412)</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6,446 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6,311 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15,415 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Free cash flow margin</w:t>
            </w:r>
          </w:p>
        </w:tc>
        <w:tc>
          <w:tcPr>
            <w:tcW w:w="7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19 </w:t>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18 </w:t>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13 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21 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7 </w:t>
            </w:r>
          </w:p>
        </w:tc>
        <w:tc>
          <w:tcPr>
            <w:tcW w:w="6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5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9"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21"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23"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25"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27"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9"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31"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1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3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 descr=""/>
                    <pic:cNvPicPr>
                      <a:picLocks noChangeAspect="1" noChangeArrowheads="1"/>
                    </pic:cNvPicPr>
                  </pic:nvPicPr>
                  <pic:blipFill>
                    <a:blip r:embed="rId1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3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pPr>
      <w:r>
        <w:rPr/>
        <w:drawing>
          <wp:inline distT="0" distB="0" distL="0" distR="0">
            <wp:extent cx="9144000" cy="5143500"/>
            <wp:effectExtent l="0" t="0" r="0" b="0"/>
            <wp:docPr id="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2" descr=""/>
                    <pic:cNvPicPr>
                      <a:picLocks noChangeAspect="1" noChangeArrowheads="1"/>
                    </pic:cNvPicPr>
                  </pic:nvPicPr>
                  <pic:blipFill>
                    <a:blip r:embed="rId13"/>
                    <a:stretch>
                      <a:fillRect/>
                    </a:stretch>
                  </pic:blipFill>
                  <pic:spPr bwMode="auto">
                    <a:xfrm>
                      <a:off x="0" y="0"/>
                      <a:ext cx="9144000" cy="51435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3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1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39"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1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41"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16"/>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3"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6" descr=""/>
                    <pic:cNvPicPr>
                      <a:picLocks noChangeAspect="1" noChangeArrowheads="1"/>
                    </pic:cNvPicPr>
                  </pic:nvPicPr>
                  <pic:blipFill>
                    <a:blip r:embed="rId1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45"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1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47"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1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49"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pPr>
      <w:r>
        <w:rPr/>
        <w:drawing>
          <wp:inline distT="0" distB="0" distL="0" distR="0">
            <wp:extent cx="9144000" cy="5143500"/>
            <wp:effectExtent l="0" t="0" r="0" b="0"/>
            <wp:docPr id="5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9" descr=""/>
                    <pic:cNvPicPr>
                      <a:picLocks noChangeAspect="1" noChangeArrowheads="1"/>
                    </pic:cNvPicPr>
                  </pic:nvPicPr>
                  <pic:blipFill>
                    <a:blip r:embed="rId20"/>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1"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lineRule="auto" w:line="288"/>
        <w:jc w:val="center"/>
        <w:rPr>
          <w:rFonts w:ascii="Arial;sans-serif" w:hAnsi="Arial;sans-serif"/>
          <w:b w:val="false"/>
          <w:color w:val="000000"/>
          <w:sz w:val="24"/>
        </w:rPr>
      </w:pPr>
      <w:r>
        <w:rPr>
          <w:rFonts w:ascii="Arial;sans-serif" w:hAnsi="Arial;sans-serif"/>
          <w:b w:val="false"/>
          <w:color w:val="000000"/>
          <w:sz w:val="24"/>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5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0" descr=""/>
                    <pic:cNvPicPr>
                      <a:picLocks noChangeAspect="1" noChangeArrowheads="1"/>
                    </pic:cNvPicPr>
                  </pic:nvPicPr>
                  <pic:blipFill>
                    <a:blip r:embed="rId21"/>
                    <a:stretch>
                      <a:fillRect/>
                    </a:stretch>
                  </pic:blipFill>
                  <pic:spPr bwMode="auto">
                    <a:xfrm>
                      <a:off x="0" y="0"/>
                      <a:ext cx="9144000" cy="5143500"/>
                    </a:xfrm>
                    <a:prstGeom prst="rect">
                      <a:avLst/>
                    </a:prstGeom>
                  </pic:spPr>
                </pic:pic>
              </a:graphicData>
            </a:graphic>
          </wp:inline>
        </w:drawing>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5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1" descr=""/>
                    <pic:cNvPicPr>
                      <a:picLocks noChangeAspect="1" noChangeArrowheads="1"/>
                    </pic:cNvPicPr>
                  </pic:nvPicPr>
                  <pic:blipFill>
                    <a:blip r:embed="rId2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5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2" descr=""/>
                    <pic:cNvPicPr>
                      <a:picLocks noChangeAspect="1" noChangeArrowheads="1"/>
                    </pic:cNvPicPr>
                  </pic:nvPicPr>
                  <pic:blipFill>
                    <a:blip r:embed="rId2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3" descr=""/>
                    <pic:cNvPicPr>
                      <a:picLocks noChangeAspect="1" noChangeArrowheads="1"/>
                    </pic:cNvPicPr>
                  </pic:nvPicPr>
                  <pic:blipFill>
                    <a:blip r:embed="rId2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9"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6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4" descr=""/>
                    <pic:cNvPicPr>
                      <a:picLocks noChangeAspect="1" noChangeArrowheads="1"/>
                    </pic:cNvPicPr>
                  </pic:nvPicPr>
                  <pic:blipFill>
                    <a:blip r:embed="rId2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1"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6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5" descr=""/>
                    <pic:cNvPicPr>
                      <a:picLocks noChangeAspect="1" noChangeArrowheads="1"/>
                    </pic:cNvPicPr>
                  </pic:nvPicPr>
                  <pic:blipFill>
                    <a:blip r:embed="rId2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3"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6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6" descr=""/>
                    <pic:cNvPicPr>
                      <a:picLocks noChangeAspect="1" noChangeArrowheads="1"/>
                    </pic:cNvPicPr>
                  </pic:nvPicPr>
                  <pic:blipFill>
                    <a:blip r:embed="rId2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5"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6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7" descr=""/>
                    <pic:cNvPicPr>
                      <a:picLocks noChangeAspect="1" noChangeArrowheads="1"/>
                    </pic:cNvPicPr>
                  </pic:nvPicPr>
                  <pic:blipFill>
                    <a:blip r:embed="rId28"/>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8" descr=""/>
                    <pic:cNvPicPr>
                      <a:picLocks noChangeAspect="1" noChangeArrowheads="1"/>
                    </pic:cNvPicPr>
                  </pic:nvPicPr>
                  <pic:blipFill>
                    <a:blip r:embed="rId29"/>
                    <a:stretch>
                      <a:fillRect/>
                    </a:stretch>
                  </pic:blipFill>
                  <pic:spPr bwMode="auto">
                    <a:xfrm>
                      <a:off x="0" y="0"/>
                      <a:ext cx="9144000" cy="51435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2.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4963</Words>
  <Characters>27536</Characters>
  <CharactersWithSpaces>31888</CharactersWithSpaces>
  <Paragraphs>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