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David Barrett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90000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78300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80888459</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04/01/2026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04/29/2009 Founding Shares</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90000</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04/29/2009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03/17/2026 2692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2045.92</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03/24/2026 10114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8495.76</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01/02/2026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45000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02/02/2026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43500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03/02/2026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270000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Note: Barrett Trust LLC is a manager-managed limited liability company. The investment and voting decisions of Barrett Trust LLC are made by its manager, David Barrett, and its controlling member is the Barrett Family Trust, for which David Barrett serves as trustee. Note for 3(e): As of February 23, 2026, as stated in Issuer's quarterly report on Form 10-K for the fiscal year ending December 31, 2025.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04/08/2026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03/31/2025</w:t>
      </w:r>
    </w:p>
    <w:p>
      <w:pPr>
        <w:spacing w:after="0" w:line="1098" w:lineRule="exact"/>
        <w:rPr>
          <w:sz w:val="20"/>
          <w:szCs w:val="20"/>
          <w:color w:val="auto"/>
        </w:rPr>
      </w:pPr>
    </w:p>
    <w:p>
      <w:pPr>
        <w:sectPr>
          <w:pgSz w:w="11900" w:h="16838" w:orient="portrait"/>
          <w:cols w:equalWidth="0" w:num="2">
            <w:col w:w="1460" w:space="340"/>
            <w:col w:w="944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p>
      <w:pPr>
        <w:sectPr>
          <w:pgSz w:w="11900" w:h="16838" w:orient="portrait"/>
          <w:cols w:equalWidth="0" w:num="1">
            <w:col w:w="11160"/>
          </w:cols>
          <w:pgMar w:left="360" w:top="111"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2026-04-08T08:23:47Z</dcterms:created>
  <dcterms:modified xsi:type="dcterms:W3CDTF">2026-04-08T08:23:47Z</dcterms:modified>
</cp:coreProperties>
</file>