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February 23, 2023</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Expensify, Inc.</w:t>
      </w:r>
    </w:p>
    <w:p>
      <w:pPr>
        <w:spacing w:after="0" w:line="52" w:lineRule="exact"/>
        <w:rPr>
          <w:sz w:val="24"/>
          <w:szCs w:val="24"/>
          <w:color w:val="auto"/>
        </w:rPr>
      </w:pPr>
    </w:p>
    <w:tbl>
      <w:tblPr>
        <w:tblLayout w:type="fixed"/>
        <w:tblInd w:w="1140" w:type="dxa"/>
        <w:tblCellMar>
          <w:top w:w="0" w:type="dxa"/>
          <w:left w:w="0" w:type="dxa"/>
          <w:bottom w:w="0" w:type="dxa"/>
          <w:right w:w="0" w:type="dxa"/>
        </w:tblCellMar>
      </w:tblPr>
      <w:tr>
        <w:trPr>
          <w:trHeight w:val="204"/>
        </w:trPr>
        <w:tc>
          <w:tcPr>
            <w:tcW w:w="2080" w:type="dxa"/>
            <w:vAlign w:val="bottom"/>
          </w:tcPr>
          <w:p>
            <w:pPr>
              <w:spacing w:after="0"/>
              <w:rPr>
                <w:sz w:val="17"/>
                <w:szCs w:val="17"/>
                <w:color w:val="auto"/>
              </w:rPr>
            </w:pPr>
          </w:p>
        </w:tc>
        <w:tc>
          <w:tcPr>
            <w:tcW w:w="4920" w:type="dxa"/>
            <w:vAlign w:val="bottom"/>
          </w:tcPr>
          <w:p>
            <w:pPr>
              <w:jc w:val="center"/>
              <w:ind w:right="28"/>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c>
          <w:tcPr>
            <w:tcW w:w="1700" w:type="dxa"/>
            <w:vAlign w:val="bottom"/>
          </w:tcPr>
          <w:p>
            <w:pPr>
              <w:spacing w:after="0"/>
              <w:rPr>
                <w:sz w:val="17"/>
                <w:szCs w:val="17"/>
                <w:color w:val="auto"/>
              </w:rPr>
            </w:pPr>
          </w:p>
        </w:tc>
      </w:tr>
      <w:tr>
        <w:trPr>
          <w:trHeight w:val="219"/>
        </w:trPr>
        <w:tc>
          <w:tcPr>
            <w:tcW w:w="2080" w:type="dxa"/>
            <w:vAlign w:val="bottom"/>
          </w:tcPr>
          <w:p>
            <w:pPr>
              <w:jc w:val="center"/>
              <w:ind w:right="532"/>
              <w:spacing w:after="0"/>
              <w:rPr>
                <w:sz w:val="20"/>
                <w:szCs w:val="20"/>
                <w:color w:val="auto"/>
              </w:rPr>
            </w:pPr>
            <w:r>
              <w:rPr>
                <w:rFonts w:ascii="Arial" w:cs="Arial" w:eastAsia="Arial" w:hAnsi="Arial"/>
                <w:sz w:val="16"/>
                <w:szCs w:val="16"/>
                <w:b w:val="1"/>
                <w:bCs w:val="1"/>
                <w:color w:val="auto"/>
                <w:w w:val="91"/>
              </w:rPr>
              <w:t>Delaware</w:t>
            </w:r>
          </w:p>
        </w:tc>
        <w:tc>
          <w:tcPr>
            <w:tcW w:w="4920" w:type="dxa"/>
            <w:vAlign w:val="bottom"/>
          </w:tcPr>
          <w:p>
            <w:pPr>
              <w:jc w:val="center"/>
              <w:ind w:right="48"/>
              <w:spacing w:after="0"/>
              <w:rPr>
                <w:sz w:val="20"/>
                <w:szCs w:val="20"/>
                <w:color w:val="auto"/>
              </w:rPr>
            </w:pPr>
            <w:r>
              <w:rPr>
                <w:rFonts w:ascii="Arial" w:cs="Arial" w:eastAsia="Arial" w:hAnsi="Arial"/>
                <w:sz w:val="16"/>
                <w:szCs w:val="16"/>
                <w:b w:val="1"/>
                <w:bCs w:val="1"/>
                <w:color w:val="auto"/>
                <w:w w:val="88"/>
              </w:rPr>
              <w:t>001-41043</w:t>
            </w:r>
          </w:p>
        </w:tc>
        <w:tc>
          <w:tcPr>
            <w:tcW w:w="1700" w:type="dxa"/>
            <w:vAlign w:val="bottom"/>
          </w:tcPr>
          <w:p>
            <w:pPr>
              <w:jc w:val="center"/>
              <w:ind w:left="672"/>
              <w:spacing w:after="0"/>
              <w:rPr>
                <w:sz w:val="20"/>
                <w:szCs w:val="20"/>
                <w:color w:val="auto"/>
              </w:rPr>
            </w:pPr>
            <w:r>
              <w:rPr>
                <w:rFonts w:ascii="Arial" w:cs="Arial" w:eastAsia="Arial" w:hAnsi="Arial"/>
                <w:sz w:val="16"/>
                <w:szCs w:val="16"/>
                <w:b w:val="1"/>
                <w:bCs w:val="1"/>
                <w:color w:val="auto"/>
                <w:w w:val="88"/>
              </w:rPr>
              <w:t>27-0239450</w:t>
            </w:r>
          </w:p>
        </w:tc>
      </w:tr>
      <w:tr>
        <w:trPr>
          <w:trHeight w:val="159"/>
        </w:trPr>
        <w:tc>
          <w:tcPr>
            <w:tcW w:w="2080" w:type="dxa"/>
            <w:vAlign w:val="bottom"/>
          </w:tcPr>
          <w:p>
            <w:pPr>
              <w:jc w:val="center"/>
              <w:ind w:right="532"/>
              <w:spacing w:after="0"/>
              <w:rPr>
                <w:sz w:val="20"/>
                <w:szCs w:val="20"/>
                <w:color w:val="auto"/>
              </w:rPr>
            </w:pPr>
            <w:r>
              <w:rPr>
                <w:rFonts w:ascii="Arial" w:cs="Arial" w:eastAsia="Arial" w:hAnsi="Arial"/>
                <w:sz w:val="13"/>
                <w:szCs w:val="13"/>
                <w:b w:val="1"/>
                <w:bCs w:val="1"/>
                <w:color w:val="auto"/>
                <w:w w:val="87"/>
              </w:rPr>
              <w:t>(State or Other Jurisdiction</w:t>
            </w:r>
          </w:p>
        </w:tc>
        <w:tc>
          <w:tcPr>
            <w:tcW w:w="4920" w:type="dxa"/>
            <w:vAlign w:val="bottom"/>
          </w:tcPr>
          <w:p>
            <w:pPr>
              <w:jc w:val="center"/>
              <w:ind w:right="68"/>
              <w:spacing w:after="0"/>
              <w:rPr>
                <w:sz w:val="20"/>
                <w:szCs w:val="20"/>
                <w:color w:val="auto"/>
              </w:rPr>
            </w:pPr>
            <w:r>
              <w:rPr>
                <w:rFonts w:ascii="Arial" w:cs="Arial" w:eastAsia="Arial" w:hAnsi="Arial"/>
                <w:sz w:val="13"/>
                <w:szCs w:val="13"/>
                <w:b w:val="1"/>
                <w:bCs w:val="1"/>
                <w:color w:val="auto"/>
                <w:w w:val="84"/>
              </w:rPr>
              <w:t>(Commission</w:t>
            </w:r>
          </w:p>
        </w:tc>
        <w:tc>
          <w:tcPr>
            <w:tcW w:w="1700" w:type="dxa"/>
            <w:vAlign w:val="bottom"/>
          </w:tcPr>
          <w:p>
            <w:pPr>
              <w:jc w:val="center"/>
              <w:ind w:left="652"/>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2080" w:type="dxa"/>
            <w:vAlign w:val="bottom"/>
          </w:tcPr>
          <w:p>
            <w:pPr>
              <w:jc w:val="center"/>
              <w:ind w:right="532"/>
              <w:spacing w:after="0"/>
              <w:rPr>
                <w:sz w:val="20"/>
                <w:szCs w:val="20"/>
                <w:color w:val="auto"/>
              </w:rPr>
            </w:pPr>
            <w:r>
              <w:rPr>
                <w:rFonts w:ascii="Arial" w:cs="Arial" w:eastAsia="Arial" w:hAnsi="Arial"/>
                <w:sz w:val="13"/>
                <w:szCs w:val="13"/>
                <w:b w:val="1"/>
                <w:bCs w:val="1"/>
                <w:color w:val="auto"/>
                <w:w w:val="88"/>
              </w:rPr>
              <w:t>of Incorporation)</w:t>
            </w:r>
          </w:p>
        </w:tc>
        <w:tc>
          <w:tcPr>
            <w:tcW w:w="4920" w:type="dxa"/>
            <w:vAlign w:val="bottom"/>
          </w:tcPr>
          <w:p>
            <w:pPr>
              <w:jc w:val="center"/>
              <w:ind w:right="48"/>
              <w:spacing w:after="0"/>
              <w:rPr>
                <w:sz w:val="20"/>
                <w:szCs w:val="20"/>
                <w:color w:val="auto"/>
              </w:rPr>
            </w:pPr>
            <w:r>
              <w:rPr>
                <w:rFonts w:ascii="Arial" w:cs="Arial" w:eastAsia="Arial" w:hAnsi="Arial"/>
                <w:sz w:val="13"/>
                <w:szCs w:val="13"/>
                <w:b w:val="1"/>
                <w:bCs w:val="1"/>
                <w:color w:val="auto"/>
                <w:w w:val="90"/>
              </w:rPr>
              <w:t>File Number)</w:t>
            </w:r>
          </w:p>
        </w:tc>
        <w:tc>
          <w:tcPr>
            <w:tcW w:w="1700" w:type="dxa"/>
            <w:vAlign w:val="bottom"/>
          </w:tcPr>
          <w:p>
            <w:pPr>
              <w:jc w:val="center"/>
              <w:ind w:left="652"/>
              <w:spacing w:after="0"/>
              <w:rPr>
                <w:sz w:val="20"/>
                <w:szCs w:val="20"/>
                <w:color w:val="auto"/>
              </w:rPr>
            </w:pPr>
            <w:r>
              <w:rPr>
                <w:rFonts w:ascii="Arial" w:cs="Arial" w:eastAsia="Arial" w:hAnsi="Arial"/>
                <w:sz w:val="13"/>
                <w:szCs w:val="13"/>
                <w:b w:val="1"/>
                <w:bCs w:val="1"/>
                <w:color w:val="auto"/>
                <w:w w:val="89"/>
              </w:rPr>
              <w:t>Identification No.)</w:t>
            </w:r>
          </w:p>
        </w:tc>
      </w:tr>
      <w:tr>
        <w:trPr>
          <w:trHeight w:val="383"/>
        </w:trPr>
        <w:tc>
          <w:tcPr>
            <w:tcW w:w="2080" w:type="dxa"/>
            <w:vAlign w:val="bottom"/>
          </w:tcPr>
          <w:p>
            <w:pPr>
              <w:spacing w:after="0"/>
              <w:rPr>
                <w:sz w:val="24"/>
                <w:szCs w:val="24"/>
                <w:color w:val="auto"/>
              </w:rPr>
            </w:pPr>
          </w:p>
        </w:tc>
        <w:tc>
          <w:tcPr>
            <w:tcW w:w="4920" w:type="dxa"/>
            <w:vAlign w:val="bottom"/>
          </w:tcPr>
          <w:p>
            <w:pPr>
              <w:jc w:val="center"/>
              <w:ind w:right="28"/>
              <w:spacing w:after="0"/>
              <w:rPr>
                <w:sz w:val="20"/>
                <w:szCs w:val="20"/>
                <w:color w:val="auto"/>
              </w:rPr>
            </w:pPr>
            <w:r>
              <w:rPr>
                <w:rFonts w:ascii="Arial" w:cs="Arial" w:eastAsia="Arial" w:hAnsi="Arial"/>
                <w:sz w:val="16"/>
                <w:szCs w:val="16"/>
                <w:b w:val="1"/>
                <w:bCs w:val="1"/>
                <w:color w:val="auto"/>
                <w:w w:val="87"/>
              </w:rPr>
              <w:t>401 SW 5</w:t>
            </w:r>
            <w:r>
              <w:rPr>
                <w:rFonts w:ascii="Arial" w:cs="Arial" w:eastAsia="Arial" w:hAnsi="Arial"/>
                <w:sz w:val="20"/>
                <w:szCs w:val="20"/>
                <w:b w:val="1"/>
                <w:bCs w:val="1"/>
                <w:color w:val="auto"/>
                <w:w w:val="87"/>
                <w:vertAlign w:val="superscript"/>
              </w:rPr>
              <w:t>th</w:t>
            </w:r>
            <w:r>
              <w:rPr>
                <w:rFonts w:ascii="Arial" w:cs="Arial" w:eastAsia="Arial" w:hAnsi="Arial"/>
                <w:sz w:val="16"/>
                <w:szCs w:val="16"/>
                <w:b w:val="1"/>
                <w:bCs w:val="1"/>
                <w:color w:val="auto"/>
                <w:w w:val="87"/>
              </w:rPr>
              <w:t xml:space="preserve"> Ave</w:t>
            </w:r>
          </w:p>
        </w:tc>
        <w:tc>
          <w:tcPr>
            <w:tcW w:w="1700" w:type="dxa"/>
            <w:vAlign w:val="bottom"/>
          </w:tcPr>
          <w:p>
            <w:pPr>
              <w:spacing w:after="0"/>
              <w:rPr>
                <w:sz w:val="24"/>
                <w:szCs w:val="24"/>
                <w:color w:val="auto"/>
              </w:rPr>
            </w:pPr>
          </w:p>
        </w:tc>
      </w:tr>
      <w:tr>
        <w:trPr>
          <w:trHeight w:val="186"/>
        </w:trPr>
        <w:tc>
          <w:tcPr>
            <w:tcW w:w="2080" w:type="dxa"/>
            <w:vAlign w:val="bottom"/>
          </w:tcPr>
          <w:p>
            <w:pPr>
              <w:spacing w:after="0"/>
              <w:rPr>
                <w:sz w:val="16"/>
                <w:szCs w:val="16"/>
                <w:color w:val="auto"/>
              </w:rPr>
            </w:pPr>
          </w:p>
        </w:tc>
        <w:tc>
          <w:tcPr>
            <w:tcW w:w="4920" w:type="dxa"/>
            <w:vAlign w:val="bottom"/>
          </w:tcPr>
          <w:p>
            <w:pPr>
              <w:jc w:val="center"/>
              <w:ind w:right="28"/>
              <w:spacing w:after="0"/>
              <w:rPr>
                <w:sz w:val="20"/>
                <w:szCs w:val="20"/>
                <w:color w:val="auto"/>
              </w:rPr>
            </w:pPr>
            <w:r>
              <w:rPr>
                <w:rFonts w:ascii="Arial" w:cs="Arial" w:eastAsia="Arial" w:hAnsi="Arial"/>
                <w:sz w:val="16"/>
                <w:szCs w:val="16"/>
                <w:b w:val="1"/>
                <w:bCs w:val="1"/>
                <w:color w:val="auto"/>
                <w:w w:val="90"/>
              </w:rPr>
              <w:t>Portland, Oregon 97204</w:t>
            </w:r>
          </w:p>
        </w:tc>
        <w:tc>
          <w:tcPr>
            <w:tcW w:w="1700" w:type="dxa"/>
            <w:vAlign w:val="bottom"/>
          </w:tcPr>
          <w:p>
            <w:pPr>
              <w:spacing w:after="0"/>
              <w:rPr>
                <w:sz w:val="16"/>
                <w:szCs w:val="16"/>
                <w:color w:val="auto"/>
              </w:rPr>
            </w:pPr>
          </w:p>
        </w:tc>
      </w:tr>
      <w:tr>
        <w:trPr>
          <w:trHeight w:val="164"/>
        </w:trPr>
        <w:tc>
          <w:tcPr>
            <w:tcW w:w="2080" w:type="dxa"/>
            <w:vAlign w:val="bottom"/>
          </w:tcPr>
          <w:p>
            <w:pPr>
              <w:spacing w:after="0"/>
              <w:rPr>
                <w:sz w:val="14"/>
                <w:szCs w:val="14"/>
                <w:color w:val="auto"/>
              </w:rPr>
            </w:pPr>
          </w:p>
        </w:tc>
        <w:tc>
          <w:tcPr>
            <w:tcW w:w="4920" w:type="dxa"/>
            <w:vAlign w:val="bottom"/>
          </w:tcPr>
          <w:p>
            <w:pPr>
              <w:jc w:val="center"/>
              <w:ind w:right="48"/>
              <w:spacing w:after="0"/>
              <w:rPr>
                <w:sz w:val="20"/>
                <w:szCs w:val="20"/>
                <w:color w:val="auto"/>
              </w:rPr>
            </w:pPr>
            <w:r>
              <w:rPr>
                <w:rFonts w:ascii="Arial" w:cs="Arial" w:eastAsia="Arial" w:hAnsi="Arial"/>
                <w:sz w:val="13"/>
                <w:szCs w:val="13"/>
                <w:b w:val="1"/>
                <w:bCs w:val="1"/>
                <w:color w:val="auto"/>
                <w:w w:val="87"/>
              </w:rPr>
              <w:t>(Address of Principal Executive Offices) (Zip Code)</w:t>
            </w:r>
          </w:p>
        </w:tc>
        <w:tc>
          <w:tcPr>
            <w:tcW w:w="1700" w:type="dxa"/>
            <w:vAlign w:val="bottom"/>
          </w:tcPr>
          <w:p>
            <w:pPr>
              <w:spacing w:after="0"/>
              <w:rPr>
                <w:sz w:val="14"/>
                <w:szCs w:val="14"/>
                <w:color w:val="auto"/>
              </w:rPr>
            </w:pPr>
          </w:p>
        </w:tc>
      </w:tr>
      <w:tr>
        <w:trPr>
          <w:trHeight w:val="273"/>
        </w:trPr>
        <w:tc>
          <w:tcPr>
            <w:tcW w:w="2080" w:type="dxa"/>
            <w:vAlign w:val="bottom"/>
          </w:tcPr>
          <w:p>
            <w:pPr>
              <w:spacing w:after="0"/>
              <w:rPr>
                <w:sz w:val="23"/>
                <w:szCs w:val="23"/>
                <w:color w:val="auto"/>
              </w:rPr>
            </w:pPr>
          </w:p>
        </w:tc>
        <w:tc>
          <w:tcPr>
            <w:tcW w:w="4920" w:type="dxa"/>
            <w:vAlign w:val="bottom"/>
          </w:tcPr>
          <w:p>
            <w:pPr>
              <w:jc w:val="center"/>
              <w:ind w:right="28"/>
              <w:spacing w:after="0"/>
              <w:rPr>
                <w:sz w:val="20"/>
                <w:szCs w:val="20"/>
                <w:color w:val="auto"/>
              </w:rPr>
            </w:pPr>
            <w:r>
              <w:rPr>
                <w:rFonts w:ascii="Arial" w:cs="Arial" w:eastAsia="Arial" w:hAnsi="Arial"/>
                <w:sz w:val="16"/>
                <w:szCs w:val="16"/>
                <w:b w:val="1"/>
                <w:bCs w:val="1"/>
                <w:color w:val="auto"/>
                <w:w w:val="89"/>
              </w:rPr>
              <w:t>(971) 365-3939</w:t>
            </w:r>
          </w:p>
        </w:tc>
        <w:tc>
          <w:tcPr>
            <w:tcW w:w="1700" w:type="dxa"/>
            <w:vAlign w:val="bottom"/>
          </w:tcPr>
          <w:p>
            <w:pPr>
              <w:spacing w:after="0"/>
              <w:rPr>
                <w:sz w:val="23"/>
                <w:szCs w:val="23"/>
                <w:color w:val="auto"/>
              </w:rPr>
            </w:pPr>
          </w:p>
        </w:tc>
      </w:tr>
      <w:tr>
        <w:trPr>
          <w:trHeight w:val="164"/>
        </w:trPr>
        <w:tc>
          <w:tcPr>
            <w:tcW w:w="2080" w:type="dxa"/>
            <w:vAlign w:val="bottom"/>
          </w:tcPr>
          <w:p>
            <w:pPr>
              <w:spacing w:after="0"/>
              <w:rPr>
                <w:sz w:val="14"/>
                <w:szCs w:val="14"/>
                <w:color w:val="auto"/>
              </w:rPr>
            </w:pPr>
          </w:p>
        </w:tc>
        <w:tc>
          <w:tcPr>
            <w:tcW w:w="4920" w:type="dxa"/>
            <w:vAlign w:val="bottom"/>
          </w:tcPr>
          <w:p>
            <w:pPr>
              <w:jc w:val="center"/>
              <w:ind w:right="48"/>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1700" w:type="dxa"/>
            <w:vAlign w:val="bottom"/>
          </w:tcPr>
          <w:p>
            <w:pPr>
              <w:spacing w:after="0"/>
              <w:rPr>
                <w:sz w:val="14"/>
                <w:szCs w:val="14"/>
                <w:color w:val="auto"/>
              </w:rPr>
            </w:pPr>
          </w:p>
        </w:tc>
      </w:tr>
      <w:tr>
        <w:trPr>
          <w:trHeight w:val="273"/>
        </w:trPr>
        <w:tc>
          <w:tcPr>
            <w:tcW w:w="2080" w:type="dxa"/>
            <w:vAlign w:val="bottom"/>
          </w:tcPr>
          <w:p>
            <w:pPr>
              <w:spacing w:after="0"/>
              <w:rPr>
                <w:sz w:val="23"/>
                <w:szCs w:val="23"/>
                <w:color w:val="auto"/>
              </w:rPr>
            </w:pPr>
          </w:p>
        </w:tc>
        <w:tc>
          <w:tcPr>
            <w:tcW w:w="4920" w:type="dxa"/>
            <w:vAlign w:val="bottom"/>
          </w:tcPr>
          <w:p>
            <w:pPr>
              <w:jc w:val="center"/>
              <w:ind w:right="28"/>
              <w:spacing w:after="0"/>
              <w:rPr>
                <w:sz w:val="20"/>
                <w:szCs w:val="20"/>
                <w:color w:val="auto"/>
              </w:rPr>
            </w:pPr>
            <w:r>
              <w:rPr>
                <w:rFonts w:ascii="Arial" w:cs="Arial" w:eastAsia="Arial" w:hAnsi="Arial"/>
                <w:sz w:val="16"/>
                <w:szCs w:val="16"/>
                <w:b w:val="1"/>
                <w:bCs w:val="1"/>
                <w:color w:val="auto"/>
                <w:w w:val="89"/>
              </w:rPr>
              <w:t>Not applicable</w:t>
            </w:r>
          </w:p>
        </w:tc>
        <w:tc>
          <w:tcPr>
            <w:tcW w:w="1700" w:type="dxa"/>
            <w:vAlign w:val="bottom"/>
          </w:tcPr>
          <w:p>
            <w:pPr>
              <w:spacing w:after="0"/>
              <w:rPr>
                <w:sz w:val="23"/>
                <w:szCs w:val="23"/>
                <w:color w:val="auto"/>
              </w:rPr>
            </w:pPr>
          </w:p>
        </w:tc>
      </w:tr>
      <w:tr>
        <w:trPr>
          <w:trHeight w:val="164"/>
        </w:trPr>
        <w:tc>
          <w:tcPr>
            <w:tcW w:w="2080" w:type="dxa"/>
            <w:vAlign w:val="bottom"/>
          </w:tcPr>
          <w:p>
            <w:pPr>
              <w:spacing w:after="0"/>
              <w:rPr>
                <w:sz w:val="14"/>
                <w:szCs w:val="14"/>
                <w:color w:val="auto"/>
              </w:rPr>
            </w:pPr>
          </w:p>
        </w:tc>
        <w:tc>
          <w:tcPr>
            <w:tcW w:w="4920" w:type="dxa"/>
            <w:vAlign w:val="bottom"/>
          </w:tcPr>
          <w:p>
            <w:pPr>
              <w:jc w:val="center"/>
              <w:ind w:right="48"/>
              <w:spacing w:after="0"/>
              <w:rPr>
                <w:sz w:val="20"/>
                <w:szCs w:val="20"/>
                <w:color w:val="auto"/>
              </w:rPr>
            </w:pPr>
            <w:r>
              <w:rPr>
                <w:rFonts w:ascii="Arial" w:cs="Arial" w:eastAsia="Arial" w:hAnsi="Arial"/>
                <w:sz w:val="13"/>
                <w:szCs w:val="13"/>
                <w:b w:val="1"/>
                <w:bCs w:val="1"/>
                <w:color w:val="auto"/>
                <w:w w:val="88"/>
              </w:rPr>
              <w:t>(Former Name or Former Address, if Changed Since Last Report)</w:t>
            </w:r>
          </w:p>
        </w:tc>
        <w:tc>
          <w:tcPr>
            <w:tcW w:w="1700" w:type="dxa"/>
            <w:vAlign w:val="bottom"/>
          </w:tcPr>
          <w:p>
            <w:pPr>
              <w:spacing w:after="0"/>
              <w:rPr>
                <w:sz w:val="14"/>
                <w:szCs w:val="14"/>
                <w:color w:val="auto"/>
              </w:rPr>
            </w:pPr>
          </w:p>
        </w:tc>
      </w:tr>
    </w:tbl>
    <w:p>
      <w:pPr>
        <w:spacing w:after="0" w:line="91"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64" w:lineRule="exact"/>
        <w:rPr>
          <w:sz w:val="24"/>
          <w:szCs w:val="24"/>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23"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23"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23"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154"/>
        </w:trPr>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80" w:type="dxa"/>
            <w:vAlign w:val="bottom"/>
            <w:gridSpan w:val="2"/>
          </w:tcPr>
          <w:p>
            <w:pPr>
              <w:ind w:left="1560"/>
              <w:spacing w:after="0"/>
              <w:rPr>
                <w:sz w:val="20"/>
                <w:szCs w:val="20"/>
                <w:color w:val="auto"/>
              </w:rPr>
            </w:pPr>
            <w:r>
              <w:rPr>
                <w:rFonts w:ascii="Arial" w:cs="Arial" w:eastAsia="Arial" w:hAnsi="Arial"/>
                <w:sz w:val="13"/>
                <w:szCs w:val="13"/>
                <w:b w:val="1"/>
                <w:bCs w:val="1"/>
                <w:color w:val="auto"/>
              </w:rPr>
              <w:t>Trading</w:t>
            </w:r>
          </w:p>
        </w:tc>
        <w:tc>
          <w:tcPr>
            <w:tcW w:w="362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w:t>
            </w:r>
          </w:p>
        </w:tc>
      </w:tr>
      <w:tr>
        <w:trPr>
          <w:trHeight w:val="176"/>
        </w:trPr>
        <w:tc>
          <w:tcPr>
            <w:tcW w:w="3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3"/>
              </w:rPr>
              <w:t>Title of each class</w:t>
            </w:r>
          </w:p>
        </w:tc>
        <w:tc>
          <w:tcPr>
            <w:tcW w:w="3680" w:type="dxa"/>
            <w:vAlign w:val="bottom"/>
            <w:gridSpan w:val="2"/>
          </w:tcPr>
          <w:p>
            <w:pPr>
              <w:ind w:left="1540"/>
              <w:spacing w:after="0"/>
              <w:rPr>
                <w:sz w:val="20"/>
                <w:szCs w:val="20"/>
                <w:color w:val="auto"/>
              </w:rPr>
            </w:pPr>
            <w:r>
              <w:rPr>
                <w:rFonts w:ascii="Arial" w:cs="Arial" w:eastAsia="Arial" w:hAnsi="Arial"/>
                <w:sz w:val="13"/>
                <w:szCs w:val="13"/>
                <w:b w:val="1"/>
                <w:bCs w:val="1"/>
                <w:color w:val="auto"/>
              </w:rPr>
              <w:t>Symbols</w:t>
            </w:r>
          </w:p>
        </w:tc>
        <w:tc>
          <w:tcPr>
            <w:tcW w:w="3620" w:type="dxa"/>
            <w:vAlign w:val="bottom"/>
          </w:tcPr>
          <w:p>
            <w:pPr>
              <w:jc w:val="center"/>
              <w:spacing w:after="0"/>
              <w:rPr>
                <w:sz w:val="20"/>
                <w:szCs w:val="20"/>
                <w:color w:val="auto"/>
              </w:rPr>
            </w:pPr>
            <w:r>
              <w:rPr>
                <w:rFonts w:ascii="Arial" w:cs="Arial" w:eastAsia="Arial" w:hAnsi="Arial"/>
                <w:sz w:val="13"/>
                <w:szCs w:val="13"/>
                <w:b w:val="1"/>
                <w:bCs w:val="1"/>
                <w:color w:val="auto"/>
                <w:w w:val="86"/>
              </w:rPr>
              <w:t>on which registered</w:t>
            </w:r>
          </w:p>
        </w:tc>
      </w:tr>
      <w:tr>
        <w:trPr>
          <w:trHeight w:val="21"/>
        </w:trPr>
        <w:tc>
          <w:tcPr>
            <w:tcW w:w="3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r>
      <w:tr>
        <w:trPr>
          <w:trHeight w:val="203"/>
        </w:trPr>
        <w:tc>
          <w:tcPr>
            <w:tcW w:w="39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Class A Common Stock, par value $0.0001 per share</w:t>
            </w:r>
          </w:p>
        </w:tc>
        <w:tc>
          <w:tcPr>
            <w:tcW w:w="3680" w:type="dxa"/>
            <w:vAlign w:val="bottom"/>
            <w:gridSpan w:val="2"/>
          </w:tcPr>
          <w:p>
            <w:pPr>
              <w:ind w:left="1560"/>
              <w:spacing w:after="0"/>
              <w:rPr>
                <w:sz w:val="20"/>
                <w:szCs w:val="20"/>
                <w:color w:val="auto"/>
              </w:rPr>
            </w:pPr>
            <w:r>
              <w:rPr>
                <w:rFonts w:ascii="Arial" w:cs="Arial" w:eastAsia="Arial" w:hAnsi="Arial"/>
                <w:sz w:val="16"/>
                <w:szCs w:val="16"/>
                <w:b w:val="1"/>
                <w:bCs w:val="1"/>
                <w:color w:val="auto"/>
              </w:rPr>
              <w:t>EXFY</w:t>
            </w:r>
          </w:p>
        </w:tc>
        <w:tc>
          <w:tcPr>
            <w:tcW w:w="3620" w:type="dxa"/>
            <w:vAlign w:val="bottom"/>
          </w:tcPr>
          <w:p>
            <w:pPr>
              <w:jc w:val="center"/>
              <w:spacing w:after="0"/>
              <w:rPr>
                <w:sz w:val="20"/>
                <w:szCs w:val="20"/>
                <w:color w:val="auto"/>
              </w:rPr>
            </w:pPr>
            <w:r>
              <w:rPr>
                <w:rFonts w:ascii="Arial" w:cs="Arial" w:eastAsia="Arial" w:hAnsi="Arial"/>
                <w:sz w:val="16"/>
                <w:szCs w:val="16"/>
                <w:b w:val="1"/>
                <w:bCs w:val="1"/>
                <w:color w:val="auto"/>
                <w:w w:val="92"/>
              </w:rPr>
              <w:t>The Nasdaq Stock Market LLC</w:t>
            </w:r>
          </w:p>
        </w:tc>
      </w:tr>
    </w:tbl>
    <w:p>
      <w:pPr>
        <w:spacing w:after="0" w:line="83" w:lineRule="exact"/>
        <w:rPr>
          <w:sz w:val="24"/>
          <w:szCs w:val="24"/>
          <w:color w:val="auto"/>
        </w:rPr>
      </w:pPr>
    </w:p>
    <w:p>
      <w:pPr>
        <w:ind w:right="24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8" w:lineRule="exact"/>
        <w:rPr>
          <w:sz w:val="24"/>
          <w:szCs w:val="24"/>
          <w:color w:val="auto"/>
        </w:rPr>
      </w:pPr>
    </w:p>
    <w:p>
      <w:pPr>
        <w:ind w:right="320"/>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818515</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45" w:right="319" w:bottom="1440" w:gutter="0" w:footer="0" w:header="0"/>
        </w:sectPr>
      </w:pPr>
    </w:p>
    <w:bookmarkStart w:id="1" w:name="page2"/>
    <w:bookmarkEnd w:id="1"/>
    <w:p>
      <w:pPr>
        <w:spacing w:after="0" w:line="103"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128" w:lineRule="exact"/>
        <w:rPr>
          <w:sz w:val="20"/>
          <w:szCs w:val="20"/>
          <w:color w:val="auto"/>
        </w:rPr>
      </w:pPr>
    </w:p>
    <w:p>
      <w:pPr>
        <w:ind w:left="5"/>
        <w:spacing w:after="0"/>
        <w:rPr>
          <w:sz w:val="20"/>
          <w:szCs w:val="20"/>
          <w:color w:val="auto"/>
        </w:rPr>
      </w:pPr>
      <w:r>
        <w:rPr>
          <w:rFonts w:ascii="Arial" w:cs="Arial" w:eastAsia="Arial" w:hAnsi="Arial"/>
          <w:sz w:val="14"/>
          <w:szCs w:val="14"/>
          <w:color w:val="auto"/>
        </w:rPr>
        <w:t>On February 23, 2023, Expensify, Inc. (“Expensify” or the “Company”) issued a press release announcing its financial results for the year and quarter ended December 31, 2022.</w:t>
      </w:r>
    </w:p>
    <w:p>
      <w:pPr>
        <w:spacing w:after="0" w:line="30" w:lineRule="exact"/>
        <w:rPr>
          <w:sz w:val="20"/>
          <w:szCs w:val="20"/>
          <w:color w:val="auto"/>
        </w:rPr>
      </w:pPr>
    </w:p>
    <w:p>
      <w:pPr>
        <w:ind w:left="5"/>
        <w:spacing w:after="0"/>
        <w:rPr>
          <w:sz w:val="20"/>
          <w:szCs w:val="20"/>
          <w:color w:val="auto"/>
        </w:rPr>
      </w:pPr>
      <w:r>
        <w:rPr>
          <w:rFonts w:ascii="Arial" w:cs="Arial" w:eastAsia="Arial" w:hAnsi="Arial"/>
          <w:sz w:val="16"/>
          <w:szCs w:val="16"/>
          <w:color w:val="auto"/>
        </w:rPr>
        <w:t>A copy of this press release is furnished as Exhibit 99.1 to this current report on Form 8-K and is incorporated herein by reference.</w:t>
      </w:r>
    </w:p>
    <w:p>
      <w:pPr>
        <w:spacing w:after="0" w:line="20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7.01 Regulation FD Disclosure.</w:t>
      </w:r>
    </w:p>
    <w:p>
      <w:pPr>
        <w:spacing w:after="0" w:line="128" w:lineRule="exact"/>
        <w:rPr>
          <w:sz w:val="20"/>
          <w:szCs w:val="20"/>
          <w:color w:val="auto"/>
        </w:rPr>
      </w:pPr>
    </w:p>
    <w:p>
      <w:pPr>
        <w:ind w:left="5" w:right="60"/>
        <w:spacing w:after="0" w:line="241" w:lineRule="auto"/>
        <w:rPr>
          <w:sz w:val="20"/>
          <w:szCs w:val="20"/>
          <w:color w:val="auto"/>
        </w:rPr>
      </w:pPr>
      <w:r>
        <w:rPr>
          <w:rFonts w:ascii="Arial" w:cs="Arial" w:eastAsia="Arial" w:hAnsi="Arial"/>
          <w:sz w:val="16"/>
          <w:szCs w:val="16"/>
          <w:color w:val="auto"/>
        </w:rPr>
        <w:t>On February 23, 2023, the Company posted an investor presentation to its website at https://ir.expensify.com (the “Investor Presentation”). A copy of the Investor Presentation is attached as Exhibit 99.2 to this current report on Form 8-K and is incorporated herein by reference. The Company expects to use the Investor Presentation, in whole or in part, and possibly with modifications, in connection with presentations to investors, analysts and others.</w:t>
      </w:r>
    </w:p>
    <w:p>
      <w:pPr>
        <w:spacing w:after="0" w:line="1" w:lineRule="exact"/>
        <w:rPr>
          <w:sz w:val="20"/>
          <w:szCs w:val="20"/>
          <w:color w:val="auto"/>
        </w:rPr>
      </w:pPr>
    </w:p>
    <w:p>
      <w:pPr>
        <w:ind w:left="5" w:right="140"/>
        <w:spacing w:after="0" w:line="277" w:lineRule="auto"/>
        <w:rPr>
          <w:sz w:val="20"/>
          <w:szCs w:val="20"/>
          <w:color w:val="auto"/>
        </w:rPr>
      </w:pPr>
      <w:r>
        <w:rPr>
          <w:rFonts w:ascii="Arial" w:cs="Arial" w:eastAsia="Arial" w:hAnsi="Arial"/>
          <w:sz w:val="14"/>
          <w:szCs w:val="14"/>
          <w:color w:val="auto"/>
        </w:rPr>
        <w:t>The information contained in the Investor Presentation is summary information that is intended to be considered in the context of the Company’s Securities and Exchange Commission (“SEC”) filings and other public announcements that the Company may make, by press release or otherwise, from time to time. The Investor Presentation speaks only as of the date of this current report on Form 8-K. The Company undertakes no duty or obligation to publicly update or revise the information included in the Investor Presentation, although it may do so from time to time. Any such updating may be made through the filing of other reports or documents with the SEC, through press releases or other public disclosure. In addition, the exhibit furnished herewith contains statements intended as “forward-looking statements” that are subject to the cautionary statements about forward-looking statements set forth in such exhibit. By furnishing the information contained in the Investor Presentation, the Company makes no admission as to the materiality of any information in the Investor Presentation that is required to be disclosed solely by reason of Regulation FD.</w:t>
      </w:r>
    </w:p>
    <w:p>
      <w:pPr>
        <w:spacing w:after="0" w:line="166" w:lineRule="exact"/>
        <w:rPr>
          <w:sz w:val="20"/>
          <w:szCs w:val="20"/>
          <w:color w:val="auto"/>
        </w:rPr>
      </w:pPr>
    </w:p>
    <w:p>
      <w:pPr>
        <w:ind w:left="5"/>
        <w:spacing w:after="0" w:line="302" w:lineRule="auto"/>
        <w:rPr>
          <w:sz w:val="20"/>
          <w:szCs w:val="20"/>
          <w:color w:val="auto"/>
        </w:rPr>
      </w:pPr>
      <w:r>
        <w:rPr>
          <w:rFonts w:ascii="Arial" w:cs="Arial" w:eastAsia="Arial" w:hAnsi="Arial"/>
          <w:sz w:val="14"/>
          <w:szCs w:val="14"/>
          <w:color w:val="auto"/>
        </w:rPr>
        <w:t>The information contained in Item 2.02 and this Item 7.01, including Exhibit 99.1 and 99.2, is being furnished and shall not be deemed “filed” for the purposed of Section 18 of the Securities and Exchange Act of 1934, as amended (the “Exchange Act”), or otherwise subject to the liabilities of that section, nor shall it be deemed incorporated by reference in any filing made by Expensify under the Securities Act of 1933, as amended, or the Exchange Act, except as expressly set forth by specific reference in such a filing.</w:t>
      </w:r>
    </w:p>
    <w:p>
      <w:pPr>
        <w:spacing w:after="0" w:line="21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28" w:lineRule="exact"/>
        <w:rPr>
          <w:sz w:val="20"/>
          <w:szCs w:val="20"/>
          <w:color w:val="auto"/>
        </w:rPr>
      </w:pPr>
    </w:p>
    <w:p>
      <w:pPr>
        <w:ind w:left="225" w:hanging="225"/>
        <w:spacing w:after="0"/>
        <w:tabs>
          <w:tab w:leader="none" w:pos="225"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Exhibits</w:t>
      </w:r>
      <w:r>
        <w:rPr>
          <w:rFonts w:ascii="Arial" w:cs="Arial" w:eastAsia="Arial" w:hAnsi="Arial"/>
          <w:sz w:val="16"/>
          <w:szCs w:val="16"/>
          <w:color w:val="auto"/>
        </w:rPr>
        <w:t>.</w:t>
      </w:r>
    </w:p>
    <w:p>
      <w:pPr>
        <w:spacing w:after="0" w:line="163" w:lineRule="exact"/>
        <w:rPr>
          <w:sz w:val="20"/>
          <w:szCs w:val="20"/>
          <w:color w:val="auto"/>
        </w:rPr>
      </w:pPr>
    </w:p>
    <w:p>
      <w:pPr>
        <w:ind w:left="105"/>
        <w:spacing w:after="0"/>
        <w:tabs>
          <w:tab w:leader="none" w:pos="925"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94" w:lineRule="exact"/>
        <w:rPr>
          <w:sz w:val="20"/>
          <w:szCs w:val="20"/>
          <w:color w:val="auto"/>
        </w:rPr>
      </w:pPr>
    </w:p>
    <w:p>
      <w:pPr>
        <w:ind w:left="285"/>
        <w:spacing w:after="0"/>
        <w:tabs>
          <w:tab w:leader="none" w:pos="925"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2"/>
          <w:szCs w:val="12"/>
          <w:u w:val="single" w:color="auto"/>
          <w:color w:val="0000FF"/>
        </w:rPr>
        <w:t>Press Release issued by Expensify, Inc., dated February 23, 2023.</w:t>
      </w:r>
    </w:p>
    <w:p>
      <w:pPr>
        <w:spacing w:after="0" w:line="88" w:lineRule="exact"/>
        <w:rPr>
          <w:sz w:val="20"/>
          <w:szCs w:val="20"/>
          <w:color w:val="auto"/>
        </w:rPr>
      </w:pPr>
    </w:p>
    <w:p>
      <w:pPr>
        <w:ind w:left="285"/>
        <w:spacing w:after="0"/>
        <w:tabs>
          <w:tab w:leader="none" w:pos="925"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4"/>
          <w:szCs w:val="14"/>
          <w:u w:val="single" w:color="auto"/>
          <w:color w:val="0000FF"/>
        </w:rPr>
        <w:t>Investor Presentation, dated February 23, 2023.</w:t>
      </w:r>
    </w:p>
    <w:p>
      <w:pPr>
        <w:spacing w:after="0" w:line="88" w:lineRule="exact"/>
        <w:rPr>
          <w:sz w:val="20"/>
          <w:szCs w:val="20"/>
          <w:color w:val="auto"/>
        </w:rPr>
      </w:pPr>
    </w:p>
    <w:p>
      <w:pPr>
        <w:ind w:left="305"/>
        <w:spacing w:after="0"/>
        <w:tabs>
          <w:tab w:leader="none" w:pos="925"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839470</wp:posOffset>
            </wp:positionV>
            <wp:extent cx="71748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5"/>
          </w:cols>
          <w:pgMar w:left="315" w:top="1440" w:right="359" w:bottom="1440" w:gutter="0" w:footer="0" w:header="0"/>
        </w:sectPr>
      </w:pPr>
    </w:p>
    <w:bookmarkStart w:id="2" w:name="page3"/>
    <w:bookmarkEnd w:id="2"/>
    <w:p>
      <w:pPr>
        <w:ind w:left="5160"/>
        <w:spacing w:after="0"/>
        <w:rPr>
          <w:sz w:val="20"/>
          <w:szCs w:val="20"/>
          <w:color w:val="auto"/>
        </w:rPr>
      </w:pPr>
      <w:r>
        <w:rPr>
          <w:rFonts w:ascii="Arial" w:cs="Arial" w:eastAsia="Arial" w:hAnsi="Arial"/>
          <w:sz w:val="16"/>
          <w:szCs w:val="16"/>
          <w:b w:val="1"/>
          <w:bCs w:val="1"/>
          <w:u w:val="single" w:color="auto"/>
          <w:color w:val="auto"/>
        </w:rPr>
        <w:t>SIGNATURE</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 w:lineRule="exact"/>
        <w:rPr>
          <w:sz w:val="20"/>
          <w:szCs w:val="20"/>
          <w:color w:val="auto"/>
        </w:rPr>
      </w:pPr>
    </w:p>
    <w:p>
      <w:pPr>
        <w:ind w:left="8440"/>
        <w:spacing w:after="0"/>
        <w:rPr>
          <w:sz w:val="20"/>
          <w:szCs w:val="20"/>
          <w:color w:val="auto"/>
        </w:rPr>
      </w:pPr>
      <w:r>
        <w:rPr>
          <w:rFonts w:ascii="Arial" w:cs="Arial" w:eastAsia="Arial" w:hAnsi="Arial"/>
          <w:sz w:val="16"/>
          <w:szCs w:val="16"/>
          <w:color w:val="auto"/>
        </w:rPr>
        <w:t>Expensify, Inc.</w:t>
      </w:r>
    </w:p>
    <w:p>
      <w:pPr>
        <w:spacing w:after="0" w:line="230" w:lineRule="exact"/>
        <w:rPr>
          <w:sz w:val="20"/>
          <w:szCs w:val="20"/>
          <w:color w:val="auto"/>
        </w:rPr>
      </w:pPr>
    </w:p>
    <w:p>
      <w:pPr>
        <w:ind w:left="8440"/>
        <w:spacing w:after="0"/>
        <w:tabs>
          <w:tab w:leader="none" w:pos="89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5696585</wp:posOffset>
            </wp:positionH>
            <wp:positionV relativeFrom="paragraph">
              <wp:posOffset>19050</wp:posOffset>
            </wp:positionV>
            <wp:extent cx="14497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705" cy="7620"/>
                    </a:xfrm>
                    <a:prstGeom prst="rect">
                      <a:avLst/>
                    </a:prstGeom>
                    <a:noFill/>
                  </pic:spPr>
                </pic:pic>
              </a:graphicData>
            </a:graphic>
          </wp:anchor>
        </w:drawing>
      </w:r>
    </w:p>
    <w:p>
      <w:pPr>
        <w:spacing w:after="0" w:line="21" w:lineRule="exact"/>
        <w:rPr>
          <w:sz w:val="20"/>
          <w:szCs w:val="20"/>
          <w:color w:val="auto"/>
        </w:rPr>
      </w:pPr>
    </w:p>
    <w:p>
      <w:pPr>
        <w:ind w:left="8440"/>
        <w:spacing w:after="0"/>
        <w:tabs>
          <w:tab w:leader="none" w:pos="896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Ryan Schaffer</w:t>
      </w:r>
    </w:p>
    <w:p>
      <w:pPr>
        <w:spacing w:after="0" w:line="53" w:lineRule="exact"/>
        <w:rPr>
          <w:sz w:val="20"/>
          <w:szCs w:val="20"/>
          <w:color w:val="auto"/>
        </w:rPr>
      </w:pPr>
    </w:p>
    <w:p>
      <w:pPr>
        <w:ind w:left="8440"/>
        <w:spacing w:after="0"/>
        <w:tabs>
          <w:tab w:leader="none" w:pos="8960" w:val="left"/>
        </w:tabs>
        <w:rPr>
          <w:sz w:val="20"/>
          <w:szCs w:val="20"/>
          <w:color w:val="auto"/>
        </w:rPr>
      </w:pPr>
      <w:r>
        <w:rPr>
          <w:rFonts w:ascii="Arial" w:cs="Arial" w:eastAsia="Arial" w:hAnsi="Arial"/>
          <w:sz w:val="16"/>
          <w:szCs w:val="16"/>
          <w:color w:val="auto"/>
        </w:rPr>
        <w:t>Title:</w:t>
        <w:tab/>
        <w:t>Chief Financial Officer</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23, 2023</w:t>
      </w:r>
    </w:p>
    <w:p>
      <w:pPr>
        <w:sectPr>
          <w:pgSz w:w="11900" w:h="16838" w:orient="portrait"/>
          <w:cols w:equalWidth="0" w:num="1">
            <w:col w:w="10720"/>
          </w:cols>
          <w:pgMar w:left="320" w:top="1258"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EXPENSIFY ANNOUNCES Q4 AND FULL YEAR FISCAL 2022 RESULTS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company demonstrated strong positive operating cash flow of $32.9 million on $169.5 million in revenue, a revenue increase of 19% compared to the same period last year.</w:t>
      </w:r>
    </w:p>
    <w:p>
      <w:pPr>
        <w:spacing w:after="0" w:line="241" w:lineRule="exact"/>
        <w:rPr>
          <w:sz w:val="20"/>
          <w:szCs w:val="20"/>
          <w:color w:val="auto"/>
        </w:rPr>
      </w:pPr>
    </w:p>
    <w:p>
      <w:pPr>
        <w:ind w:right="340"/>
        <w:spacing w:after="0" w:line="340" w:lineRule="auto"/>
        <w:rPr>
          <w:sz w:val="20"/>
          <w:szCs w:val="20"/>
          <w:color w:val="auto"/>
        </w:rPr>
      </w:pPr>
      <w:r>
        <w:rPr>
          <w:rFonts w:ascii="Arial" w:cs="Arial" w:eastAsia="Arial" w:hAnsi="Arial"/>
          <w:sz w:val="14"/>
          <w:szCs w:val="14"/>
          <w:color w:val="auto"/>
        </w:rPr>
        <w:t>PORTLAND, Ore.--(BUSINESS WIRE)--February 23, 2023-- Expensify, Inc. (Nasdaq: EXFY), a payments superapp that helps individuals and businesses around the world simplify the way they manage money across expenses, corporate cards and bills, today announced results for its quarter and year ended December 31, 2022.</w:t>
      </w:r>
    </w:p>
    <w:p>
      <w:pPr>
        <w:spacing w:after="0" w:line="147" w:lineRule="exact"/>
        <w:rPr>
          <w:sz w:val="20"/>
          <w:szCs w:val="20"/>
          <w:color w:val="auto"/>
        </w:rPr>
      </w:pPr>
    </w:p>
    <w:p>
      <w:pPr>
        <w:ind w:right="220"/>
        <w:spacing w:after="0" w:line="287" w:lineRule="auto"/>
        <w:rPr>
          <w:sz w:val="20"/>
          <w:szCs w:val="20"/>
          <w:color w:val="auto"/>
        </w:rPr>
      </w:pPr>
      <w:r>
        <w:rPr>
          <w:rFonts w:ascii="Arial" w:cs="Arial" w:eastAsia="Arial" w:hAnsi="Arial"/>
          <w:sz w:val="15"/>
          <w:szCs w:val="15"/>
          <w:color w:val="auto"/>
        </w:rPr>
        <w:t>"We had a great year considering the challenging macroeconomic environment. The business continues to grow across multiple areas, despite volatility affecting all businesses but especially SMBs. We are heads down executing our long-term product roadmap, and could not be more excited about what we have in store. Pending an eventual return to normalcy, we remain confident with our long-term growth guidance." said David Barrett, Founder &amp; CEO of Expensify. "I continue to contribute 100% of my salary to the employee stock purchase program and the company has been buying back company stock, so we remain very bullish on the future."</w:t>
      </w:r>
    </w:p>
    <w:p>
      <w:pPr>
        <w:spacing w:after="0" w:line="180"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"This year proved Expensify is a very strong business able to generate positive cash flow in extremely challenging environments," said Ryan Schaffer, Expensify’s CFO. "We had an operating cash flow margin of 19% and a free cash flow margin of 15%. We are proud to have repurchased $12.1 million in common stock, including net share settlement of equity awards, in 2022 and plan to keep generating positive cash flow and repurchasing in 2023. Needless to say, we feel we are in a strong position and remain excited for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Financial:</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Full Year Fiscal 2022 Highlights</w:t>
      </w:r>
    </w:p>
    <w:p>
      <w:pPr>
        <w:spacing w:after="0" w:line="151" w:lineRule="exact"/>
        <w:rPr>
          <w:sz w:val="20"/>
          <w:szCs w:val="20"/>
          <w:color w:val="auto"/>
        </w:rPr>
      </w:pPr>
    </w:p>
    <w:p>
      <w:pPr>
        <w:ind w:left="560" w:hanging="282"/>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 was $169.5 million, an increase of 19% compared to the same period last year.</w:t>
      </w:r>
    </w:p>
    <w:p>
      <w:pPr>
        <w:spacing w:after="0" w:line="135" w:lineRule="exact"/>
        <w:rPr>
          <w:rFonts w:ascii="Arial" w:cs="Arial" w:eastAsia="Arial" w:hAnsi="Arial"/>
          <w:sz w:val="16"/>
          <w:szCs w:val="16"/>
          <w:color w:val="auto"/>
        </w:rPr>
      </w:pPr>
    </w:p>
    <w:p>
      <w:pPr>
        <w:ind w:left="560" w:hanging="282"/>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Generated $32.9 million cash provided by operating activities and $26.3 million of free cash flow.</w:t>
      </w:r>
    </w:p>
    <w:p>
      <w:pPr>
        <w:spacing w:after="0" w:line="135" w:lineRule="exact"/>
        <w:rPr>
          <w:rFonts w:ascii="Arial" w:cs="Arial" w:eastAsia="Arial" w:hAnsi="Arial"/>
          <w:sz w:val="16"/>
          <w:szCs w:val="16"/>
          <w:color w:val="auto"/>
        </w:rPr>
      </w:pPr>
    </w:p>
    <w:p>
      <w:pPr>
        <w:ind w:left="560" w:right="300" w:hanging="282"/>
        <w:spacing w:after="0" w:line="283" w:lineRule="auto"/>
        <w:tabs>
          <w:tab w:leader="none" w:pos="556"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loss was $27.0 million, compared to $13.6 million for the same period last year. This was heavily driven by stock-based compensation expenses of $52.3 million which is expected to decrease in the future. (See stock-based compensation forecast below.)</w:t>
      </w:r>
    </w:p>
    <w:p>
      <w:pPr>
        <w:spacing w:after="0" w:line="86" w:lineRule="exact"/>
        <w:rPr>
          <w:rFonts w:ascii="Arial" w:cs="Arial" w:eastAsia="Arial" w:hAnsi="Arial"/>
          <w:sz w:val="16"/>
          <w:szCs w:val="16"/>
          <w:color w:val="auto"/>
        </w:rPr>
      </w:pPr>
    </w:p>
    <w:p>
      <w:pPr>
        <w:ind w:left="560" w:hanging="282"/>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Non-GAAP net income was $25.3 million.</w:t>
      </w:r>
    </w:p>
    <w:p>
      <w:pPr>
        <w:spacing w:after="0" w:line="135" w:lineRule="exact"/>
        <w:rPr>
          <w:rFonts w:ascii="Arial" w:cs="Arial" w:eastAsia="Arial" w:hAnsi="Arial"/>
          <w:sz w:val="16"/>
          <w:szCs w:val="16"/>
          <w:color w:val="auto"/>
        </w:rPr>
      </w:pPr>
    </w:p>
    <w:p>
      <w:pPr>
        <w:ind w:left="560" w:hanging="282"/>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EBITDA was $42.5 million.</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Interchange derived from the Expensify Card grew to $6.8 million, an increase of 118% compared to the same period last year.</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Fourth Quarter 2022 Highlights</w:t>
      </w:r>
    </w:p>
    <w:p>
      <w:pPr>
        <w:spacing w:after="0" w:line="139" w:lineRule="exact"/>
        <w:rPr>
          <w:sz w:val="20"/>
          <w:szCs w:val="20"/>
          <w:color w:val="auto"/>
        </w:rPr>
      </w:pPr>
    </w:p>
    <w:p>
      <w:pPr>
        <w:ind w:left="560" w:hanging="282"/>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Revenue was $43.5 million.</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Generated $6.6 million cash provided by operating activities and $6.0 million of free cash flow.</w:t>
      </w:r>
    </w:p>
    <w:p>
      <w:pPr>
        <w:spacing w:after="0" w:line="135" w:lineRule="exact"/>
        <w:rPr>
          <w:rFonts w:ascii="Arial" w:cs="Arial" w:eastAsia="Arial" w:hAnsi="Arial"/>
          <w:sz w:val="16"/>
          <w:szCs w:val="16"/>
          <w:color w:val="auto"/>
        </w:rPr>
      </w:pPr>
    </w:p>
    <w:p>
      <w:pPr>
        <w:ind w:left="560" w:right="100" w:hanging="282"/>
        <w:spacing w:after="0" w:line="290" w:lineRule="auto"/>
        <w:tabs>
          <w:tab w:leader="none" w:pos="556" w:val="left"/>
        </w:tabs>
        <w:numPr>
          <w:ilvl w:val="0"/>
          <w:numId w:val="4"/>
        </w:numPr>
        <w:rPr>
          <w:rFonts w:ascii="Arial" w:cs="Arial" w:eastAsia="Arial" w:hAnsi="Arial"/>
          <w:sz w:val="15"/>
          <w:szCs w:val="15"/>
          <w:color w:val="auto"/>
        </w:rPr>
      </w:pPr>
      <w:r>
        <w:rPr>
          <w:rFonts w:ascii="Arial" w:cs="Arial" w:eastAsia="Arial" w:hAnsi="Arial"/>
          <w:sz w:val="15"/>
          <w:szCs w:val="15"/>
          <w:color w:val="auto"/>
        </w:rPr>
        <w:t>Net loss was $3.4 million, compared to $21.9 million for the same period last year. The loss in Q4 2022 was primarily driven by a stock-based compensation expense of $10.5 million. The loss in Q4 2021 was primarily driven by a stock-based compensation expense of $12.1 million and a one-time IPO-related bonus expense of $14.2 million. Stock-based compensation is expected to decrease going forward. (See stock-based compensation forecast below.)</w:t>
      </w:r>
    </w:p>
    <w:p>
      <w:pPr>
        <w:spacing w:after="0" w:line="96" w:lineRule="exact"/>
        <w:rPr>
          <w:rFonts w:ascii="Arial" w:cs="Arial" w:eastAsia="Arial" w:hAnsi="Arial"/>
          <w:sz w:val="15"/>
          <w:szCs w:val="15"/>
          <w:color w:val="auto"/>
        </w:rPr>
      </w:pPr>
    </w:p>
    <w:p>
      <w:pPr>
        <w:ind w:left="560" w:hanging="282"/>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Non-GAAP net income was $7.1 million.</w:t>
      </w:r>
    </w:p>
    <w:p>
      <w:pPr>
        <w:spacing w:after="0" w:line="135" w:lineRule="exact"/>
        <w:rPr>
          <w:rFonts w:ascii="Arial" w:cs="Arial" w:eastAsia="Arial" w:hAnsi="Arial"/>
          <w:sz w:val="16"/>
          <w:szCs w:val="16"/>
          <w:color w:val="auto"/>
        </w:rPr>
      </w:pPr>
    </w:p>
    <w:p>
      <w:pPr>
        <w:ind w:left="560" w:hanging="282"/>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EBITDA was $11.2 million.</w:t>
      </w:r>
    </w:p>
    <w:p>
      <w:pPr>
        <w:sectPr>
          <w:pgSz w:w="11900" w:h="16838" w:orient="portrait"/>
          <w:cols w:equalWidth="0" w:num="1">
            <w:col w:w="11260"/>
          </w:cols>
          <w:pgMar w:left="320" w:top="123"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60" w:hanging="282"/>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Interchange derived from the Expensify Card grew to $2.0 million, an increase of 91% compared to the same period last year.</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Business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 Highlights</w:t>
      </w:r>
    </w:p>
    <w:p>
      <w:pPr>
        <w:spacing w:after="0" w:line="135" w:lineRule="exact"/>
        <w:rPr>
          <w:sz w:val="20"/>
          <w:szCs w:val="20"/>
          <w:color w:val="auto"/>
        </w:rPr>
      </w:pPr>
    </w:p>
    <w:p>
      <w:pPr>
        <w:ind w:left="560" w:hanging="282"/>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Revamped the ExpensifyApproved! channel </w:t>
      </w:r>
      <w:r>
        <w:rPr>
          <w:rFonts w:ascii="Arial" w:cs="Arial" w:eastAsia="Arial" w:hAnsi="Arial"/>
          <w:sz w:val="16"/>
          <w:szCs w:val="16"/>
          <w:color w:val="auto"/>
        </w:rPr>
        <w:t>- Made significant progress in the accounting channel:</w:t>
      </w:r>
    </w:p>
    <w:p>
      <w:pPr>
        <w:spacing w:after="0" w:line="139" w:lineRule="exact"/>
        <w:rPr>
          <w:rFonts w:ascii="Arial" w:cs="Arial" w:eastAsia="Arial" w:hAnsi="Arial"/>
          <w:sz w:val="16"/>
          <w:szCs w:val="16"/>
          <w:color w:val="auto"/>
        </w:rPr>
      </w:pPr>
    </w:p>
    <w:p>
      <w:pPr>
        <w:ind w:left="1120" w:hanging="274"/>
        <w:spacing w:after="0"/>
        <w:tabs>
          <w:tab w:leader="none" w:pos="11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Announced the Expensify CPA card with accountant-specific perks.</w:t>
      </w:r>
    </w:p>
    <w:p>
      <w:pPr>
        <w:spacing w:after="0" w:line="147" w:lineRule="exact"/>
        <w:rPr>
          <w:rFonts w:ascii="Arial" w:cs="Arial" w:eastAsia="Arial" w:hAnsi="Arial"/>
          <w:sz w:val="16"/>
          <w:szCs w:val="16"/>
          <w:color w:val="auto"/>
        </w:rPr>
      </w:pPr>
    </w:p>
    <w:p>
      <w:pPr>
        <w:ind w:left="1120" w:hanging="274"/>
        <w:spacing w:after="0"/>
        <w:tabs>
          <w:tab w:leader="none" w:pos="11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Assigned Partner Managers to the 500+ largest partner firms.</w:t>
      </w:r>
    </w:p>
    <w:p>
      <w:pPr>
        <w:spacing w:after="0" w:line="135" w:lineRule="exact"/>
        <w:rPr>
          <w:rFonts w:ascii="Arial" w:cs="Arial" w:eastAsia="Arial" w:hAnsi="Arial"/>
          <w:sz w:val="16"/>
          <w:szCs w:val="16"/>
          <w:color w:val="auto"/>
        </w:rPr>
      </w:pPr>
    </w:p>
    <w:p>
      <w:pPr>
        <w:ind w:left="1120" w:hanging="274"/>
        <w:spacing w:after="0"/>
        <w:tabs>
          <w:tab w:leader="none" w:pos="11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Announced ExpensiCon 3, bringing together 100 of the the top minds in accounting and featuring headline speaker George Clooney.</w:t>
      </w:r>
    </w:p>
    <w:p>
      <w:pPr>
        <w:spacing w:after="0" w:line="131" w:lineRule="exact"/>
        <w:rPr>
          <w:rFonts w:ascii="Arial" w:cs="Arial" w:eastAsia="Arial" w:hAnsi="Arial"/>
          <w:sz w:val="16"/>
          <w:szCs w:val="16"/>
          <w:color w:val="auto"/>
        </w:rPr>
      </w:pPr>
    </w:p>
    <w:p>
      <w:pPr>
        <w:ind w:left="560" w:hanging="282"/>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Added Account Managers </w:t>
      </w:r>
      <w:r>
        <w:rPr>
          <w:rFonts w:ascii="Arial" w:cs="Arial" w:eastAsia="Arial" w:hAnsi="Arial"/>
          <w:sz w:val="16"/>
          <w:szCs w:val="16"/>
          <w:color w:val="auto"/>
        </w:rPr>
        <w:t>- Created account management program and rolled out Account Managers to nearly all paying customers.</w:t>
      </w:r>
    </w:p>
    <w:p>
      <w:pPr>
        <w:spacing w:after="0" w:line="147" w:lineRule="exact"/>
        <w:rPr>
          <w:rFonts w:ascii="Arial" w:cs="Arial" w:eastAsia="Arial" w:hAnsi="Arial"/>
          <w:sz w:val="16"/>
          <w:szCs w:val="16"/>
          <w:color w:val="auto"/>
        </w:rPr>
      </w:pPr>
    </w:p>
    <w:p>
      <w:pPr>
        <w:ind w:left="560" w:hanging="282"/>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Added onboarding phone support </w:t>
      </w:r>
      <w:r>
        <w:rPr>
          <w:rFonts w:ascii="Arial" w:cs="Arial" w:eastAsia="Arial" w:hAnsi="Arial"/>
          <w:sz w:val="16"/>
          <w:szCs w:val="16"/>
          <w:color w:val="auto"/>
        </w:rPr>
        <w:t>- All customers being onboarded get a response in two minutes or less.</w:t>
      </w:r>
    </w:p>
    <w:p>
      <w:pPr>
        <w:spacing w:after="0" w:line="135" w:lineRule="exact"/>
        <w:rPr>
          <w:rFonts w:ascii="Arial" w:cs="Arial" w:eastAsia="Arial" w:hAnsi="Arial"/>
          <w:sz w:val="16"/>
          <w:szCs w:val="16"/>
          <w:color w:val="auto"/>
        </w:rPr>
      </w:pPr>
    </w:p>
    <w:p>
      <w:pPr>
        <w:ind w:left="560" w:right="100" w:hanging="282"/>
        <w:spacing w:after="0" w:line="288" w:lineRule="auto"/>
        <w:tabs>
          <w:tab w:leader="none" w:pos="556"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Built a React Native community </w:t>
      </w:r>
      <w:r>
        <w:rPr>
          <w:rFonts w:ascii="Arial" w:cs="Arial" w:eastAsia="Arial" w:hAnsi="Arial"/>
          <w:sz w:val="16"/>
          <w:szCs w:val="16"/>
          <w:color w:val="auto"/>
        </w:rPr>
        <w:t>- To continue rapid advancement of new.expensify.com, which is being built by internal Expensify engineers and an external network</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some of the world’s best React Native engineers.</w:t>
      </w:r>
    </w:p>
    <w:p>
      <w:pPr>
        <w:spacing w:after="0" w:line="82" w:lineRule="exact"/>
        <w:rPr>
          <w:rFonts w:ascii="Arial" w:cs="Arial" w:eastAsia="Arial" w:hAnsi="Arial"/>
          <w:sz w:val="16"/>
          <w:szCs w:val="16"/>
          <w:color w:val="auto"/>
        </w:rPr>
      </w:pPr>
    </w:p>
    <w:p>
      <w:pPr>
        <w:ind w:left="1120" w:hanging="274"/>
        <w:spacing w:after="0"/>
        <w:tabs>
          <w:tab w:leader="none" w:pos="1120" w:val="left"/>
        </w:tabs>
        <w:numPr>
          <w:ilvl w:val="1"/>
          <w:numId w:val="6"/>
        </w:numPr>
        <w:rPr>
          <w:rFonts w:ascii="Arial" w:cs="Arial" w:eastAsia="Arial" w:hAnsi="Arial"/>
          <w:sz w:val="16"/>
          <w:szCs w:val="16"/>
          <w:color w:val="auto"/>
        </w:rPr>
      </w:pPr>
      <w:r>
        <w:rPr>
          <w:rFonts w:ascii="Arial" w:cs="Arial" w:eastAsia="Arial" w:hAnsi="Arial"/>
          <w:sz w:val="16"/>
          <w:szCs w:val="16"/>
          <w:color w:val="auto"/>
        </w:rPr>
        <w:t>Worked with hundreds of different open source React Native engineers from around the world.</w:t>
      </w:r>
    </w:p>
    <w:p>
      <w:pPr>
        <w:spacing w:after="0" w:line="135" w:lineRule="exact"/>
        <w:rPr>
          <w:rFonts w:ascii="Arial" w:cs="Arial" w:eastAsia="Arial" w:hAnsi="Arial"/>
          <w:sz w:val="16"/>
          <w:szCs w:val="16"/>
          <w:color w:val="auto"/>
        </w:rPr>
      </w:pPr>
    </w:p>
    <w:p>
      <w:pPr>
        <w:ind w:left="1120" w:hanging="274"/>
        <w:spacing w:after="0"/>
        <w:tabs>
          <w:tab w:leader="none" w:pos="1120" w:val="left"/>
        </w:tabs>
        <w:numPr>
          <w:ilvl w:val="1"/>
          <w:numId w:val="6"/>
        </w:numPr>
        <w:rPr>
          <w:rFonts w:ascii="Arial" w:cs="Arial" w:eastAsia="Arial" w:hAnsi="Arial"/>
          <w:sz w:val="16"/>
          <w:szCs w:val="16"/>
          <w:color w:val="auto"/>
        </w:rPr>
      </w:pPr>
      <w:r>
        <w:rPr>
          <w:rFonts w:ascii="Arial" w:cs="Arial" w:eastAsia="Arial" w:hAnsi="Arial"/>
          <w:sz w:val="16"/>
          <w:szCs w:val="16"/>
          <w:color w:val="auto"/>
        </w:rPr>
        <w:t>Paid out over a million dollars to the open source engineers to work on the Expensify platform.</w:t>
      </w:r>
    </w:p>
    <w:p>
      <w:pPr>
        <w:spacing w:after="0" w:line="143" w:lineRule="exact"/>
        <w:rPr>
          <w:rFonts w:ascii="Arial" w:cs="Arial" w:eastAsia="Arial" w:hAnsi="Arial"/>
          <w:sz w:val="16"/>
          <w:szCs w:val="16"/>
          <w:color w:val="auto"/>
        </w:rPr>
      </w:pPr>
    </w:p>
    <w:p>
      <w:pPr>
        <w:ind w:left="560" w:right="180" w:hanging="282"/>
        <w:spacing w:after="0" w:line="267" w:lineRule="auto"/>
        <w:tabs>
          <w:tab w:leader="none" w:pos="556"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Buyback </w:t>
      </w:r>
      <w:r>
        <w:rPr>
          <w:rFonts w:ascii="Arial" w:cs="Arial" w:eastAsia="Arial" w:hAnsi="Arial"/>
          <w:sz w:val="16"/>
          <w:szCs w:val="16"/>
          <w:color w:val="auto"/>
        </w:rPr>
        <w:t>- As previously announced, the Executive Committee of our Board of Directors approved a share repurchase program with authorization to purchase up to</w:t>
      </w:r>
      <w:r>
        <w:rPr>
          <w:rFonts w:ascii="Arial" w:cs="Arial" w:eastAsia="Arial" w:hAnsi="Arial"/>
          <w:sz w:val="16"/>
          <w:szCs w:val="16"/>
          <w:b w:val="1"/>
          <w:bCs w:val="1"/>
          <w:color w:val="auto"/>
        </w:rPr>
        <w:t xml:space="preserve"> </w:t>
      </w:r>
      <w:r>
        <w:rPr>
          <w:rFonts w:ascii="Arial" w:cs="Arial" w:eastAsia="Arial" w:hAnsi="Arial"/>
          <w:sz w:val="16"/>
          <w:szCs w:val="16"/>
          <w:color w:val="auto"/>
        </w:rPr>
        <w:t>$50.0 million of shares of our Class A common stock. We repurchased $12.1 million of our Class A common stock, including net share settlement of equity awards, in 2022.</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Fourth Quarter 2022 Highlights</w:t>
      </w:r>
    </w:p>
    <w:p>
      <w:pPr>
        <w:spacing w:after="0" w:line="230" w:lineRule="exact"/>
        <w:rPr>
          <w:sz w:val="20"/>
          <w:szCs w:val="20"/>
          <w:color w:val="auto"/>
        </w:rPr>
      </w:pPr>
    </w:p>
    <w:p>
      <w:pPr>
        <w:ind w:left="560" w:hanging="282"/>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Paid members </w:t>
      </w:r>
      <w:r>
        <w:rPr>
          <w:rFonts w:ascii="Arial" w:cs="Arial" w:eastAsia="Arial" w:hAnsi="Arial"/>
          <w:sz w:val="16"/>
          <w:szCs w:val="16"/>
          <w:color w:val="auto"/>
        </w:rPr>
        <w:t>- Paid members grew to 779,000, an increase of 10% from the same period last year.</w:t>
      </w:r>
    </w:p>
    <w:p>
      <w:pPr>
        <w:spacing w:after="0" w:line="135" w:lineRule="exact"/>
        <w:rPr>
          <w:rFonts w:ascii="Arial" w:cs="Arial" w:eastAsia="Arial" w:hAnsi="Arial"/>
          <w:sz w:val="16"/>
          <w:szCs w:val="16"/>
          <w:color w:val="auto"/>
        </w:rPr>
      </w:pPr>
    </w:p>
    <w:p>
      <w:pPr>
        <w:ind w:left="560" w:right="60" w:hanging="282"/>
        <w:spacing w:after="0" w:line="288" w:lineRule="auto"/>
        <w:tabs>
          <w:tab w:leader="none" w:pos="556"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ExpensiConX </w:t>
      </w:r>
      <w:r>
        <w:rPr>
          <w:rFonts w:ascii="Arial" w:cs="Arial" w:eastAsia="Arial" w:hAnsi="Arial"/>
          <w:sz w:val="16"/>
          <w:szCs w:val="16"/>
          <w:color w:val="auto"/>
        </w:rPr>
        <w:t>- Invited hundreds of React Native developers to ExpensiConX, a conference that will bring together some of the top React Native engineers in the world</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goal of building the next great collaborative fintech superapp, all in Curaçao. The event will take place in March 2023.</w:t>
      </w:r>
    </w:p>
    <w:p>
      <w:pPr>
        <w:spacing w:after="0" w:line="78" w:lineRule="exact"/>
        <w:rPr>
          <w:rFonts w:ascii="Arial" w:cs="Arial" w:eastAsia="Arial" w:hAnsi="Arial"/>
          <w:sz w:val="16"/>
          <w:szCs w:val="16"/>
          <w:color w:val="auto"/>
        </w:rPr>
      </w:pPr>
    </w:p>
    <w:p>
      <w:pPr>
        <w:ind w:left="560" w:right="340" w:hanging="282"/>
        <w:spacing w:after="0" w:line="288" w:lineRule="auto"/>
        <w:tabs>
          <w:tab w:leader="none" w:pos="556"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New Sales Development Representatives </w:t>
      </w:r>
      <w:r>
        <w:rPr>
          <w:rFonts w:ascii="Arial" w:cs="Arial" w:eastAsia="Arial" w:hAnsi="Arial"/>
          <w:sz w:val="16"/>
          <w:szCs w:val="16"/>
          <w:color w:val="auto"/>
        </w:rPr>
        <w:t>- Onboarded Sales Development Representatives ("SDRs") across four different vendors. We’re in the process of scaling</w:t>
      </w:r>
      <w:r>
        <w:rPr>
          <w:rFonts w:ascii="Arial" w:cs="Arial" w:eastAsia="Arial" w:hAnsi="Arial"/>
          <w:sz w:val="16"/>
          <w:szCs w:val="16"/>
          <w:b w:val="1"/>
          <w:bCs w:val="1"/>
          <w:color w:val="auto"/>
        </w:rPr>
        <w:t xml:space="preserve"> </w:t>
      </w:r>
      <w:r>
        <w:rPr>
          <w:rFonts w:ascii="Arial" w:cs="Arial" w:eastAsia="Arial" w:hAnsi="Arial"/>
          <w:sz w:val="16"/>
          <w:szCs w:val="16"/>
          <w:color w:val="auto"/>
        </w:rPr>
        <w:t>SDRs as we look to increase the amount of leads flowing to our Account Managers.</w:t>
      </w:r>
    </w:p>
    <w:p>
      <w:pPr>
        <w:spacing w:after="0" w:line="78" w:lineRule="exact"/>
        <w:rPr>
          <w:rFonts w:ascii="Arial" w:cs="Arial" w:eastAsia="Arial" w:hAnsi="Arial"/>
          <w:sz w:val="16"/>
          <w:szCs w:val="16"/>
          <w:color w:val="auto"/>
        </w:rPr>
      </w:pPr>
    </w:p>
    <w:p>
      <w:pPr>
        <w:ind w:left="560" w:hanging="282"/>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Continuing to scale Account Managers </w:t>
      </w:r>
      <w:r>
        <w:rPr>
          <w:rFonts w:ascii="Arial" w:cs="Arial" w:eastAsia="Arial" w:hAnsi="Arial"/>
          <w:sz w:val="16"/>
          <w:szCs w:val="16"/>
          <w:color w:val="auto"/>
        </w:rPr>
        <w:t>- More than doubled our Account Manager coverage to nearly all paying customers.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Financial Outlook</w:t>
      </w:r>
    </w:p>
    <w:p>
      <w:pPr>
        <w:spacing w:after="0" w:line="128" w:lineRule="exact"/>
        <w:rPr>
          <w:sz w:val="20"/>
          <w:szCs w:val="20"/>
          <w:color w:val="auto"/>
        </w:rPr>
      </w:pPr>
    </w:p>
    <w:p>
      <w:pPr>
        <w:ind w:right="120"/>
        <w:spacing w:after="0" w:line="242" w:lineRule="auto"/>
        <w:rPr>
          <w:sz w:val="20"/>
          <w:szCs w:val="20"/>
          <w:color w:val="auto"/>
        </w:rPr>
      </w:pPr>
      <w:r>
        <w:rPr>
          <w:rFonts w:ascii="Arial" w:cs="Arial" w:eastAsia="Arial" w:hAnsi="Arial"/>
          <w:sz w:val="16"/>
          <w:szCs w:val="16"/>
          <w:color w:val="auto"/>
        </w:rPr>
        <w:t>Expensify's outlook statements are based on current estimates, expectations and assumptions and are not a guarantee of future performance. The following statements are forward-looking and actual results could differ materially depending on market conditions and the factors set forth under “Forward-Looking Statements” below. There can be no assurance that the Company will achieve the results expressed by this guidance.</w:t>
      </w:r>
    </w:p>
    <w:p>
      <w:pPr>
        <w:spacing w:after="0" w:line="189"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We reaffirm our long term guidance provided in connection with our fourth quarter 2021 results of 25-35% revenue growth over a multi-year period, which assumes an eventual return to normalcy of the world economy.</w:t>
      </w:r>
    </w:p>
    <w:p>
      <w:pPr>
        <w:sectPr>
          <w:pgSz w:w="11900" w:h="16838" w:orient="portrait"/>
          <w:cols w:equalWidth="0" w:num="1">
            <w:col w:w="11260"/>
          </w:cols>
          <w:pgMar w:left="320" w:top="123" w:right="31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Expensify is also providing an estimate on what stock based compensation is expected to look like for the next four fiscal quarters. Driven primarily by the pre-IPO grant of</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RSUs issued to all employees (which vest quarterly over eight years with approximately seven years remaining), stock based compensation is estimated as seen below:</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Est. stock-based compensation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1904365</wp:posOffset>
            </wp:positionH>
            <wp:positionV relativeFrom="paragraph">
              <wp:posOffset>66675</wp:posOffset>
            </wp:positionV>
            <wp:extent cx="52266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266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36195</wp:posOffset>
            </wp:positionV>
            <wp:extent cx="71342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762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8"/>
              </w:rPr>
              <w:t>Q1 2023</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8"/>
              </w:rPr>
              <w:t>Q2 2023</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Q3 2023</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4"/>
              </w:rPr>
              <w:t>Q4 2023</w:t>
            </w:r>
          </w:p>
        </w:tc>
        <w:tc>
          <w:tcPr>
            <w:tcW w:w="660" w:type="dxa"/>
            <w:vAlign w:val="bottom"/>
            <w:tcBorders>
              <w:bottom w:val="single" w:sz="8" w:color="auto"/>
            </w:tcBorders>
          </w:tcPr>
          <w:p>
            <w:pPr>
              <w:spacing w:after="0"/>
              <w:rPr>
                <w:sz w:val="20"/>
                <w:szCs w:val="20"/>
                <w:color w:val="auto"/>
              </w:rPr>
            </w:pPr>
          </w:p>
        </w:tc>
      </w:tr>
      <w:tr>
        <w:trPr>
          <w:trHeight w:val="252"/>
        </w:trPr>
        <w:tc>
          <w:tcPr>
            <w:tcW w:w="30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Low</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spacing w:after="0"/>
              <w:rPr>
                <w:sz w:val="20"/>
                <w:szCs w:val="20"/>
                <w:color w:val="auto"/>
              </w:rPr>
            </w:pPr>
            <w:r>
              <w:rPr>
                <w:rFonts w:ascii="Arial" w:cs="Arial" w:eastAsia="Arial" w:hAnsi="Arial"/>
                <w:sz w:val="17"/>
                <w:szCs w:val="17"/>
                <w:b w:val="1"/>
                <w:bCs w:val="1"/>
                <w:color w:val="auto"/>
              </w:rPr>
              <w:t>High</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Low</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ind w:left="20"/>
              <w:spacing w:after="0"/>
              <w:rPr>
                <w:sz w:val="20"/>
                <w:szCs w:val="20"/>
                <w:color w:val="auto"/>
              </w:rPr>
            </w:pPr>
            <w:r>
              <w:rPr>
                <w:rFonts w:ascii="Arial" w:cs="Arial" w:eastAsia="Arial" w:hAnsi="Arial"/>
                <w:sz w:val="17"/>
                <w:szCs w:val="17"/>
                <w:b w:val="1"/>
                <w:bCs w:val="1"/>
                <w:color w:val="auto"/>
              </w:rPr>
              <w:t>High</w:t>
            </w:r>
          </w:p>
        </w:tc>
        <w:tc>
          <w:tcPr>
            <w:tcW w:w="200" w:type="dxa"/>
            <w:vAlign w:val="bottom"/>
          </w:tcPr>
          <w:p>
            <w:pPr>
              <w:spacing w:after="0"/>
              <w:rPr>
                <w:sz w:val="21"/>
                <w:szCs w:val="21"/>
                <w:color w:val="auto"/>
              </w:rPr>
            </w:pPr>
          </w:p>
        </w:tc>
        <w:tc>
          <w:tcPr>
            <w:tcW w:w="840" w:type="dxa"/>
            <w:vAlign w:val="bottom"/>
            <w:gridSpan w:val="2"/>
          </w:tcPr>
          <w:p>
            <w:pPr>
              <w:ind w:left="120"/>
              <w:spacing w:after="0"/>
              <w:rPr>
                <w:sz w:val="20"/>
                <w:szCs w:val="20"/>
                <w:color w:val="auto"/>
              </w:rPr>
            </w:pPr>
            <w:r>
              <w:rPr>
                <w:rFonts w:ascii="Arial" w:cs="Arial" w:eastAsia="Arial" w:hAnsi="Arial"/>
                <w:sz w:val="17"/>
                <w:szCs w:val="17"/>
                <w:b w:val="1"/>
                <w:bCs w:val="1"/>
                <w:color w:val="auto"/>
              </w:rPr>
              <w:t>Low</w:t>
            </w:r>
          </w:p>
        </w:tc>
        <w:tc>
          <w:tcPr>
            <w:tcW w:w="280" w:type="dxa"/>
            <w:vAlign w:val="bottom"/>
          </w:tcPr>
          <w:p>
            <w:pPr>
              <w:spacing w:after="0"/>
              <w:rPr>
                <w:sz w:val="21"/>
                <w:szCs w:val="21"/>
                <w:color w:val="auto"/>
              </w:rPr>
            </w:pPr>
          </w:p>
        </w:tc>
        <w:tc>
          <w:tcPr>
            <w:tcW w:w="760" w:type="dxa"/>
            <w:vAlign w:val="bottom"/>
            <w:gridSpan w:val="2"/>
          </w:tcPr>
          <w:p>
            <w:pPr>
              <w:ind w:left="20"/>
              <w:spacing w:after="0"/>
              <w:rPr>
                <w:sz w:val="20"/>
                <w:szCs w:val="20"/>
                <w:color w:val="auto"/>
              </w:rPr>
            </w:pPr>
            <w:r>
              <w:rPr>
                <w:rFonts w:ascii="Arial" w:cs="Arial" w:eastAsia="Arial" w:hAnsi="Arial"/>
                <w:sz w:val="17"/>
                <w:szCs w:val="17"/>
                <w:b w:val="1"/>
                <w:bCs w:val="1"/>
                <w:color w:val="auto"/>
              </w:rPr>
              <w:t>High</w:t>
            </w: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Low</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193"/>
              <w:spacing w:after="0"/>
              <w:rPr>
                <w:sz w:val="20"/>
                <w:szCs w:val="20"/>
                <w:color w:val="auto"/>
              </w:rPr>
            </w:pPr>
            <w:r>
              <w:rPr>
                <w:rFonts w:ascii="Arial" w:cs="Arial" w:eastAsia="Arial" w:hAnsi="Arial"/>
                <w:sz w:val="17"/>
                <w:szCs w:val="17"/>
                <w:b w:val="1"/>
                <w:bCs w:val="1"/>
                <w:color w:val="auto"/>
                <w:w w:val="95"/>
              </w:rPr>
              <w:t>High</w:t>
            </w:r>
          </w:p>
        </w:tc>
      </w:tr>
      <w:tr>
        <w:trPr>
          <w:trHeight w:val="260"/>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 net</w:t>
            </w:r>
          </w:p>
        </w:tc>
        <w:tc>
          <w:tcPr>
            <w:tcW w:w="640" w:type="dxa"/>
            <w:vAlign w:val="bottom"/>
            <w:tcBorders>
              <w:top w:val="single" w:sz="8" w:color="auto"/>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3.6</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3.4</w:t>
            </w:r>
          </w:p>
        </w:tc>
        <w:tc>
          <w:tcPr>
            <w:tcW w:w="10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473"/>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3.3</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51"/>
        </w:trPr>
        <w:tc>
          <w:tcPr>
            <w:tcW w:w="300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6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2"/>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w w:val="84"/>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70"/>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64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52"/>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Sales and marketing</w:t>
            </w:r>
          </w:p>
        </w:tc>
        <w:tc>
          <w:tcPr>
            <w:tcW w:w="6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r>
      <w:tr>
        <w:trPr>
          <w:trHeight w:val="285"/>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64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9.7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9.3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7"/>
                <w:szCs w:val="17"/>
                <w:color w:val="auto"/>
                <w:w w:val="84"/>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8.9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Availability of Information on Expensify’s Website</w:t>
      </w:r>
    </w:p>
    <w:p>
      <w:pPr>
        <w:spacing w:after="0" w:line="139"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Investors and others should note that Expensify routinely announces material information to investors and the marketplace using SEC filings, press releases, public conference calls, webcasts and the Expensify Investor Relations website at https://ir.expensify.com. While not all of the information that the Company posts to its Investor Relations website is of a material nature, some information could be deemed to be material. Accordingly, the Company encourages investors, the media and others interested in Expensify to review the information that it shares on its Investor Relations website.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139"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Expensify will host a video call to discuss the financial results and business highlights at 2:00 p.m. Pacific Time today. An investor presentation and the video call information is available on Expensify’s Investor Relations website at https://ir.expensify.com. A replay of the call will be available on the site for three months.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Non-GAAP Financial Measures</w:t>
      </w:r>
    </w:p>
    <w:p>
      <w:pPr>
        <w:spacing w:after="0" w:line="151" w:lineRule="exact"/>
        <w:rPr>
          <w:sz w:val="20"/>
          <w:szCs w:val="20"/>
          <w:color w:val="auto"/>
        </w:rPr>
      </w:pPr>
    </w:p>
    <w:p>
      <w:pPr>
        <w:ind w:right="480"/>
        <w:spacing w:after="0" w:line="268" w:lineRule="auto"/>
        <w:rPr>
          <w:sz w:val="20"/>
          <w:szCs w:val="20"/>
          <w:color w:val="auto"/>
        </w:rPr>
      </w:pPr>
      <w:r>
        <w:rPr>
          <w:rFonts w:ascii="Arial" w:cs="Arial" w:eastAsia="Arial" w:hAnsi="Arial"/>
          <w:sz w:val="16"/>
          <w:szCs w:val="16"/>
          <w:color w:val="auto"/>
        </w:rPr>
        <w:t>In addition to financial measures prepared in accordance with U.S. generally accepted accounting principles (“GAAP”), we provide certain non-GAAP financial measures, including adjusted EBITDA, non-GAAP net income, free cash flow and free cash flow margin.</w:t>
      </w:r>
    </w:p>
    <w:p>
      <w:pPr>
        <w:spacing w:after="0" w:line="192"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We believe our non-GAAP financial measures are useful in evaluating our business, measuring our performance, identifying trends affecting our business, formulating business plans and making strategic decisions. Accordingly, we believe that these non-GAAP financial measures provide useful information to investors and others in understanding and evaluating our results of operations in the same manner as our management team. These non-GAAP financial measures are presented for supplemental informational purposes only, should not be considered a substitute for financial information presented in accordance with GAAP, and may be different from similarly titled metrics or measures presented by other companies. 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 A reconciliation of each non-GAAP financial measure to the most directly comparable financial measure stated in accordance with GAAP is at the end of this press release.</w:t>
      </w:r>
    </w:p>
    <w:p>
      <w:pPr>
        <w:sectPr>
          <w:pgSz w:w="11900" w:h="16838" w:orient="portrait"/>
          <w:cols w:equalWidth="0" w:num="1">
            <w:col w:w="11260"/>
          </w:cols>
          <w:pgMar w:left="320" w:top="123" w:right="319"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600"/>
        <w:spacing w:after="0" w:line="288"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We define adjusted EBITDA as net income from operations excluding provision for income taxes, interest and other expenses, net, depreciation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amortization and stock based compensation.</w:t>
      </w:r>
    </w:p>
    <w:p>
      <w:pPr>
        <w:spacing w:after="0" w:line="162"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b w:val="1"/>
          <w:bCs w:val="1"/>
          <w:color w:val="auto"/>
        </w:rPr>
        <w:t xml:space="preserve">Non-GAAP net income. </w:t>
      </w:r>
      <w:r>
        <w:rPr>
          <w:rFonts w:ascii="Arial" w:cs="Arial" w:eastAsia="Arial" w:hAnsi="Arial"/>
          <w:sz w:val="16"/>
          <w:szCs w:val="16"/>
          <w:color w:val="auto"/>
        </w:rPr>
        <w:t>We define non-GAAP net income as net income from operations in accordance with US GAAP excluding stock-based compensation and IPO-related</w:t>
      </w:r>
      <w:r>
        <w:rPr>
          <w:rFonts w:ascii="Arial" w:cs="Arial" w:eastAsia="Arial" w:hAnsi="Arial"/>
          <w:sz w:val="16"/>
          <w:szCs w:val="16"/>
          <w:b w:val="1"/>
          <w:bCs w:val="1"/>
          <w:color w:val="auto"/>
        </w:rPr>
        <w:t xml:space="preserve"> </w:t>
      </w:r>
      <w:r>
        <w:rPr>
          <w:rFonts w:ascii="Arial" w:cs="Arial" w:eastAsia="Arial" w:hAnsi="Arial"/>
          <w:sz w:val="16"/>
          <w:szCs w:val="16"/>
          <w:color w:val="auto"/>
        </w:rPr>
        <w:t>bonus costs. Prior to the fourth quarter of 2021, this metric only excluded IPO-related bonus costs and did not exclude expenses related to stock-based compensation. However, management now believes that further excluding stock-based compensation from non-GAAP net income is useful to better understand the financial performance of our business and to facilitate a better comparison of our results to those of peer companies over multiple periods given that this item may vary between companies for reasons unrelated to overall operating performance. IPO-related bonus costs impacted the second, third and fourth fiscal quarters of 2021 but did not impact any quarters in 2022 and are not expected to impact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Non-GAAP net income margin. </w:t>
      </w:r>
      <w:r>
        <w:rPr>
          <w:rFonts w:ascii="Arial" w:cs="Arial" w:eastAsia="Arial" w:hAnsi="Arial"/>
          <w:sz w:val="16"/>
          <w:szCs w:val="16"/>
          <w:color w:val="auto"/>
        </w:rPr>
        <w:t>We define non-GAAP net income as non-GAAP net income divided by total revenue for the same period.</w:t>
      </w:r>
    </w:p>
    <w:p>
      <w:pPr>
        <w:spacing w:after="0" w:line="230" w:lineRule="exact"/>
        <w:rPr>
          <w:sz w:val="20"/>
          <w:szCs w:val="20"/>
          <w:color w:val="auto"/>
        </w:rPr>
      </w:pPr>
    </w:p>
    <w:p>
      <w:pPr>
        <w:ind w:right="40"/>
        <w:spacing w:after="0" w:line="324" w:lineRule="auto"/>
        <w:rPr>
          <w:sz w:val="20"/>
          <w:szCs w:val="20"/>
          <w:color w:val="auto"/>
        </w:rPr>
      </w:pPr>
      <w:r>
        <w:rPr>
          <w:rFonts w:ascii="Arial" w:cs="Arial" w:eastAsia="Arial" w:hAnsi="Arial"/>
          <w:sz w:val="15"/>
          <w:szCs w:val="15"/>
          <w:b w:val="1"/>
          <w:bCs w:val="1"/>
          <w:color w:val="auto"/>
        </w:rPr>
        <w:t xml:space="preserve">Free cash flow. </w:t>
      </w:r>
      <w:r>
        <w:rPr>
          <w:rFonts w:ascii="Arial" w:cs="Arial" w:eastAsia="Arial" w:hAnsi="Arial"/>
          <w:sz w:val="15"/>
          <w:szCs w:val="15"/>
          <w:color w:val="auto"/>
        </w:rPr>
        <w:t>We define Free cash flow as net cash provided by operating activities excluding changes in settlement assets and settlement liabilities, which represent funds held</w:t>
      </w:r>
      <w:r>
        <w:rPr>
          <w:rFonts w:ascii="Arial" w:cs="Arial" w:eastAsia="Arial" w:hAnsi="Arial"/>
          <w:sz w:val="15"/>
          <w:szCs w:val="15"/>
          <w:b w:val="1"/>
          <w:bCs w:val="1"/>
          <w:color w:val="auto"/>
        </w:rPr>
        <w:t xml:space="preserve"> </w:t>
      </w:r>
      <w:r>
        <w:rPr>
          <w:rFonts w:ascii="Arial" w:cs="Arial" w:eastAsia="Arial" w:hAnsi="Arial"/>
          <w:sz w:val="15"/>
          <w:szCs w:val="15"/>
          <w:color w:val="auto"/>
        </w:rPr>
        <w:t>for customers and customer funds in transit, respectively, reduced by the purchases of property and equipment and software development costs.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Free cash flow margin. </w:t>
      </w:r>
      <w:r>
        <w:rPr>
          <w:rFonts w:ascii="Arial" w:cs="Arial" w:eastAsia="Arial" w:hAnsi="Arial"/>
          <w:sz w:val="16"/>
          <w:szCs w:val="16"/>
          <w:color w:val="auto"/>
        </w:rPr>
        <w:t>We define Free cash flow margin as Free cash flow divided by total revenue for the same period.</w:t>
      </w:r>
    </w:p>
    <w:p>
      <w:pPr>
        <w:spacing w:after="0" w:line="234" w:lineRule="exact"/>
        <w:rPr>
          <w:sz w:val="20"/>
          <w:szCs w:val="20"/>
          <w:color w:val="auto"/>
        </w:rPr>
      </w:pPr>
    </w:p>
    <w:p>
      <w:pPr>
        <w:ind w:right="400"/>
        <w:spacing w:after="0" w:line="268" w:lineRule="auto"/>
        <w:rPr>
          <w:sz w:val="20"/>
          <w:szCs w:val="20"/>
          <w:color w:val="auto"/>
        </w:rPr>
      </w:pPr>
      <w:r>
        <w:rPr>
          <w:rFonts w:ascii="Arial" w:cs="Arial" w:eastAsia="Arial" w:hAnsi="Arial"/>
          <w:sz w:val="16"/>
          <w:szCs w:val="16"/>
          <w:color w:val="auto"/>
        </w:rPr>
        <w:t>The tables at the end of the Consolidated Financial Statements provide reconciliations to the most directly comparable GAAP financial measure to each of these non-GAAP financial measures.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128"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Forward-looking statements in this press release, or made during the earnings call, which are not historical facts, are forward-looking statements within the meaning of the Private Securities Litigation Reform Act of 1955. These statements include statements regarding our strategy, future financial condition, future operations, projected costs, prospects, plans, objectives of management and expected market growth, our ability to meet our long-term guidance, the amount and timing of any share repurchases, our stock-based compensation estimates and the timing of when we expect the economy to return to normalcy and involve known and unknown risks that are difficult to predict. As a result, our actual results, performance or achievements may differ materially from those expressed or implied by these forward-looking statements. In some cases, you can identify forward-looking statements because they contain words such as “may,” “will,” “shall,” “should,” “expects,” “plans,” “anticipates,” “could,” “intends,” “target,” “projects,” “contemplates,” “believes,” “estimates,” “predicts,” “potential,” “goal,” “objective,” “seeks,” "outlook," or “continue” or the negative of these words or other similar terms or expressions that concern our expectations, strategy, plans, or intentions. Such forward-looking statements are necessarily based upon estimates and assumptions that, while considered reasonable by us and our management, are inherently uncertain. Factors that may cause actual results to differ materially from current expectations include, but are not limited to: the impact on inflation on us and our members; our borrowing costs have and may continue to increase as a result of increases in interest rates; our expectations regarding our financial performance and future operating performance; our ability to attract and retain members, expand usage of our platform, sell subscriptions to our platform and convert individuals and organizations into paying customers; the timing and success of new features, integrations, capabilities and enhancements by us, or by competitors to their products, or any other changes in the competitive landscape of our market; the amount and timing of operating expenses and capital expenditures that we may incur to maintain and expand our business and operations to remain competitive; the sufficiency of our cash, cash equivalents and investments to meet our liquidity needs; our ability to make required payments under and to comply with the various requirements of our current and future indebtedness; our cash flows, the prevailing stock prices, general economic and market conditions and other considerations that could affect the specific timing, price and size of repurchases under our stock repurchase program or our ability to fund any stock repurchases; the war in Ukraine and escalating geopolitical tensions as a result of Russia's invasion of Ukraine; our ability to effectively manage our exposure to</w:t>
      </w:r>
    </w:p>
    <w:p>
      <w:pPr>
        <w:sectPr>
          <w:pgSz w:w="11900" w:h="16838" w:orient="portrait"/>
          <w:cols w:equalWidth="0" w:num="1">
            <w:col w:w="11260"/>
          </w:cols>
          <w:pgMar w:left="320" w:top="123" w:right="319" w:bottom="1440"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fluctuations in foreign currency exchange rates; the increased expenses associated with being a public company; the size of our addressable markets, market share and market trends; anticipated trends, developments and challenges in our industry, business and the highly competitive markets in which we operate; our expectations regarding our income tax liabilities and the adequacy of our reserves; our ability to effectively manage our growth and expand our infrastructure and maintain our corporate culture; our ability to identify, recruit and retain skilled personnel, including key members of senior management; the safety, affordability and convenience of our platform and our offerings; our ability to successfully defend litigation brought against us; our ability to successfully identify, manage and integrate any existing and potential acquisitions of businesses, talent, technologies or intellectual property; general economic conditions in either domestic or international markets; our protections against security breaches, technical difficulties, or interruptions to our platform; our ability to maintain, protect and enhance our intellectual property; and other risks discussed in our filings with the SEC. All forward-looking statements attributable to us or persons acting on our behalf are expressly qualified in their entirety by the cautionary statements set forth above. We caution you not to place undue reliance on any forward-looking statements, which are made only as of the date of this press release.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Expensify</w:t>
      </w:r>
    </w:p>
    <w:p>
      <w:pPr>
        <w:spacing w:after="0" w:line="151" w:lineRule="exact"/>
        <w:rPr>
          <w:sz w:val="20"/>
          <w:szCs w:val="20"/>
          <w:color w:val="auto"/>
        </w:rPr>
      </w:pPr>
    </w:p>
    <w:p>
      <w:pPr>
        <w:ind w:right="60"/>
        <w:spacing w:after="0" w:line="290" w:lineRule="auto"/>
        <w:rPr>
          <w:sz w:val="20"/>
          <w:szCs w:val="20"/>
          <w:color w:val="auto"/>
        </w:rPr>
      </w:pPr>
      <w:r>
        <w:rPr>
          <w:rFonts w:ascii="Arial" w:cs="Arial" w:eastAsia="Arial" w:hAnsi="Arial"/>
          <w:sz w:val="15"/>
          <w:szCs w:val="15"/>
          <w:color w:val="auto"/>
        </w:rPr>
        <w:t>Expensify is a payments superapp that helps individuals and businesses around the world simplify the way they manage money. More than 12 million people use Expensify's free features, which include corporate cards, expense tracking, next-day reimbursement, invoicing, bill pay, and travel booking in one app. All free. Whether you own a small business, manage a team, or close the books for your clients, Expensify makes it easy so you have more time to focus on what really matters.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 Contact</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Nick Tooker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investors@expensify.com</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Press Contact</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James Dean</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press@expensify.com</w:t>
      </w:r>
    </w:p>
    <w:p>
      <w:pPr>
        <w:sectPr>
          <w:pgSz w:w="11900" w:h="16838" w:orient="portrait"/>
          <w:cols w:equalWidth="0" w:num="1">
            <w:col w:w="11260"/>
          </w:cols>
          <w:pgMar w:left="320" w:top="123"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9"/>
          <w:szCs w:val="19"/>
          <w:b w:val="1"/>
          <w:bCs w:val="1"/>
          <w:color w:val="auto"/>
        </w:rPr>
        <w:t>Expensify, Inc.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Consolidated Balance Sheets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320675</wp:posOffset>
            </wp:positionV>
            <wp:extent cx="714946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As of December 31,</w:t>
            </w:r>
          </w:p>
        </w:tc>
        <w:tc>
          <w:tcPr>
            <w:tcW w:w="980" w:type="dxa"/>
            <w:vAlign w:val="bottom"/>
          </w:tcPr>
          <w:p>
            <w:pPr>
              <w:spacing w:after="0"/>
              <w:rPr>
                <w:sz w:val="16"/>
                <w:szCs w:val="16"/>
                <w:color w:val="auto"/>
              </w:rPr>
            </w:pPr>
          </w:p>
        </w:tc>
      </w:tr>
      <w:tr>
        <w:trPr>
          <w:trHeight w:val="29"/>
        </w:trPr>
        <w:tc>
          <w:tcPr>
            <w:tcW w:w="8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8"/>
        </w:trPr>
        <w:tc>
          <w:tcPr>
            <w:tcW w:w="80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ind w:right="589"/>
              <w:spacing w:after="0"/>
              <w:rPr>
                <w:sz w:val="20"/>
                <w:szCs w:val="20"/>
                <w:color w:val="auto"/>
              </w:rPr>
            </w:pPr>
            <w:r>
              <w:rPr>
                <w:rFonts w:ascii="Arial" w:cs="Arial" w:eastAsia="Arial" w:hAnsi="Arial"/>
                <w:sz w:val="14"/>
                <w:szCs w:val="14"/>
                <w:b w:val="1"/>
                <w:bCs w:val="1"/>
                <w:color w:val="auto"/>
                <w:w w:val="96"/>
              </w:rPr>
              <w:t>2021</w:t>
            </w:r>
          </w:p>
        </w:tc>
      </w:tr>
      <w:tr>
        <w:trPr>
          <w:trHeight w:val="29"/>
        </w:trPr>
        <w:tc>
          <w:tcPr>
            <w:tcW w:w="80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r>
      <w:tr>
        <w:trPr>
          <w:trHeight w:val="196"/>
        </w:trPr>
        <w:tc>
          <w:tcPr>
            <w:tcW w:w="80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980" w:type="dxa"/>
            <w:vAlign w:val="bottom"/>
          </w:tcPr>
          <w:p>
            <w:pPr>
              <w:jc w:val="right"/>
              <w:ind w:right="829"/>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103,787</w:t>
            </w:r>
          </w:p>
        </w:tc>
        <w:tc>
          <w:tcPr>
            <w:tcW w:w="100" w:type="dxa"/>
            <w:vAlign w:val="bottom"/>
          </w:tcPr>
          <w:p>
            <w:pPr>
              <w:spacing w:after="0"/>
              <w:rPr>
                <w:sz w:val="17"/>
                <w:szCs w:val="17"/>
                <w:color w:val="auto"/>
              </w:rPr>
            </w:pPr>
          </w:p>
        </w:tc>
        <w:tc>
          <w:tcPr>
            <w:tcW w:w="600" w:type="dxa"/>
            <w:vAlign w:val="bottom"/>
          </w:tcPr>
          <w:p>
            <w:pPr>
              <w:jc w:val="right"/>
              <w:ind w:right="44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98,398</w:t>
            </w:r>
          </w:p>
        </w:tc>
      </w:tr>
      <w:tr>
        <w:trPr>
          <w:trHeight w:val="29"/>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16,448</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15,713</w:t>
            </w:r>
          </w:p>
        </w:tc>
      </w:tr>
      <w:tr>
        <w:trPr>
          <w:trHeight w:val="196"/>
        </w:trPr>
        <w:tc>
          <w:tcPr>
            <w:tcW w:w="8020" w:type="dxa"/>
            <w:vAlign w:val="bottom"/>
          </w:tcPr>
          <w:p>
            <w:pPr>
              <w:ind w:left="20"/>
              <w:spacing w:after="0"/>
              <w:rPr>
                <w:sz w:val="20"/>
                <w:szCs w:val="20"/>
                <w:color w:val="auto"/>
              </w:rPr>
            </w:pPr>
            <w:r>
              <w:rPr>
                <w:rFonts w:ascii="Arial" w:cs="Arial" w:eastAsia="Arial" w:hAnsi="Arial"/>
                <w:sz w:val="14"/>
                <w:szCs w:val="14"/>
                <w:color w:val="auto"/>
              </w:rPr>
              <w:t>Settlement assets, net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35,838</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21,880</w:t>
            </w:r>
          </w:p>
        </w:tc>
      </w:tr>
      <w:tr>
        <w:trPr>
          <w:trHeight w:val="29"/>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8,825</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7,436</w:t>
            </w:r>
          </w:p>
        </w:tc>
      </w:tr>
      <w:tr>
        <w:trPr>
          <w:trHeight w:val="196"/>
        </w:trPr>
        <w:tc>
          <w:tcPr>
            <w:tcW w:w="8020" w:type="dxa"/>
            <w:vAlign w:val="bottom"/>
          </w:tcPr>
          <w:p>
            <w:pPr>
              <w:ind w:left="20"/>
              <w:spacing w:after="0"/>
              <w:rPr>
                <w:sz w:val="20"/>
                <w:szCs w:val="20"/>
                <w:color w:val="auto"/>
              </w:rPr>
            </w:pPr>
            <w:r>
              <w:rPr>
                <w:rFonts w:ascii="Arial" w:cs="Arial" w:eastAsia="Arial" w:hAnsi="Arial"/>
                <w:sz w:val="14"/>
                <w:szCs w:val="14"/>
                <w:color w:val="auto"/>
              </w:rPr>
              <w:t>Related party loan receivable</w:t>
            </w:r>
          </w:p>
        </w:tc>
        <w:tc>
          <w:tcPr>
            <w:tcW w:w="9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9"/>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22,217</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14,201</w:t>
            </w:r>
          </w:p>
        </w:tc>
      </w:tr>
      <w:tr>
        <w:trPr>
          <w:trHeight w:val="188"/>
        </w:trPr>
        <w:tc>
          <w:tcPr>
            <w:tcW w:w="802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9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187,115</w:t>
            </w:r>
          </w:p>
        </w:tc>
        <w:tc>
          <w:tcPr>
            <w:tcW w:w="1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157,642</w:t>
            </w:r>
          </w:p>
        </w:tc>
      </w:tr>
      <w:tr>
        <w:trPr>
          <w:trHeight w:val="29"/>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Capitalized software, net</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6,881</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6,359</w:t>
            </w:r>
          </w:p>
        </w:tc>
      </w:tr>
      <w:tr>
        <w:trPr>
          <w:trHeight w:val="196"/>
        </w:trPr>
        <w:tc>
          <w:tcPr>
            <w:tcW w:w="802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14,492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15,930</w:t>
            </w:r>
          </w:p>
        </w:tc>
      </w:tr>
      <w:tr>
        <w:trPr>
          <w:trHeight w:val="29"/>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Lease right-of-use assets</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745</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2,202</w:t>
            </w:r>
          </w:p>
        </w:tc>
      </w:tr>
      <w:tr>
        <w:trPr>
          <w:trHeight w:val="196"/>
        </w:trPr>
        <w:tc>
          <w:tcPr>
            <w:tcW w:w="8020" w:type="dxa"/>
            <w:vAlign w:val="bottom"/>
          </w:tcPr>
          <w:p>
            <w:pPr>
              <w:ind w:left="20"/>
              <w:spacing w:after="0"/>
              <w:rPr>
                <w:sz w:val="20"/>
                <w:szCs w:val="20"/>
                <w:color w:val="auto"/>
              </w:rPr>
            </w:pPr>
            <w:r>
              <w:rPr>
                <w:rFonts w:ascii="Arial" w:cs="Arial" w:eastAsia="Arial" w:hAnsi="Arial"/>
                <w:sz w:val="14"/>
                <w:szCs w:val="14"/>
                <w:color w:val="auto"/>
              </w:rPr>
              <w:t>Deferred tax assets, net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370</w:t>
            </w:r>
          </w:p>
        </w:tc>
      </w:tr>
      <w:tr>
        <w:trPr>
          <w:trHeight w:val="29"/>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710</w:t>
            </w:r>
          </w:p>
        </w:tc>
      </w:tr>
      <w:tr>
        <w:trPr>
          <w:trHeight w:val="214"/>
        </w:trPr>
        <w:tc>
          <w:tcPr>
            <w:tcW w:w="802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980" w:type="dxa"/>
            <w:vAlign w:val="bottom"/>
            <w:tcBorders>
              <w:top w:val="single" w:sz="8" w:color="auto"/>
              <w:bottom w:val="single" w:sz="8" w:color="auto"/>
            </w:tcBorders>
          </w:tcPr>
          <w:p>
            <w:pPr>
              <w:jc w:val="right"/>
              <w:ind w:right="829"/>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210,241</w:t>
            </w: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4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183,213</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1"/>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9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r>
      <w:tr>
        <w:trPr>
          <w:trHeight w:val="196"/>
        </w:trPr>
        <w:tc>
          <w:tcPr>
            <w:tcW w:w="802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980" w:type="dxa"/>
            <w:vAlign w:val="bottom"/>
          </w:tcPr>
          <w:p>
            <w:pPr>
              <w:jc w:val="right"/>
              <w:ind w:right="829"/>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1,059</w:t>
            </w:r>
          </w:p>
        </w:tc>
        <w:tc>
          <w:tcPr>
            <w:tcW w:w="100" w:type="dxa"/>
            <w:vAlign w:val="bottom"/>
          </w:tcPr>
          <w:p>
            <w:pPr>
              <w:spacing w:after="0"/>
              <w:rPr>
                <w:sz w:val="17"/>
                <w:szCs w:val="17"/>
                <w:color w:val="auto"/>
              </w:rPr>
            </w:pPr>
          </w:p>
        </w:tc>
        <w:tc>
          <w:tcPr>
            <w:tcW w:w="600" w:type="dxa"/>
            <w:vAlign w:val="bottom"/>
          </w:tcPr>
          <w:p>
            <w:pPr>
              <w:jc w:val="right"/>
              <w:ind w:right="44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3,752</w:t>
            </w:r>
          </w:p>
        </w:tc>
      </w:tr>
      <w:tr>
        <w:trPr>
          <w:trHeight w:val="29"/>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expenses and other liabilities</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9,070</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11,046</w:t>
            </w:r>
          </w:p>
        </w:tc>
      </w:tr>
      <w:tr>
        <w:trPr>
          <w:trHeight w:val="196"/>
        </w:trPr>
        <w:tc>
          <w:tcPr>
            <w:tcW w:w="8020" w:type="dxa"/>
            <w:vAlign w:val="bottom"/>
          </w:tcPr>
          <w:p>
            <w:pPr>
              <w:ind w:left="20"/>
              <w:spacing w:after="0"/>
              <w:rPr>
                <w:sz w:val="20"/>
                <w:szCs w:val="20"/>
                <w:color w:val="auto"/>
              </w:rPr>
            </w:pPr>
            <w:r>
              <w:rPr>
                <w:rFonts w:ascii="Arial" w:cs="Arial" w:eastAsia="Arial" w:hAnsi="Arial"/>
                <w:sz w:val="14"/>
                <w:szCs w:val="14"/>
                <w:color w:val="auto"/>
              </w:rPr>
              <w:t>Borrowings under line of credit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29"/>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portion of long-term debt, net of original issue discount and debt issuance costs</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549</w:t>
            </w:r>
          </w:p>
        </w:tc>
      </w:tr>
      <w:tr>
        <w:trPr>
          <w:trHeight w:val="196"/>
        </w:trPr>
        <w:tc>
          <w:tcPr>
            <w:tcW w:w="8020" w:type="dxa"/>
            <w:vAlign w:val="bottom"/>
          </w:tcPr>
          <w:p>
            <w:pPr>
              <w:ind w:left="20"/>
              <w:spacing w:after="0"/>
              <w:rPr>
                <w:sz w:val="20"/>
                <w:szCs w:val="20"/>
                <w:color w:val="auto"/>
              </w:rPr>
            </w:pPr>
            <w:r>
              <w:rPr>
                <w:rFonts w:ascii="Arial" w:cs="Arial" w:eastAsia="Arial" w:hAnsi="Arial"/>
                <w:sz w:val="14"/>
                <w:szCs w:val="14"/>
                <w:color w:val="auto"/>
              </w:rPr>
              <w:t>Lease liabilities, current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1,549</w:t>
            </w:r>
          </w:p>
        </w:tc>
      </w:tr>
      <w:tr>
        <w:trPr>
          <w:trHeight w:val="29"/>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Settlement liabilities</w:t>
            </w: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33,882</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21,680</w:t>
            </w:r>
          </w:p>
        </w:tc>
      </w:tr>
      <w:tr>
        <w:trPr>
          <w:trHeight w:val="188"/>
        </w:trPr>
        <w:tc>
          <w:tcPr>
            <w:tcW w:w="8020" w:type="dxa"/>
            <w:vAlign w:val="bottom"/>
          </w:tcPr>
          <w:p>
            <w:pPr>
              <w:ind w:left="680"/>
              <w:spacing w:after="0"/>
              <w:rPr>
                <w:sz w:val="20"/>
                <w:szCs w:val="20"/>
                <w:color w:val="auto"/>
              </w:rPr>
            </w:pPr>
            <w:r>
              <w:rPr>
                <w:rFonts w:ascii="Arial" w:cs="Arial" w:eastAsia="Arial" w:hAnsi="Arial"/>
                <w:sz w:val="14"/>
                <w:szCs w:val="14"/>
                <w:color w:val="auto"/>
              </w:rPr>
              <w:t>Total current liabilities</w:t>
            </w:r>
          </w:p>
        </w:tc>
        <w:tc>
          <w:tcPr>
            <w:tcW w:w="9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60,362</w:t>
            </w:r>
          </w:p>
        </w:tc>
        <w:tc>
          <w:tcPr>
            <w:tcW w:w="1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53,576</w:t>
            </w:r>
          </w:p>
        </w:tc>
      </w:tr>
      <w:tr>
        <w:trPr>
          <w:trHeight w:val="29"/>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Lease liabilities, non-current</w:t>
            </w:r>
          </w:p>
        </w:tc>
        <w:tc>
          <w:tcPr>
            <w:tcW w:w="9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802</w:t>
            </w:r>
          </w:p>
        </w:tc>
      </w:tr>
      <w:tr>
        <w:trPr>
          <w:trHeight w:val="196"/>
        </w:trPr>
        <w:tc>
          <w:tcPr>
            <w:tcW w:w="802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1,204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153</w:t>
            </w:r>
          </w:p>
        </w:tc>
      </w:tr>
      <w:tr>
        <w:trPr>
          <w:trHeight w:val="29"/>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debt, net of original issue discount and debt issuance costs</w:t>
            </w: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51,434</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52,067</w:t>
            </w:r>
          </w:p>
        </w:tc>
      </w:tr>
      <w:tr>
        <w:trPr>
          <w:trHeight w:val="188"/>
        </w:trPr>
        <w:tc>
          <w:tcPr>
            <w:tcW w:w="8020" w:type="dxa"/>
            <w:vAlign w:val="bottom"/>
          </w:tcPr>
          <w:p>
            <w:pPr>
              <w:ind w:left="680"/>
              <w:spacing w:after="0"/>
              <w:rPr>
                <w:sz w:val="20"/>
                <w:szCs w:val="20"/>
                <w:color w:val="auto"/>
              </w:rPr>
            </w:pPr>
            <w:r>
              <w:rPr>
                <w:rFonts w:ascii="Arial" w:cs="Arial" w:eastAsia="Arial" w:hAnsi="Arial"/>
                <w:sz w:val="14"/>
                <w:szCs w:val="14"/>
                <w:color w:val="auto"/>
              </w:rPr>
              <w:t>Total liabilities</w:t>
            </w:r>
          </w:p>
        </w:tc>
        <w:tc>
          <w:tcPr>
            <w:tcW w:w="9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113,000</w:t>
            </w:r>
          </w:p>
        </w:tc>
        <w:tc>
          <w:tcPr>
            <w:tcW w:w="1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106,598</w:t>
            </w:r>
          </w:p>
        </w:tc>
      </w:tr>
      <w:tr>
        <w:trPr>
          <w:trHeight w:val="29"/>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12)</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196"/>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9"/>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Preferred stock, par value $0.0001; 10,000,000 shares of preferred stock authorized as of December 31, 2022 and 2021, respectively; no</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9"/>
        </w:trPr>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shares of preferred stock issued and outstanding as of December 31, 2022 and 2021</w:t>
            </w:r>
          </w:p>
        </w:tc>
        <w:tc>
          <w:tcPr>
            <w:tcW w:w="9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8020" w:type="dxa"/>
            <w:vAlign w:val="bottom"/>
          </w:tcPr>
          <w:p>
            <w:pPr>
              <w:ind w:left="20"/>
              <w:spacing w:after="0"/>
              <w:rPr>
                <w:sz w:val="20"/>
                <w:szCs w:val="20"/>
                <w:color w:val="auto"/>
              </w:rPr>
            </w:pPr>
            <w:r>
              <w:rPr>
                <w:rFonts w:ascii="Arial" w:cs="Arial" w:eastAsia="Arial" w:hAnsi="Arial"/>
                <w:sz w:val="14"/>
                <w:szCs w:val="14"/>
                <w:color w:val="auto"/>
                <w:w w:val="97"/>
              </w:rPr>
              <w:t>Common stock, par value $0.0001; 1,000,000,000 shares of Class A common stock authorized as of December 31, 2022 and 2021;</w:t>
            </w: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7"/>
        </w:trPr>
        <w:tc>
          <w:tcPr>
            <w:tcW w:w="8020" w:type="dxa"/>
            <w:vAlign w:val="bottom"/>
          </w:tcPr>
          <w:p>
            <w:pPr>
              <w:ind w:left="160"/>
              <w:spacing w:after="0"/>
              <w:rPr>
                <w:sz w:val="20"/>
                <w:szCs w:val="20"/>
                <w:color w:val="auto"/>
              </w:rPr>
            </w:pPr>
            <w:r>
              <w:rPr>
                <w:rFonts w:ascii="Arial" w:cs="Arial" w:eastAsia="Arial" w:hAnsi="Arial"/>
                <w:sz w:val="14"/>
                <w:szCs w:val="14"/>
                <w:color w:val="auto"/>
                <w:w w:val="93"/>
              </w:rPr>
              <w:t>68,238,245 and 67,844,060 shares of Class A common stock issued and outstanding as of December 31, 2022 and 2021, respectively;</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8020" w:type="dxa"/>
            <w:vAlign w:val="bottom"/>
          </w:tcPr>
          <w:p>
            <w:pPr>
              <w:ind w:left="160"/>
              <w:spacing w:after="0"/>
              <w:rPr>
                <w:sz w:val="20"/>
                <w:szCs w:val="20"/>
                <w:color w:val="auto"/>
              </w:rPr>
            </w:pPr>
            <w:r>
              <w:rPr>
                <w:rFonts w:ascii="Arial" w:cs="Arial" w:eastAsia="Arial" w:hAnsi="Arial"/>
                <w:sz w:val="14"/>
                <w:szCs w:val="14"/>
                <w:color w:val="auto"/>
                <w:w w:val="93"/>
              </w:rPr>
              <w:t>24,997,561 and 25,000,000 shares of LT10 common stock authorized as of December 31, 2022 and 2021, respectively; 7,336,191 and</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8020" w:type="dxa"/>
            <w:vAlign w:val="bottom"/>
          </w:tcPr>
          <w:p>
            <w:pPr>
              <w:ind w:left="160"/>
              <w:spacing w:after="0"/>
              <w:rPr>
                <w:sz w:val="20"/>
                <w:szCs w:val="20"/>
                <w:color w:val="auto"/>
              </w:rPr>
            </w:pPr>
            <w:r>
              <w:rPr>
                <w:rFonts w:ascii="Arial" w:cs="Arial" w:eastAsia="Arial" w:hAnsi="Arial"/>
                <w:sz w:val="14"/>
                <w:szCs w:val="14"/>
                <w:color w:val="auto"/>
                <w:w w:val="96"/>
              </w:rPr>
              <w:t>7,332,640 shares of LT10 common stock issued and outstanding as of December 31, 2022 and 2021, respectively; 24,999,020 and</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8020" w:type="dxa"/>
            <w:vAlign w:val="bottom"/>
          </w:tcPr>
          <w:p>
            <w:pPr>
              <w:ind w:left="160"/>
              <w:spacing w:after="0"/>
              <w:rPr>
                <w:sz w:val="20"/>
                <w:szCs w:val="20"/>
                <w:color w:val="auto"/>
              </w:rPr>
            </w:pPr>
            <w:r>
              <w:rPr>
                <w:rFonts w:ascii="Arial" w:cs="Arial" w:eastAsia="Arial" w:hAnsi="Arial"/>
                <w:sz w:val="14"/>
                <w:szCs w:val="14"/>
                <w:color w:val="auto"/>
                <w:w w:val="91"/>
              </w:rPr>
              <w:t>25,000,000 shares of LT50 common stock authorized as of December 31, 2022 and 2021, respectively; 6,854,931 and 6,224,160 shares of</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8020" w:type="dxa"/>
            <w:vAlign w:val="bottom"/>
          </w:tcPr>
          <w:p>
            <w:pPr>
              <w:ind w:left="160"/>
              <w:spacing w:after="0"/>
              <w:rPr>
                <w:sz w:val="20"/>
                <w:szCs w:val="20"/>
                <w:color w:val="auto"/>
              </w:rPr>
            </w:pPr>
            <w:r>
              <w:rPr>
                <w:rFonts w:ascii="Arial" w:cs="Arial" w:eastAsia="Arial" w:hAnsi="Arial"/>
                <w:sz w:val="14"/>
                <w:szCs w:val="14"/>
                <w:color w:val="auto"/>
              </w:rPr>
              <w:t>LT50 common stock issued and outstanding as of December 31, 2022 and 2021, respectively</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9"/>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194,807</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142,515</w:t>
            </w:r>
          </w:p>
        </w:tc>
      </w:tr>
      <w:tr>
        <w:trPr>
          <w:trHeight w:val="196"/>
        </w:trPr>
        <w:tc>
          <w:tcPr>
            <w:tcW w:w="8020" w:type="dxa"/>
            <w:vAlign w:val="bottom"/>
          </w:tcPr>
          <w:p>
            <w:pPr>
              <w:ind w:left="20"/>
              <w:spacing w:after="0"/>
              <w:rPr>
                <w:sz w:val="20"/>
                <w:szCs w:val="20"/>
                <w:color w:val="auto"/>
              </w:rPr>
            </w:pPr>
            <w:r>
              <w:rPr>
                <w:rFonts w:ascii="Arial" w:cs="Arial" w:eastAsia="Arial" w:hAnsi="Arial"/>
                <w:sz w:val="14"/>
                <w:szCs w:val="14"/>
                <w:color w:val="auto"/>
              </w:rPr>
              <w:t>Accumulated deficit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(97,573)</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(65,906)</w:t>
            </w:r>
          </w:p>
        </w:tc>
      </w:tr>
      <w:tr>
        <w:trPr>
          <w:trHeight w:val="29"/>
        </w:trPr>
        <w:tc>
          <w:tcPr>
            <w:tcW w:w="80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8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Total stockholders' equity</w:t>
            </w: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97,241</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76,615</w:t>
            </w:r>
          </w:p>
        </w:tc>
      </w:tr>
      <w:tr>
        <w:trPr>
          <w:trHeight w:val="214"/>
        </w:trPr>
        <w:tc>
          <w:tcPr>
            <w:tcW w:w="8020" w:type="dxa"/>
            <w:vAlign w:val="bottom"/>
          </w:tcPr>
          <w:p>
            <w:pPr>
              <w:ind w:left="640"/>
              <w:spacing w:after="0"/>
              <w:rPr>
                <w:sz w:val="20"/>
                <w:szCs w:val="20"/>
                <w:color w:val="auto"/>
              </w:rPr>
            </w:pPr>
            <w:r>
              <w:rPr>
                <w:rFonts w:ascii="Arial" w:cs="Arial" w:eastAsia="Arial" w:hAnsi="Arial"/>
                <w:sz w:val="14"/>
                <w:szCs w:val="14"/>
                <w:color w:val="auto"/>
              </w:rPr>
              <w:t>Total liabilities and stockholders' equity</w:t>
            </w:r>
          </w:p>
        </w:tc>
        <w:tc>
          <w:tcPr>
            <w:tcW w:w="980" w:type="dxa"/>
            <w:vAlign w:val="bottom"/>
            <w:tcBorders>
              <w:top w:val="single" w:sz="8" w:color="auto"/>
              <w:bottom w:val="single" w:sz="8" w:color="auto"/>
            </w:tcBorders>
          </w:tcPr>
          <w:p>
            <w:pPr>
              <w:jc w:val="right"/>
              <w:ind w:right="829"/>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210,241</w:t>
            </w: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4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183,213</w:t>
            </w:r>
          </w:p>
        </w:tc>
      </w:tr>
      <w:tr>
        <w:trPr>
          <w:trHeight w:val="20"/>
        </w:trPr>
        <w:tc>
          <w:tcPr>
            <w:tcW w:w="8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60"/>
          </w:cols>
          <w:pgMar w:left="320" w:top="339" w:right="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9"/>
          <w:szCs w:val="19"/>
          <w:b w:val="1"/>
          <w:bCs w:val="1"/>
          <w:color w:val="auto"/>
        </w:rPr>
        <w:t>Expensify, Inc.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Consolidated Statements of Operations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185420</wp:posOffset>
            </wp:positionV>
            <wp:extent cx="714946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December 31,</w:t>
            </w:r>
          </w:p>
        </w:tc>
        <w:tc>
          <w:tcPr>
            <w:tcW w:w="340" w:type="dxa"/>
            <w:vAlign w:val="bottom"/>
          </w:tcPr>
          <w:p>
            <w:pPr>
              <w:spacing w:after="0"/>
              <w:rPr>
                <w:sz w:val="16"/>
                <w:szCs w:val="16"/>
                <w:color w:val="auto"/>
              </w:rPr>
            </w:pPr>
          </w:p>
        </w:tc>
        <w:tc>
          <w:tcPr>
            <w:tcW w:w="2660" w:type="dxa"/>
            <w:vAlign w:val="bottom"/>
            <w:gridSpan w:val="4"/>
          </w:tcPr>
          <w:p>
            <w:pPr>
              <w:jc w:val="right"/>
              <w:ind w:right="669"/>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9"/>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2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9"/>
        </w:trPr>
        <w:tc>
          <w:tcPr>
            <w:tcW w:w="5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43,469</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40,364</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169,495</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142,835</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 net</w:t>
            </w:r>
            <w:r>
              <w:rPr>
                <w:rFonts w:ascii="Arial" w:cs="Arial" w:eastAsia="Arial" w:hAnsi="Arial"/>
                <w:sz w:val="18"/>
                <w:szCs w:val="18"/>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16,105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62,669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53,693</w:t>
            </w:r>
          </w:p>
        </w:tc>
        <w:tc>
          <w:tcPr>
            <w:tcW w:w="0" w:type="dxa"/>
            <w:vAlign w:val="bottom"/>
          </w:tcPr>
          <w:p>
            <w:pPr>
              <w:spacing w:after="0"/>
              <w:rPr>
                <w:sz w:val="1"/>
                <w:szCs w:val="1"/>
                <w:color w:val="auto"/>
              </w:rPr>
            </w:pPr>
          </w:p>
        </w:tc>
      </w:tr>
      <w:tr>
        <w:trPr>
          <w:trHeight w:val="217"/>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27,364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20,439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106,826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89,142</w:t>
            </w: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1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Research and development</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10,988</w:t>
            </w:r>
          </w:p>
        </w:tc>
        <w:tc>
          <w:tcPr>
            <w:tcW w:w="0" w:type="dxa"/>
            <w:vAlign w:val="bottom"/>
          </w:tcPr>
          <w:p>
            <w:pPr>
              <w:spacing w:after="0"/>
              <w:rPr>
                <w:sz w:val="1"/>
                <w:szCs w:val="1"/>
                <w:color w:val="auto"/>
              </w:rPr>
            </w:pPr>
          </w:p>
        </w:tc>
      </w:tr>
      <w:tr>
        <w:trPr>
          <w:trHeight w:val="225"/>
        </w:trPr>
        <w:tc>
          <w:tcPr>
            <w:tcW w:w="5180" w:type="dxa"/>
            <w:vAlign w:val="bottom"/>
          </w:tcPr>
          <w:p>
            <w:pPr>
              <w:ind w:left="200"/>
              <w:spacing w:after="0"/>
              <w:rPr>
                <w:sz w:val="20"/>
                <w:szCs w:val="20"/>
                <w:color w:val="auto"/>
              </w:rPr>
            </w:pPr>
            <w:r>
              <w:rPr>
                <w:rFonts w:ascii="Arial" w:cs="Arial" w:eastAsia="Arial" w:hAnsi="Arial"/>
                <w:sz w:val="14"/>
                <w:szCs w:val="14"/>
                <w:color w:val="auto"/>
              </w:rPr>
              <w:t>General and administrative</w:t>
            </w:r>
            <w:r>
              <w:rPr>
                <w:rFonts w:ascii="Arial" w:cs="Arial" w:eastAsia="Arial" w:hAnsi="Arial"/>
                <w:sz w:val="18"/>
                <w:szCs w:val="18"/>
                <w:color w:val="auto"/>
                <w:vertAlign w:val="superscript"/>
              </w:rPr>
              <w:t>(1)</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13,155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24,915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58,490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60,742</w:t>
            </w: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Sales and marketing</w:t>
            </w:r>
            <w:r>
              <w:rPr>
                <w:rFonts w:ascii="Arial" w:cs="Arial" w:eastAsia="Arial" w:hAnsi="Arial"/>
                <w:sz w:val="18"/>
                <w:szCs w:val="18"/>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11,918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13,109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49,876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27,664</w:t>
            </w:r>
          </w:p>
        </w:tc>
        <w:tc>
          <w:tcPr>
            <w:tcW w:w="0" w:type="dxa"/>
            <w:vAlign w:val="bottom"/>
          </w:tcPr>
          <w:p>
            <w:pPr>
              <w:spacing w:after="0"/>
              <w:rPr>
                <w:sz w:val="1"/>
                <w:szCs w:val="1"/>
                <w:color w:val="auto"/>
              </w:rPr>
            </w:pPr>
          </w:p>
        </w:tc>
      </w:tr>
      <w:tr>
        <w:trPr>
          <w:trHeight w:val="188"/>
        </w:trPr>
        <w:tc>
          <w:tcPr>
            <w:tcW w:w="5180" w:type="dxa"/>
            <w:vAlign w:val="bottom"/>
          </w:tcPr>
          <w:p>
            <w:pPr>
              <w:ind w:left="380"/>
              <w:spacing w:after="0"/>
              <w:rPr>
                <w:sz w:val="20"/>
                <w:szCs w:val="20"/>
                <w:color w:val="auto"/>
              </w:rPr>
            </w:pPr>
            <w:r>
              <w:rPr>
                <w:rFonts w:ascii="Arial" w:cs="Arial" w:eastAsia="Arial" w:hAnsi="Arial"/>
                <w:sz w:val="14"/>
                <w:szCs w:val="14"/>
                <w:color w:val="auto"/>
              </w:rPr>
              <w:t>Total operating expenses</w:t>
            </w: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28,064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40,874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122,058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99,394</w:t>
            </w:r>
          </w:p>
        </w:tc>
        <w:tc>
          <w:tcPr>
            <w:tcW w:w="0" w:type="dxa"/>
            <w:vAlign w:val="bottom"/>
          </w:tcPr>
          <w:p>
            <w:pPr>
              <w:spacing w:after="0"/>
              <w:rPr>
                <w:sz w:val="1"/>
                <w:szCs w:val="1"/>
                <w:color w:val="auto"/>
              </w:rPr>
            </w:pPr>
          </w:p>
        </w:tc>
      </w:tr>
      <w:tr>
        <w:trPr>
          <w:trHeight w:val="29"/>
        </w:trPr>
        <w:tc>
          <w:tcPr>
            <w:tcW w:w="5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income from operations</w:t>
            </w: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(20,435)</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(15,232)</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(10,252)</w:t>
            </w:r>
          </w:p>
        </w:tc>
        <w:tc>
          <w:tcPr>
            <w:tcW w:w="0" w:type="dxa"/>
            <w:vAlign w:val="bottom"/>
          </w:tcPr>
          <w:p>
            <w:pPr>
              <w:spacing w:after="0"/>
              <w:rPr>
                <w:sz w:val="1"/>
                <w:szCs w:val="1"/>
                <w:color w:val="auto"/>
              </w:rPr>
            </w:pPr>
          </w:p>
        </w:tc>
      </w:tr>
      <w:tr>
        <w:trPr>
          <w:trHeight w:val="196"/>
        </w:trPr>
        <w:tc>
          <w:tcPr>
            <w:tcW w:w="5180" w:type="dxa"/>
            <w:vAlign w:val="bottom"/>
          </w:tcPr>
          <w:p>
            <w:pPr>
              <w:ind w:left="20"/>
              <w:spacing w:after="0"/>
              <w:rPr>
                <w:sz w:val="20"/>
                <w:szCs w:val="20"/>
                <w:color w:val="auto"/>
              </w:rPr>
            </w:pPr>
            <w:r>
              <w:rPr>
                <w:rFonts w:ascii="Arial" w:cs="Arial" w:eastAsia="Arial" w:hAnsi="Arial"/>
                <w:sz w:val="14"/>
                <w:szCs w:val="14"/>
                <w:color w:val="auto"/>
              </w:rPr>
              <w:t>Interest and other expenses, net</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(920)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(5,411)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(3,480)</w:t>
            </w:r>
          </w:p>
        </w:tc>
        <w:tc>
          <w:tcPr>
            <w:tcW w:w="0" w:type="dxa"/>
            <w:vAlign w:val="bottom"/>
          </w:tcPr>
          <w:p>
            <w:pPr>
              <w:spacing w:after="0"/>
              <w:rPr>
                <w:sz w:val="1"/>
                <w:szCs w:val="1"/>
                <w:color w:val="auto"/>
              </w:rPr>
            </w:pPr>
          </w:p>
        </w:tc>
      </w:tr>
      <w:tr>
        <w:trPr>
          <w:trHeight w:val="29"/>
        </w:trPr>
        <w:tc>
          <w:tcPr>
            <w:tcW w:w="5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income before income taxes</w:t>
            </w: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(21,355)</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(20,643)</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(13,732)</w:t>
            </w:r>
          </w:p>
        </w:tc>
        <w:tc>
          <w:tcPr>
            <w:tcW w:w="0" w:type="dxa"/>
            <w:vAlign w:val="bottom"/>
          </w:tcPr>
          <w:p>
            <w:pPr>
              <w:spacing w:after="0"/>
              <w:rPr>
                <w:sz w:val="1"/>
                <w:szCs w:val="1"/>
                <w:color w:val="auto"/>
              </w:rPr>
            </w:pPr>
          </w:p>
        </w:tc>
      </w:tr>
      <w:tr>
        <w:trPr>
          <w:trHeight w:val="196"/>
        </w:trPr>
        <w:tc>
          <w:tcPr>
            <w:tcW w:w="5180" w:type="dxa"/>
            <w:vAlign w:val="bottom"/>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(2,512)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(6,366)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9"/>
        </w:trPr>
        <w:tc>
          <w:tcPr>
            <w:tcW w:w="5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Class A, LT10 and LT50 common stockholders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(21,887)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(27,009)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(13,558)</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attributable to Class A, LT10 and LT50 common stockholders:</w:t>
            </w: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180" w:type="dxa"/>
            <w:vAlign w:val="bottom"/>
          </w:tcPr>
          <w:p>
            <w:pPr>
              <w:ind w:left="20"/>
              <w:spacing w:after="0"/>
              <w:rPr>
                <w:sz w:val="20"/>
                <w:szCs w:val="20"/>
                <w:color w:val="auto"/>
              </w:rPr>
            </w:pPr>
            <w:r>
              <w:rPr>
                <w:rFonts w:ascii="Arial" w:cs="Arial" w:eastAsia="Arial" w:hAnsi="Arial"/>
                <w:sz w:val="14"/>
                <w:szCs w:val="14"/>
                <w:color w:val="auto"/>
              </w:rPr>
              <w:t>Basic</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w w:val="93"/>
              </w:rPr>
              <w:t>Weighted-average shares of common stock used to compute net (loss) income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1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180" w:type="dxa"/>
            <w:vAlign w:val="bottom"/>
          </w:tcPr>
          <w:p>
            <w:pPr>
              <w:ind w:left="160"/>
              <w:spacing w:after="0"/>
              <w:rPr>
                <w:sz w:val="20"/>
                <w:szCs w:val="20"/>
                <w:color w:val="auto"/>
              </w:rPr>
            </w:pPr>
            <w:r>
              <w:rPr>
                <w:rFonts w:ascii="Arial" w:cs="Arial" w:eastAsia="Arial" w:hAnsi="Arial"/>
                <w:sz w:val="14"/>
                <w:szCs w:val="14"/>
                <w:color w:val="auto"/>
              </w:rPr>
              <w:t>attributable to Class A, LT10 and LT50 common stockholders:</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81,567,647</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26,776,561</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80,786,725</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38,039,222</w:t>
            </w:r>
          </w:p>
        </w:tc>
        <w:tc>
          <w:tcPr>
            <w:tcW w:w="0" w:type="dxa"/>
            <w:vAlign w:val="bottom"/>
          </w:tcPr>
          <w:p>
            <w:pPr>
              <w:spacing w:after="0"/>
              <w:rPr>
                <w:sz w:val="1"/>
                <w:szCs w:val="1"/>
                <w:color w:val="auto"/>
              </w:rPr>
            </w:pPr>
          </w:p>
        </w:tc>
      </w:tr>
      <w:tr>
        <w:trPr>
          <w:trHeight w:val="196"/>
        </w:trPr>
        <w:tc>
          <w:tcPr>
            <w:tcW w:w="5180" w:type="dxa"/>
            <w:vAlign w:val="bottom"/>
          </w:tcPr>
          <w:p>
            <w:pPr>
              <w:ind w:left="2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81,567,647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26,776,561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80,786,725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38,039,222</w:t>
            </w:r>
          </w:p>
        </w:tc>
        <w:tc>
          <w:tcPr>
            <w:tcW w:w="0" w:type="dxa"/>
            <w:vAlign w:val="bottom"/>
          </w:tcPr>
          <w:p>
            <w:pPr>
              <w:spacing w:after="0"/>
              <w:rPr>
                <w:sz w:val="1"/>
                <w:szCs w:val="1"/>
                <w:color w:val="auto"/>
              </w:rPr>
            </w:pPr>
          </w:p>
        </w:tc>
      </w:tr>
      <w:tr>
        <w:trPr>
          <w:trHeight w:val="76"/>
        </w:trPr>
        <w:tc>
          <w:tcPr>
            <w:tcW w:w="51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1120" w:hanging="558"/>
        <w:spacing w:after="0"/>
        <w:tabs>
          <w:tab w:leader="none" w:pos="11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30480</wp:posOffset>
            </wp:positionV>
            <wp:extent cx="69164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16420" cy="7620"/>
                    </a:xfrm>
                    <a:prstGeom prst="rect">
                      <a:avLst/>
                    </a:prstGeom>
                    <a:noFill/>
                  </pic:spPr>
                </pic:pic>
              </a:graphicData>
            </a:graphic>
          </wp:anchor>
        </w:drawing>
      </w:r>
    </w:p>
    <w:p>
      <w:pPr>
        <w:spacing w:after="0" w:line="5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76"/>
              <w:spacing w:after="0"/>
              <w:rPr>
                <w:sz w:val="20"/>
                <w:szCs w:val="20"/>
                <w:color w:val="auto"/>
              </w:rPr>
            </w:pPr>
            <w:r>
              <w:rPr>
                <w:rFonts w:ascii="Arial" w:cs="Arial" w:eastAsia="Arial" w:hAnsi="Arial"/>
                <w:sz w:val="14"/>
                <w:szCs w:val="14"/>
                <w:b w:val="1"/>
                <w:bCs w:val="1"/>
                <w:color w:val="auto"/>
              </w:rPr>
              <w:t>Year ended December 31,</w:t>
            </w:r>
          </w:p>
        </w:tc>
      </w:tr>
      <w:tr>
        <w:trPr>
          <w:trHeight w:val="29"/>
        </w:trPr>
        <w:tc>
          <w:tcPr>
            <w:tcW w:w="48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8"/>
        </w:trPr>
        <w:tc>
          <w:tcPr>
            <w:tcW w:w="4840" w:type="dxa"/>
            <w:vAlign w:val="bottom"/>
          </w:tcPr>
          <w:p>
            <w:pPr>
              <w:spacing w:after="0"/>
              <w:rPr>
                <w:sz w:val="16"/>
                <w:szCs w:val="16"/>
                <w:color w:val="auto"/>
              </w:rPr>
            </w:pPr>
          </w:p>
        </w:tc>
        <w:tc>
          <w:tcPr>
            <w:tcW w:w="940" w:type="dxa"/>
            <w:vAlign w:val="bottom"/>
          </w:tcPr>
          <w:p>
            <w:pPr>
              <w:jc w:val="right"/>
              <w:ind w:right="13"/>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94"/>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536"/>
              <w:spacing w:after="0"/>
              <w:rPr>
                <w:sz w:val="20"/>
                <w:szCs w:val="20"/>
                <w:color w:val="auto"/>
              </w:rPr>
            </w:pPr>
            <w:r>
              <w:rPr>
                <w:rFonts w:ascii="Arial" w:cs="Arial" w:eastAsia="Arial" w:hAnsi="Arial"/>
                <w:sz w:val="14"/>
                <w:szCs w:val="14"/>
                <w:b w:val="1"/>
                <w:bCs w:val="1"/>
                <w:color w:val="auto"/>
              </w:rPr>
              <w:t>2021</w:t>
            </w:r>
          </w:p>
        </w:tc>
      </w:tr>
      <w:tr>
        <w:trPr>
          <w:trHeight w:val="29"/>
        </w:trPr>
        <w:tc>
          <w:tcPr>
            <w:tcW w:w="48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3"/>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Cost of revenue, net</w:t>
            </w:r>
          </w:p>
        </w:tc>
        <w:tc>
          <w:tcPr>
            <w:tcW w:w="94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4,125</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3,445</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18,403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4,115</w:t>
            </w:r>
          </w:p>
        </w:tc>
      </w:tr>
      <w:tr>
        <w:trPr>
          <w:trHeight w:val="180"/>
        </w:trPr>
        <w:tc>
          <w:tcPr>
            <w:tcW w:w="484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1,645</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1,135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7,875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1,617</w:t>
            </w:r>
          </w:p>
        </w:tc>
      </w:tr>
      <w:tr>
        <w:trPr>
          <w:trHeight w:val="21"/>
        </w:trPr>
        <w:tc>
          <w:tcPr>
            <w:tcW w:w="4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1"/>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9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2,787</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6,238</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17,850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7,356</w:t>
            </w:r>
          </w:p>
        </w:tc>
      </w:tr>
      <w:tr>
        <w:trPr>
          <w:trHeight w:val="180"/>
        </w:trPr>
        <w:tc>
          <w:tcPr>
            <w:tcW w:w="4840" w:type="dxa"/>
            <w:vAlign w:val="bottom"/>
          </w:tcPr>
          <w:p>
            <w:pPr>
              <w:ind w:left="20"/>
              <w:spacing w:after="0"/>
              <w:rPr>
                <w:sz w:val="20"/>
                <w:szCs w:val="20"/>
                <w:color w:val="auto"/>
              </w:rPr>
            </w:pPr>
            <w:r>
              <w:rPr>
                <w:rFonts w:ascii="Arial" w:cs="Arial" w:eastAsia="Arial" w:hAnsi="Arial"/>
                <w:sz w:val="13"/>
                <w:szCs w:val="13"/>
                <w:color w:val="auto"/>
              </w:rPr>
              <w:t>Sales and marketing</w:t>
            </w: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1,982</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1,261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8,204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1,486</w:t>
            </w:r>
          </w:p>
        </w:tc>
      </w:tr>
      <w:tr>
        <w:trPr>
          <w:trHeight w:val="21"/>
        </w:trPr>
        <w:tc>
          <w:tcPr>
            <w:tcW w:w="48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stock-based compensation expense</w:t>
            </w:r>
          </w:p>
        </w:tc>
        <w:tc>
          <w:tcPr>
            <w:tcW w:w="94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10,539</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12,079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52,332</w:t>
            </w: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14,574</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60"/>
          </w:cols>
          <w:pgMar w:left="320" w:top="339" w:right="3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9"/>
          <w:szCs w:val="19"/>
          <w:b w:val="1"/>
          <w:bCs w:val="1"/>
          <w:color w:val="auto"/>
        </w:rPr>
        <w:t>Expensify, Inc.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Consolidated Statements of Cash Flows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Year Ended December 31,</w:t>
            </w:r>
          </w:p>
        </w:tc>
        <w:tc>
          <w:tcPr>
            <w:tcW w:w="4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0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1120" w:type="dxa"/>
            <w:vAlign w:val="bottom"/>
          </w:tcPr>
          <w:p>
            <w:pPr>
              <w:jc w:val="right"/>
              <w:ind w:right="105"/>
              <w:spacing w:after="0"/>
              <w:rPr>
                <w:sz w:val="20"/>
                <w:szCs w:val="20"/>
                <w:color w:val="auto"/>
              </w:rPr>
            </w:pPr>
            <w:r>
              <w:rPr>
                <w:rFonts w:ascii="Arial" w:cs="Arial" w:eastAsia="Arial" w:hAnsi="Arial"/>
                <w:sz w:val="11"/>
                <w:szCs w:val="11"/>
                <w:b w:val="1"/>
                <w:bCs w:val="1"/>
                <w:color w:val="auto"/>
              </w:rPr>
              <w:t>2022</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jc w:val="right"/>
              <w:ind w:right="665"/>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jc w:val="right"/>
              <w:ind w:right="685"/>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39"/>
        </w:trPr>
        <w:tc>
          <w:tcPr>
            <w:tcW w:w="60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flows from operating activities:</w:t>
            </w:r>
          </w:p>
        </w:tc>
        <w:tc>
          <w:tcPr>
            <w:tcW w:w="1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020" w:type="dxa"/>
            <w:vAlign w:val="bottom"/>
          </w:tcPr>
          <w:p>
            <w:pPr>
              <w:ind w:left="20"/>
              <w:spacing w:after="0"/>
              <w:rPr>
                <w:sz w:val="20"/>
                <w:szCs w:val="20"/>
                <w:color w:val="auto"/>
              </w:rPr>
            </w:pPr>
            <w:r>
              <w:rPr>
                <w:rFonts w:ascii="Arial" w:cs="Arial" w:eastAsia="Arial" w:hAnsi="Arial"/>
                <w:sz w:val="11"/>
                <w:szCs w:val="11"/>
                <w:color w:val="auto"/>
              </w:rPr>
              <w:t>Net loss</w:t>
            </w:r>
          </w:p>
        </w:tc>
        <w:tc>
          <w:tcPr>
            <w:tcW w:w="1120" w:type="dxa"/>
            <w:vAlign w:val="bottom"/>
          </w:tcPr>
          <w:p>
            <w:pPr>
              <w:jc w:val="right"/>
              <w:ind w:right="985"/>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(27,009)</w:t>
            </w:r>
          </w:p>
        </w:tc>
        <w:tc>
          <w:tcPr>
            <w:tcW w:w="100" w:type="dxa"/>
            <w:vAlign w:val="bottom"/>
          </w:tcPr>
          <w:p>
            <w:pPr>
              <w:spacing w:after="0"/>
              <w:rPr>
                <w:sz w:val="13"/>
                <w:szCs w:val="13"/>
                <w:color w:val="auto"/>
              </w:rPr>
            </w:pPr>
          </w:p>
        </w:tc>
        <w:tc>
          <w:tcPr>
            <w:tcW w:w="140" w:type="dxa"/>
            <w:vAlign w:val="bottom"/>
          </w:tcPr>
          <w:p>
            <w:pPr>
              <w:jc w:val="right"/>
              <w:ind w:right="5"/>
              <w:spacing w:after="0"/>
              <w:rPr>
                <w:sz w:val="20"/>
                <w:szCs w:val="20"/>
                <w:color w:val="auto"/>
              </w:rPr>
            </w:pPr>
            <w:r>
              <w:rPr>
                <w:rFonts w:ascii="Arial" w:cs="Arial" w:eastAsia="Arial" w:hAnsi="Arial"/>
                <w:sz w:val="11"/>
                <w:szCs w:val="11"/>
                <w:color w:val="auto"/>
                <w:w w:val="97"/>
              </w:rPr>
              <w:t>$</w:t>
            </w:r>
          </w:p>
        </w:tc>
        <w:tc>
          <w:tcPr>
            <w:tcW w:w="1540" w:type="dxa"/>
            <w:vAlign w:val="bottom"/>
          </w:tcPr>
          <w:p>
            <w:pPr>
              <w:jc w:val="right"/>
              <w:spacing w:after="0"/>
              <w:rPr>
                <w:sz w:val="20"/>
                <w:szCs w:val="20"/>
                <w:color w:val="auto"/>
              </w:rPr>
            </w:pPr>
            <w:r>
              <w:rPr>
                <w:rFonts w:ascii="Arial" w:cs="Arial" w:eastAsia="Arial" w:hAnsi="Arial"/>
                <w:sz w:val="11"/>
                <w:szCs w:val="11"/>
                <w:color w:val="auto"/>
              </w:rPr>
              <w:t>(13,558)</w:t>
            </w:r>
          </w:p>
        </w:tc>
        <w:tc>
          <w:tcPr>
            <w:tcW w:w="100" w:type="dxa"/>
            <w:vAlign w:val="bottom"/>
          </w:tcPr>
          <w:p>
            <w:pPr>
              <w:spacing w:after="0"/>
              <w:rPr>
                <w:sz w:val="13"/>
                <w:szCs w:val="13"/>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1"/>
                <w:szCs w:val="11"/>
                <w:color w:val="auto"/>
              </w:rPr>
              <w:t>(1,710)</w:t>
            </w:r>
          </w:p>
        </w:tc>
        <w:tc>
          <w:tcPr>
            <w:tcW w:w="0" w:type="dxa"/>
            <w:vAlign w:val="bottom"/>
          </w:tcPr>
          <w:p>
            <w:pPr>
              <w:spacing w:after="0"/>
              <w:rPr>
                <w:sz w:val="1"/>
                <w:szCs w:val="1"/>
                <w:color w:val="auto"/>
              </w:rPr>
            </w:pPr>
          </w:p>
        </w:tc>
      </w:tr>
      <w:tr>
        <w:trPr>
          <w:trHeight w:val="39"/>
        </w:trPr>
        <w:tc>
          <w:tcPr>
            <w:tcW w:w="6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 to reconcile net loss to cash provided by operating activities:</w:t>
            </w:r>
          </w:p>
        </w:tc>
        <w:tc>
          <w:tcPr>
            <w:tcW w:w="1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020" w:type="dxa"/>
            <w:vAlign w:val="bottom"/>
          </w:tcPr>
          <w:p>
            <w:pPr>
              <w:ind w:left="20"/>
              <w:spacing w:after="0"/>
              <w:rPr>
                <w:sz w:val="20"/>
                <w:szCs w:val="20"/>
                <w:color w:val="auto"/>
              </w:rPr>
            </w:pPr>
            <w:r>
              <w:rPr>
                <w:rFonts w:ascii="Arial" w:cs="Arial" w:eastAsia="Arial" w:hAnsi="Arial"/>
                <w:sz w:val="11"/>
                <w:szCs w:val="11"/>
                <w:color w:val="auto"/>
              </w:rPr>
              <w:t>Depreciation and amortization</w:t>
            </w:r>
          </w:p>
        </w:tc>
        <w:tc>
          <w:tcPr>
            <w:tcW w:w="1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5,388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right"/>
              <w:ind w:right="5"/>
              <w:spacing w:after="0"/>
              <w:rPr>
                <w:sz w:val="20"/>
                <w:szCs w:val="20"/>
                <w:color w:val="auto"/>
              </w:rPr>
            </w:pPr>
            <w:r>
              <w:rPr>
                <w:rFonts w:ascii="Arial" w:cs="Arial" w:eastAsia="Arial" w:hAnsi="Arial"/>
                <w:sz w:val="11"/>
                <w:szCs w:val="11"/>
                <w:color w:val="auto"/>
              </w:rPr>
              <w:t>5,197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5"/>
              <w:spacing w:after="0"/>
              <w:rPr>
                <w:sz w:val="20"/>
                <w:szCs w:val="20"/>
                <w:color w:val="auto"/>
              </w:rPr>
            </w:pPr>
            <w:r>
              <w:rPr>
                <w:rFonts w:ascii="Arial" w:cs="Arial" w:eastAsia="Arial" w:hAnsi="Arial"/>
                <w:sz w:val="11"/>
                <w:szCs w:val="11"/>
                <w:color w:val="auto"/>
              </w:rPr>
              <w:t>3,248</w:t>
            </w:r>
          </w:p>
        </w:tc>
        <w:tc>
          <w:tcPr>
            <w:tcW w:w="0" w:type="dxa"/>
            <w:vAlign w:val="bottom"/>
          </w:tcPr>
          <w:p>
            <w:pPr>
              <w:spacing w:after="0"/>
              <w:rPr>
                <w:sz w:val="1"/>
                <w:szCs w:val="1"/>
                <w:color w:val="auto"/>
              </w:rPr>
            </w:pPr>
          </w:p>
        </w:tc>
      </w:tr>
      <w:tr>
        <w:trPr>
          <w:trHeight w:val="39"/>
        </w:trPr>
        <w:tc>
          <w:tcPr>
            <w:tcW w:w="6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Reduction of operating lease right-of-use assets</w:t>
            </w:r>
          </w:p>
        </w:tc>
        <w:tc>
          <w:tcPr>
            <w:tcW w:w="1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666</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741</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1,311</w:t>
            </w:r>
          </w:p>
        </w:tc>
        <w:tc>
          <w:tcPr>
            <w:tcW w:w="0" w:type="dxa"/>
            <w:vAlign w:val="bottom"/>
          </w:tcPr>
          <w:p>
            <w:pPr>
              <w:spacing w:after="0"/>
              <w:rPr>
                <w:sz w:val="1"/>
                <w:szCs w:val="1"/>
                <w:color w:val="auto"/>
              </w:rPr>
            </w:pPr>
          </w:p>
        </w:tc>
      </w:tr>
      <w:tr>
        <w:trPr>
          <w:trHeight w:val="150"/>
        </w:trPr>
        <w:tc>
          <w:tcPr>
            <w:tcW w:w="6020" w:type="dxa"/>
            <w:vAlign w:val="bottom"/>
          </w:tcPr>
          <w:p>
            <w:pPr>
              <w:ind w:left="20"/>
              <w:spacing w:after="0"/>
              <w:rPr>
                <w:sz w:val="20"/>
                <w:szCs w:val="20"/>
                <w:color w:val="auto"/>
              </w:rPr>
            </w:pPr>
            <w:r>
              <w:rPr>
                <w:rFonts w:ascii="Arial" w:cs="Arial" w:eastAsia="Arial" w:hAnsi="Arial"/>
                <w:sz w:val="11"/>
                <w:szCs w:val="11"/>
                <w:color w:val="auto"/>
              </w:rPr>
              <w:t>Loss on impairment, receivables and sale or disposal of equipment</w:t>
            </w:r>
          </w:p>
        </w:tc>
        <w:tc>
          <w:tcPr>
            <w:tcW w:w="1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881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right"/>
              <w:ind w:right="5"/>
              <w:spacing w:after="0"/>
              <w:rPr>
                <w:sz w:val="20"/>
                <w:szCs w:val="20"/>
                <w:color w:val="auto"/>
              </w:rPr>
            </w:pPr>
            <w:r>
              <w:rPr>
                <w:rFonts w:ascii="Arial" w:cs="Arial" w:eastAsia="Arial" w:hAnsi="Arial"/>
                <w:sz w:val="11"/>
                <w:szCs w:val="11"/>
                <w:color w:val="auto"/>
              </w:rPr>
              <w:t>319</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5"/>
              <w:spacing w:after="0"/>
              <w:rPr>
                <w:sz w:val="20"/>
                <w:szCs w:val="20"/>
                <w:color w:val="auto"/>
              </w:rPr>
            </w:pPr>
            <w:r>
              <w:rPr>
                <w:rFonts w:ascii="Arial" w:cs="Arial" w:eastAsia="Arial" w:hAnsi="Arial"/>
                <w:sz w:val="11"/>
                <w:szCs w:val="11"/>
                <w:color w:val="auto"/>
              </w:rPr>
              <w:t>162</w:t>
            </w:r>
          </w:p>
        </w:tc>
        <w:tc>
          <w:tcPr>
            <w:tcW w:w="0" w:type="dxa"/>
            <w:vAlign w:val="bottom"/>
          </w:tcPr>
          <w:p>
            <w:pPr>
              <w:spacing w:after="0"/>
              <w:rPr>
                <w:sz w:val="1"/>
                <w:szCs w:val="1"/>
                <w:color w:val="auto"/>
              </w:rPr>
            </w:pPr>
          </w:p>
        </w:tc>
      </w:tr>
      <w:tr>
        <w:trPr>
          <w:trHeight w:val="39"/>
        </w:trPr>
        <w:tc>
          <w:tcPr>
            <w:tcW w:w="6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1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52,332</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14,574</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17,837</w:t>
            </w:r>
          </w:p>
        </w:tc>
        <w:tc>
          <w:tcPr>
            <w:tcW w:w="0" w:type="dxa"/>
            <w:vAlign w:val="bottom"/>
          </w:tcPr>
          <w:p>
            <w:pPr>
              <w:spacing w:after="0"/>
              <w:rPr>
                <w:sz w:val="1"/>
                <w:szCs w:val="1"/>
                <w:color w:val="auto"/>
              </w:rPr>
            </w:pPr>
          </w:p>
        </w:tc>
      </w:tr>
      <w:tr>
        <w:trPr>
          <w:trHeight w:val="150"/>
        </w:trPr>
        <w:tc>
          <w:tcPr>
            <w:tcW w:w="6020" w:type="dxa"/>
            <w:vAlign w:val="bottom"/>
          </w:tcPr>
          <w:p>
            <w:pPr>
              <w:ind w:left="20"/>
              <w:spacing w:after="0"/>
              <w:rPr>
                <w:sz w:val="20"/>
                <w:szCs w:val="20"/>
                <w:color w:val="auto"/>
              </w:rPr>
            </w:pPr>
            <w:r>
              <w:rPr>
                <w:rFonts w:ascii="Arial" w:cs="Arial" w:eastAsia="Arial" w:hAnsi="Arial"/>
                <w:sz w:val="11"/>
                <w:szCs w:val="11"/>
                <w:color w:val="auto"/>
              </w:rPr>
              <w:t>Amortization of original issue discount and debt issuance costs</w:t>
            </w:r>
          </w:p>
        </w:tc>
        <w:tc>
          <w:tcPr>
            <w:tcW w:w="1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right"/>
              <w:ind w:right="5"/>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5"/>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39"/>
        </w:trPr>
        <w:tc>
          <w:tcPr>
            <w:tcW w:w="6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Deferred tax assets</w:t>
            </w:r>
          </w:p>
        </w:tc>
        <w:tc>
          <w:tcPr>
            <w:tcW w:w="1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48</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2,437</w:t>
            </w:r>
          </w:p>
        </w:tc>
        <w:tc>
          <w:tcPr>
            <w:tcW w:w="0" w:type="dxa"/>
            <w:vAlign w:val="bottom"/>
          </w:tcPr>
          <w:p>
            <w:pPr>
              <w:spacing w:after="0"/>
              <w:rPr>
                <w:sz w:val="1"/>
                <w:szCs w:val="1"/>
                <w:color w:val="auto"/>
              </w:rPr>
            </w:pPr>
          </w:p>
        </w:tc>
      </w:tr>
      <w:tr>
        <w:trPr>
          <w:trHeight w:val="150"/>
        </w:trPr>
        <w:tc>
          <w:tcPr>
            <w:tcW w:w="6020" w:type="dxa"/>
            <w:vAlign w:val="bottom"/>
          </w:tcPr>
          <w:p>
            <w:pPr>
              <w:ind w:left="20"/>
              <w:spacing w:after="0"/>
              <w:rPr>
                <w:sz w:val="20"/>
                <w:szCs w:val="20"/>
                <w:color w:val="auto"/>
              </w:rPr>
            </w:pPr>
            <w:r>
              <w:rPr>
                <w:rFonts w:ascii="Arial" w:cs="Arial" w:eastAsia="Arial" w:hAnsi="Arial"/>
                <w:sz w:val="11"/>
                <w:szCs w:val="11"/>
                <w:color w:val="auto"/>
              </w:rPr>
              <w:t>Deferred tax liabilities</w:t>
            </w:r>
          </w:p>
        </w:tc>
        <w:tc>
          <w:tcPr>
            <w:tcW w:w="112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(916)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5"/>
              <w:spacing w:after="0"/>
              <w:rPr>
                <w:sz w:val="20"/>
                <w:szCs w:val="20"/>
                <w:color w:val="auto"/>
              </w:rPr>
            </w:pPr>
            <w:r>
              <w:rPr>
                <w:rFonts w:ascii="Arial" w:cs="Arial" w:eastAsia="Arial" w:hAnsi="Arial"/>
                <w:sz w:val="11"/>
                <w:szCs w:val="11"/>
                <w:color w:val="auto"/>
              </w:rPr>
              <w:t>916</w:t>
            </w:r>
          </w:p>
        </w:tc>
        <w:tc>
          <w:tcPr>
            <w:tcW w:w="0" w:type="dxa"/>
            <w:vAlign w:val="bottom"/>
          </w:tcPr>
          <w:p>
            <w:pPr>
              <w:spacing w:after="0"/>
              <w:rPr>
                <w:sz w:val="1"/>
                <w:szCs w:val="1"/>
                <w:color w:val="auto"/>
              </w:rPr>
            </w:pPr>
          </w:p>
        </w:tc>
      </w:tr>
      <w:tr>
        <w:trPr>
          <w:trHeight w:val="39"/>
        </w:trPr>
        <w:tc>
          <w:tcPr>
            <w:tcW w:w="6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Changes in assets and liabilities:</w:t>
            </w:r>
          </w:p>
        </w:tc>
        <w:tc>
          <w:tcPr>
            <w:tcW w:w="1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020" w:type="dxa"/>
            <w:vAlign w:val="bottom"/>
          </w:tcPr>
          <w:p>
            <w:pPr>
              <w:ind w:left="100"/>
              <w:spacing w:after="0"/>
              <w:rPr>
                <w:sz w:val="20"/>
                <w:szCs w:val="20"/>
                <w:color w:val="auto"/>
              </w:rPr>
            </w:pPr>
            <w:r>
              <w:rPr>
                <w:rFonts w:ascii="Arial" w:cs="Arial" w:eastAsia="Arial" w:hAnsi="Arial"/>
                <w:sz w:val="11"/>
                <w:szCs w:val="11"/>
                <w:color w:val="auto"/>
              </w:rPr>
              <w:t>Accounts receivable, net</w:t>
            </w:r>
          </w:p>
        </w:tc>
        <w:tc>
          <w:tcPr>
            <w:tcW w:w="1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(1,341)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(6,006)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(2,170)</w:t>
            </w:r>
          </w:p>
        </w:tc>
        <w:tc>
          <w:tcPr>
            <w:tcW w:w="0" w:type="dxa"/>
            <w:vAlign w:val="bottom"/>
          </w:tcPr>
          <w:p>
            <w:pPr>
              <w:spacing w:after="0"/>
              <w:rPr>
                <w:sz w:val="1"/>
                <w:szCs w:val="1"/>
                <w:color w:val="auto"/>
              </w:rPr>
            </w:pPr>
          </w:p>
        </w:tc>
      </w:tr>
      <w:tr>
        <w:trPr>
          <w:trHeight w:val="39"/>
        </w:trPr>
        <w:tc>
          <w:tcPr>
            <w:tcW w:w="6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6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Settlement assets, net</w:t>
            </w:r>
          </w:p>
        </w:tc>
        <w:tc>
          <w:tcPr>
            <w:tcW w:w="1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(7,796)</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173</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2,878</w:t>
            </w:r>
          </w:p>
        </w:tc>
        <w:tc>
          <w:tcPr>
            <w:tcW w:w="0" w:type="dxa"/>
            <w:vAlign w:val="bottom"/>
          </w:tcPr>
          <w:p>
            <w:pPr>
              <w:spacing w:after="0"/>
              <w:rPr>
                <w:sz w:val="1"/>
                <w:szCs w:val="1"/>
                <w:color w:val="auto"/>
              </w:rPr>
            </w:pPr>
          </w:p>
        </w:tc>
      </w:tr>
      <w:tr>
        <w:trPr>
          <w:trHeight w:val="150"/>
        </w:trPr>
        <w:tc>
          <w:tcPr>
            <w:tcW w:w="6020" w:type="dxa"/>
            <w:vAlign w:val="bottom"/>
          </w:tcPr>
          <w:p>
            <w:pPr>
              <w:ind w:left="100"/>
              <w:spacing w:after="0"/>
              <w:rPr>
                <w:sz w:val="20"/>
                <w:szCs w:val="20"/>
                <w:color w:val="auto"/>
              </w:rPr>
            </w:pPr>
            <w:r>
              <w:rPr>
                <w:rFonts w:ascii="Arial" w:cs="Arial" w:eastAsia="Arial" w:hAnsi="Arial"/>
                <w:sz w:val="11"/>
                <w:szCs w:val="11"/>
                <w:color w:val="auto"/>
              </w:rPr>
              <w:t>Prepaid expenses</w:t>
            </w:r>
          </w:p>
        </w:tc>
        <w:tc>
          <w:tcPr>
            <w:tcW w:w="1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(1,389)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(6,509)</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5"/>
              <w:spacing w:after="0"/>
              <w:rPr>
                <w:sz w:val="20"/>
                <w:szCs w:val="20"/>
                <w:color w:val="auto"/>
              </w:rPr>
            </w:pPr>
            <w:r>
              <w:rPr>
                <w:rFonts w:ascii="Arial" w:cs="Arial" w:eastAsia="Arial" w:hAnsi="Arial"/>
                <w:sz w:val="11"/>
                <w:szCs w:val="11"/>
                <w:color w:val="auto"/>
              </w:rPr>
              <w:t>270</w:t>
            </w:r>
          </w:p>
        </w:tc>
        <w:tc>
          <w:tcPr>
            <w:tcW w:w="0" w:type="dxa"/>
            <w:vAlign w:val="bottom"/>
          </w:tcPr>
          <w:p>
            <w:pPr>
              <w:spacing w:after="0"/>
              <w:rPr>
                <w:sz w:val="1"/>
                <w:szCs w:val="1"/>
                <w:color w:val="auto"/>
              </w:rPr>
            </w:pPr>
          </w:p>
        </w:tc>
      </w:tr>
      <w:tr>
        <w:trPr>
          <w:trHeight w:val="39"/>
        </w:trPr>
        <w:tc>
          <w:tcPr>
            <w:tcW w:w="6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6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Related party loan receivable</w:t>
            </w:r>
          </w:p>
        </w:tc>
        <w:tc>
          <w:tcPr>
            <w:tcW w:w="1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586</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6020" w:type="dxa"/>
            <w:vAlign w:val="bottom"/>
          </w:tcPr>
          <w:p>
            <w:pPr>
              <w:ind w:left="100"/>
              <w:spacing w:after="0"/>
              <w:rPr>
                <w:sz w:val="20"/>
                <w:szCs w:val="20"/>
                <w:color w:val="auto"/>
              </w:rPr>
            </w:pPr>
            <w:r>
              <w:rPr>
                <w:rFonts w:ascii="Arial" w:cs="Arial" w:eastAsia="Arial" w:hAnsi="Arial"/>
                <w:sz w:val="11"/>
                <w:szCs w:val="11"/>
                <w:color w:val="auto"/>
              </w:rPr>
              <w:t>Other current assets</w:t>
            </w:r>
          </w:p>
        </w:tc>
        <w:tc>
          <w:tcPr>
            <w:tcW w:w="1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2,875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(4,100)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(1,393)</w:t>
            </w:r>
          </w:p>
        </w:tc>
        <w:tc>
          <w:tcPr>
            <w:tcW w:w="0" w:type="dxa"/>
            <w:vAlign w:val="bottom"/>
          </w:tcPr>
          <w:p>
            <w:pPr>
              <w:spacing w:after="0"/>
              <w:rPr>
                <w:sz w:val="1"/>
                <w:szCs w:val="1"/>
                <w:color w:val="auto"/>
              </w:rPr>
            </w:pPr>
          </w:p>
        </w:tc>
      </w:tr>
      <w:tr>
        <w:trPr>
          <w:trHeight w:val="39"/>
        </w:trPr>
        <w:tc>
          <w:tcPr>
            <w:tcW w:w="6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6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Other assets</w:t>
            </w:r>
          </w:p>
        </w:tc>
        <w:tc>
          <w:tcPr>
            <w:tcW w:w="1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(81)</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124</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(248)</w:t>
            </w:r>
          </w:p>
        </w:tc>
        <w:tc>
          <w:tcPr>
            <w:tcW w:w="0" w:type="dxa"/>
            <w:vAlign w:val="bottom"/>
          </w:tcPr>
          <w:p>
            <w:pPr>
              <w:spacing w:after="0"/>
              <w:rPr>
                <w:sz w:val="1"/>
                <w:szCs w:val="1"/>
                <w:color w:val="auto"/>
              </w:rPr>
            </w:pPr>
          </w:p>
        </w:tc>
      </w:tr>
      <w:tr>
        <w:trPr>
          <w:trHeight w:val="150"/>
        </w:trPr>
        <w:tc>
          <w:tcPr>
            <w:tcW w:w="6020" w:type="dxa"/>
            <w:vAlign w:val="bottom"/>
          </w:tcPr>
          <w:p>
            <w:pPr>
              <w:ind w:left="100"/>
              <w:spacing w:after="0"/>
              <w:rPr>
                <w:sz w:val="20"/>
                <w:szCs w:val="20"/>
                <w:color w:val="auto"/>
              </w:rPr>
            </w:pPr>
            <w:r>
              <w:rPr>
                <w:rFonts w:ascii="Arial" w:cs="Arial" w:eastAsia="Arial" w:hAnsi="Arial"/>
                <w:sz w:val="11"/>
                <w:szCs w:val="11"/>
                <w:color w:val="auto"/>
              </w:rPr>
              <w:t>Accounts payable</w:t>
            </w:r>
          </w:p>
        </w:tc>
        <w:tc>
          <w:tcPr>
            <w:tcW w:w="1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(2,693)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right"/>
              <w:ind w:right="5"/>
              <w:spacing w:after="0"/>
              <w:rPr>
                <w:sz w:val="20"/>
                <w:szCs w:val="20"/>
                <w:color w:val="auto"/>
              </w:rPr>
            </w:pPr>
            <w:r>
              <w:rPr>
                <w:rFonts w:ascii="Arial" w:cs="Arial" w:eastAsia="Arial" w:hAnsi="Arial"/>
                <w:sz w:val="11"/>
                <w:szCs w:val="11"/>
                <w:color w:val="auto"/>
              </w:rPr>
              <w:t>1,424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(714)</w:t>
            </w:r>
          </w:p>
        </w:tc>
        <w:tc>
          <w:tcPr>
            <w:tcW w:w="0" w:type="dxa"/>
            <w:vAlign w:val="bottom"/>
          </w:tcPr>
          <w:p>
            <w:pPr>
              <w:spacing w:after="0"/>
              <w:rPr>
                <w:sz w:val="1"/>
                <w:szCs w:val="1"/>
                <w:color w:val="auto"/>
              </w:rPr>
            </w:pPr>
          </w:p>
        </w:tc>
      </w:tr>
      <w:tr>
        <w:trPr>
          <w:trHeight w:val="39"/>
        </w:trPr>
        <w:tc>
          <w:tcPr>
            <w:tcW w:w="6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6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Accrued expenses and other liabilities</w:t>
            </w:r>
          </w:p>
        </w:tc>
        <w:tc>
          <w:tcPr>
            <w:tcW w:w="1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(1,537)</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7,511</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1,774</w:t>
            </w:r>
          </w:p>
        </w:tc>
        <w:tc>
          <w:tcPr>
            <w:tcW w:w="0" w:type="dxa"/>
            <w:vAlign w:val="bottom"/>
          </w:tcPr>
          <w:p>
            <w:pPr>
              <w:spacing w:after="0"/>
              <w:rPr>
                <w:sz w:val="1"/>
                <w:szCs w:val="1"/>
                <w:color w:val="auto"/>
              </w:rPr>
            </w:pPr>
          </w:p>
        </w:tc>
      </w:tr>
      <w:tr>
        <w:trPr>
          <w:trHeight w:val="150"/>
        </w:trPr>
        <w:tc>
          <w:tcPr>
            <w:tcW w:w="6020" w:type="dxa"/>
            <w:vAlign w:val="bottom"/>
          </w:tcPr>
          <w:p>
            <w:pPr>
              <w:ind w:left="100"/>
              <w:spacing w:after="0"/>
              <w:rPr>
                <w:sz w:val="20"/>
                <w:szCs w:val="20"/>
                <w:color w:val="auto"/>
              </w:rPr>
            </w:pPr>
            <w:r>
              <w:rPr>
                <w:rFonts w:ascii="Arial" w:cs="Arial" w:eastAsia="Arial" w:hAnsi="Arial"/>
                <w:sz w:val="11"/>
                <w:szCs w:val="11"/>
                <w:color w:val="auto"/>
              </w:rPr>
              <w:t>Operating lease liabilities</w:t>
            </w:r>
          </w:p>
        </w:tc>
        <w:tc>
          <w:tcPr>
            <w:tcW w:w="1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(758)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(801)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(1,374)</w:t>
            </w:r>
          </w:p>
        </w:tc>
        <w:tc>
          <w:tcPr>
            <w:tcW w:w="0" w:type="dxa"/>
            <w:vAlign w:val="bottom"/>
          </w:tcPr>
          <w:p>
            <w:pPr>
              <w:spacing w:after="0"/>
              <w:rPr>
                <w:sz w:val="1"/>
                <w:szCs w:val="1"/>
                <w:color w:val="auto"/>
              </w:rPr>
            </w:pPr>
          </w:p>
        </w:tc>
      </w:tr>
      <w:tr>
        <w:trPr>
          <w:trHeight w:val="39"/>
        </w:trPr>
        <w:tc>
          <w:tcPr>
            <w:tcW w:w="6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6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Settlement liabilities</w:t>
            </w:r>
          </w:p>
        </w:tc>
        <w:tc>
          <w:tcPr>
            <w:tcW w:w="1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12,202</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7,372</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(16,548)</w:t>
            </w:r>
          </w:p>
        </w:tc>
        <w:tc>
          <w:tcPr>
            <w:tcW w:w="0" w:type="dxa"/>
            <w:vAlign w:val="bottom"/>
          </w:tcPr>
          <w:p>
            <w:pPr>
              <w:spacing w:after="0"/>
              <w:rPr>
                <w:sz w:val="1"/>
                <w:szCs w:val="1"/>
                <w:color w:val="auto"/>
              </w:rPr>
            </w:pPr>
          </w:p>
        </w:tc>
      </w:tr>
      <w:tr>
        <w:trPr>
          <w:trHeight w:val="150"/>
        </w:trPr>
        <w:tc>
          <w:tcPr>
            <w:tcW w:w="6020" w:type="dxa"/>
            <w:vAlign w:val="bottom"/>
          </w:tcPr>
          <w:p>
            <w:pPr>
              <w:ind w:left="100"/>
              <w:spacing w:after="0"/>
              <w:rPr>
                <w:sz w:val="20"/>
                <w:szCs w:val="20"/>
                <w:color w:val="auto"/>
              </w:rPr>
            </w:pPr>
            <w:r>
              <w:rPr>
                <w:rFonts w:ascii="Arial" w:cs="Arial" w:eastAsia="Arial" w:hAnsi="Arial"/>
                <w:sz w:val="11"/>
                <w:szCs w:val="11"/>
                <w:color w:val="auto"/>
              </w:rPr>
              <w:t>Other liabilities</w:t>
            </w:r>
          </w:p>
        </w:tc>
        <w:tc>
          <w:tcPr>
            <w:tcW w:w="1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1,054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(725)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5"/>
              <w:spacing w:after="0"/>
              <w:rPr>
                <w:sz w:val="20"/>
                <w:szCs w:val="20"/>
                <w:color w:val="auto"/>
              </w:rPr>
            </w:pPr>
            <w:r>
              <w:rPr>
                <w:rFonts w:ascii="Arial" w:cs="Arial" w:eastAsia="Arial" w:hAnsi="Arial"/>
                <w:sz w:val="11"/>
                <w:szCs w:val="11"/>
                <w:color w:val="auto"/>
              </w:rPr>
              <w:t>877</w:t>
            </w:r>
          </w:p>
        </w:tc>
        <w:tc>
          <w:tcPr>
            <w:tcW w:w="0" w:type="dxa"/>
            <w:vAlign w:val="bottom"/>
          </w:tcPr>
          <w:p>
            <w:pPr>
              <w:spacing w:after="0"/>
              <w:rPr>
                <w:sz w:val="1"/>
                <w:szCs w:val="1"/>
                <w:color w:val="auto"/>
              </w:rPr>
            </w:pPr>
          </w:p>
        </w:tc>
      </w:tr>
      <w:tr>
        <w:trPr>
          <w:trHeight w:val="39"/>
        </w:trPr>
        <w:tc>
          <w:tcPr>
            <w:tcW w:w="60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cash provided by operating activities</w:t>
            </w:r>
          </w:p>
        </w:tc>
        <w:tc>
          <w:tcPr>
            <w:tcW w:w="1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32,876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5,486</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7,585</w:t>
            </w:r>
          </w:p>
        </w:tc>
        <w:tc>
          <w:tcPr>
            <w:tcW w:w="0" w:type="dxa"/>
            <w:vAlign w:val="bottom"/>
          </w:tcPr>
          <w:p>
            <w:pPr>
              <w:spacing w:after="0"/>
              <w:rPr>
                <w:sz w:val="1"/>
                <w:szCs w:val="1"/>
                <w:color w:val="auto"/>
              </w:rPr>
            </w:pPr>
          </w:p>
        </w:tc>
      </w:tr>
      <w:tr>
        <w:trPr>
          <w:trHeight w:val="130"/>
        </w:trPr>
        <w:tc>
          <w:tcPr>
            <w:tcW w:w="6020" w:type="dxa"/>
            <w:vAlign w:val="bottom"/>
          </w:tcPr>
          <w:p>
            <w:pPr>
              <w:ind w:left="20"/>
              <w:spacing w:after="0"/>
              <w:rPr>
                <w:sz w:val="20"/>
                <w:szCs w:val="20"/>
                <w:color w:val="auto"/>
              </w:rPr>
            </w:pPr>
            <w:r>
              <w:rPr>
                <w:rFonts w:ascii="Arial" w:cs="Arial" w:eastAsia="Arial" w:hAnsi="Arial"/>
                <w:sz w:val="11"/>
                <w:szCs w:val="11"/>
                <w:color w:val="auto"/>
              </w:rPr>
              <w:t>Cash flows from investing activities:</w:t>
            </w:r>
          </w:p>
        </w:tc>
        <w:tc>
          <w:tcPr>
            <w:tcW w:w="1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6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6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Purchase of property and equipment</w:t>
            </w:r>
          </w:p>
        </w:tc>
        <w:tc>
          <w:tcPr>
            <w:tcW w:w="1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(585)</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(2,706)</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(2,488)</w:t>
            </w:r>
          </w:p>
        </w:tc>
        <w:tc>
          <w:tcPr>
            <w:tcW w:w="0" w:type="dxa"/>
            <w:vAlign w:val="bottom"/>
          </w:tcPr>
          <w:p>
            <w:pPr>
              <w:spacing w:after="0"/>
              <w:rPr>
                <w:sz w:val="1"/>
                <w:szCs w:val="1"/>
                <w:color w:val="auto"/>
              </w:rPr>
            </w:pPr>
          </w:p>
        </w:tc>
      </w:tr>
      <w:tr>
        <w:trPr>
          <w:trHeight w:val="150"/>
        </w:trPr>
        <w:tc>
          <w:tcPr>
            <w:tcW w:w="6020" w:type="dxa"/>
            <w:vAlign w:val="bottom"/>
          </w:tcPr>
          <w:p>
            <w:pPr>
              <w:ind w:left="100"/>
              <w:spacing w:after="0"/>
              <w:rPr>
                <w:sz w:val="20"/>
                <w:szCs w:val="20"/>
                <w:color w:val="auto"/>
              </w:rPr>
            </w:pPr>
            <w:r>
              <w:rPr>
                <w:rFonts w:ascii="Arial" w:cs="Arial" w:eastAsia="Arial" w:hAnsi="Arial"/>
                <w:sz w:val="11"/>
                <w:szCs w:val="11"/>
                <w:color w:val="auto"/>
              </w:rPr>
              <w:t>Proceeds from sale or disposal of property and equipment</w:t>
            </w:r>
          </w:p>
        </w:tc>
        <w:tc>
          <w:tcPr>
            <w:tcW w:w="1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1280" w:type="dxa"/>
            <w:vAlign w:val="bottom"/>
          </w:tcPr>
          <w:p>
            <w:pPr>
              <w:jc w:val="right"/>
              <w:ind w:right="5"/>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39"/>
        </w:trPr>
        <w:tc>
          <w:tcPr>
            <w:tcW w:w="6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Software development costs</w:t>
            </w:r>
          </w:p>
        </w:tc>
        <w:tc>
          <w:tcPr>
            <w:tcW w:w="1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(1,619)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(4,908)</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(1,809)</w:t>
            </w:r>
          </w:p>
        </w:tc>
        <w:tc>
          <w:tcPr>
            <w:tcW w:w="0" w:type="dxa"/>
            <w:vAlign w:val="bottom"/>
          </w:tcPr>
          <w:p>
            <w:pPr>
              <w:spacing w:after="0"/>
              <w:rPr>
                <w:sz w:val="1"/>
                <w:szCs w:val="1"/>
                <w:color w:val="auto"/>
              </w:rPr>
            </w:pPr>
          </w:p>
        </w:tc>
      </w:tr>
      <w:tr>
        <w:trPr>
          <w:trHeight w:val="142"/>
        </w:trPr>
        <w:tc>
          <w:tcPr>
            <w:tcW w:w="6020" w:type="dxa"/>
            <w:vAlign w:val="bottom"/>
          </w:tcPr>
          <w:p>
            <w:pPr>
              <w:ind w:left="20"/>
              <w:spacing w:after="0"/>
              <w:rPr>
                <w:sz w:val="20"/>
                <w:szCs w:val="20"/>
                <w:color w:val="auto"/>
              </w:rPr>
            </w:pPr>
            <w:r>
              <w:rPr>
                <w:rFonts w:ascii="Arial" w:cs="Arial" w:eastAsia="Arial" w:hAnsi="Arial"/>
                <w:sz w:val="11"/>
                <w:szCs w:val="11"/>
                <w:color w:val="auto"/>
              </w:rPr>
              <w:t>Net cash used in investing activities</w:t>
            </w:r>
          </w:p>
        </w:tc>
        <w:tc>
          <w:tcPr>
            <w:tcW w:w="1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(2,199)</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(7,614)</w:t>
            </w: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(4,295)</w:t>
            </w:r>
          </w:p>
        </w:tc>
        <w:tc>
          <w:tcPr>
            <w:tcW w:w="0" w:type="dxa"/>
            <w:vAlign w:val="bottom"/>
          </w:tcPr>
          <w:p>
            <w:pPr>
              <w:spacing w:after="0"/>
              <w:rPr>
                <w:sz w:val="1"/>
                <w:szCs w:val="1"/>
                <w:color w:val="auto"/>
              </w:rPr>
            </w:pPr>
          </w:p>
        </w:tc>
      </w:tr>
      <w:tr>
        <w:trPr>
          <w:trHeight w:val="39"/>
        </w:trPr>
        <w:tc>
          <w:tcPr>
            <w:tcW w:w="60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flows from financing activities:</w:t>
            </w:r>
          </w:p>
        </w:tc>
        <w:tc>
          <w:tcPr>
            <w:tcW w:w="1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020" w:type="dxa"/>
            <w:vAlign w:val="bottom"/>
          </w:tcPr>
          <w:p>
            <w:pPr>
              <w:ind w:left="100"/>
              <w:spacing w:after="0"/>
              <w:rPr>
                <w:sz w:val="20"/>
                <w:szCs w:val="20"/>
                <w:color w:val="auto"/>
              </w:rPr>
            </w:pPr>
            <w:r>
              <w:rPr>
                <w:rFonts w:ascii="Arial" w:cs="Arial" w:eastAsia="Arial" w:hAnsi="Arial"/>
                <w:sz w:val="11"/>
                <w:szCs w:val="11"/>
                <w:color w:val="auto"/>
              </w:rPr>
              <w:t>Principal payments of finance leases</w:t>
            </w:r>
          </w:p>
        </w:tc>
        <w:tc>
          <w:tcPr>
            <w:tcW w:w="1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(793)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(774)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(808)</w:t>
            </w:r>
          </w:p>
        </w:tc>
        <w:tc>
          <w:tcPr>
            <w:tcW w:w="0" w:type="dxa"/>
            <w:vAlign w:val="bottom"/>
          </w:tcPr>
          <w:p>
            <w:pPr>
              <w:spacing w:after="0"/>
              <w:rPr>
                <w:sz w:val="1"/>
                <w:szCs w:val="1"/>
                <w:color w:val="auto"/>
              </w:rPr>
            </w:pPr>
          </w:p>
        </w:tc>
      </w:tr>
      <w:tr>
        <w:trPr>
          <w:trHeight w:val="39"/>
        </w:trPr>
        <w:tc>
          <w:tcPr>
            <w:tcW w:w="6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6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Principal payments of term loan</w:t>
            </w:r>
          </w:p>
        </w:tc>
        <w:tc>
          <w:tcPr>
            <w:tcW w:w="1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(595)</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(25,191)</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(319)</w:t>
            </w:r>
          </w:p>
        </w:tc>
        <w:tc>
          <w:tcPr>
            <w:tcW w:w="0" w:type="dxa"/>
            <w:vAlign w:val="bottom"/>
          </w:tcPr>
          <w:p>
            <w:pPr>
              <w:spacing w:after="0"/>
              <w:rPr>
                <w:sz w:val="1"/>
                <w:szCs w:val="1"/>
                <w:color w:val="auto"/>
              </w:rPr>
            </w:pPr>
          </w:p>
        </w:tc>
      </w:tr>
      <w:tr>
        <w:trPr>
          <w:trHeight w:val="150"/>
        </w:trPr>
        <w:tc>
          <w:tcPr>
            <w:tcW w:w="6020" w:type="dxa"/>
            <w:vAlign w:val="bottom"/>
          </w:tcPr>
          <w:p>
            <w:pPr>
              <w:ind w:left="100"/>
              <w:spacing w:after="0"/>
              <w:rPr>
                <w:sz w:val="20"/>
                <w:szCs w:val="20"/>
                <w:color w:val="auto"/>
              </w:rPr>
            </w:pPr>
            <w:r>
              <w:rPr>
                <w:rFonts w:ascii="Arial" w:cs="Arial" w:eastAsia="Arial" w:hAnsi="Arial"/>
                <w:sz w:val="11"/>
                <w:szCs w:val="11"/>
                <w:color w:val="auto"/>
              </w:rPr>
              <w:t>Proceeds from term loan</w:t>
            </w:r>
          </w:p>
        </w:tc>
        <w:tc>
          <w:tcPr>
            <w:tcW w:w="112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540" w:type="dxa"/>
            <w:vAlign w:val="bottom"/>
          </w:tcPr>
          <w:p>
            <w:pPr>
              <w:jc w:val="right"/>
              <w:ind w:right="5"/>
              <w:spacing w:after="0"/>
              <w:rPr>
                <w:sz w:val="20"/>
                <w:szCs w:val="20"/>
                <w:color w:val="auto"/>
              </w:rPr>
            </w:pPr>
            <w:r>
              <w:rPr>
                <w:rFonts w:ascii="Arial" w:cs="Arial" w:eastAsia="Arial" w:hAnsi="Arial"/>
                <w:sz w:val="11"/>
                <w:szCs w:val="11"/>
                <w:color w:val="auto"/>
              </w:rPr>
              <w:t>45,000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9"/>
        </w:trPr>
        <w:tc>
          <w:tcPr>
            <w:tcW w:w="6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6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Principal payments of line of credit</w:t>
            </w:r>
          </w:p>
        </w:tc>
        <w:tc>
          <w:tcPr>
            <w:tcW w:w="1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0" w:type="dxa"/>
            <w:vAlign w:val="bottom"/>
          </w:tcPr>
          <w:p>
            <w:pPr>
              <w:spacing w:after="0"/>
              <w:rPr>
                <w:sz w:val="1"/>
                <w:szCs w:val="1"/>
                <w:color w:val="auto"/>
              </w:rPr>
            </w:pPr>
          </w:p>
        </w:tc>
      </w:tr>
      <w:tr>
        <w:trPr>
          <w:trHeight w:val="150"/>
        </w:trPr>
        <w:tc>
          <w:tcPr>
            <w:tcW w:w="6020" w:type="dxa"/>
            <w:vAlign w:val="bottom"/>
          </w:tcPr>
          <w:p>
            <w:pPr>
              <w:ind w:left="100"/>
              <w:spacing w:after="0"/>
              <w:rPr>
                <w:sz w:val="20"/>
                <w:szCs w:val="20"/>
                <w:color w:val="auto"/>
              </w:rPr>
            </w:pPr>
            <w:r>
              <w:rPr>
                <w:rFonts w:ascii="Arial" w:cs="Arial" w:eastAsia="Arial" w:hAnsi="Arial"/>
                <w:sz w:val="11"/>
                <w:szCs w:val="11"/>
                <w:color w:val="auto"/>
              </w:rPr>
              <w:t>Proceeds from line of credit</w:t>
            </w:r>
          </w:p>
        </w:tc>
        <w:tc>
          <w:tcPr>
            <w:tcW w:w="112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1280" w:type="dxa"/>
            <w:vAlign w:val="bottom"/>
          </w:tcPr>
          <w:p>
            <w:pPr>
              <w:jc w:val="right"/>
              <w:ind w:right="5"/>
              <w:spacing w:after="0"/>
              <w:rPr>
                <w:sz w:val="20"/>
                <w:szCs w:val="20"/>
                <w:color w:val="auto"/>
              </w:rPr>
            </w:pPr>
            <w:r>
              <w:rPr>
                <w:rFonts w:ascii="Arial" w:cs="Arial" w:eastAsia="Arial" w:hAnsi="Arial"/>
                <w:sz w:val="11"/>
                <w:szCs w:val="11"/>
                <w:color w:val="auto"/>
              </w:rPr>
              <w:t>9,613</w:t>
            </w:r>
          </w:p>
        </w:tc>
        <w:tc>
          <w:tcPr>
            <w:tcW w:w="0" w:type="dxa"/>
            <w:vAlign w:val="bottom"/>
          </w:tcPr>
          <w:p>
            <w:pPr>
              <w:spacing w:after="0"/>
              <w:rPr>
                <w:sz w:val="1"/>
                <w:szCs w:val="1"/>
                <w:color w:val="auto"/>
              </w:rPr>
            </w:pPr>
          </w:p>
        </w:tc>
      </w:tr>
      <w:tr>
        <w:trPr>
          <w:trHeight w:val="39"/>
        </w:trPr>
        <w:tc>
          <w:tcPr>
            <w:tcW w:w="6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6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Vesting of restricted common stock</w:t>
            </w:r>
          </w:p>
        </w:tc>
        <w:tc>
          <w:tcPr>
            <w:tcW w:w="1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567</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6020" w:type="dxa"/>
            <w:vAlign w:val="bottom"/>
          </w:tcPr>
          <w:p>
            <w:pPr>
              <w:ind w:left="100"/>
              <w:spacing w:after="0"/>
              <w:rPr>
                <w:sz w:val="20"/>
                <w:szCs w:val="20"/>
                <w:color w:val="auto"/>
              </w:rPr>
            </w:pPr>
            <w:r>
              <w:rPr>
                <w:rFonts w:ascii="Arial" w:cs="Arial" w:eastAsia="Arial" w:hAnsi="Arial"/>
                <w:sz w:val="11"/>
                <w:szCs w:val="11"/>
                <w:color w:val="auto"/>
              </w:rPr>
              <w:t>Proceeds from initial public offering, net of underwriters' discounts, commissions and offering costs</w:t>
            </w:r>
          </w:p>
        </w:tc>
        <w:tc>
          <w:tcPr>
            <w:tcW w:w="112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540" w:type="dxa"/>
            <w:vAlign w:val="bottom"/>
          </w:tcPr>
          <w:p>
            <w:pPr>
              <w:jc w:val="right"/>
              <w:ind w:right="5"/>
              <w:spacing w:after="0"/>
              <w:rPr>
                <w:sz w:val="20"/>
                <w:szCs w:val="20"/>
                <w:color w:val="auto"/>
              </w:rPr>
            </w:pPr>
            <w:r>
              <w:rPr>
                <w:rFonts w:ascii="Arial" w:cs="Arial" w:eastAsia="Arial" w:hAnsi="Arial"/>
                <w:sz w:val="11"/>
                <w:szCs w:val="11"/>
                <w:color w:val="auto"/>
              </w:rPr>
              <w:t>57,458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9"/>
        </w:trPr>
        <w:tc>
          <w:tcPr>
            <w:tcW w:w="6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6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Repurchases of early exercises of common stock</w:t>
            </w:r>
          </w:p>
        </w:tc>
        <w:tc>
          <w:tcPr>
            <w:tcW w:w="1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6020" w:type="dxa"/>
            <w:vAlign w:val="bottom"/>
          </w:tcPr>
          <w:p>
            <w:pPr>
              <w:ind w:left="100"/>
              <w:spacing w:after="0"/>
              <w:rPr>
                <w:sz w:val="20"/>
                <w:szCs w:val="20"/>
                <w:color w:val="auto"/>
              </w:rPr>
            </w:pPr>
            <w:r>
              <w:rPr>
                <w:rFonts w:ascii="Arial" w:cs="Arial" w:eastAsia="Arial" w:hAnsi="Arial"/>
                <w:sz w:val="11"/>
                <w:szCs w:val="11"/>
                <w:color w:val="auto"/>
              </w:rPr>
              <w:t>Proceeds from common stock purchased under Matching Plan</w:t>
            </w:r>
          </w:p>
        </w:tc>
        <w:tc>
          <w:tcPr>
            <w:tcW w:w="1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3,672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128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9"/>
        </w:trPr>
        <w:tc>
          <w:tcPr>
            <w:tcW w:w="6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6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Proceeds from issuance of common stock on exercise of stock options</w:t>
            </w:r>
          </w:p>
        </w:tc>
        <w:tc>
          <w:tcPr>
            <w:tcW w:w="1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795</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3,505</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1,301</w:t>
            </w:r>
          </w:p>
        </w:tc>
        <w:tc>
          <w:tcPr>
            <w:tcW w:w="0" w:type="dxa"/>
            <w:vAlign w:val="bottom"/>
          </w:tcPr>
          <w:p>
            <w:pPr>
              <w:spacing w:after="0"/>
              <w:rPr>
                <w:sz w:val="1"/>
                <w:szCs w:val="1"/>
                <w:color w:val="auto"/>
              </w:rPr>
            </w:pPr>
          </w:p>
        </w:tc>
      </w:tr>
      <w:tr>
        <w:trPr>
          <w:trHeight w:val="150"/>
        </w:trPr>
        <w:tc>
          <w:tcPr>
            <w:tcW w:w="6020" w:type="dxa"/>
            <w:vAlign w:val="bottom"/>
          </w:tcPr>
          <w:p>
            <w:pPr>
              <w:ind w:left="100"/>
              <w:spacing w:after="0"/>
              <w:rPr>
                <w:sz w:val="20"/>
                <w:szCs w:val="20"/>
                <w:color w:val="auto"/>
              </w:rPr>
            </w:pPr>
            <w:r>
              <w:rPr>
                <w:rFonts w:ascii="Arial" w:cs="Arial" w:eastAsia="Arial" w:hAnsi="Arial"/>
                <w:sz w:val="11"/>
                <w:szCs w:val="11"/>
                <w:color w:val="auto"/>
              </w:rPr>
              <w:t>Payments for employee taxes withheld from stock-based awards</w:t>
            </w:r>
          </w:p>
        </w:tc>
        <w:tc>
          <w:tcPr>
            <w:tcW w:w="1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(5,335)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128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9"/>
        </w:trPr>
        <w:tc>
          <w:tcPr>
            <w:tcW w:w="6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Repurchase and retirement of common stock</w:t>
            </w:r>
          </w:p>
        </w:tc>
        <w:tc>
          <w:tcPr>
            <w:tcW w:w="1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(6,000)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6020" w:type="dxa"/>
            <w:vAlign w:val="bottom"/>
          </w:tcPr>
          <w:p>
            <w:pPr>
              <w:ind w:left="20"/>
              <w:spacing w:after="0"/>
              <w:rPr>
                <w:sz w:val="20"/>
                <w:szCs w:val="20"/>
                <w:color w:val="auto"/>
              </w:rPr>
            </w:pPr>
            <w:r>
              <w:rPr>
                <w:rFonts w:ascii="Arial" w:cs="Arial" w:eastAsia="Arial" w:hAnsi="Arial"/>
                <w:sz w:val="11"/>
                <w:szCs w:val="11"/>
                <w:color w:val="auto"/>
              </w:rPr>
              <w:t>Net cash (used in) provided by financing activities</w:t>
            </w:r>
          </w:p>
        </w:tc>
        <w:tc>
          <w:tcPr>
            <w:tcW w:w="1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(8,281)</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80,565</w:t>
            </w: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8,787</w:t>
            </w:r>
          </w:p>
        </w:tc>
        <w:tc>
          <w:tcPr>
            <w:tcW w:w="0" w:type="dxa"/>
            <w:vAlign w:val="bottom"/>
          </w:tcPr>
          <w:p>
            <w:pPr>
              <w:spacing w:after="0"/>
              <w:rPr>
                <w:sz w:val="1"/>
                <w:szCs w:val="1"/>
                <w:color w:val="auto"/>
              </w:rPr>
            </w:pPr>
          </w:p>
        </w:tc>
      </w:tr>
      <w:tr>
        <w:trPr>
          <w:trHeight w:val="39"/>
        </w:trPr>
        <w:tc>
          <w:tcPr>
            <w:tcW w:w="60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increase in cash and cash equivalents and restricted cash</w:t>
            </w:r>
          </w:p>
        </w:tc>
        <w:tc>
          <w:tcPr>
            <w:tcW w:w="1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22,396</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78,437</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12,077</w:t>
            </w:r>
          </w:p>
        </w:tc>
        <w:tc>
          <w:tcPr>
            <w:tcW w:w="0" w:type="dxa"/>
            <w:vAlign w:val="bottom"/>
          </w:tcPr>
          <w:p>
            <w:pPr>
              <w:spacing w:after="0"/>
              <w:rPr>
                <w:sz w:val="1"/>
                <w:szCs w:val="1"/>
                <w:color w:val="auto"/>
              </w:rPr>
            </w:pPr>
          </w:p>
        </w:tc>
      </w:tr>
      <w:tr>
        <w:trPr>
          <w:trHeight w:val="150"/>
        </w:trPr>
        <w:tc>
          <w:tcPr>
            <w:tcW w:w="6020" w:type="dxa"/>
            <w:vAlign w:val="bottom"/>
          </w:tcPr>
          <w:p>
            <w:pPr>
              <w:ind w:left="20"/>
              <w:spacing w:after="0"/>
              <w:rPr>
                <w:sz w:val="20"/>
                <w:szCs w:val="20"/>
                <w:color w:val="auto"/>
              </w:rPr>
            </w:pPr>
            <w:r>
              <w:rPr>
                <w:rFonts w:ascii="Arial" w:cs="Arial" w:eastAsia="Arial" w:hAnsi="Arial"/>
                <w:sz w:val="11"/>
                <w:szCs w:val="11"/>
                <w:color w:val="auto"/>
              </w:rPr>
              <w:t>Cash and cash equivalents and restricted cash, beginning of period</w:t>
            </w:r>
          </w:p>
        </w:tc>
        <w:tc>
          <w:tcPr>
            <w:tcW w:w="1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125,315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right"/>
              <w:ind w:right="5"/>
              <w:spacing w:after="0"/>
              <w:rPr>
                <w:sz w:val="20"/>
                <w:szCs w:val="20"/>
                <w:color w:val="auto"/>
              </w:rPr>
            </w:pPr>
            <w:r>
              <w:rPr>
                <w:rFonts w:ascii="Arial" w:cs="Arial" w:eastAsia="Arial" w:hAnsi="Arial"/>
                <w:sz w:val="11"/>
                <w:szCs w:val="11"/>
                <w:color w:val="auto"/>
              </w:rPr>
              <w:t>46,878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5"/>
              <w:spacing w:after="0"/>
              <w:rPr>
                <w:sz w:val="20"/>
                <w:szCs w:val="20"/>
                <w:color w:val="auto"/>
              </w:rPr>
            </w:pPr>
            <w:r>
              <w:rPr>
                <w:rFonts w:ascii="Arial" w:cs="Arial" w:eastAsia="Arial" w:hAnsi="Arial"/>
                <w:sz w:val="11"/>
                <w:szCs w:val="11"/>
                <w:color w:val="auto"/>
              </w:rPr>
              <w:t>34,801</w:t>
            </w:r>
          </w:p>
        </w:tc>
        <w:tc>
          <w:tcPr>
            <w:tcW w:w="0" w:type="dxa"/>
            <w:vAlign w:val="bottom"/>
          </w:tcPr>
          <w:p>
            <w:pPr>
              <w:spacing w:after="0"/>
              <w:rPr>
                <w:sz w:val="1"/>
                <w:szCs w:val="1"/>
                <w:color w:val="auto"/>
              </w:rPr>
            </w:pPr>
          </w:p>
        </w:tc>
      </w:tr>
      <w:tr>
        <w:trPr>
          <w:trHeight w:val="39"/>
        </w:trPr>
        <w:tc>
          <w:tcPr>
            <w:tcW w:w="60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 and restricted cash, end of period</w:t>
            </w:r>
          </w:p>
        </w:tc>
        <w:tc>
          <w:tcPr>
            <w:tcW w:w="1120" w:type="dxa"/>
            <w:vAlign w:val="bottom"/>
            <w:tcBorders>
              <w:bottom w:val="single" w:sz="8" w:color="auto"/>
            </w:tcBorders>
            <w:shd w:val="clear" w:color="auto" w:fill="CCEEFF"/>
          </w:tcPr>
          <w:p>
            <w:pPr>
              <w:jc w:val="right"/>
              <w:ind w:right="985"/>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147,711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w w:val="97"/>
              </w:rPr>
              <w:t>$</w:t>
            </w:r>
          </w:p>
        </w:tc>
        <w:tc>
          <w:tcPr>
            <w:tcW w:w="15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125,315</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46,878</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Supplemental disclosure of cash flow information:</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02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6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6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Cash paid for interest</w:t>
            </w:r>
          </w:p>
        </w:tc>
        <w:tc>
          <w:tcPr>
            <w:tcW w:w="1120" w:type="dxa"/>
            <w:vAlign w:val="bottom"/>
            <w:tcBorders>
              <w:bottom w:val="single" w:sz="8" w:color="CCEEFF"/>
            </w:tcBorders>
            <w:shd w:val="clear" w:color="auto" w:fill="CCEEFF"/>
          </w:tcPr>
          <w:p>
            <w:pPr>
              <w:jc w:val="right"/>
              <w:ind w:right="985"/>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3,912</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w w:val="97"/>
              </w:rPr>
              <w:t>$</w:t>
            </w:r>
          </w:p>
        </w:tc>
        <w:tc>
          <w:tcPr>
            <w:tcW w:w="15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3,082</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2,929</w:t>
            </w:r>
          </w:p>
        </w:tc>
        <w:tc>
          <w:tcPr>
            <w:tcW w:w="0" w:type="dxa"/>
            <w:vAlign w:val="bottom"/>
          </w:tcPr>
          <w:p>
            <w:pPr>
              <w:spacing w:after="0"/>
              <w:rPr>
                <w:sz w:val="1"/>
                <w:szCs w:val="1"/>
                <w:color w:val="auto"/>
              </w:rPr>
            </w:pPr>
          </w:p>
        </w:tc>
      </w:tr>
      <w:tr>
        <w:trPr>
          <w:trHeight w:val="150"/>
        </w:trPr>
        <w:tc>
          <w:tcPr>
            <w:tcW w:w="6020" w:type="dxa"/>
            <w:vAlign w:val="bottom"/>
          </w:tcPr>
          <w:p>
            <w:pPr>
              <w:ind w:left="100"/>
              <w:spacing w:after="0"/>
              <w:rPr>
                <w:sz w:val="20"/>
                <w:szCs w:val="20"/>
                <w:color w:val="auto"/>
              </w:rPr>
            </w:pPr>
            <w:r>
              <w:rPr>
                <w:rFonts w:ascii="Arial" w:cs="Arial" w:eastAsia="Arial" w:hAnsi="Arial"/>
                <w:sz w:val="11"/>
                <w:szCs w:val="11"/>
                <w:color w:val="auto"/>
              </w:rPr>
              <w:t>Cash paid for income taxes</w:t>
            </w:r>
          </w:p>
        </w:tc>
        <w:tc>
          <w:tcPr>
            <w:tcW w:w="1120" w:type="dxa"/>
            <w:vAlign w:val="bottom"/>
          </w:tcPr>
          <w:p>
            <w:pPr>
              <w:jc w:val="right"/>
              <w:ind w:right="985"/>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975</w:t>
            </w:r>
          </w:p>
        </w:tc>
        <w:tc>
          <w:tcPr>
            <w:tcW w:w="100" w:type="dxa"/>
            <w:vAlign w:val="bottom"/>
          </w:tcPr>
          <w:p>
            <w:pPr>
              <w:spacing w:after="0"/>
              <w:rPr>
                <w:sz w:val="13"/>
                <w:szCs w:val="13"/>
                <w:color w:val="auto"/>
              </w:rPr>
            </w:pPr>
          </w:p>
        </w:tc>
        <w:tc>
          <w:tcPr>
            <w:tcW w:w="140" w:type="dxa"/>
            <w:vAlign w:val="bottom"/>
          </w:tcPr>
          <w:p>
            <w:pPr>
              <w:jc w:val="right"/>
              <w:ind w:right="5"/>
              <w:spacing w:after="0"/>
              <w:rPr>
                <w:sz w:val="20"/>
                <w:szCs w:val="20"/>
                <w:color w:val="auto"/>
              </w:rPr>
            </w:pPr>
            <w:r>
              <w:rPr>
                <w:rFonts w:ascii="Arial" w:cs="Arial" w:eastAsia="Arial" w:hAnsi="Arial"/>
                <w:sz w:val="11"/>
                <w:szCs w:val="11"/>
                <w:color w:val="auto"/>
                <w:w w:val="97"/>
              </w:rPr>
              <w:t>$</w:t>
            </w:r>
          </w:p>
        </w:tc>
        <w:tc>
          <w:tcPr>
            <w:tcW w:w="1540" w:type="dxa"/>
            <w:vAlign w:val="bottom"/>
          </w:tcPr>
          <w:p>
            <w:pPr>
              <w:jc w:val="right"/>
              <w:ind w:right="5"/>
              <w:spacing w:after="0"/>
              <w:rPr>
                <w:sz w:val="20"/>
                <w:szCs w:val="20"/>
                <w:color w:val="auto"/>
              </w:rPr>
            </w:pPr>
            <w:r>
              <w:rPr>
                <w:rFonts w:ascii="Arial" w:cs="Arial" w:eastAsia="Arial" w:hAnsi="Arial"/>
                <w:sz w:val="11"/>
                <w:szCs w:val="11"/>
                <w:color w:val="auto"/>
              </w:rPr>
              <w:t>6,922</w:t>
            </w:r>
          </w:p>
        </w:tc>
        <w:tc>
          <w:tcPr>
            <w:tcW w:w="100" w:type="dxa"/>
            <w:vAlign w:val="bottom"/>
          </w:tcPr>
          <w:p>
            <w:pPr>
              <w:spacing w:after="0"/>
              <w:rPr>
                <w:sz w:val="13"/>
                <w:szCs w:val="13"/>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ind w:right="5"/>
              <w:spacing w:after="0"/>
              <w:rPr>
                <w:sz w:val="20"/>
                <w:szCs w:val="20"/>
                <w:color w:val="auto"/>
              </w:rPr>
            </w:pPr>
            <w:r>
              <w:rPr>
                <w:rFonts w:ascii="Arial" w:cs="Arial" w:eastAsia="Arial" w:hAnsi="Arial"/>
                <w:sz w:val="11"/>
                <w:szCs w:val="11"/>
                <w:color w:val="auto"/>
              </w:rPr>
              <w:t>150</w:t>
            </w:r>
          </w:p>
        </w:tc>
        <w:tc>
          <w:tcPr>
            <w:tcW w:w="0" w:type="dxa"/>
            <w:vAlign w:val="bottom"/>
          </w:tcPr>
          <w:p>
            <w:pPr>
              <w:spacing w:after="0"/>
              <w:rPr>
                <w:sz w:val="1"/>
                <w:szCs w:val="1"/>
                <w:color w:val="auto"/>
              </w:rPr>
            </w:pPr>
          </w:p>
        </w:tc>
      </w:tr>
      <w:tr>
        <w:trPr>
          <w:trHeight w:val="39"/>
        </w:trPr>
        <w:tc>
          <w:tcPr>
            <w:tcW w:w="6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Noncash investing and financing items:</w:t>
            </w:r>
          </w:p>
        </w:tc>
        <w:tc>
          <w:tcPr>
            <w:tcW w:w="1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020" w:type="dxa"/>
            <w:vAlign w:val="bottom"/>
          </w:tcPr>
          <w:p>
            <w:pPr>
              <w:ind w:left="100"/>
              <w:spacing w:after="0"/>
              <w:rPr>
                <w:sz w:val="20"/>
                <w:szCs w:val="20"/>
                <w:color w:val="auto"/>
              </w:rPr>
            </w:pPr>
            <w:r>
              <w:rPr>
                <w:rFonts w:ascii="Arial" w:cs="Arial" w:eastAsia="Arial" w:hAnsi="Arial"/>
                <w:sz w:val="11"/>
                <w:szCs w:val="11"/>
                <w:color w:val="auto"/>
              </w:rPr>
              <w:t>Right-of-use assets acquired with lease liabilities</w:t>
            </w:r>
          </w:p>
        </w:tc>
        <w:tc>
          <w:tcPr>
            <w:tcW w:w="1120" w:type="dxa"/>
            <w:vAlign w:val="bottom"/>
          </w:tcPr>
          <w:p>
            <w:pPr>
              <w:jc w:val="right"/>
              <w:ind w:right="985"/>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5"/>
              <w:spacing w:after="0"/>
              <w:rPr>
                <w:sz w:val="20"/>
                <w:szCs w:val="20"/>
                <w:color w:val="auto"/>
              </w:rPr>
            </w:pPr>
            <w:r>
              <w:rPr>
                <w:rFonts w:ascii="Arial" w:cs="Arial" w:eastAsia="Arial" w:hAnsi="Arial"/>
                <w:sz w:val="11"/>
                <w:szCs w:val="11"/>
                <w:color w:val="auto"/>
                <w:w w:val="97"/>
              </w:rPr>
              <w:t>$</w:t>
            </w:r>
          </w:p>
        </w:tc>
        <w:tc>
          <w:tcPr>
            <w:tcW w:w="1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ind w:right="5"/>
              <w:spacing w:after="0"/>
              <w:rPr>
                <w:sz w:val="20"/>
                <w:szCs w:val="20"/>
                <w:color w:val="auto"/>
              </w:rPr>
            </w:pPr>
            <w:r>
              <w:rPr>
                <w:rFonts w:ascii="Arial" w:cs="Arial" w:eastAsia="Arial" w:hAnsi="Arial"/>
                <w:sz w:val="11"/>
                <w:szCs w:val="11"/>
                <w:color w:val="auto"/>
              </w:rPr>
              <w:t>1,260</w:t>
            </w:r>
          </w:p>
        </w:tc>
        <w:tc>
          <w:tcPr>
            <w:tcW w:w="0" w:type="dxa"/>
            <w:vAlign w:val="bottom"/>
          </w:tcPr>
          <w:p>
            <w:pPr>
              <w:spacing w:after="0"/>
              <w:rPr>
                <w:sz w:val="1"/>
                <w:szCs w:val="1"/>
                <w:color w:val="auto"/>
              </w:rPr>
            </w:pPr>
          </w:p>
        </w:tc>
      </w:tr>
      <w:tr>
        <w:trPr>
          <w:trHeight w:val="39"/>
        </w:trPr>
        <w:tc>
          <w:tcPr>
            <w:tcW w:w="6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Reconciliation of cash and cash equivalents and restricted cash to the Consolidated Balance Sheets:</w:t>
            </w:r>
          </w:p>
        </w:tc>
        <w:tc>
          <w:tcPr>
            <w:tcW w:w="1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020" w:type="dxa"/>
            <w:vAlign w:val="bottom"/>
          </w:tcPr>
          <w:p>
            <w:pPr>
              <w:ind w:left="100"/>
              <w:spacing w:after="0"/>
              <w:rPr>
                <w:sz w:val="20"/>
                <w:szCs w:val="20"/>
                <w:color w:val="auto"/>
              </w:rPr>
            </w:pPr>
            <w:r>
              <w:rPr>
                <w:rFonts w:ascii="Arial" w:cs="Arial" w:eastAsia="Arial" w:hAnsi="Arial"/>
                <w:sz w:val="11"/>
                <w:szCs w:val="11"/>
                <w:color w:val="auto"/>
              </w:rPr>
              <w:t>Cash and cash equivalents</w:t>
            </w:r>
          </w:p>
        </w:tc>
        <w:tc>
          <w:tcPr>
            <w:tcW w:w="1120" w:type="dxa"/>
            <w:vAlign w:val="bottom"/>
          </w:tcPr>
          <w:p>
            <w:pPr>
              <w:jc w:val="right"/>
              <w:ind w:right="985"/>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103,787</w:t>
            </w:r>
          </w:p>
        </w:tc>
        <w:tc>
          <w:tcPr>
            <w:tcW w:w="100" w:type="dxa"/>
            <w:vAlign w:val="bottom"/>
          </w:tcPr>
          <w:p>
            <w:pPr>
              <w:spacing w:after="0"/>
              <w:rPr>
                <w:sz w:val="13"/>
                <w:szCs w:val="13"/>
                <w:color w:val="auto"/>
              </w:rPr>
            </w:pPr>
          </w:p>
        </w:tc>
        <w:tc>
          <w:tcPr>
            <w:tcW w:w="140" w:type="dxa"/>
            <w:vAlign w:val="bottom"/>
          </w:tcPr>
          <w:p>
            <w:pPr>
              <w:jc w:val="right"/>
              <w:ind w:right="5"/>
              <w:spacing w:after="0"/>
              <w:rPr>
                <w:sz w:val="20"/>
                <w:szCs w:val="20"/>
                <w:color w:val="auto"/>
              </w:rPr>
            </w:pPr>
            <w:r>
              <w:rPr>
                <w:rFonts w:ascii="Arial" w:cs="Arial" w:eastAsia="Arial" w:hAnsi="Arial"/>
                <w:sz w:val="11"/>
                <w:szCs w:val="11"/>
                <w:color w:val="auto"/>
                <w:w w:val="97"/>
              </w:rPr>
              <w:t>$</w:t>
            </w:r>
          </w:p>
        </w:tc>
        <w:tc>
          <w:tcPr>
            <w:tcW w:w="1540" w:type="dxa"/>
            <w:vAlign w:val="bottom"/>
          </w:tcPr>
          <w:p>
            <w:pPr>
              <w:jc w:val="right"/>
              <w:ind w:right="5"/>
              <w:spacing w:after="0"/>
              <w:rPr>
                <w:sz w:val="20"/>
                <w:szCs w:val="20"/>
                <w:color w:val="auto"/>
              </w:rPr>
            </w:pPr>
            <w:r>
              <w:rPr>
                <w:rFonts w:ascii="Arial" w:cs="Arial" w:eastAsia="Arial" w:hAnsi="Arial"/>
                <w:sz w:val="11"/>
                <w:szCs w:val="11"/>
                <w:color w:val="auto"/>
              </w:rPr>
              <w:t>98,398</w:t>
            </w:r>
          </w:p>
        </w:tc>
        <w:tc>
          <w:tcPr>
            <w:tcW w:w="100" w:type="dxa"/>
            <w:vAlign w:val="bottom"/>
          </w:tcPr>
          <w:p>
            <w:pPr>
              <w:spacing w:after="0"/>
              <w:rPr>
                <w:sz w:val="13"/>
                <w:szCs w:val="13"/>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ind w:right="5"/>
              <w:spacing w:after="0"/>
              <w:rPr>
                <w:sz w:val="20"/>
                <w:szCs w:val="20"/>
                <w:color w:val="auto"/>
              </w:rPr>
            </w:pPr>
            <w:r>
              <w:rPr>
                <w:rFonts w:ascii="Arial" w:cs="Arial" w:eastAsia="Arial" w:hAnsi="Arial"/>
                <w:sz w:val="11"/>
                <w:szCs w:val="11"/>
                <w:color w:val="auto"/>
              </w:rPr>
              <w:t>34,401</w:t>
            </w:r>
          </w:p>
        </w:tc>
        <w:tc>
          <w:tcPr>
            <w:tcW w:w="0" w:type="dxa"/>
            <w:vAlign w:val="bottom"/>
          </w:tcPr>
          <w:p>
            <w:pPr>
              <w:spacing w:after="0"/>
              <w:rPr>
                <w:sz w:val="1"/>
                <w:szCs w:val="1"/>
                <w:color w:val="auto"/>
              </w:rPr>
            </w:pPr>
          </w:p>
        </w:tc>
      </w:tr>
      <w:tr>
        <w:trPr>
          <w:trHeight w:val="39"/>
        </w:trPr>
        <w:tc>
          <w:tcPr>
            <w:tcW w:w="6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6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Restricted cash included in other current assets</w:t>
            </w:r>
          </w:p>
        </w:tc>
        <w:tc>
          <w:tcPr>
            <w:tcW w:w="1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19,542</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8,651</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1,955</w:t>
            </w:r>
          </w:p>
        </w:tc>
        <w:tc>
          <w:tcPr>
            <w:tcW w:w="0" w:type="dxa"/>
            <w:vAlign w:val="bottom"/>
          </w:tcPr>
          <w:p>
            <w:pPr>
              <w:spacing w:after="0"/>
              <w:rPr>
                <w:sz w:val="1"/>
                <w:szCs w:val="1"/>
                <w:color w:val="auto"/>
              </w:rPr>
            </w:pPr>
          </w:p>
        </w:tc>
      </w:tr>
      <w:tr>
        <w:trPr>
          <w:trHeight w:val="150"/>
        </w:trPr>
        <w:tc>
          <w:tcPr>
            <w:tcW w:w="6020" w:type="dxa"/>
            <w:vAlign w:val="bottom"/>
          </w:tcPr>
          <w:p>
            <w:pPr>
              <w:ind w:left="100"/>
              <w:spacing w:after="0"/>
              <w:rPr>
                <w:sz w:val="20"/>
                <w:szCs w:val="20"/>
                <w:color w:val="auto"/>
              </w:rPr>
            </w:pPr>
            <w:r>
              <w:rPr>
                <w:rFonts w:ascii="Arial" w:cs="Arial" w:eastAsia="Arial" w:hAnsi="Arial"/>
                <w:sz w:val="11"/>
                <w:szCs w:val="11"/>
                <w:color w:val="auto"/>
              </w:rPr>
              <w:t>Restricted cash included in other assets</w:t>
            </w:r>
          </w:p>
        </w:tc>
        <w:tc>
          <w:tcPr>
            <w:tcW w:w="112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540" w:type="dxa"/>
            <w:vAlign w:val="bottom"/>
          </w:tcPr>
          <w:p>
            <w:pPr>
              <w:jc w:val="right"/>
              <w:ind w:right="5"/>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5"/>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39"/>
        </w:trPr>
        <w:tc>
          <w:tcPr>
            <w:tcW w:w="6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Restricted cash included in settlement assets, net</w:t>
            </w:r>
          </w:p>
        </w:tc>
        <w:tc>
          <w:tcPr>
            <w:tcW w:w="1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24,381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18,219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10,474</w:t>
            </w:r>
          </w:p>
        </w:tc>
        <w:tc>
          <w:tcPr>
            <w:tcW w:w="0" w:type="dxa"/>
            <w:vAlign w:val="bottom"/>
          </w:tcPr>
          <w:p>
            <w:pPr>
              <w:spacing w:after="0"/>
              <w:rPr>
                <w:sz w:val="1"/>
                <w:szCs w:val="1"/>
                <w:color w:val="auto"/>
              </w:rPr>
            </w:pPr>
          </w:p>
        </w:tc>
      </w:tr>
      <w:tr>
        <w:trPr>
          <w:trHeight w:val="173"/>
        </w:trPr>
        <w:tc>
          <w:tcPr>
            <w:tcW w:w="6020" w:type="dxa"/>
            <w:vAlign w:val="bottom"/>
          </w:tcPr>
          <w:p>
            <w:pPr>
              <w:ind w:left="20"/>
              <w:spacing w:after="0"/>
              <w:rPr>
                <w:sz w:val="20"/>
                <w:szCs w:val="20"/>
                <w:color w:val="auto"/>
              </w:rPr>
            </w:pPr>
            <w:r>
              <w:rPr>
                <w:rFonts w:ascii="Arial" w:cs="Arial" w:eastAsia="Arial" w:hAnsi="Arial"/>
                <w:sz w:val="11"/>
                <w:szCs w:val="11"/>
                <w:color w:val="auto"/>
              </w:rPr>
              <w:t>Total cash and cash equivalents and restricted cash</w:t>
            </w:r>
          </w:p>
        </w:tc>
        <w:tc>
          <w:tcPr>
            <w:tcW w:w="1120" w:type="dxa"/>
            <w:vAlign w:val="bottom"/>
            <w:tcBorders>
              <w:top w:val="single" w:sz="8" w:color="auto"/>
              <w:bottom w:val="single" w:sz="8" w:color="auto"/>
            </w:tcBorders>
          </w:tcPr>
          <w:p>
            <w:pPr>
              <w:jc w:val="right"/>
              <w:ind w:right="985"/>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147,710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w w:val="97"/>
              </w:rPr>
              <w:t>$</w:t>
            </w:r>
          </w:p>
        </w:tc>
        <w:tc>
          <w:tcPr>
            <w:tcW w:w="15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125,315</w:t>
            </w:r>
          </w:p>
        </w:tc>
        <w:tc>
          <w:tcPr>
            <w:tcW w:w="10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46,878</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339"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9"/>
          <w:szCs w:val="19"/>
          <w:b w:val="1"/>
          <w:bCs w:val="1"/>
          <w:color w:val="auto"/>
        </w:rPr>
        <w:t>Expensify,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GAAP to Non-GAAP Financial Measures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in thousands, except percentages)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714946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28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60" w:type="dxa"/>
            <w:vAlign w:val="bottom"/>
            <w:gridSpan w:val="4"/>
          </w:tcPr>
          <w:p>
            <w:pPr>
              <w:jc w:val="right"/>
              <w:ind w:right="875"/>
              <w:spacing w:after="0"/>
              <w:rPr>
                <w:sz w:val="20"/>
                <w:szCs w:val="20"/>
                <w:color w:val="auto"/>
              </w:rPr>
            </w:pPr>
            <w:r>
              <w:rPr>
                <w:rFonts w:ascii="Arial" w:cs="Arial" w:eastAsia="Arial" w:hAnsi="Arial"/>
                <w:sz w:val="14"/>
                <w:szCs w:val="14"/>
                <w:b w:val="1"/>
                <w:bCs w:val="1"/>
                <w:color w:val="auto"/>
              </w:rPr>
              <w:t>Year ended December 31,</w:t>
            </w:r>
          </w:p>
        </w:tc>
      </w:tr>
      <w:tr>
        <w:trPr>
          <w:trHeight w:val="29"/>
        </w:trPr>
        <w:tc>
          <w:tcPr>
            <w:tcW w:w="42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8"/>
        </w:trPr>
        <w:tc>
          <w:tcPr>
            <w:tcW w:w="4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5"/>
              <w:spacing w:after="0"/>
              <w:rPr>
                <w:sz w:val="20"/>
                <w:szCs w:val="20"/>
                <w:color w:val="auto"/>
              </w:rPr>
            </w:pPr>
            <w:r>
              <w:rPr>
                <w:rFonts w:ascii="Arial" w:cs="Arial" w:eastAsia="Arial" w:hAnsi="Arial"/>
                <w:sz w:val="14"/>
                <w:szCs w:val="14"/>
                <w:b w:val="1"/>
                <w:bCs w:val="1"/>
                <w:color w:val="auto"/>
              </w:rPr>
              <w:t>2021</w:t>
            </w:r>
          </w:p>
        </w:tc>
      </w:tr>
      <w:tr>
        <w:trPr>
          <w:trHeight w:val="29"/>
        </w:trPr>
        <w:tc>
          <w:tcPr>
            <w:tcW w:w="42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2"/>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(3,397)</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(21,887)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(13,558)</w:t>
            </w:r>
          </w:p>
        </w:tc>
      </w:tr>
      <w:tr>
        <w:trPr>
          <w:trHeight w:val="251"/>
        </w:trPr>
        <w:tc>
          <w:tcPr>
            <w:tcW w:w="4280" w:type="dxa"/>
            <w:vAlign w:val="bottom"/>
          </w:tcPr>
          <w:p>
            <w:pPr>
              <w:ind w:left="20"/>
              <w:spacing w:after="0"/>
              <w:rPr>
                <w:sz w:val="20"/>
                <w:szCs w:val="20"/>
                <w:color w:val="auto"/>
              </w:rPr>
            </w:pPr>
            <w:r>
              <w:rPr>
                <w:rFonts w:ascii="Arial" w:cs="Arial" w:eastAsia="Arial" w:hAnsi="Arial"/>
                <w:sz w:val="17"/>
                <w:szCs w:val="17"/>
                <w:color w:val="auto"/>
              </w:rPr>
              <w:t>Add:</w:t>
            </w:r>
          </w:p>
        </w:tc>
        <w:tc>
          <w:tcPr>
            <w:tcW w:w="1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0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2,512</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r>
      <w:tr>
        <w:trPr>
          <w:trHeight w:val="251"/>
        </w:trPr>
        <w:tc>
          <w:tcPr>
            <w:tcW w:w="4280" w:type="dxa"/>
            <w:vAlign w:val="bottom"/>
          </w:tcPr>
          <w:p>
            <w:pPr>
              <w:ind w:left="20"/>
              <w:spacing w:after="0"/>
              <w:rPr>
                <w:sz w:val="20"/>
                <w:szCs w:val="20"/>
                <w:color w:val="auto"/>
              </w:rPr>
            </w:pPr>
            <w:r>
              <w:rPr>
                <w:rFonts w:ascii="Arial" w:cs="Arial" w:eastAsia="Arial" w:hAnsi="Arial"/>
                <w:sz w:val="17"/>
                <w:szCs w:val="17"/>
                <w:color w:val="auto"/>
              </w:rPr>
              <w:t>Interest and other expenses, net</w:t>
            </w:r>
          </w:p>
        </w:tc>
        <w:tc>
          <w:tcPr>
            <w:tcW w:w="10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5,411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3,480</w:t>
            </w: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10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1,316</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5,197</w:t>
            </w:r>
          </w:p>
        </w:tc>
      </w:tr>
      <w:tr>
        <w:trPr>
          <w:trHeight w:val="252"/>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Stock-based compensation</w:t>
            </w:r>
          </w:p>
        </w:tc>
        <w:tc>
          <w:tcPr>
            <w:tcW w:w="10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10,539</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12,079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52,332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14,574</w:t>
            </w:r>
          </w:p>
        </w:tc>
      </w:tr>
      <w:tr>
        <w:trPr>
          <w:trHeight w:val="285"/>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11,155</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(6,891)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42,488</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9,519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46"/>
        </w:trPr>
        <w:tc>
          <w:tcPr>
            <w:tcW w:w="4280" w:type="dxa"/>
            <w:vAlign w:val="bottom"/>
          </w:tcPr>
          <w:p>
            <w:pPr>
              <w:spacing w:after="0"/>
              <w:rPr>
                <w:sz w:val="20"/>
                <w:szCs w:val="20"/>
                <w:color w:val="auto"/>
              </w:rPr>
            </w:pPr>
            <w:r>
              <w:rPr>
                <w:rFonts w:ascii="Arial" w:cs="Arial" w:eastAsia="Arial" w:hAnsi="Arial"/>
                <w:sz w:val="16"/>
                <w:szCs w:val="16"/>
                <w:i w:val="1"/>
                <w:iCs w:val="1"/>
                <w:color w:val="auto"/>
              </w:rPr>
              <w:t>Adjusted EBITDA Excluding the IPO-Related Bonus</w:t>
            </w: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
        </w:trPr>
        <w:tc>
          <w:tcPr>
            <w:tcW w:w="4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r>
      <w:tr>
        <w:trPr>
          <w:trHeight w:val="196"/>
        </w:trPr>
        <w:tc>
          <w:tcPr>
            <w:tcW w:w="4280" w:type="dxa"/>
            <w:vAlign w:val="bottom"/>
          </w:tcPr>
          <w:p>
            <w:pPr>
              <w:spacing w:after="0"/>
              <w:rPr>
                <w:sz w:val="17"/>
                <w:szCs w:val="17"/>
                <w:color w:val="auto"/>
              </w:rPr>
            </w:pPr>
          </w:p>
        </w:tc>
        <w:tc>
          <w:tcPr>
            <w:tcW w:w="28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60" w:type="dxa"/>
            <w:vAlign w:val="bottom"/>
            <w:gridSpan w:val="4"/>
          </w:tcPr>
          <w:p>
            <w:pPr>
              <w:jc w:val="right"/>
              <w:ind w:right="875"/>
              <w:spacing w:after="0"/>
              <w:rPr>
                <w:sz w:val="20"/>
                <w:szCs w:val="20"/>
                <w:color w:val="auto"/>
              </w:rPr>
            </w:pPr>
            <w:r>
              <w:rPr>
                <w:rFonts w:ascii="Arial" w:cs="Arial" w:eastAsia="Arial" w:hAnsi="Arial"/>
                <w:sz w:val="14"/>
                <w:szCs w:val="14"/>
                <w:b w:val="1"/>
                <w:bCs w:val="1"/>
                <w:color w:val="auto"/>
              </w:rPr>
              <w:t>Year ended December 31,</w:t>
            </w:r>
          </w:p>
        </w:tc>
      </w:tr>
      <w:tr>
        <w:trPr>
          <w:trHeight w:val="29"/>
        </w:trPr>
        <w:tc>
          <w:tcPr>
            <w:tcW w:w="42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8"/>
        </w:trPr>
        <w:tc>
          <w:tcPr>
            <w:tcW w:w="4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5"/>
              <w:spacing w:after="0"/>
              <w:rPr>
                <w:sz w:val="20"/>
                <w:szCs w:val="20"/>
                <w:color w:val="auto"/>
              </w:rPr>
            </w:pPr>
            <w:r>
              <w:rPr>
                <w:rFonts w:ascii="Arial" w:cs="Arial" w:eastAsia="Arial" w:hAnsi="Arial"/>
                <w:sz w:val="14"/>
                <w:szCs w:val="14"/>
                <w:b w:val="1"/>
                <w:bCs w:val="1"/>
                <w:color w:val="auto"/>
              </w:rPr>
              <w:t>2021</w:t>
            </w:r>
          </w:p>
        </w:tc>
      </w:tr>
      <w:tr>
        <w:trPr>
          <w:trHeight w:val="29"/>
        </w:trPr>
        <w:tc>
          <w:tcPr>
            <w:tcW w:w="42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2"/>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(3,397)</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(21,887)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(13,558)</w:t>
            </w:r>
          </w:p>
        </w:tc>
      </w:tr>
      <w:tr>
        <w:trPr>
          <w:trHeight w:val="251"/>
        </w:trPr>
        <w:tc>
          <w:tcPr>
            <w:tcW w:w="4280" w:type="dxa"/>
            <w:vAlign w:val="bottom"/>
          </w:tcPr>
          <w:p>
            <w:pPr>
              <w:ind w:left="20"/>
              <w:spacing w:after="0"/>
              <w:rPr>
                <w:sz w:val="20"/>
                <w:szCs w:val="20"/>
                <w:color w:val="auto"/>
              </w:rPr>
            </w:pPr>
            <w:r>
              <w:rPr>
                <w:rFonts w:ascii="Arial" w:cs="Arial" w:eastAsia="Arial" w:hAnsi="Arial"/>
                <w:sz w:val="17"/>
                <w:szCs w:val="17"/>
                <w:color w:val="auto"/>
              </w:rPr>
              <w:t>Add:</w:t>
            </w:r>
          </w:p>
        </w:tc>
        <w:tc>
          <w:tcPr>
            <w:tcW w:w="1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0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2,512</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r>
      <w:tr>
        <w:trPr>
          <w:trHeight w:val="251"/>
        </w:trPr>
        <w:tc>
          <w:tcPr>
            <w:tcW w:w="4280" w:type="dxa"/>
            <w:vAlign w:val="bottom"/>
          </w:tcPr>
          <w:p>
            <w:pPr>
              <w:ind w:left="20"/>
              <w:spacing w:after="0"/>
              <w:rPr>
                <w:sz w:val="20"/>
                <w:szCs w:val="20"/>
                <w:color w:val="auto"/>
              </w:rPr>
            </w:pPr>
            <w:r>
              <w:rPr>
                <w:rFonts w:ascii="Arial" w:cs="Arial" w:eastAsia="Arial" w:hAnsi="Arial"/>
                <w:sz w:val="17"/>
                <w:szCs w:val="17"/>
                <w:color w:val="auto"/>
              </w:rPr>
              <w:t>Interest and other expenses, net</w:t>
            </w:r>
          </w:p>
        </w:tc>
        <w:tc>
          <w:tcPr>
            <w:tcW w:w="10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5,411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3,480</w:t>
            </w: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10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1,316</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5,197</w:t>
            </w:r>
          </w:p>
        </w:tc>
      </w:tr>
      <w:tr>
        <w:trPr>
          <w:trHeight w:val="251"/>
        </w:trPr>
        <w:tc>
          <w:tcPr>
            <w:tcW w:w="428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10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10,539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12,079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52,332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14,574</w:t>
            </w:r>
          </w:p>
        </w:tc>
      </w:tr>
      <w:tr>
        <w:trPr>
          <w:trHeight w:val="261"/>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IPO-related bonus expense</w:t>
            </w:r>
          </w:p>
        </w:tc>
        <w:tc>
          <w:tcPr>
            <w:tcW w:w="10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14,191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48,416</w:t>
            </w:r>
          </w:p>
        </w:tc>
      </w:tr>
      <w:tr>
        <w:trPr>
          <w:trHeight w:val="260"/>
        </w:trPr>
        <w:tc>
          <w:tcPr>
            <w:tcW w:w="4280" w:type="dxa"/>
            <w:vAlign w:val="bottom"/>
          </w:tcPr>
          <w:p>
            <w:pPr>
              <w:ind w:left="20"/>
              <w:spacing w:after="0"/>
              <w:rPr>
                <w:sz w:val="20"/>
                <w:szCs w:val="20"/>
                <w:color w:val="auto"/>
              </w:rPr>
            </w:pPr>
            <w:r>
              <w:rPr>
                <w:rFonts w:ascii="Arial" w:cs="Arial" w:eastAsia="Arial" w:hAnsi="Arial"/>
                <w:sz w:val="17"/>
                <w:szCs w:val="17"/>
                <w:color w:val="auto"/>
              </w:rPr>
              <w:t xml:space="preserve">Adjusted EBITDA </w:t>
            </w:r>
            <w:r>
              <w:rPr>
                <w:rFonts w:ascii="Arial" w:cs="Arial" w:eastAsia="Arial" w:hAnsi="Arial"/>
                <w:sz w:val="17"/>
                <w:szCs w:val="17"/>
                <w:i w:val="1"/>
                <w:iCs w:val="1"/>
                <w:color w:val="auto"/>
              </w:rPr>
              <w:t>Excluding the IPO-Related Bonus</w:t>
            </w:r>
          </w:p>
        </w:tc>
        <w:tc>
          <w:tcPr>
            <w:tcW w:w="1040" w:type="dxa"/>
            <w:vAlign w:val="bottom"/>
            <w:tcBorders>
              <w:top w:val="single" w:sz="8" w:color="auto"/>
              <w:bottom w:val="single" w:sz="8" w:color="auto"/>
            </w:tcBorders>
          </w:tcPr>
          <w:p>
            <w:pPr>
              <w:jc w:val="right"/>
              <w:ind w:right="861"/>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11,155</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7,300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42,488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57,935</w:t>
            </w:r>
          </w:p>
        </w:tc>
      </w:tr>
      <w:tr>
        <w:trPr>
          <w:trHeight w:val="20"/>
        </w:trPr>
        <w:tc>
          <w:tcPr>
            <w:tcW w:w="4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60"/>
          </w:cols>
          <w:pgMar w:left="320" w:top="339"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9"/>
          <w:szCs w:val="19"/>
          <w:b w:val="1"/>
          <w:bCs w:val="1"/>
          <w:color w:val="auto"/>
        </w:rPr>
        <w:t>Expensify,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GAAP to Non-GAAP Financial Measures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in thousands, except percentages)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Non-GAAP Net Income and Non-GAAP Net Income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714946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3660" w:type="dxa"/>
            <w:vAlign w:val="bottom"/>
            <w:gridSpan w:val="6"/>
          </w:tcPr>
          <w:p>
            <w:pPr>
              <w:ind w:left="700"/>
              <w:spacing w:after="0"/>
              <w:rPr>
                <w:sz w:val="20"/>
                <w:szCs w:val="20"/>
                <w:color w:val="auto"/>
              </w:rPr>
            </w:pPr>
            <w:r>
              <w:rPr>
                <w:rFonts w:ascii="Arial" w:cs="Arial" w:eastAsia="Arial" w:hAnsi="Arial"/>
                <w:sz w:val="14"/>
                <w:szCs w:val="14"/>
                <w:b w:val="1"/>
                <w:bCs w:val="1"/>
                <w:color w:val="auto"/>
              </w:rPr>
              <w:t>Three Months Ended December 31,</w:t>
            </w:r>
          </w:p>
        </w:tc>
        <w:tc>
          <w:tcPr>
            <w:tcW w:w="42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16"/>
                <w:szCs w:val="16"/>
                <w:color w:val="auto"/>
              </w:rPr>
            </w:pPr>
          </w:p>
        </w:tc>
      </w:tr>
      <w:tr>
        <w:trPr>
          <w:trHeight w:val="29"/>
        </w:trPr>
        <w:tc>
          <w:tcPr>
            <w:tcW w:w="4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8"/>
        </w:trPr>
        <w:tc>
          <w:tcPr>
            <w:tcW w:w="40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3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jc w:val="right"/>
              <w:ind w:right="655"/>
              <w:spacing w:after="0"/>
              <w:rPr>
                <w:sz w:val="20"/>
                <w:szCs w:val="20"/>
                <w:color w:val="auto"/>
              </w:rPr>
            </w:pPr>
            <w:r>
              <w:rPr>
                <w:rFonts w:ascii="Arial" w:cs="Arial" w:eastAsia="Arial" w:hAnsi="Arial"/>
                <w:sz w:val="14"/>
                <w:szCs w:val="14"/>
                <w:b w:val="1"/>
                <w:bCs w:val="1"/>
                <w:color w:val="auto"/>
                <w:w w:val="83"/>
              </w:rPr>
              <w:t>2021</w:t>
            </w:r>
          </w:p>
        </w:tc>
      </w:tr>
      <w:tr>
        <w:trPr>
          <w:trHeight w:val="29"/>
        </w:trPr>
        <w:tc>
          <w:tcPr>
            <w:tcW w:w="4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2"/>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1040" w:type="dxa"/>
            <w:vAlign w:val="bottom"/>
            <w:shd w:val="clear" w:color="auto" w:fill="CCEEFF"/>
          </w:tcPr>
          <w:p>
            <w:pPr>
              <w:jc w:val="right"/>
              <w:ind w:right="86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92"/>
              </w:rPr>
              <w:t>(3,397)</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(21,887)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(27,009)</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(13,558)</w:t>
            </w:r>
          </w:p>
        </w:tc>
      </w:tr>
      <w:tr>
        <w:trPr>
          <w:trHeight w:val="251"/>
        </w:trPr>
        <w:tc>
          <w:tcPr>
            <w:tcW w:w="4020" w:type="dxa"/>
            <w:vAlign w:val="bottom"/>
          </w:tcPr>
          <w:p>
            <w:pPr>
              <w:ind w:left="20"/>
              <w:spacing w:after="0"/>
              <w:rPr>
                <w:sz w:val="20"/>
                <w:szCs w:val="20"/>
                <w:color w:val="auto"/>
              </w:rPr>
            </w:pPr>
            <w:r>
              <w:rPr>
                <w:rFonts w:ascii="Arial" w:cs="Arial" w:eastAsia="Arial" w:hAnsi="Arial"/>
                <w:sz w:val="17"/>
                <w:szCs w:val="17"/>
                <w:color w:val="auto"/>
              </w:rPr>
              <w:t>Net (loss) income margin</w:t>
            </w:r>
          </w:p>
        </w:tc>
        <w:tc>
          <w:tcPr>
            <w:tcW w:w="10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70"/>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w:t>
            </w:r>
          </w:p>
        </w:tc>
        <w:tc>
          <w:tcPr>
            <w:tcW w:w="10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51"/>
        </w:trPr>
        <w:tc>
          <w:tcPr>
            <w:tcW w:w="402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1040" w:type="dxa"/>
            <w:vAlign w:val="bottom"/>
          </w:tcPr>
          <w:p>
            <w:pPr>
              <w:spacing w:after="0"/>
              <w:rPr>
                <w:sz w:val="21"/>
                <w:szCs w:val="21"/>
                <w:color w:val="auto"/>
              </w:rPr>
            </w:pPr>
          </w:p>
        </w:tc>
        <w:tc>
          <w:tcPr>
            <w:tcW w:w="700" w:type="dxa"/>
            <w:vAlign w:val="bottom"/>
          </w:tcPr>
          <w:p>
            <w:pPr>
              <w:jc w:val="right"/>
              <w:ind w:right="133"/>
              <w:spacing w:after="0"/>
              <w:rPr>
                <w:sz w:val="20"/>
                <w:szCs w:val="20"/>
                <w:color w:val="auto"/>
              </w:rPr>
            </w:pPr>
            <w:r>
              <w:rPr>
                <w:rFonts w:ascii="Arial" w:cs="Arial" w:eastAsia="Arial" w:hAnsi="Arial"/>
                <w:sz w:val="17"/>
                <w:szCs w:val="17"/>
                <w:color w:val="auto"/>
                <w:w w:val="88"/>
              </w:rPr>
              <w:t>10,539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115"/>
              <w:spacing w:after="0"/>
              <w:rPr>
                <w:sz w:val="20"/>
                <w:szCs w:val="20"/>
                <w:color w:val="auto"/>
              </w:rPr>
            </w:pPr>
            <w:r>
              <w:rPr>
                <w:rFonts w:ascii="Arial" w:cs="Arial" w:eastAsia="Arial" w:hAnsi="Arial"/>
                <w:sz w:val="17"/>
                <w:szCs w:val="17"/>
                <w:color w:val="auto"/>
              </w:rPr>
              <w:t>12,079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117"/>
              <w:spacing w:after="0"/>
              <w:rPr>
                <w:sz w:val="20"/>
                <w:szCs w:val="20"/>
                <w:color w:val="auto"/>
              </w:rPr>
            </w:pPr>
            <w:r>
              <w:rPr>
                <w:rFonts w:ascii="Arial" w:cs="Arial" w:eastAsia="Arial" w:hAnsi="Arial"/>
                <w:sz w:val="17"/>
                <w:szCs w:val="17"/>
                <w:color w:val="auto"/>
              </w:rPr>
              <w:t>52,332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jc w:val="right"/>
              <w:ind w:right="135"/>
              <w:spacing w:after="0"/>
              <w:rPr>
                <w:sz w:val="20"/>
                <w:szCs w:val="20"/>
                <w:color w:val="auto"/>
              </w:rPr>
            </w:pPr>
            <w:r>
              <w:rPr>
                <w:rFonts w:ascii="Arial" w:cs="Arial" w:eastAsia="Arial" w:hAnsi="Arial"/>
                <w:sz w:val="17"/>
                <w:szCs w:val="17"/>
                <w:color w:val="auto"/>
              </w:rPr>
              <w:t>14,574</w:t>
            </w:r>
          </w:p>
        </w:tc>
      </w:tr>
      <w:tr>
        <w:trPr>
          <w:trHeight w:val="261"/>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IPO-related bonus expense</w:t>
            </w:r>
          </w:p>
        </w:tc>
        <w:tc>
          <w:tcPr>
            <w:tcW w:w="10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14,191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48,416</w:t>
            </w:r>
          </w:p>
        </w:tc>
      </w:tr>
      <w:tr>
        <w:trPr>
          <w:trHeight w:val="252"/>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Non-GAAP net income</w:t>
            </w:r>
          </w:p>
        </w:tc>
        <w:tc>
          <w:tcPr>
            <w:tcW w:w="1040" w:type="dxa"/>
            <w:vAlign w:val="bottom"/>
            <w:tcBorders>
              <w:top w:val="single" w:sz="8" w:color="auto"/>
              <w:bottom w:val="single" w:sz="8" w:color="auto"/>
            </w:tcBorders>
          </w:tcPr>
          <w:p>
            <w:pPr>
              <w:jc w:val="right"/>
              <w:ind w:right="860"/>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rPr>
              <w:t>7,142</w:t>
            </w:r>
          </w:p>
        </w:tc>
        <w:tc>
          <w:tcPr>
            <w:tcW w:w="8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rPr>
              <w:t>4,383</w:t>
            </w:r>
          </w:p>
        </w:tc>
        <w:tc>
          <w:tcPr>
            <w:tcW w:w="1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rPr>
              <w:t>25,323</w:t>
            </w:r>
          </w:p>
        </w:tc>
        <w:tc>
          <w:tcPr>
            <w:tcW w:w="10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49,432</w:t>
            </w:r>
          </w:p>
        </w:tc>
      </w:tr>
      <w:tr>
        <w:trPr>
          <w:trHeight w:val="28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Non-GAAP net income margin</w:t>
            </w:r>
          </w:p>
        </w:tc>
        <w:tc>
          <w:tcPr>
            <w:tcW w:w="10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15 %</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46"/>
        </w:trPr>
        <w:tc>
          <w:tcPr>
            <w:tcW w:w="4020" w:type="dxa"/>
            <w:vAlign w:val="bottom"/>
          </w:tcPr>
          <w:p>
            <w:pPr>
              <w:spacing w:after="0"/>
              <w:rPr>
                <w:sz w:val="20"/>
                <w:szCs w:val="20"/>
                <w:color w:val="auto"/>
              </w:rPr>
            </w:pPr>
            <w:r>
              <w:rPr>
                <w:rFonts w:ascii="Arial" w:cs="Arial" w:eastAsia="Arial" w:hAnsi="Arial"/>
                <w:sz w:val="16"/>
                <w:szCs w:val="16"/>
                <w:i w:val="1"/>
                <w:iCs w:val="1"/>
                <w:color w:val="auto"/>
              </w:rPr>
              <w:t>Adjusted Operating Cash Flow and Free Cash Flow</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
        </w:trPr>
        <w:tc>
          <w:tcPr>
            <w:tcW w:w="40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6"/>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4020" w:type="dxa"/>
            <w:vAlign w:val="bottom"/>
          </w:tcPr>
          <w:p>
            <w:pPr>
              <w:spacing w:after="0"/>
              <w:rPr>
                <w:sz w:val="17"/>
                <w:szCs w:val="17"/>
                <w:color w:val="auto"/>
              </w:rPr>
            </w:pPr>
          </w:p>
        </w:tc>
        <w:tc>
          <w:tcPr>
            <w:tcW w:w="3660" w:type="dxa"/>
            <w:vAlign w:val="bottom"/>
            <w:gridSpan w:val="6"/>
          </w:tcPr>
          <w:p>
            <w:pPr>
              <w:ind w:left="720"/>
              <w:spacing w:after="0"/>
              <w:rPr>
                <w:sz w:val="20"/>
                <w:szCs w:val="20"/>
                <w:color w:val="auto"/>
              </w:rPr>
            </w:pPr>
            <w:r>
              <w:rPr>
                <w:rFonts w:ascii="Arial" w:cs="Arial" w:eastAsia="Arial" w:hAnsi="Arial"/>
                <w:sz w:val="14"/>
                <w:szCs w:val="14"/>
                <w:b w:val="1"/>
                <w:bCs w:val="1"/>
                <w:color w:val="auto"/>
              </w:rPr>
              <w:t>Three Months Ended December 31,</w:t>
            </w:r>
          </w:p>
        </w:tc>
        <w:tc>
          <w:tcPr>
            <w:tcW w:w="420" w:type="dxa"/>
            <w:vAlign w:val="bottom"/>
          </w:tcPr>
          <w:p>
            <w:pPr>
              <w:spacing w:after="0"/>
              <w:rPr>
                <w:sz w:val="17"/>
                <w:szCs w:val="17"/>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17"/>
                <w:szCs w:val="17"/>
                <w:color w:val="auto"/>
              </w:rPr>
            </w:pPr>
          </w:p>
        </w:tc>
      </w:tr>
      <w:tr>
        <w:trPr>
          <w:trHeight w:val="29"/>
        </w:trPr>
        <w:tc>
          <w:tcPr>
            <w:tcW w:w="4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8"/>
        </w:trPr>
        <w:tc>
          <w:tcPr>
            <w:tcW w:w="40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3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jc w:val="right"/>
              <w:ind w:right="655"/>
              <w:spacing w:after="0"/>
              <w:rPr>
                <w:sz w:val="20"/>
                <w:szCs w:val="20"/>
                <w:color w:val="auto"/>
              </w:rPr>
            </w:pPr>
            <w:r>
              <w:rPr>
                <w:rFonts w:ascii="Arial" w:cs="Arial" w:eastAsia="Arial" w:hAnsi="Arial"/>
                <w:sz w:val="14"/>
                <w:szCs w:val="14"/>
                <w:b w:val="1"/>
                <w:bCs w:val="1"/>
                <w:color w:val="auto"/>
                <w:w w:val="83"/>
              </w:rPr>
              <w:t>2021</w:t>
            </w:r>
          </w:p>
        </w:tc>
      </w:tr>
      <w:tr>
        <w:trPr>
          <w:trHeight w:val="29"/>
        </w:trPr>
        <w:tc>
          <w:tcPr>
            <w:tcW w:w="4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2"/>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provided by operating activities</w:t>
            </w:r>
          </w:p>
        </w:tc>
        <w:tc>
          <w:tcPr>
            <w:tcW w:w="1040" w:type="dxa"/>
            <w:vAlign w:val="bottom"/>
            <w:shd w:val="clear" w:color="auto" w:fill="CCEEFF"/>
          </w:tcPr>
          <w:p>
            <w:pPr>
              <w:jc w:val="right"/>
              <w:ind w:right="86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6,647</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(29,094)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32,876</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5,486</w:t>
            </w:r>
          </w:p>
        </w:tc>
      </w:tr>
      <w:tr>
        <w:trPr>
          <w:trHeight w:val="251"/>
        </w:trPr>
        <w:tc>
          <w:tcPr>
            <w:tcW w:w="4020" w:type="dxa"/>
            <w:vAlign w:val="bottom"/>
          </w:tcPr>
          <w:p>
            <w:pPr>
              <w:ind w:left="20"/>
              <w:spacing w:after="0"/>
              <w:rPr>
                <w:sz w:val="20"/>
                <w:szCs w:val="20"/>
                <w:color w:val="auto"/>
              </w:rPr>
            </w:pPr>
            <w:r>
              <w:rPr>
                <w:rFonts w:ascii="Arial" w:cs="Arial" w:eastAsia="Arial" w:hAnsi="Arial"/>
                <w:sz w:val="17"/>
                <w:szCs w:val="17"/>
                <w:color w:val="auto"/>
              </w:rPr>
              <w:t>Operating cash flow margin</w:t>
            </w:r>
          </w:p>
        </w:tc>
        <w:tc>
          <w:tcPr>
            <w:tcW w:w="10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15 %</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19 %</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4 %</w:t>
            </w:r>
          </w:p>
        </w:tc>
      </w:tr>
      <w:tr>
        <w:trPr>
          <w:trHeight w:val="270"/>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(Increase) decrease in changes in assets and liabilities:</w:t>
            </w:r>
          </w:p>
        </w:tc>
        <w:tc>
          <w:tcPr>
            <w:tcW w:w="10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51"/>
        </w:trPr>
        <w:tc>
          <w:tcPr>
            <w:tcW w:w="4020" w:type="dxa"/>
            <w:vAlign w:val="bottom"/>
          </w:tcPr>
          <w:p>
            <w:pPr>
              <w:ind w:left="100"/>
              <w:spacing w:after="0"/>
              <w:rPr>
                <w:sz w:val="20"/>
                <w:szCs w:val="20"/>
                <w:color w:val="auto"/>
              </w:rPr>
            </w:pPr>
            <w:r>
              <w:rPr>
                <w:rFonts w:ascii="Arial" w:cs="Arial" w:eastAsia="Arial" w:hAnsi="Arial"/>
                <w:sz w:val="17"/>
                <w:szCs w:val="17"/>
                <w:color w:val="auto"/>
              </w:rPr>
              <w:t>Settlement assets</w:t>
            </w:r>
          </w:p>
        </w:tc>
        <w:tc>
          <w:tcPr>
            <w:tcW w:w="1040" w:type="dxa"/>
            <w:vAlign w:val="bottom"/>
          </w:tcPr>
          <w:p>
            <w:pPr>
              <w:spacing w:after="0"/>
              <w:rPr>
                <w:sz w:val="21"/>
                <w:szCs w:val="21"/>
                <w:color w:val="auto"/>
              </w:rPr>
            </w:pPr>
          </w:p>
        </w:tc>
        <w:tc>
          <w:tcPr>
            <w:tcW w:w="700" w:type="dxa"/>
            <w:vAlign w:val="bottom"/>
          </w:tcPr>
          <w:p>
            <w:pPr>
              <w:jc w:val="right"/>
              <w:ind w:right="93"/>
              <w:spacing w:after="0"/>
              <w:rPr>
                <w:sz w:val="20"/>
                <w:szCs w:val="20"/>
                <w:color w:val="auto"/>
              </w:rPr>
            </w:pPr>
            <w:r>
              <w:rPr>
                <w:rFonts w:ascii="Arial" w:cs="Arial" w:eastAsia="Arial" w:hAnsi="Arial"/>
                <w:sz w:val="17"/>
                <w:szCs w:val="17"/>
                <w:color w:val="auto"/>
                <w:w w:val="92"/>
              </w:rPr>
              <w:t>(2,300)</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(3,517)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117"/>
              <w:spacing w:after="0"/>
              <w:rPr>
                <w:sz w:val="20"/>
                <w:szCs w:val="20"/>
                <w:color w:val="auto"/>
              </w:rPr>
            </w:pPr>
            <w:r>
              <w:rPr>
                <w:rFonts w:ascii="Arial" w:cs="Arial" w:eastAsia="Arial" w:hAnsi="Arial"/>
                <w:sz w:val="17"/>
                <w:szCs w:val="17"/>
                <w:color w:val="auto"/>
              </w:rPr>
              <w:t>7,796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jc w:val="right"/>
              <w:ind w:right="95"/>
              <w:spacing w:after="0"/>
              <w:rPr>
                <w:sz w:val="20"/>
                <w:szCs w:val="20"/>
                <w:color w:val="auto"/>
              </w:rPr>
            </w:pPr>
            <w:r>
              <w:rPr>
                <w:rFonts w:ascii="Arial" w:cs="Arial" w:eastAsia="Arial" w:hAnsi="Arial"/>
                <w:sz w:val="17"/>
                <w:szCs w:val="17"/>
                <w:color w:val="auto"/>
              </w:rPr>
              <w:t>(173)</w:t>
            </w:r>
          </w:p>
        </w:tc>
      </w:tr>
      <w:tr>
        <w:trPr>
          <w:trHeight w:val="261"/>
        </w:trPr>
        <w:tc>
          <w:tcPr>
            <w:tcW w:w="4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Settlement liabilities</w:t>
            </w:r>
          </w:p>
        </w:tc>
        <w:tc>
          <w:tcPr>
            <w:tcW w:w="10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2,501</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3,327</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(12,202)</w:t>
            </w:r>
          </w:p>
        </w:tc>
        <w:tc>
          <w:tcPr>
            <w:tcW w:w="1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(7,372)</w:t>
            </w:r>
          </w:p>
        </w:tc>
      </w:tr>
      <w:tr>
        <w:trPr>
          <w:trHeight w:val="252"/>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Adjusted operating cash flow</w:t>
            </w:r>
          </w:p>
        </w:tc>
        <w:tc>
          <w:tcPr>
            <w:tcW w:w="1040" w:type="dxa"/>
            <w:vAlign w:val="bottom"/>
            <w:tcBorders>
              <w:bottom w:val="single" w:sz="8" w:color="auto"/>
            </w:tcBorders>
          </w:tcPr>
          <w:p>
            <w:pPr>
              <w:jc w:val="right"/>
              <w:ind w:right="860"/>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6,848</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(29,284)</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28,470</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(2,059)</w:t>
            </w:r>
          </w:p>
        </w:tc>
      </w:tr>
      <w:tr>
        <w:trPr>
          <w:trHeight w:val="248"/>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w:t>
            </w:r>
          </w:p>
        </w:tc>
        <w:tc>
          <w:tcPr>
            <w:tcW w:w="10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51"/>
        </w:trPr>
        <w:tc>
          <w:tcPr>
            <w:tcW w:w="4020" w:type="dxa"/>
            <w:vAlign w:val="bottom"/>
          </w:tcPr>
          <w:p>
            <w:pPr>
              <w:ind w:left="100"/>
              <w:spacing w:after="0"/>
              <w:rPr>
                <w:sz w:val="20"/>
                <w:szCs w:val="20"/>
                <w:color w:val="auto"/>
              </w:rPr>
            </w:pPr>
            <w:r>
              <w:rPr>
                <w:rFonts w:ascii="Arial" w:cs="Arial" w:eastAsia="Arial" w:hAnsi="Arial"/>
                <w:sz w:val="17"/>
                <w:szCs w:val="17"/>
                <w:color w:val="auto"/>
              </w:rPr>
              <w:t>Purchases of property and equipment</w:t>
            </w:r>
          </w:p>
        </w:tc>
        <w:tc>
          <w:tcPr>
            <w:tcW w:w="1040" w:type="dxa"/>
            <w:vAlign w:val="bottom"/>
          </w:tcPr>
          <w:p>
            <w:pPr>
              <w:spacing w:after="0"/>
              <w:rPr>
                <w:sz w:val="21"/>
                <w:szCs w:val="21"/>
                <w:color w:val="auto"/>
              </w:rPr>
            </w:pPr>
          </w:p>
        </w:tc>
        <w:tc>
          <w:tcPr>
            <w:tcW w:w="700" w:type="dxa"/>
            <w:vAlign w:val="bottom"/>
          </w:tcPr>
          <w:p>
            <w:pPr>
              <w:jc w:val="right"/>
              <w:ind w:right="93"/>
              <w:spacing w:after="0"/>
              <w:rPr>
                <w:sz w:val="20"/>
                <w:szCs w:val="20"/>
                <w:color w:val="auto"/>
              </w:rPr>
            </w:pPr>
            <w:r>
              <w:rPr>
                <w:rFonts w:ascii="Arial" w:cs="Arial" w:eastAsia="Arial" w:hAnsi="Arial"/>
                <w:sz w:val="17"/>
                <w:szCs w:val="17"/>
                <w:color w:val="auto"/>
              </w:rPr>
              <w:t>(118)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77"/>
              <w:spacing w:after="0"/>
              <w:rPr>
                <w:sz w:val="20"/>
                <w:szCs w:val="20"/>
                <w:color w:val="auto"/>
              </w:rPr>
            </w:pPr>
            <w:r>
              <w:rPr>
                <w:rFonts w:ascii="Arial" w:cs="Arial" w:eastAsia="Arial" w:hAnsi="Arial"/>
                <w:sz w:val="17"/>
                <w:szCs w:val="17"/>
                <w:color w:val="auto"/>
              </w:rPr>
              <w:t>(585)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jc w:val="right"/>
              <w:ind w:right="95"/>
              <w:spacing w:after="0"/>
              <w:rPr>
                <w:sz w:val="20"/>
                <w:szCs w:val="20"/>
                <w:color w:val="auto"/>
              </w:rPr>
            </w:pPr>
            <w:r>
              <w:rPr>
                <w:rFonts w:ascii="Arial" w:cs="Arial" w:eastAsia="Arial" w:hAnsi="Arial"/>
                <w:sz w:val="17"/>
                <w:szCs w:val="17"/>
                <w:color w:val="auto"/>
              </w:rPr>
              <w:t>(2,706)</w:t>
            </w:r>
          </w:p>
        </w:tc>
      </w:tr>
      <w:tr>
        <w:trPr>
          <w:trHeight w:val="261"/>
        </w:trPr>
        <w:tc>
          <w:tcPr>
            <w:tcW w:w="4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Software development costs</w:t>
            </w:r>
          </w:p>
        </w:tc>
        <w:tc>
          <w:tcPr>
            <w:tcW w:w="10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(713)</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(511)</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(1,619)</w:t>
            </w:r>
          </w:p>
        </w:tc>
        <w:tc>
          <w:tcPr>
            <w:tcW w:w="1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(4,908)</w:t>
            </w:r>
          </w:p>
        </w:tc>
      </w:tr>
      <w:tr>
        <w:trPr>
          <w:trHeight w:val="252"/>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Free cash flow</w:t>
            </w:r>
          </w:p>
        </w:tc>
        <w:tc>
          <w:tcPr>
            <w:tcW w:w="1040" w:type="dxa"/>
            <w:vAlign w:val="bottom"/>
            <w:tcBorders>
              <w:bottom w:val="single" w:sz="8" w:color="auto"/>
            </w:tcBorders>
          </w:tcPr>
          <w:p>
            <w:pPr>
              <w:jc w:val="right"/>
              <w:ind w:right="860"/>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6,017</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(29,899)</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26,266</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(9,673)</w:t>
            </w:r>
          </w:p>
        </w:tc>
      </w:tr>
      <w:tr>
        <w:trPr>
          <w:trHeight w:val="28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Free cash flow margin</w:t>
            </w:r>
          </w:p>
        </w:tc>
        <w:tc>
          <w:tcPr>
            <w:tcW w:w="10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15 %</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60"/>
          </w:cols>
          <w:pgMar w:left="320" w:top="339" w:right="319" w:bottom="1440" w:gutter="0" w:footer="0" w:header="0"/>
        </w:sectPr>
      </w:pPr>
    </w:p>
    <w:bookmarkStart w:id="13" w:name="page14"/>
    <w:bookmarkEnd w:id="13"/>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0140"/>
          </w:cols>
          <w:pgMar w:left="1440" w:top="126" w:right="319" w:bottom="1440" w:gutter="0" w:footer="0" w:header="0"/>
        </w:sectPr>
      </w:pPr>
    </w:p>
    <w:bookmarkStart w:id="14" w:name="page15"/>
    <w:bookmarkEnd w:id="14"/>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0140"/>
          </w:cols>
          <w:pgMar w:left="1440" w:top="126" w:right="319" w:bottom="1440" w:gutter="0" w:footer="0" w:header="0"/>
        </w:sectPr>
      </w:pPr>
    </w:p>
    <w:bookmarkStart w:id="15" w:name="page16"/>
    <w:bookmarkEnd w:id="15"/>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0140"/>
          </w:cols>
          <w:pgMar w:left="1440" w:top="126" w:right="319" w:bottom="1440" w:gutter="0" w:footer="0" w:header="0"/>
        </w:sectPr>
      </w:pPr>
    </w:p>
    <w:bookmarkStart w:id="16" w:name="page17"/>
    <w:bookmarkEnd w:id="16"/>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0140"/>
          </w:cols>
          <w:pgMar w:left="1440" w:top="126" w:right="319" w:bottom="1440" w:gutter="0" w:footer="0" w:header="0"/>
        </w:sectPr>
      </w:pPr>
    </w:p>
    <w:bookmarkStart w:id="17" w:name="page18"/>
    <w:bookmarkEnd w:id="17"/>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0140"/>
          </w:cols>
          <w:pgMar w:left="1440" w:top="126" w:right="319" w:bottom="1440" w:gutter="0" w:footer="0" w:header="0"/>
        </w:sectPr>
      </w:pPr>
    </w:p>
    <w:bookmarkStart w:id="18" w:name="page19"/>
    <w:bookmarkEnd w:id="18"/>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0140"/>
          </w:cols>
          <w:pgMar w:left="1440" w:top="126" w:right="319" w:bottom="1440" w:gutter="0" w:footer="0" w:header="0"/>
        </w:sectPr>
      </w:pPr>
    </w:p>
    <w:bookmarkStart w:id="19" w:name="page20"/>
    <w:bookmarkEnd w:id="19"/>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0140"/>
          </w:cols>
          <w:pgMar w:left="1440" w:top="126" w:right="319" w:bottom="1440" w:gutter="0" w:footer="0" w:header="0"/>
        </w:sectPr>
      </w:pPr>
    </w:p>
    <w:bookmarkStart w:id="20" w:name="page21"/>
    <w:bookmarkEnd w:id="20"/>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0140"/>
          </w:cols>
          <w:pgMar w:left="1440" w:top="126" w:right="319" w:bottom="1440" w:gutter="0" w:footer="0" w:header="0"/>
        </w:sectPr>
      </w:pPr>
    </w:p>
    <w:bookmarkStart w:id="21" w:name="page22"/>
    <w:bookmarkEnd w:id="21"/>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0140"/>
          </w:cols>
          <w:pgMar w:left="1440" w:top="126" w:right="319" w:bottom="1440" w:gutter="0" w:footer="0" w:header="0"/>
        </w:sectPr>
      </w:pPr>
    </w:p>
    <w:bookmarkStart w:id="22" w:name="page23"/>
    <w:bookmarkEnd w:id="22"/>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0140"/>
          </w:cols>
          <w:pgMar w:left="1440" w:top="126" w:right="319" w:bottom="1440" w:gutter="0" w:footer="0" w:header="0"/>
        </w:sectPr>
      </w:pPr>
    </w:p>
    <w:bookmarkStart w:id="23" w:name="page24"/>
    <w:bookmarkEnd w:id="23"/>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0140"/>
          </w:cols>
          <w:pgMar w:left="1440" w:top="126" w:right="319" w:bottom="1440" w:gutter="0" w:footer="0" w:header="0"/>
        </w:sectPr>
      </w:pPr>
    </w:p>
    <w:bookmarkStart w:id="24" w:name="page25"/>
    <w:bookmarkEnd w:id="24"/>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0140"/>
          </w:cols>
          <w:pgMar w:left="1440" w:top="126" w:right="319" w:bottom="1440" w:gutter="0" w:footer="0" w:header="0"/>
        </w:sectPr>
      </w:pPr>
    </w:p>
    <w:bookmarkStart w:id="25" w:name="page26"/>
    <w:bookmarkEnd w:id="25"/>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0140"/>
          </w:cols>
          <w:pgMar w:left="1440" w:top="126" w:right="319" w:bottom="1440" w:gutter="0" w:footer="0" w:header="0"/>
        </w:sectPr>
      </w:pPr>
    </w:p>
    <w:bookmarkStart w:id="26" w:name="page27"/>
    <w:bookmarkEnd w:id="26"/>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0140"/>
          </w:cols>
          <w:pgMar w:left="1440" w:top="126" w:right="319" w:bottom="1440" w:gutter="0" w:footer="0" w:header="0"/>
        </w:sectPr>
      </w:pPr>
    </w:p>
    <w:bookmarkStart w:id="27" w:name="page28"/>
    <w:bookmarkEnd w:id="27"/>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0140"/>
          </w:cols>
          <w:pgMar w:left="1440" w:top="126" w:right="319" w:bottom="1440" w:gutter="0" w:footer="0" w:header="0"/>
        </w:sectPr>
      </w:pPr>
    </w:p>
    <w:bookmarkStart w:id="28" w:name="page29"/>
    <w:bookmarkEnd w:id="28"/>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0140"/>
          </w:cols>
          <w:pgMar w:left="1440" w:top="126" w:right="319" w:bottom="1440" w:gutter="0" w:footer="0" w:header="0"/>
        </w:sectPr>
      </w:pPr>
    </w:p>
    <w:bookmarkStart w:id="29" w:name="page30"/>
    <w:bookmarkEnd w:id="29"/>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575945</wp:posOffset>
            </wp:positionV>
            <wp:extent cx="7204075" cy="40551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0140"/>
          </w:cols>
          <w:pgMar w:left="1440" w:top="126" w:right="319" w:bottom="1440" w:gutter="0" w:footer="0" w:header="0"/>
        </w:sectPr>
      </w:pPr>
    </w:p>
    <w:bookmarkStart w:id="30" w:name="page31"/>
    <w:bookmarkEnd w:id="30"/>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0140"/>
          </w:cols>
          <w:pgMar w:left="1440" w:top="126" w:right="319" w:bottom="1440" w:gutter="0" w:footer="0" w:header="0"/>
        </w:sectPr>
      </w:pPr>
    </w:p>
    <w:bookmarkStart w:id="31" w:name="page32"/>
    <w:bookmarkEnd w:id="31"/>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0140"/>
          </w:cols>
          <w:pgMar w:left="1440" w:top="126" w:right="319" w:bottom="1440" w:gutter="0" w:footer="0" w:header="0"/>
        </w:sectPr>
      </w:pPr>
    </w:p>
    <w:bookmarkStart w:id="32" w:name="page33"/>
    <w:bookmarkEnd w:id="32"/>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0140"/>
          </w:cols>
          <w:pgMar w:left="1440" w:top="126" w:right="319" w:bottom="1440" w:gutter="0" w:footer="0" w:header="0"/>
        </w:sectPr>
      </w:pPr>
    </w:p>
    <w:bookmarkStart w:id="33" w:name="page34"/>
    <w:bookmarkEnd w:id="33"/>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0140"/>
          </w:cols>
          <w:pgMar w:left="1440" w:top="126" w:right="319" w:bottom="1440" w:gutter="0" w:footer="0" w:header="0"/>
        </w:sectPr>
      </w:pPr>
    </w:p>
    <w:bookmarkStart w:id="34" w:name="page35"/>
    <w:bookmarkEnd w:id="34"/>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0140"/>
          </w:cols>
          <w:pgMar w:left="1440" w:top="126" w:right="319" w:bottom="1440" w:gutter="0" w:footer="0" w:header="0"/>
        </w:sectPr>
      </w:pPr>
    </w:p>
    <w:bookmarkStart w:id="35" w:name="page36"/>
    <w:bookmarkEnd w:id="35"/>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0140"/>
          </w:cols>
          <w:pgMar w:left="1440" w:top="126" w:right="319" w:bottom="1440" w:gutter="0" w:footer="0" w:header="0"/>
        </w:sectPr>
      </w:pPr>
    </w:p>
    <w:bookmarkStart w:id="36" w:name="page37"/>
    <w:bookmarkEnd w:id="36"/>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0140"/>
          </w:cols>
          <w:pgMar w:left="1440" w:top="126" w:right="319" w:bottom="1440" w:gutter="0" w:footer="0" w:header="0"/>
        </w:sectPr>
      </w:pPr>
    </w:p>
    <w:bookmarkStart w:id="37" w:name="page38"/>
    <w:bookmarkEnd w:id="37"/>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0140"/>
          </w:cols>
          <w:pgMar w:left="1440" w:top="126" w:right="319" w:bottom="1440" w:gutter="0" w:footer="0" w:header="0"/>
        </w:sectPr>
      </w:pPr>
    </w:p>
    <w:bookmarkStart w:id="38" w:name="page39"/>
    <w:bookmarkEnd w:id="38"/>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0140"/>
          </w:cols>
          <w:pgMar w:left="1440" w:top="126" w:right="319" w:bottom="1440" w:gutter="0" w:footer="0" w:header="0"/>
        </w:sectPr>
      </w:pPr>
    </w:p>
    <w:bookmarkStart w:id="39" w:name="page40"/>
    <w:bookmarkEnd w:id="39"/>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0140"/>
          </w:cols>
          <w:pgMar w:left="1440" w:top="126" w:right="319" w:bottom="1440" w:gutter="0" w:footer="0" w:header="0"/>
        </w:sectPr>
      </w:pPr>
    </w:p>
    <w:bookmarkStart w:id="40" w:name="page41"/>
    <w:bookmarkEnd w:id="40"/>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28</w:t>
      </w:r>
    </w:p>
    <w:p>
      <w:pPr>
        <w:sectPr>
          <w:pgSz w:w="11900" w:h="16838" w:orient="portrait"/>
          <w:cols w:equalWidth="0" w:num="1">
            <w:col w:w="10140"/>
          </w:cols>
          <w:pgMar w:left="1440" w:top="126" w:right="319" w:bottom="1440" w:gutter="0" w:footer="0" w:header="0"/>
        </w:sectPr>
      </w:pPr>
    </w:p>
    <w:bookmarkStart w:id="41" w:name="page42"/>
    <w:bookmarkEnd w:id="41"/>
    <w:p>
      <w:pPr>
        <w:jc w:val="right"/>
        <w:spacing w:after="0"/>
        <w:rPr>
          <w:sz w:val="20"/>
          <w:szCs w:val="20"/>
          <w:color w:val="auto"/>
        </w:rPr>
      </w:pPr>
      <w:r>
        <w:rPr>
          <w:rFonts w:ascii="Arial" w:cs="Arial" w:eastAsia="Arial" w:hAnsi="Arial"/>
          <w:sz w:val="19"/>
          <w:szCs w:val="19"/>
          <w:b w:val="1"/>
          <w:bCs w:val="1"/>
          <w:color w:val="auto"/>
        </w:rPr>
        <w:t>Exhibit 99.2</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576580</wp:posOffset>
            </wp:positionV>
            <wp:extent cx="7204075" cy="40551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29</w:t>
      </w:r>
    </w:p>
    <w:sectPr>
      <w:pgSz w:w="11900" w:h="16838" w:orient="portrait"/>
      <w:cols w:equalWidth="0" w:num="1">
        <w:col w:w="10140"/>
      </w:cols>
      <w:pgMar w:left="1440" w:top="12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2023-02-23T15:45:20Z</dcterms:created>
  <dcterms:modified xsi:type="dcterms:W3CDTF">2023-02-23T15:45:20Z</dcterms:modified>
</cp:coreProperties>
</file>