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October 18, 2021.</w:t>
      </w:r>
    </w:p>
    <w:p>
      <w:pPr>
        <w:spacing w:after="0" w:line="265"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333-260297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59690</wp:posOffset>
            </wp:positionV>
            <wp:extent cx="71456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20955</wp:posOffset>
            </wp:positionV>
            <wp:extent cx="714565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AMENDMENT NO. 1</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to</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2527300</wp:posOffset>
            </wp:positionH>
            <wp:positionV relativeFrom="paragraph">
              <wp:posOffset>54610</wp:posOffset>
            </wp:positionV>
            <wp:extent cx="20262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EXPENSIFY,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42" w:lineRule="exact"/>
        <w:rPr>
          <w:sz w:val="24"/>
          <w:szCs w:val="24"/>
          <w:color w:val="auto"/>
        </w:rPr>
      </w:pPr>
    </w:p>
    <w:tbl>
      <w:tblPr>
        <w:tblLayout w:type="fixed"/>
        <w:tblInd w:w="1080" w:type="dxa"/>
        <w:tblCellMar>
          <w:top w:w="0" w:type="dxa"/>
          <w:left w:w="0" w:type="dxa"/>
          <w:bottom w:w="0" w:type="dxa"/>
          <w:right w:w="0" w:type="dxa"/>
        </w:tblCellMar>
      </w:tblPr>
      <w:tr>
        <w:trPr>
          <w:trHeight w:val="151"/>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Delaware</w:t>
            </w:r>
          </w:p>
        </w:tc>
        <w:tc>
          <w:tcPr>
            <w:tcW w:w="4560" w:type="dxa"/>
            <w:vAlign w:val="bottom"/>
            <w:gridSpan w:val="2"/>
          </w:tcPr>
          <w:p>
            <w:pPr>
              <w:jc w:val="center"/>
              <w:ind w:left="1243"/>
              <w:spacing w:after="0"/>
              <w:rPr>
                <w:sz w:val="20"/>
                <w:szCs w:val="20"/>
                <w:color w:val="auto"/>
              </w:rPr>
            </w:pPr>
            <w:r>
              <w:rPr>
                <w:rFonts w:ascii="Arial" w:cs="Arial" w:eastAsia="Arial" w:hAnsi="Arial"/>
                <w:sz w:val="11"/>
                <w:szCs w:val="11"/>
                <w:b w:val="1"/>
                <w:bCs w:val="1"/>
                <w:color w:val="auto"/>
              </w:rPr>
              <w:t>7372</w:t>
            </w:r>
          </w:p>
        </w:tc>
        <w:tc>
          <w:tcPr>
            <w:tcW w:w="128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27-0239450</w:t>
            </w:r>
          </w:p>
        </w:tc>
      </w:tr>
      <w:tr>
        <w:trPr>
          <w:trHeight w:val="180"/>
        </w:trPr>
        <w:tc>
          <w:tcPr>
            <w:tcW w:w="1600" w:type="dxa"/>
            <w:vAlign w:val="bottom"/>
          </w:tcPr>
          <w:p>
            <w:pPr>
              <w:jc w:val="center"/>
              <w:ind w:right="3"/>
              <w:spacing w:after="0"/>
              <w:rPr>
                <w:sz w:val="20"/>
                <w:szCs w:val="20"/>
                <w:color w:val="auto"/>
              </w:rPr>
            </w:pPr>
            <w:r>
              <w:rPr>
                <w:rFonts w:ascii="Arial" w:cs="Arial" w:eastAsia="Arial" w:hAnsi="Arial"/>
                <w:sz w:val="11"/>
                <w:szCs w:val="11"/>
                <w:color w:val="auto"/>
              </w:rPr>
              <w:t>(State or other jurisdiction of</w:t>
            </w:r>
          </w:p>
        </w:tc>
        <w:tc>
          <w:tcPr>
            <w:tcW w:w="1320" w:type="dxa"/>
            <w:vAlign w:val="bottom"/>
          </w:tcPr>
          <w:p>
            <w:pPr>
              <w:spacing w:after="0"/>
              <w:rPr>
                <w:sz w:val="15"/>
                <w:szCs w:val="15"/>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color w:val="auto"/>
              </w:rPr>
              <w:t>(Primary Standard Industrial</w:t>
            </w:r>
          </w:p>
        </w:tc>
        <w:tc>
          <w:tcPr>
            <w:tcW w:w="1720" w:type="dxa"/>
            <w:vAlign w:val="bottom"/>
          </w:tcPr>
          <w:p>
            <w:pPr>
              <w:jc w:val="center"/>
              <w:spacing w:after="0"/>
              <w:rPr>
                <w:sz w:val="20"/>
                <w:szCs w:val="20"/>
                <w:color w:val="auto"/>
              </w:rPr>
            </w:pPr>
            <w:r>
              <w:rPr>
                <w:rFonts w:ascii="Arial" w:cs="Arial" w:eastAsia="Arial" w:hAnsi="Arial"/>
                <w:sz w:val="11"/>
                <w:szCs w:val="11"/>
                <w:color w:val="auto"/>
              </w:rPr>
              <w:t>(I.R.S. Employer</w:t>
            </w:r>
          </w:p>
        </w:tc>
      </w:tr>
      <w:tr>
        <w:trPr>
          <w:trHeight w:val="137"/>
        </w:trPr>
        <w:tc>
          <w:tcPr>
            <w:tcW w:w="1600" w:type="dxa"/>
            <w:vAlign w:val="bottom"/>
          </w:tcPr>
          <w:p>
            <w:pPr>
              <w:jc w:val="center"/>
              <w:ind w:right="23"/>
              <w:spacing w:after="0"/>
              <w:rPr>
                <w:sz w:val="20"/>
                <w:szCs w:val="20"/>
                <w:color w:val="auto"/>
              </w:rPr>
            </w:pPr>
            <w:r>
              <w:rPr>
                <w:rFonts w:ascii="Arial" w:cs="Arial" w:eastAsia="Arial" w:hAnsi="Arial"/>
                <w:sz w:val="11"/>
                <w:szCs w:val="11"/>
                <w:color w:val="auto"/>
              </w:rPr>
              <w:t>incorporation or organization)</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color w:val="auto"/>
              </w:rPr>
              <w:t>Classification Code Number)</w:t>
            </w:r>
          </w:p>
        </w:tc>
        <w:tc>
          <w:tcPr>
            <w:tcW w:w="1720" w:type="dxa"/>
            <w:vAlign w:val="bottom"/>
          </w:tcPr>
          <w:p>
            <w:pPr>
              <w:jc w:val="center"/>
              <w:spacing w:after="0"/>
              <w:rPr>
                <w:sz w:val="20"/>
                <w:szCs w:val="20"/>
                <w:color w:val="auto"/>
              </w:rPr>
            </w:pPr>
            <w:r>
              <w:rPr>
                <w:rFonts w:ascii="Arial" w:cs="Arial" w:eastAsia="Arial" w:hAnsi="Arial"/>
                <w:sz w:val="11"/>
                <w:szCs w:val="11"/>
                <w:color w:val="auto"/>
              </w:rPr>
              <w:t>Identification No.)</w:t>
            </w:r>
          </w:p>
        </w:tc>
      </w:tr>
      <w:tr>
        <w:trPr>
          <w:trHeight w:val="227"/>
        </w:trPr>
        <w:tc>
          <w:tcPr>
            <w:tcW w:w="1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w w:val="99"/>
              </w:rPr>
              <w:t>401 SW 5</w:t>
            </w:r>
            <w:r>
              <w:rPr>
                <w:rFonts w:ascii="Arial" w:cs="Arial" w:eastAsia="Arial" w:hAnsi="Arial"/>
                <w:sz w:val="14"/>
                <w:szCs w:val="14"/>
                <w:b w:val="1"/>
                <w:bCs w:val="1"/>
                <w:color w:val="auto"/>
                <w:w w:val="99"/>
                <w:vertAlign w:val="superscript"/>
              </w:rPr>
              <w:t>th</w:t>
            </w:r>
            <w:r>
              <w:rPr>
                <w:rFonts w:ascii="Arial" w:cs="Arial" w:eastAsia="Arial" w:hAnsi="Arial"/>
                <w:sz w:val="11"/>
                <w:szCs w:val="11"/>
                <w:b w:val="1"/>
                <w:bCs w:val="1"/>
                <w:color w:val="auto"/>
                <w:w w:val="99"/>
              </w:rPr>
              <w:t xml:space="preserve"> Ave</w:t>
            </w:r>
          </w:p>
        </w:tc>
        <w:tc>
          <w:tcPr>
            <w:tcW w:w="1720" w:type="dxa"/>
            <w:vAlign w:val="bottom"/>
          </w:tcPr>
          <w:p>
            <w:pPr>
              <w:spacing w:after="0"/>
              <w:rPr>
                <w:sz w:val="19"/>
                <w:szCs w:val="19"/>
                <w:color w:val="auto"/>
              </w:rPr>
            </w:pPr>
          </w:p>
        </w:tc>
      </w:tr>
      <w:tr>
        <w:trPr>
          <w:trHeight w:val="134"/>
        </w:trPr>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Portland, Oregon 97204</w:t>
            </w:r>
          </w:p>
        </w:tc>
        <w:tc>
          <w:tcPr>
            <w:tcW w:w="1720" w:type="dxa"/>
            <w:vAlign w:val="bottom"/>
          </w:tcPr>
          <w:p>
            <w:pPr>
              <w:spacing w:after="0"/>
              <w:rPr>
                <w:sz w:val="11"/>
                <w:szCs w:val="11"/>
                <w:color w:val="auto"/>
              </w:rPr>
            </w:pPr>
          </w:p>
        </w:tc>
      </w:tr>
      <w:tr>
        <w:trPr>
          <w:trHeight w:val="148"/>
        </w:trPr>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Telephone: (971) 365-3939</w:t>
            </w:r>
          </w:p>
        </w:tc>
        <w:tc>
          <w:tcPr>
            <w:tcW w:w="1720" w:type="dxa"/>
            <w:vAlign w:val="bottom"/>
          </w:tcPr>
          <w:p>
            <w:pPr>
              <w:spacing w:after="0"/>
              <w:rPr>
                <w:sz w:val="12"/>
                <w:szCs w:val="12"/>
                <w:color w:val="auto"/>
              </w:rPr>
            </w:pPr>
          </w:p>
        </w:tc>
      </w:tr>
      <w:tr>
        <w:trPr>
          <w:trHeight w:val="137"/>
        </w:trPr>
        <w:tc>
          <w:tcPr>
            <w:tcW w:w="1600" w:type="dxa"/>
            <w:vAlign w:val="bottom"/>
          </w:tcPr>
          <w:p>
            <w:pPr>
              <w:spacing w:after="0"/>
              <w:rPr>
                <w:sz w:val="11"/>
                <w:szCs w:val="11"/>
                <w:color w:val="auto"/>
              </w:rPr>
            </w:pPr>
          </w:p>
        </w:tc>
        <w:tc>
          <w:tcPr>
            <w:tcW w:w="5840" w:type="dxa"/>
            <w:vAlign w:val="bottom"/>
            <w:gridSpan w:val="3"/>
          </w:tcPr>
          <w:p>
            <w:pPr>
              <w:jc w:val="center"/>
              <w:spacing w:after="0"/>
              <w:rPr>
                <w:sz w:val="20"/>
                <w:szCs w:val="20"/>
                <w:color w:val="auto"/>
              </w:rPr>
            </w:pPr>
            <w:r>
              <w:rPr>
                <w:rFonts w:ascii="Arial" w:cs="Arial" w:eastAsia="Arial" w:hAnsi="Arial"/>
                <w:sz w:val="11"/>
                <w:szCs w:val="11"/>
                <w:color w:val="auto"/>
              </w:rPr>
              <w:t>(Address, including zip code, and telephone number, including area code, of registrant’s principal executive offices)</w:t>
            </w:r>
          </w:p>
        </w:tc>
        <w:tc>
          <w:tcPr>
            <w:tcW w:w="1720" w:type="dxa"/>
            <w:vAlign w:val="bottom"/>
          </w:tcPr>
          <w:p>
            <w:pPr>
              <w:spacing w:after="0"/>
              <w:rPr>
                <w:sz w:val="11"/>
                <w:szCs w:val="11"/>
                <w:color w:val="auto"/>
              </w:rPr>
            </w:pPr>
          </w:p>
        </w:tc>
      </w:tr>
      <w:tr>
        <w:trPr>
          <w:trHeight w:val="76"/>
        </w:trPr>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r>
      <w:tr>
        <w:trPr>
          <w:trHeight w:val="163"/>
        </w:trPr>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David Barrett</w:t>
            </w:r>
          </w:p>
        </w:tc>
        <w:tc>
          <w:tcPr>
            <w:tcW w:w="1720" w:type="dxa"/>
            <w:vAlign w:val="bottom"/>
          </w:tcPr>
          <w:p>
            <w:pPr>
              <w:spacing w:after="0"/>
              <w:rPr>
                <w:sz w:val="14"/>
                <w:szCs w:val="14"/>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80"/>
              <w:spacing w:after="0" w:line="110" w:lineRule="exact"/>
              <w:rPr>
                <w:sz w:val="20"/>
                <w:szCs w:val="20"/>
                <w:color w:val="auto"/>
              </w:rPr>
            </w:pPr>
            <w:r>
              <w:rPr>
                <w:rFonts w:ascii="Arial" w:cs="Arial" w:eastAsia="Arial" w:hAnsi="Arial"/>
                <w:sz w:val="11"/>
                <w:szCs w:val="11"/>
                <w:b w:val="1"/>
                <w:bCs w:val="1"/>
                <w:color w:val="auto"/>
              </w:rPr>
              <w:t>Chief Executive Officer</w:t>
            </w:r>
          </w:p>
        </w:tc>
        <w:tc>
          <w:tcPr>
            <w:tcW w:w="1720" w:type="dxa"/>
            <w:vAlign w:val="bottom"/>
          </w:tcPr>
          <w:p>
            <w:pPr>
              <w:spacing w:after="0"/>
              <w:rPr>
                <w:sz w:val="9"/>
                <w:szCs w:val="9"/>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60"/>
              <w:spacing w:after="0" w:line="110" w:lineRule="exact"/>
              <w:rPr>
                <w:sz w:val="20"/>
                <w:szCs w:val="20"/>
                <w:color w:val="auto"/>
              </w:rPr>
            </w:pPr>
            <w:r>
              <w:rPr>
                <w:rFonts w:ascii="Arial" w:cs="Arial" w:eastAsia="Arial" w:hAnsi="Arial"/>
                <w:sz w:val="11"/>
                <w:szCs w:val="11"/>
                <w:b w:val="1"/>
                <w:bCs w:val="1"/>
                <w:color w:val="auto"/>
              </w:rPr>
              <w:t>Expensify, Inc.</w:t>
            </w:r>
          </w:p>
        </w:tc>
        <w:tc>
          <w:tcPr>
            <w:tcW w:w="1720" w:type="dxa"/>
            <w:vAlign w:val="bottom"/>
          </w:tcPr>
          <w:p>
            <w:pPr>
              <w:spacing w:after="0"/>
              <w:rPr>
                <w:sz w:val="9"/>
                <w:szCs w:val="9"/>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80"/>
              <w:spacing w:after="0" w:line="110" w:lineRule="exact"/>
              <w:rPr>
                <w:sz w:val="20"/>
                <w:szCs w:val="20"/>
                <w:color w:val="auto"/>
              </w:rPr>
            </w:pPr>
            <w:r>
              <w:rPr>
                <w:rFonts w:ascii="Arial" w:cs="Arial" w:eastAsia="Arial" w:hAnsi="Arial"/>
                <w:sz w:val="10"/>
                <w:szCs w:val="10"/>
                <w:b w:val="1"/>
                <w:bCs w:val="1"/>
                <w:color w:val="auto"/>
              </w:rPr>
              <w:t>401 SW 5</w:t>
            </w:r>
            <w:r>
              <w:rPr>
                <w:rFonts w:ascii="Arial" w:cs="Arial" w:eastAsia="Arial" w:hAnsi="Arial"/>
                <w:sz w:val="12"/>
                <w:szCs w:val="12"/>
                <w:b w:val="1"/>
                <w:bCs w:val="1"/>
                <w:color w:val="auto"/>
                <w:vertAlign w:val="superscript"/>
              </w:rPr>
              <w:t>th</w:t>
            </w:r>
            <w:r>
              <w:rPr>
                <w:rFonts w:ascii="Arial" w:cs="Arial" w:eastAsia="Arial" w:hAnsi="Arial"/>
                <w:sz w:val="10"/>
                <w:szCs w:val="10"/>
                <w:b w:val="1"/>
                <w:bCs w:val="1"/>
                <w:color w:val="auto"/>
              </w:rPr>
              <w:t xml:space="preserve"> Ave</w:t>
            </w:r>
          </w:p>
        </w:tc>
        <w:tc>
          <w:tcPr>
            <w:tcW w:w="1720" w:type="dxa"/>
            <w:vAlign w:val="bottom"/>
          </w:tcPr>
          <w:p>
            <w:pPr>
              <w:spacing w:after="0"/>
              <w:rPr>
                <w:sz w:val="9"/>
                <w:szCs w:val="9"/>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80"/>
              <w:spacing w:after="0" w:line="110" w:lineRule="exact"/>
              <w:rPr>
                <w:sz w:val="20"/>
                <w:szCs w:val="20"/>
                <w:color w:val="auto"/>
              </w:rPr>
            </w:pPr>
            <w:r>
              <w:rPr>
                <w:rFonts w:ascii="Arial" w:cs="Arial" w:eastAsia="Arial" w:hAnsi="Arial"/>
                <w:sz w:val="11"/>
                <w:szCs w:val="11"/>
                <w:b w:val="1"/>
                <w:bCs w:val="1"/>
                <w:color w:val="auto"/>
              </w:rPr>
              <w:t>Portland, Oregon 97204</w:t>
            </w:r>
          </w:p>
        </w:tc>
        <w:tc>
          <w:tcPr>
            <w:tcW w:w="1720" w:type="dxa"/>
            <w:vAlign w:val="bottom"/>
          </w:tcPr>
          <w:p>
            <w:pPr>
              <w:spacing w:after="0"/>
              <w:rPr>
                <w:sz w:val="9"/>
                <w:szCs w:val="9"/>
                <w:color w:val="auto"/>
              </w:rPr>
            </w:pPr>
          </w:p>
        </w:tc>
      </w:tr>
      <w:tr>
        <w:trPr>
          <w:trHeight w:val="129"/>
        </w:trPr>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Telephone: (971) 365-3939</w:t>
            </w:r>
          </w:p>
        </w:tc>
        <w:tc>
          <w:tcPr>
            <w:tcW w:w="1720" w:type="dxa"/>
            <w:vAlign w:val="bottom"/>
          </w:tcPr>
          <w:p>
            <w:pPr>
              <w:spacing w:after="0"/>
              <w:rPr>
                <w:sz w:val="11"/>
                <w:szCs w:val="11"/>
                <w:color w:val="auto"/>
              </w:rPr>
            </w:pPr>
          </w:p>
        </w:tc>
      </w:tr>
      <w:tr>
        <w:trPr>
          <w:trHeight w:val="137"/>
        </w:trPr>
        <w:tc>
          <w:tcPr>
            <w:tcW w:w="1600" w:type="dxa"/>
            <w:vAlign w:val="bottom"/>
          </w:tcPr>
          <w:p>
            <w:pPr>
              <w:spacing w:after="0"/>
              <w:rPr>
                <w:sz w:val="11"/>
                <w:szCs w:val="11"/>
                <w:color w:val="auto"/>
              </w:rPr>
            </w:pPr>
          </w:p>
        </w:tc>
        <w:tc>
          <w:tcPr>
            <w:tcW w:w="5840" w:type="dxa"/>
            <w:vAlign w:val="bottom"/>
            <w:gridSpan w:val="3"/>
          </w:tcPr>
          <w:p>
            <w:pPr>
              <w:jc w:val="center"/>
              <w:spacing w:after="0"/>
              <w:rPr>
                <w:sz w:val="20"/>
                <w:szCs w:val="20"/>
                <w:color w:val="auto"/>
              </w:rPr>
            </w:pPr>
            <w:r>
              <w:rPr>
                <w:rFonts w:ascii="Arial" w:cs="Arial" w:eastAsia="Arial" w:hAnsi="Arial"/>
                <w:sz w:val="11"/>
                <w:szCs w:val="11"/>
                <w:color w:val="auto"/>
              </w:rPr>
              <w:t>(Name, address, including zip code, and telephone number, including area code, of agent for service)</w:t>
            </w:r>
          </w:p>
        </w:tc>
        <w:tc>
          <w:tcPr>
            <w:tcW w:w="1720" w:type="dxa"/>
            <w:vAlign w:val="bottom"/>
          </w:tcPr>
          <w:p>
            <w:pPr>
              <w:spacing w:after="0"/>
              <w:rPr>
                <w:sz w:val="11"/>
                <w:szCs w:val="11"/>
                <w:color w:val="auto"/>
              </w:rPr>
            </w:pPr>
          </w:p>
        </w:tc>
      </w:tr>
      <w:tr>
        <w:trPr>
          <w:trHeight w:val="76"/>
        </w:trPr>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r>
      <w:tr>
        <w:trPr>
          <w:trHeight w:val="197"/>
        </w:trPr>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Copies to:</w:t>
            </w:r>
          </w:p>
        </w:tc>
        <w:tc>
          <w:tcPr>
            <w:tcW w:w="1720" w:type="dxa"/>
            <w:vAlign w:val="bottom"/>
          </w:tcPr>
          <w:p>
            <w:pPr>
              <w:spacing w:after="0"/>
              <w:rPr>
                <w:sz w:val="17"/>
                <w:szCs w:val="17"/>
                <w:color w:val="auto"/>
              </w:rPr>
            </w:pPr>
          </w:p>
        </w:tc>
      </w:tr>
      <w:tr>
        <w:trPr>
          <w:trHeight w:val="166"/>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Tad J. Freese</w:t>
            </w:r>
          </w:p>
        </w:tc>
        <w:tc>
          <w:tcPr>
            <w:tcW w:w="1320" w:type="dxa"/>
            <w:vAlign w:val="bottom"/>
          </w:tcPr>
          <w:p>
            <w:pPr>
              <w:spacing w:after="0"/>
              <w:rPr>
                <w:sz w:val="14"/>
                <w:szCs w:val="14"/>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Ryan Schaffer</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Dave Peinsipp</w:t>
            </w:r>
          </w:p>
        </w:tc>
      </w:tr>
      <w:tr>
        <w:trPr>
          <w:trHeight w:val="134"/>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Alexa M. Berlin</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Chief Financial Officer</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Kristin VanderPas</w:t>
            </w:r>
          </w:p>
        </w:tc>
      </w:tr>
      <w:tr>
        <w:trPr>
          <w:trHeight w:val="134"/>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Benjamin A. Potter</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Expensify, Inc.</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Denny Won</w:t>
            </w:r>
          </w:p>
        </w:tc>
      </w:tr>
      <w:tr>
        <w:trPr>
          <w:trHeight w:val="134"/>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Christopher Shoff</w:t>
            </w:r>
          </w:p>
        </w:tc>
        <w:tc>
          <w:tcPr>
            <w:tcW w:w="1320" w:type="dxa"/>
            <w:vAlign w:val="bottom"/>
          </w:tcPr>
          <w:p>
            <w:pPr>
              <w:spacing w:after="0"/>
              <w:rPr>
                <w:sz w:val="11"/>
                <w:szCs w:val="11"/>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401 SW 5th Ave</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Cooley LLP</w:t>
            </w:r>
          </w:p>
        </w:tc>
      </w:tr>
      <w:tr>
        <w:trPr>
          <w:trHeight w:val="134"/>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Latham &amp; Watkins LLP</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Portland, Oregon 97204</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101 California Street, 5th Floor</w:t>
            </w:r>
          </w:p>
        </w:tc>
      </w:tr>
      <w:tr>
        <w:trPr>
          <w:trHeight w:val="134"/>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140 Scott Drive</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Telephone: (971) 365-3939</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San Francisco, California 94111</w:t>
            </w:r>
          </w:p>
        </w:tc>
      </w:tr>
      <w:tr>
        <w:trPr>
          <w:trHeight w:val="134"/>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Menlo Park, California 94025</w:t>
            </w:r>
          </w:p>
        </w:tc>
        <w:tc>
          <w:tcPr>
            <w:tcW w:w="13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Telephone: (415) 693-2000</w:t>
            </w:r>
          </w:p>
        </w:tc>
      </w:tr>
      <w:tr>
        <w:trPr>
          <w:trHeight w:val="151"/>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Telephone: (650) 328-4600</w:t>
            </w:r>
          </w:p>
        </w:tc>
        <w:tc>
          <w:tcPr>
            <w:tcW w:w="13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2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2558415</wp:posOffset>
            </wp:positionH>
            <wp:positionV relativeFrom="paragraph">
              <wp:posOffset>117475</wp:posOffset>
            </wp:positionV>
            <wp:extent cx="20262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 xml:space="preserve">Approximate date of commencement of proposed sale to the public: </w:t>
      </w:r>
      <w:r>
        <w:rPr>
          <w:rFonts w:ascii="Arial" w:cs="Arial" w:eastAsia="Arial" w:hAnsi="Arial"/>
          <w:sz w:val="11"/>
          <w:szCs w:val="1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2558415</wp:posOffset>
            </wp:positionH>
            <wp:positionV relativeFrom="paragraph">
              <wp:posOffset>63500</wp:posOffset>
            </wp:positionV>
            <wp:extent cx="2026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13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109" w:lineRule="exact"/>
        <w:rPr>
          <w:sz w:val="24"/>
          <w:szCs w:val="24"/>
          <w:color w:val="auto"/>
        </w:rPr>
      </w:pPr>
    </w:p>
    <w:p>
      <w:pPr>
        <w:ind w:right="420"/>
        <w:spacing w:after="0" w:line="142"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6" w:lineRule="exact"/>
        <w:rPr>
          <w:sz w:val="24"/>
          <w:szCs w:val="24"/>
          <w:color w:val="auto"/>
        </w:rPr>
      </w:pPr>
    </w:p>
    <w:p>
      <w:pPr>
        <w:ind w:right="160"/>
        <w:spacing w:after="0" w:line="142"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6" w:lineRule="exact"/>
        <w:rPr>
          <w:sz w:val="24"/>
          <w:szCs w:val="24"/>
          <w:color w:val="auto"/>
        </w:rPr>
      </w:pPr>
    </w:p>
    <w:p>
      <w:pPr>
        <w:ind w:right="160"/>
        <w:spacing w:after="0" w:line="142" w:lineRule="exact"/>
        <w:rPr>
          <w:sz w:val="20"/>
          <w:szCs w:val="20"/>
          <w:color w:val="auto"/>
        </w:rPr>
      </w:pPr>
      <w:r>
        <w:rPr>
          <w:rFonts w:ascii="Arial" w:cs="Arial" w:eastAsia="Arial" w:hAnsi="Arial"/>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9" w:lineRule="exact"/>
        <w:rPr>
          <w:sz w:val="24"/>
          <w:szCs w:val="24"/>
          <w:color w:val="auto"/>
        </w:rPr>
      </w:pPr>
    </w:p>
    <w:p>
      <w:pPr>
        <w:ind w:right="220"/>
        <w:spacing w:after="0" w:line="27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p>
      <w:pPr>
        <w:ind w:left="20"/>
        <w:spacing w:after="0" w:line="127" w:lineRule="exact"/>
        <w:tabs>
          <w:tab w:leader="none" w:pos="8040" w:val="left"/>
        </w:tabs>
        <w:rPr>
          <w:sz w:val="20"/>
          <w:szCs w:val="20"/>
          <w:color w:val="auto"/>
        </w:rPr>
      </w:pPr>
      <w:r>
        <w:rPr>
          <w:rFonts w:ascii="Arial" w:cs="Arial" w:eastAsia="Arial" w:hAnsi="Arial"/>
          <w:sz w:val="11"/>
          <w:szCs w:val="11"/>
          <w:b w:val="1"/>
          <w:bCs w:val="1"/>
          <w:color w:val="auto"/>
        </w:rPr>
        <w:t xml:space="preserve">Large accelerated filer </w:t>
      </w:r>
      <w:r>
        <w:rPr>
          <w:rFonts w:ascii="MS PGothic" w:cs="MS PGothic" w:eastAsia="MS PGothic" w:hAnsi="MS PGothic"/>
          <w:sz w:val="11"/>
          <w:szCs w:val="11"/>
          <w:color w:val="auto"/>
          <w:highlight w:val="black"/>
        </w:rPr>
        <w:t>☐</w:t>
      </w:r>
      <w:r>
        <w:rPr>
          <w:sz w:val="20"/>
          <w:szCs w:val="20"/>
          <w:color w:val="auto"/>
        </w:rPr>
        <w:tab/>
      </w:r>
      <w:r>
        <w:rPr>
          <w:rFonts w:ascii="Arial" w:cs="Arial" w:eastAsia="Arial" w:hAnsi="Arial"/>
          <w:sz w:val="11"/>
          <w:szCs w:val="11"/>
          <w:b w:val="1"/>
          <w:bCs w:val="1"/>
          <w:color w:val="auto"/>
        </w:rPr>
        <w:t xml:space="preserve">Accelerated filer </w:t>
      </w:r>
      <w:r>
        <w:rPr>
          <w:rFonts w:ascii="MS PGothic" w:cs="MS PGothic" w:eastAsia="MS PGothic" w:hAnsi="MS PGothic"/>
          <w:sz w:val="11"/>
          <w:szCs w:val="11"/>
          <w:color w:val="auto"/>
          <w:highlight w:val="black"/>
        </w:rPr>
        <w:t>☐</w:t>
      </w:r>
    </w:p>
    <w:p>
      <w:pPr>
        <w:spacing w:after="0" w:line="105" w:lineRule="exact"/>
        <w:rPr>
          <w:sz w:val="24"/>
          <w:szCs w:val="24"/>
          <w:color w:val="auto"/>
        </w:rPr>
      </w:pPr>
    </w:p>
    <w:p>
      <w:pPr>
        <w:ind w:left="20"/>
        <w:spacing w:after="0" w:line="127" w:lineRule="exact"/>
        <w:tabs>
          <w:tab w:leader="none" w:pos="8040" w:val="left"/>
        </w:tabs>
        <w:rPr>
          <w:sz w:val="20"/>
          <w:szCs w:val="20"/>
          <w:color w:val="auto"/>
        </w:rPr>
      </w:pPr>
      <w:r>
        <w:rPr>
          <w:rFonts w:ascii="Arial" w:cs="Arial" w:eastAsia="Arial" w:hAnsi="Arial"/>
          <w:sz w:val="11"/>
          <w:szCs w:val="11"/>
          <w:b w:val="1"/>
          <w:bCs w:val="1"/>
          <w:color w:val="auto"/>
        </w:rPr>
        <w:t xml:space="preserve">Non-accelerated filer </w:t>
      </w:r>
      <w:r>
        <w:rPr>
          <w:rFonts w:ascii="MS PGothic" w:cs="MS PGothic" w:eastAsia="MS PGothic" w:hAnsi="MS PGothic"/>
          <w:sz w:val="11"/>
          <w:szCs w:val="11"/>
          <w:color w:val="auto"/>
          <w:highlight w:val="black"/>
        </w:rPr>
        <w:t>☒</w:t>
      </w:r>
      <w:r>
        <w:rPr>
          <w:sz w:val="20"/>
          <w:szCs w:val="20"/>
          <w:color w:val="auto"/>
        </w:rPr>
        <w:tab/>
      </w:r>
      <w:r>
        <w:rPr>
          <w:rFonts w:ascii="Arial" w:cs="Arial" w:eastAsia="Arial" w:hAnsi="Arial"/>
          <w:sz w:val="11"/>
          <w:szCs w:val="11"/>
          <w:b w:val="1"/>
          <w:bCs w:val="1"/>
          <w:color w:val="auto"/>
        </w:rPr>
        <w:t xml:space="preserve">Smaller reporting company </w:t>
      </w:r>
      <w:r>
        <w:rPr>
          <w:rFonts w:ascii="MS PGothic" w:cs="MS PGothic" w:eastAsia="MS PGothic" w:hAnsi="MS PGothic"/>
          <w:sz w:val="11"/>
          <w:szCs w:val="11"/>
          <w:color w:val="auto"/>
          <w:highlight w:val="black"/>
        </w:rPr>
        <w:t>☐</w:t>
      </w:r>
    </w:p>
    <w:p>
      <w:pPr>
        <w:spacing w:after="0" w:line="105" w:lineRule="exact"/>
        <w:rPr>
          <w:sz w:val="24"/>
          <w:szCs w:val="24"/>
          <w:color w:val="auto"/>
        </w:rPr>
      </w:pPr>
    </w:p>
    <w:p>
      <w:pPr>
        <w:ind w:left="20"/>
        <w:spacing w:after="0" w:line="127" w:lineRule="exact"/>
        <w:rPr>
          <w:sz w:val="20"/>
          <w:szCs w:val="20"/>
          <w:color w:val="auto"/>
        </w:rPr>
      </w:pPr>
      <w:r>
        <w:rPr>
          <w:rFonts w:ascii="Arial" w:cs="Arial" w:eastAsia="Arial" w:hAnsi="Arial"/>
          <w:sz w:val="11"/>
          <w:szCs w:val="11"/>
          <w:b w:val="1"/>
          <w:bCs w:val="1"/>
          <w:color w:val="auto"/>
        </w:rPr>
        <w:t xml:space="preserve">Emerging growth company </w:t>
      </w:r>
      <w:r>
        <w:rPr>
          <w:rFonts w:ascii="MS PGothic" w:cs="MS PGothic" w:eastAsia="MS PGothic" w:hAnsi="MS PGothic"/>
          <w:sz w:val="11"/>
          <w:szCs w:val="11"/>
          <w:color w:val="auto"/>
          <w:highlight w:val="black"/>
        </w:rPr>
        <w:t>☒</w:t>
      </w:r>
    </w:p>
    <w:p>
      <w:pPr>
        <w:spacing w:after="0" w:line="146" w:lineRule="exact"/>
        <w:rPr>
          <w:sz w:val="24"/>
          <w:szCs w:val="24"/>
          <w:color w:val="auto"/>
        </w:rPr>
      </w:pPr>
    </w:p>
    <w:p>
      <w:pPr>
        <w:ind w:right="140"/>
        <w:spacing w:after="0" w:line="176" w:lineRule="exact"/>
        <w:rPr>
          <w:sz w:val="20"/>
          <w:szCs w:val="20"/>
          <w:color w:val="auto"/>
        </w:rPr>
      </w:pPr>
      <w:r>
        <w:rPr>
          <w:rFonts w:ascii="Arial" w:cs="Arial" w:eastAsia="Arial" w:hAnsi="Arial"/>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2558415</wp:posOffset>
            </wp:positionH>
            <wp:positionV relativeFrom="paragraph">
              <wp:posOffset>36195</wp:posOffset>
            </wp:positionV>
            <wp:extent cx="2026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ectPr>
          <w:pgSz w:w="11900" w:h="16838" w:orient="portrait"/>
          <w:cols w:equalWidth="0" w:num="1">
            <w:col w:w="11260"/>
          </w:cols>
          <w:pgMar w:left="320" w:top="651" w:right="319" w:bottom="1440" w:gutter="0" w:footer="0" w:header="0"/>
        </w:sectPr>
      </w:pP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4460" w:type="dxa"/>
            <w:vAlign w:val="bottom"/>
          </w:tcPr>
          <w:p>
            <w:pPr>
              <w:spacing w:after="0"/>
              <w:rPr>
                <w:sz w:val="13"/>
                <w:szCs w:val="13"/>
                <w:color w:val="auto"/>
              </w:rPr>
            </w:pPr>
          </w:p>
        </w:tc>
        <w:tc>
          <w:tcPr>
            <w:tcW w:w="4260" w:type="dxa"/>
            <w:vAlign w:val="bottom"/>
            <w:gridSpan w:val="3"/>
          </w:tcPr>
          <w:p>
            <w:pPr>
              <w:ind w:left="100"/>
              <w:spacing w:after="0"/>
              <w:rPr>
                <w:sz w:val="20"/>
                <w:szCs w:val="20"/>
                <w:color w:val="auto"/>
              </w:rPr>
            </w:pPr>
            <w:r>
              <w:rPr>
                <w:rFonts w:ascii="Arial" w:cs="Arial" w:eastAsia="Arial" w:hAnsi="Arial"/>
                <w:sz w:val="11"/>
                <w:szCs w:val="11"/>
                <w:b w:val="1"/>
                <w:bCs w:val="1"/>
                <w:color w:val="auto"/>
              </w:rPr>
              <w:t>CALCULATION OF REGISTRATION FEE</w:t>
            </w:r>
          </w:p>
        </w:tc>
        <w:tc>
          <w:tcPr>
            <w:tcW w:w="0" w:type="dxa"/>
            <w:vAlign w:val="bottom"/>
          </w:tcPr>
          <w:p>
            <w:pPr>
              <w:spacing w:after="0"/>
              <w:rPr>
                <w:sz w:val="1"/>
                <w:szCs w:val="1"/>
                <w:color w:val="auto"/>
              </w:rPr>
            </w:pPr>
          </w:p>
        </w:tc>
      </w:tr>
      <w:tr>
        <w:trPr>
          <w:trHeight w:val="185"/>
        </w:trPr>
        <w:tc>
          <w:tcPr>
            <w:tcW w:w="4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Arial" w:cs="Arial" w:eastAsia="Arial" w:hAnsi="Arial"/>
                <w:sz w:val="11"/>
                <w:szCs w:val="11"/>
                <w:b w:val="1"/>
                <w:bCs w:val="1"/>
                <w:color w:val="auto"/>
              </w:rPr>
              <w:t>Proposed</w:t>
            </w:r>
          </w:p>
        </w:tc>
        <w:tc>
          <w:tcPr>
            <w:tcW w:w="0" w:type="dxa"/>
            <w:vAlign w:val="bottom"/>
          </w:tcPr>
          <w:p>
            <w:pPr>
              <w:spacing w:after="0"/>
              <w:rPr>
                <w:sz w:val="1"/>
                <w:szCs w:val="1"/>
                <w:color w:val="auto"/>
              </w:rPr>
            </w:pPr>
          </w:p>
        </w:tc>
      </w:tr>
      <w:tr>
        <w:trPr>
          <w:trHeight w:val="110"/>
        </w:trPr>
        <w:tc>
          <w:tcPr>
            <w:tcW w:w="4460" w:type="dxa"/>
            <w:vAlign w:val="bottom"/>
            <w:vMerge w:val="restart"/>
          </w:tcPr>
          <w:p>
            <w:pPr>
              <w:jc w:val="center"/>
              <w:ind w:left="1543"/>
              <w:spacing w:after="0"/>
              <w:rPr>
                <w:sz w:val="20"/>
                <w:szCs w:val="20"/>
                <w:color w:val="auto"/>
              </w:rPr>
            </w:pPr>
            <w:r>
              <w:rPr>
                <w:rFonts w:ascii="Arial" w:cs="Arial" w:eastAsia="Arial" w:hAnsi="Arial"/>
                <w:sz w:val="11"/>
                <w:szCs w:val="11"/>
                <w:b w:val="1"/>
                <w:bCs w:val="1"/>
                <w:color w:val="auto"/>
              </w:rPr>
              <w:t>Title of each class of</w:t>
            </w: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maximum</w:t>
            </w:r>
          </w:p>
        </w:tc>
        <w:tc>
          <w:tcPr>
            <w:tcW w:w="0" w:type="dxa"/>
            <w:vAlign w:val="bottom"/>
          </w:tcPr>
          <w:p>
            <w:pPr>
              <w:spacing w:after="0"/>
              <w:rPr>
                <w:sz w:val="1"/>
                <w:szCs w:val="1"/>
                <w:color w:val="auto"/>
              </w:rPr>
            </w:pPr>
          </w:p>
        </w:tc>
      </w:tr>
      <w:tr>
        <w:trPr>
          <w:trHeight w:val="110"/>
        </w:trPr>
        <w:tc>
          <w:tcPr>
            <w:tcW w:w="446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58"/>
        </w:trPr>
        <w:tc>
          <w:tcPr>
            <w:tcW w:w="4460" w:type="dxa"/>
            <w:vAlign w:val="bottom"/>
            <w:tcBorders>
              <w:bottom w:val="single" w:sz="8" w:color="auto"/>
            </w:tcBorders>
          </w:tcPr>
          <w:p>
            <w:pPr>
              <w:jc w:val="center"/>
              <w:ind w:left="1543"/>
              <w:spacing w:after="0"/>
              <w:rPr>
                <w:sz w:val="20"/>
                <w:szCs w:val="20"/>
                <w:color w:val="auto"/>
              </w:rPr>
            </w:pPr>
            <w:r>
              <w:rPr>
                <w:rFonts w:ascii="Arial" w:cs="Arial" w:eastAsia="Arial" w:hAnsi="Arial"/>
                <w:sz w:val="11"/>
                <w:szCs w:val="11"/>
                <w:b w:val="1"/>
                <w:bCs w:val="1"/>
                <w:color w:val="auto"/>
              </w:rPr>
              <w:t>securities to be registered</w:t>
            </w:r>
          </w:p>
        </w:tc>
        <w:tc>
          <w:tcPr>
            <w:tcW w:w="1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rPr>
              <w:t>offering price</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282"/>
        </w:trPr>
        <w:tc>
          <w:tcPr>
            <w:tcW w:w="4460" w:type="dxa"/>
            <w:vAlign w:val="bottom"/>
          </w:tcPr>
          <w:p>
            <w:pPr>
              <w:jc w:val="center"/>
              <w:ind w:left="1543"/>
              <w:spacing w:after="0"/>
              <w:rPr>
                <w:sz w:val="20"/>
                <w:szCs w:val="20"/>
                <w:color w:val="auto"/>
              </w:rPr>
            </w:pPr>
            <w:r>
              <w:rPr>
                <w:rFonts w:ascii="Arial" w:cs="Arial" w:eastAsia="Arial" w:hAnsi="Arial"/>
                <w:sz w:val="11"/>
                <w:szCs w:val="11"/>
                <w:color w:val="auto"/>
              </w:rPr>
              <w:t>Class A Common Stock, par value $0.0001 per share</w:t>
            </w:r>
          </w:p>
        </w:tc>
        <w:tc>
          <w:tcPr>
            <w:tcW w:w="4260" w:type="dxa"/>
            <w:vAlign w:val="bottom"/>
            <w:gridSpan w:val="3"/>
          </w:tcPr>
          <w:p>
            <w:pPr>
              <w:jc w:val="center"/>
              <w:ind w:left="1663"/>
              <w:spacing w:after="0"/>
              <w:rPr>
                <w:sz w:val="20"/>
                <w:szCs w:val="20"/>
                <w:color w:val="auto"/>
              </w:rPr>
            </w:pPr>
            <w:r>
              <w:rPr>
                <w:rFonts w:ascii="Arial" w:cs="Arial" w:eastAsia="Arial" w:hAnsi="Arial"/>
                <w:sz w:val="11"/>
                <w:szCs w:val="11"/>
                <w:color w:val="auto"/>
              </w:rPr>
              <w:t>$100,000,000</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580" w:right="200" w:hanging="290"/>
        <w:spacing w:after="0" w:line="228" w:lineRule="auto"/>
        <w:tabs>
          <w:tab w:leader="none" w:pos="577" w:val="left"/>
        </w:tabs>
        <w:numPr>
          <w:ilvl w:val="0"/>
          <w:numId w:val="1"/>
        </w:numPr>
        <w:rPr>
          <w:rFonts w:ascii="Arial" w:cs="Arial" w:eastAsia="Arial" w:hAnsi="Arial"/>
          <w:sz w:val="10"/>
          <w:szCs w:val="10"/>
          <w:color w:val="auto"/>
        </w:rPr>
      </w:pPr>
      <w:r>
        <w:rPr>
          <w:rFonts w:ascii="Arial" w:cs="Arial" w:eastAsia="Arial" w:hAnsi="Arial"/>
          <w:sz w:val="10"/>
          <w:szCs w:val="10"/>
          <w:color w:val="auto"/>
        </w:rPr>
        <w:t>Estimated solely for the purpose of calculating the registration fee in accordance with Rule 457(o) under the Securities Act of 1933, as amended. Includes the aggregate offering price of purchase.</w:t>
      </w:r>
    </w:p>
    <w:p>
      <w:pPr>
        <w:ind w:left="580" w:hanging="290"/>
        <w:spacing w:after="0" w:line="228" w:lineRule="auto"/>
        <w:tabs>
          <w:tab w:leader="none" w:pos="580" w:val="left"/>
        </w:tabs>
        <w:numPr>
          <w:ilvl w:val="0"/>
          <w:numId w:val="1"/>
        </w:numPr>
        <w:rPr>
          <w:rFonts w:ascii="Arial" w:cs="Arial" w:eastAsia="Arial" w:hAnsi="Arial"/>
          <w:sz w:val="10"/>
          <w:szCs w:val="10"/>
          <w:color w:val="auto"/>
        </w:rPr>
      </w:pPr>
      <w:r>
        <w:rPr>
          <w:rFonts w:ascii="Arial" w:cs="Arial" w:eastAsia="Arial" w:hAnsi="Arial"/>
          <w:sz w:val="10"/>
          <w:szCs w:val="10"/>
          <w:color w:val="auto"/>
        </w:rPr>
        <w:t>Calculated pursuant to Rule 457(o) based on an estimate of the proposed maximum aggregate offering price.</w:t>
      </w:r>
    </w:p>
    <w:p>
      <w:pPr>
        <w:ind w:left="580" w:hanging="290"/>
        <w:spacing w:after="0"/>
        <w:tabs>
          <w:tab w:leader="none" w:pos="580" w:val="left"/>
        </w:tabs>
        <w:numPr>
          <w:ilvl w:val="0"/>
          <w:numId w:val="1"/>
        </w:numPr>
        <w:rPr>
          <w:rFonts w:ascii="Arial" w:cs="Arial" w:eastAsia="Arial" w:hAnsi="Arial"/>
          <w:sz w:val="10"/>
          <w:szCs w:val="10"/>
          <w:color w:val="auto"/>
        </w:rPr>
      </w:pPr>
      <w:r>
        <w:rPr>
          <w:rFonts w:ascii="Arial" w:cs="Arial" w:eastAsia="Arial" w:hAnsi="Arial"/>
          <w:sz w:val="10"/>
          <w:szCs w:val="10"/>
          <w:color w:val="auto"/>
        </w:rPr>
        <w:t>Previously paid.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Amount of</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registration fee</w:t>
      </w:r>
      <w:r>
        <w:rPr>
          <w:rFonts w:ascii="Arial" w:cs="Arial" w:eastAsia="Arial" w:hAnsi="Arial"/>
          <w:sz w:val="14"/>
          <w:szCs w:val="14"/>
          <w:b w:val="1"/>
          <w:bCs w:val="1"/>
          <w:color w:val="auto"/>
          <w:vertAlign w:val="superscript"/>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1905</wp:posOffset>
            </wp:positionV>
            <wp:extent cx="15392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9240" cy="7620"/>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1"/>
          <w:szCs w:val="11"/>
          <w:color w:val="auto"/>
        </w:rPr>
        <w:t>$9,270</w:t>
      </w:r>
      <w:r>
        <w:rPr>
          <w:rFonts w:ascii="Arial" w:cs="Arial" w:eastAsia="Arial" w:hAnsi="Arial"/>
          <w:sz w:val="14"/>
          <w:szCs w:val="14"/>
          <w:color w:val="auto"/>
          <w:vertAlign w:val="superscript"/>
        </w:rPr>
        <w:t>(3)</w:t>
      </w:r>
    </w:p>
    <w:p>
      <w:pPr>
        <w:spacing w:after="0" w:line="220" w:lineRule="exact"/>
        <w:rPr>
          <w:sz w:val="24"/>
          <w:szCs w:val="24"/>
          <w:color w:val="auto"/>
        </w:rPr>
      </w:pPr>
    </w:p>
    <w:p>
      <w:pPr>
        <w:spacing w:after="0"/>
        <w:rPr>
          <w:sz w:val="20"/>
          <w:szCs w:val="20"/>
          <w:color w:val="auto"/>
        </w:rPr>
      </w:pPr>
      <w:r>
        <w:rPr>
          <w:rFonts w:ascii="Arial" w:cs="Arial" w:eastAsia="Arial" w:hAnsi="Arial"/>
          <w:sz w:val="9"/>
          <w:szCs w:val="9"/>
          <w:color w:val="auto"/>
        </w:rPr>
        <w:t>additional shares that the underwriters have the option to</w:t>
      </w:r>
    </w:p>
    <w:p>
      <w:pPr>
        <w:spacing w:after="0" w:line="367" w:lineRule="exact"/>
        <w:rPr>
          <w:sz w:val="24"/>
          <w:szCs w:val="24"/>
          <w:color w:val="auto"/>
        </w:rPr>
      </w:pPr>
    </w:p>
    <w:p>
      <w:pPr>
        <w:sectPr>
          <w:pgSz w:w="11900" w:h="16838" w:orient="portrait"/>
          <w:cols w:equalWidth="0" w:num="2">
            <w:col w:w="8720" w:space="60"/>
            <w:col w:w="2480"/>
          </w:cols>
          <w:pgMar w:left="320" w:top="651" w:right="319" w:bottom="1440" w:gutter="0" w:footer="0" w:header="0"/>
          <w:type w:val="continuous"/>
        </w:sectPr>
      </w:pPr>
    </w:p>
    <w:p>
      <w:pPr>
        <w:ind w:right="20"/>
        <w:spacing w:after="0" w:line="277"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714565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152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71456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51"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6"/>
          <w:szCs w:val="26"/>
          <w:b w:val="1"/>
          <w:bCs w:val="1"/>
          <w:color w:val="auto"/>
        </w:rPr>
        <w:t>Explanatory note</w:t>
      </w:r>
    </w:p>
    <w:p>
      <w:pPr>
        <w:spacing w:after="0" w:line="29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Due to a printer error, when the Registration Statement on Form S-1 (Registration Number 333-260297) was filed at 5:08 p.m. on October 15, 2021, an incorrect version of the Registration Statement was filed. This Amendment No. 1 to the Form S-1 is being filed to correct this printer error.</w:t>
      </w:r>
    </w:p>
    <w:p>
      <w:pPr>
        <w:sectPr>
          <w:pgSz w:w="11900" w:h="16838" w:orient="portrait"/>
          <w:cols w:equalWidth="0" w:num="1">
            <w:col w:w="10820"/>
          </w:cols>
          <w:pgMar w:left="320" w:top="1407" w:right="759" w:bottom="1440" w:gutter="0" w:footer="0" w:header="0"/>
        </w:sectPr>
      </w:pPr>
    </w:p>
    <w:bookmarkStart w:id="2" w:name="page3"/>
    <w:bookmarkEnd w:id="2"/>
    <w:p>
      <w:pPr>
        <w:ind w:left="500" w:right="859"/>
        <w:spacing w:after="0" w:line="247" w:lineRule="auto"/>
        <w:rPr>
          <w:sz w:val="20"/>
          <w:szCs w:val="20"/>
          <w:color w:val="auto"/>
        </w:rPr>
      </w:pPr>
      <w:r>
        <w:rPr>
          <w:rFonts w:ascii="Arial" w:cs="Arial" w:eastAsia="Arial" w:hAnsi="Arial"/>
          <w:sz w:val="15"/>
          <w:szCs w:val="15"/>
          <w:b w:val="1"/>
          <w:bCs w:val="1"/>
          <w:color w:val="A6555F"/>
        </w:rPr>
        <w:drawing>
          <wp:anchor simplePos="0" relativeHeight="251657728" behindDoc="1" locked="0" layoutInCell="0" allowOverlap="1">
            <wp:simplePos x="0" y="0"/>
            <wp:positionH relativeFrom="page">
              <wp:posOffset>619125</wp:posOffset>
            </wp:positionH>
            <wp:positionV relativeFrom="page">
              <wp:posOffset>328930</wp:posOffset>
            </wp:positionV>
            <wp:extent cx="6310630" cy="8213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0630" cy="8213090"/>
                    </a:xfrm>
                    <a:prstGeom prst="rect">
                      <a:avLst/>
                    </a:prstGeom>
                    <a:noFill/>
                  </pic:spPr>
                </pic:pic>
              </a:graphicData>
            </a:graphic>
          </wp:anchor>
        </w:drawing>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6555F"/>
        </w:rPr>
        <w:t>Subject to completion, dated October 18, 2021</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5"/>
          <w:szCs w:val="15"/>
          <w:color w:val="FFFFFF"/>
        </w:rPr>
        <w:t>Preliminary prospectus</w:t>
      </w:r>
    </w:p>
    <w:p>
      <w:pPr>
        <w:spacing w:after="0" w:line="95" w:lineRule="exact"/>
        <w:rPr>
          <w:sz w:val="20"/>
          <w:szCs w:val="20"/>
          <w:color w:val="auto"/>
        </w:rPr>
      </w:pPr>
    </w:p>
    <w:p>
      <w:pPr>
        <w:ind w:left="1360"/>
        <w:spacing w:after="0"/>
        <w:rPr>
          <w:sz w:val="20"/>
          <w:szCs w:val="20"/>
          <w:color w:val="auto"/>
        </w:rPr>
      </w:pPr>
      <w:r>
        <w:rPr>
          <w:rFonts w:ascii="Arial" w:cs="Arial" w:eastAsia="Arial" w:hAnsi="Arial"/>
          <w:sz w:val="26"/>
          <w:szCs w:val="26"/>
          <w:b w:val="1"/>
          <w:bCs w:val="1"/>
          <w:i w:val="1"/>
          <w:iCs w:val="1"/>
          <w:color w:val="FFFFFF"/>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0"/>
        <w:spacing w:after="0"/>
        <w:rPr>
          <w:sz w:val="20"/>
          <w:szCs w:val="20"/>
          <w:color w:val="auto"/>
        </w:rPr>
      </w:pPr>
      <w:r>
        <w:rPr>
          <w:rFonts w:ascii="Arial" w:cs="Arial" w:eastAsia="Arial" w:hAnsi="Arial"/>
          <w:sz w:val="26"/>
          <w:szCs w:val="26"/>
          <w:b w:val="1"/>
          <w:bCs w:val="1"/>
          <w:color w:val="FFFFFF"/>
        </w:rPr>
        <w:t>Expensify, Inc.</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FFFFFF"/>
        </w:rPr>
        <w:t>Class A common stock</w:t>
      </w:r>
    </w:p>
    <w:p>
      <w:pPr>
        <w:sectPr>
          <w:pgSz w:w="11900" w:h="16838" w:orient="portrait"/>
          <w:cols w:equalWidth="0" w:num="1">
            <w:col w:w="9019"/>
          </w:cols>
          <w:pgMar w:left="1440" w:top="769" w:right="1440" w:bottom="1440" w:gutter="0" w:footer="0" w:header="0"/>
        </w:sectPr>
      </w:pPr>
    </w:p>
    <w:p>
      <w:pPr>
        <w:spacing w:after="0" w:line="165" w:lineRule="exact"/>
        <w:rPr>
          <w:sz w:val="20"/>
          <w:szCs w:val="20"/>
          <w:color w:val="auto"/>
        </w:rPr>
      </w:pPr>
    </w:p>
    <w:p>
      <w:pPr>
        <w:ind w:left="500"/>
        <w:spacing w:after="0"/>
        <w:rPr>
          <w:sz w:val="20"/>
          <w:szCs w:val="20"/>
          <w:color w:val="auto"/>
        </w:rPr>
      </w:pPr>
      <w:r>
        <w:rPr>
          <w:rFonts w:ascii="Arial" w:cs="Arial" w:eastAsia="Arial" w:hAnsi="Arial"/>
          <w:sz w:val="15"/>
          <w:szCs w:val="15"/>
          <w:color w:val="FFFFFF"/>
        </w:rPr>
        <w:t>This is an initial public offering of shares of Class A common stock by Expensify, Inc. We are offering</w:t>
      </w:r>
    </w:p>
    <w:p>
      <w:pPr>
        <w:ind w:left="500"/>
        <w:spacing w:after="0"/>
        <w:rPr>
          <w:sz w:val="20"/>
          <w:szCs w:val="20"/>
          <w:color w:val="auto"/>
        </w:rPr>
      </w:pPr>
      <w:r>
        <w:rPr>
          <w:rFonts w:ascii="Arial" w:cs="Arial" w:eastAsia="Arial" w:hAnsi="Arial"/>
          <w:sz w:val="14"/>
          <w:szCs w:val="14"/>
          <w:color w:val="FFFFFF"/>
        </w:rPr>
        <w:t>our Class A common stock and the selling stockholders identified in this prospectus are offering an additional</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FFFFFF"/>
        </w:rPr>
        <w:t>shares of</w:t>
      </w:r>
    </w:p>
    <w:p>
      <w:pPr>
        <w:spacing w:after="0" w:line="185" w:lineRule="exact"/>
        <w:rPr>
          <w:sz w:val="20"/>
          <w:szCs w:val="20"/>
          <w:color w:val="auto"/>
        </w:rPr>
      </w:pPr>
    </w:p>
    <w:p>
      <w:pPr>
        <w:sectPr>
          <w:pgSz w:w="11900" w:h="16838" w:orient="portrait"/>
          <w:cols w:equalWidth="0" w:num="2">
            <w:col w:w="7540" w:space="140"/>
            <w:col w:w="1339"/>
          </w:cols>
          <w:pgMar w:left="1440" w:top="769" w:right="1440" w:bottom="1440" w:gutter="0" w:footer="0" w:header="0"/>
          <w:type w:val="continuous"/>
        </w:sectPr>
      </w:pPr>
    </w:p>
    <w:p>
      <w:pPr>
        <w:ind w:left="500"/>
        <w:spacing w:after="0"/>
        <w:rPr>
          <w:sz w:val="20"/>
          <w:szCs w:val="20"/>
          <w:color w:val="auto"/>
        </w:rPr>
      </w:pPr>
      <w:r>
        <w:rPr>
          <w:rFonts w:ascii="Arial" w:cs="Arial" w:eastAsia="Arial" w:hAnsi="Arial"/>
          <w:sz w:val="14"/>
          <w:szCs w:val="14"/>
          <w:color w:val="FFFFFF"/>
        </w:rPr>
        <w:t>shares of Class A common stock. We will not receive any proceeds from the sale of shares by the selling stockholders. We</w:t>
      </w:r>
    </w:p>
    <w:p>
      <w:pPr>
        <w:spacing w:after="0" w:line="4" w:lineRule="exact"/>
        <w:rPr>
          <w:sz w:val="20"/>
          <w:szCs w:val="20"/>
          <w:color w:val="auto"/>
        </w:rPr>
      </w:pPr>
    </w:p>
    <w:p>
      <w:pPr>
        <w:ind w:left="500"/>
        <w:spacing w:after="0"/>
        <w:tabs>
          <w:tab w:leader="none" w:pos="5200" w:val="left"/>
          <w:tab w:leader="none" w:pos="6260" w:val="left"/>
        </w:tabs>
        <w:rPr>
          <w:sz w:val="20"/>
          <w:szCs w:val="20"/>
          <w:color w:val="auto"/>
        </w:rPr>
      </w:pPr>
      <w:r>
        <w:rPr>
          <w:rFonts w:ascii="Arial" w:cs="Arial" w:eastAsia="Arial" w:hAnsi="Arial"/>
          <w:sz w:val="15"/>
          <w:szCs w:val="15"/>
          <w:color w:val="FFFFFF"/>
        </w:rPr>
        <w:t>currently expect the initial public offering price to be between $</w:t>
      </w:r>
      <w:r>
        <w:rPr>
          <w:sz w:val="20"/>
          <w:szCs w:val="20"/>
          <w:color w:val="auto"/>
        </w:rPr>
        <w:tab/>
      </w:r>
      <w:r>
        <w:rPr>
          <w:rFonts w:ascii="Arial" w:cs="Arial" w:eastAsia="Arial" w:hAnsi="Arial"/>
          <w:sz w:val="15"/>
          <w:szCs w:val="15"/>
          <w:color w:val="FFFFFF"/>
        </w:rPr>
        <w:t>and $</w:t>
      </w:r>
      <w:r>
        <w:rPr>
          <w:sz w:val="20"/>
          <w:szCs w:val="20"/>
          <w:color w:val="auto"/>
        </w:rPr>
        <w:tab/>
      </w:r>
      <w:r>
        <w:rPr>
          <w:rFonts w:ascii="Arial" w:cs="Arial" w:eastAsia="Arial" w:hAnsi="Arial"/>
          <w:sz w:val="14"/>
          <w:szCs w:val="14"/>
          <w:color w:val="FFFFFF"/>
        </w:rPr>
        <w:t>per share of common stock.</w:t>
      </w:r>
    </w:p>
    <w:p>
      <w:pPr>
        <w:spacing w:after="0" w:line="132" w:lineRule="exact"/>
        <w:rPr>
          <w:sz w:val="20"/>
          <w:szCs w:val="20"/>
          <w:color w:val="auto"/>
        </w:rPr>
      </w:pPr>
    </w:p>
    <w:p>
      <w:pPr>
        <w:ind w:left="500" w:right="699"/>
        <w:spacing w:after="0" w:line="242" w:lineRule="auto"/>
        <w:rPr>
          <w:sz w:val="20"/>
          <w:szCs w:val="20"/>
          <w:color w:val="auto"/>
        </w:rPr>
      </w:pPr>
      <w:r>
        <w:rPr>
          <w:rFonts w:ascii="Arial" w:cs="Arial" w:eastAsia="Arial" w:hAnsi="Arial"/>
          <w:sz w:val="15"/>
          <w:szCs w:val="15"/>
          <w:color w:val="FFFFFF"/>
        </w:rPr>
        <w:t>Prior to this offering, there has been no public market for our common stock. We have applied to list our Class A common stock on The Nasdaq Global Market ("Nasdaq") under the symbol “EXFY.”</w:t>
      </w:r>
    </w:p>
    <w:p>
      <w:pPr>
        <w:spacing w:after="0" w:line="91" w:lineRule="exact"/>
        <w:rPr>
          <w:sz w:val="20"/>
          <w:szCs w:val="20"/>
          <w:color w:val="auto"/>
        </w:rPr>
      </w:pPr>
    </w:p>
    <w:p>
      <w:pPr>
        <w:ind w:left="500" w:right="559"/>
        <w:spacing w:after="0" w:line="238" w:lineRule="auto"/>
        <w:rPr>
          <w:sz w:val="20"/>
          <w:szCs w:val="20"/>
          <w:color w:val="auto"/>
        </w:rPr>
      </w:pPr>
      <w:r>
        <w:rPr>
          <w:rFonts w:ascii="Arial" w:cs="Arial" w:eastAsia="Arial" w:hAnsi="Arial"/>
          <w:sz w:val="15"/>
          <w:szCs w:val="15"/>
          <w:color w:val="FFFFFF"/>
        </w:rPr>
        <w:t xml:space="preserve">Following this offering, we will have three classes of common stock: Class A, LT10 and LT50 common stock. This is a novel capital structure that differs significantly from those of other companies that have dual or multiple class capital structures. The rights of holders of Class A, LT10 and LT50 common stock are identical, except for voting, transfer and conversion rights. Each share of Class A common stock is entitled to one vote. Each share of LT10 and LT50 common stock is entitled to </w:t>
      </w:r>
      <w:r>
        <w:rPr>
          <w:rFonts w:ascii="Arial" w:cs="Arial" w:eastAsia="Arial" w:hAnsi="Arial"/>
          <w:sz w:val="15"/>
          <w:szCs w:val="15"/>
          <w:b w:val="1"/>
          <w:bCs w:val="1"/>
          <w:color w:val="FFFFFF"/>
        </w:rPr>
        <w:t>10</w:t>
      </w:r>
      <w:r>
        <w:rPr>
          <w:rFonts w:ascii="Arial" w:cs="Arial" w:eastAsia="Arial" w:hAnsi="Arial"/>
          <w:sz w:val="15"/>
          <w:szCs w:val="15"/>
          <w:color w:val="FFFFFF"/>
        </w:rPr>
        <w:t xml:space="preserve"> and </w:t>
      </w:r>
      <w:r>
        <w:rPr>
          <w:rFonts w:ascii="Arial" w:cs="Arial" w:eastAsia="Arial" w:hAnsi="Arial"/>
          <w:sz w:val="15"/>
          <w:szCs w:val="15"/>
          <w:b w:val="1"/>
          <w:bCs w:val="1"/>
          <w:color w:val="FFFFFF"/>
        </w:rPr>
        <w:t>50</w:t>
      </w:r>
      <w:r>
        <w:rPr>
          <w:rFonts w:ascii="Arial" w:cs="Arial" w:eastAsia="Arial" w:hAnsi="Arial"/>
          <w:sz w:val="15"/>
          <w:szCs w:val="15"/>
          <w:color w:val="FFFFFF"/>
        </w:rPr>
        <w:t xml:space="preserve"> votes, respectively, and is convertible into one share of Class A common stock only upon, and generally cannot be transferred without, satisfaction of certain notice and other requirements, including a restricted period of </w:t>
      </w:r>
      <w:r>
        <w:rPr>
          <w:rFonts w:ascii="Arial" w:cs="Arial" w:eastAsia="Arial" w:hAnsi="Arial"/>
          <w:sz w:val="15"/>
          <w:szCs w:val="15"/>
          <w:b w:val="1"/>
          <w:bCs w:val="1"/>
          <w:color w:val="FFFFFF"/>
        </w:rPr>
        <w:t>10</w:t>
      </w:r>
      <w:r>
        <w:rPr>
          <w:rFonts w:ascii="Arial" w:cs="Arial" w:eastAsia="Arial" w:hAnsi="Arial"/>
          <w:sz w:val="15"/>
          <w:szCs w:val="15"/>
          <w:color w:val="FFFFFF"/>
        </w:rPr>
        <w:t xml:space="preserve"> </w:t>
      </w:r>
      <w:r>
        <w:rPr>
          <w:rFonts w:ascii="Arial" w:cs="Arial" w:eastAsia="Arial" w:hAnsi="Arial"/>
          <w:sz w:val="15"/>
          <w:szCs w:val="15"/>
          <w:b w:val="1"/>
          <w:bCs w:val="1"/>
          <w:color w:val="FFFFFF"/>
        </w:rPr>
        <w:t xml:space="preserve">months </w:t>
      </w:r>
      <w:r>
        <w:rPr>
          <w:rFonts w:ascii="Arial" w:cs="Arial" w:eastAsia="Arial" w:hAnsi="Arial"/>
          <w:sz w:val="15"/>
          <w:szCs w:val="15"/>
          <w:color w:val="FFFFFF"/>
        </w:rPr>
        <w:t>and</w:t>
      </w:r>
      <w:r>
        <w:rPr>
          <w:rFonts w:ascii="Arial" w:cs="Arial" w:eastAsia="Arial" w:hAnsi="Arial"/>
          <w:sz w:val="15"/>
          <w:szCs w:val="15"/>
          <w:b w:val="1"/>
          <w:bCs w:val="1"/>
          <w:color w:val="FFFFFF"/>
        </w:rPr>
        <w:t xml:space="preserve"> 50 months</w:t>
      </w:r>
      <w:r>
        <w:rPr>
          <w:rFonts w:ascii="Arial" w:cs="Arial" w:eastAsia="Arial" w:hAnsi="Arial"/>
          <w:sz w:val="15"/>
          <w:szCs w:val="15"/>
          <w:color w:val="FFFFFF"/>
        </w:rPr>
        <w:t>, respectively. All of the shares of LT10 and LT50 common stock will be held by a voting trust</w:t>
      </w:r>
      <w:r>
        <w:rPr>
          <w:rFonts w:ascii="Arial" w:cs="Arial" w:eastAsia="Arial" w:hAnsi="Arial"/>
          <w:sz w:val="15"/>
          <w:szCs w:val="15"/>
          <w:b w:val="1"/>
          <w:bCs w:val="1"/>
          <w:color w:val="FFFFFF"/>
        </w:rPr>
        <w:t xml:space="preserve"> </w:t>
      </w:r>
      <w:r>
        <w:rPr>
          <w:rFonts w:ascii="Arial" w:cs="Arial" w:eastAsia="Arial" w:hAnsi="Arial"/>
          <w:sz w:val="15"/>
          <w:szCs w:val="15"/>
          <w:color w:val="FFFFFF"/>
        </w:rPr>
        <w:t>pursuant to a voting trust agreement. This means that, for the foreseeable future, the control of our company will be concentrated with the voting trust, notwithstanding the number of outstanding shares of Class A common stock. For additional information, see the section titled “Description of capital stock—Common stock.”</w:t>
      </w:r>
    </w:p>
    <w:p>
      <w:pPr>
        <w:spacing w:after="0" w:line="92" w:lineRule="exact"/>
        <w:rPr>
          <w:sz w:val="20"/>
          <w:szCs w:val="20"/>
          <w:color w:val="auto"/>
        </w:rPr>
      </w:pPr>
    </w:p>
    <w:p>
      <w:pPr>
        <w:ind w:left="500" w:right="699"/>
        <w:spacing w:after="0" w:line="242" w:lineRule="auto"/>
        <w:rPr>
          <w:sz w:val="20"/>
          <w:szCs w:val="20"/>
          <w:color w:val="auto"/>
        </w:rPr>
      </w:pPr>
      <w:r>
        <w:rPr>
          <w:rFonts w:ascii="Arial" w:cs="Arial" w:eastAsia="Arial" w:hAnsi="Arial"/>
          <w:sz w:val="15"/>
          <w:szCs w:val="15"/>
          <w:color w:val="FFFFFF"/>
        </w:rPr>
        <w:t>We are an “emerging growth company” as defined under the federal securities laws and, as such, have elected to comply with certain reduced reporting requirements.</w:t>
      </w:r>
    </w:p>
    <w:p>
      <w:pPr>
        <w:spacing w:after="0" w:line="138" w:lineRule="exact"/>
        <w:rPr>
          <w:sz w:val="20"/>
          <w:szCs w:val="20"/>
          <w:color w:val="auto"/>
        </w:rPr>
      </w:pPr>
    </w:p>
    <w:tbl>
      <w:tblPr>
        <w:tblLayout w:type="fixed"/>
        <w:tblInd w:w="480" w:type="dxa"/>
        <w:tblCellMar>
          <w:top w:w="0" w:type="dxa"/>
          <w:left w:w="0" w:type="dxa"/>
          <w:bottom w:w="0" w:type="dxa"/>
          <w:right w:w="0" w:type="dxa"/>
        </w:tblCellMar>
      </w:tblPr>
      <w:tr>
        <w:trPr>
          <w:trHeight w:val="49"/>
        </w:trPr>
        <w:tc>
          <w:tcPr>
            <w:tcW w:w="2580" w:type="dxa"/>
            <w:vAlign w:val="bottom"/>
            <w:shd w:val="clear" w:color="auto" w:fill="0B1B34"/>
          </w:tcPr>
          <w:p>
            <w:pPr>
              <w:spacing w:after="0"/>
              <w:rPr>
                <w:sz w:val="4"/>
                <w:szCs w:val="4"/>
                <w:color w:val="auto"/>
              </w:rPr>
            </w:pPr>
          </w:p>
        </w:tc>
        <w:tc>
          <w:tcPr>
            <w:tcW w:w="26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9"/>
        </w:trPr>
        <w:tc>
          <w:tcPr>
            <w:tcW w:w="2580" w:type="dxa"/>
            <w:vAlign w:val="bottom"/>
            <w:shd w:val="clear" w:color="auto" w:fill="0B1B34"/>
          </w:tcPr>
          <w:p>
            <w:pPr>
              <w:spacing w:after="0"/>
              <w:rPr>
                <w:sz w:val="20"/>
                <w:szCs w:val="20"/>
                <w:color w:val="auto"/>
              </w:rPr>
            </w:pPr>
          </w:p>
        </w:tc>
        <w:tc>
          <w:tcPr>
            <w:tcW w:w="2620" w:type="dxa"/>
            <w:vAlign w:val="bottom"/>
            <w:shd w:val="clear" w:color="auto" w:fill="0B1B34"/>
          </w:tcPr>
          <w:p>
            <w:pPr>
              <w:spacing w:after="0"/>
              <w:rPr>
                <w:sz w:val="20"/>
                <w:szCs w:val="20"/>
                <w:color w:val="auto"/>
              </w:rPr>
            </w:pPr>
          </w:p>
        </w:tc>
        <w:tc>
          <w:tcPr>
            <w:tcW w:w="1420" w:type="dxa"/>
            <w:vAlign w:val="bottom"/>
            <w:shd w:val="clear" w:color="auto" w:fill="0B1B34"/>
          </w:tcPr>
          <w:p>
            <w:pPr>
              <w:jc w:val="right"/>
              <w:ind w:right="247"/>
              <w:spacing w:after="0"/>
              <w:rPr>
                <w:sz w:val="20"/>
                <w:szCs w:val="20"/>
                <w:color w:val="auto"/>
              </w:rPr>
            </w:pPr>
            <w:r>
              <w:rPr>
                <w:rFonts w:ascii="Arial" w:cs="Arial" w:eastAsia="Arial" w:hAnsi="Arial"/>
                <w:sz w:val="15"/>
                <w:szCs w:val="15"/>
                <w:b w:val="1"/>
                <w:bCs w:val="1"/>
                <w:color w:val="FFFFFF"/>
              </w:rPr>
              <w:t>Per share</w:t>
            </w:r>
          </w:p>
        </w:tc>
        <w:tc>
          <w:tcPr>
            <w:tcW w:w="1400" w:type="dxa"/>
            <w:vAlign w:val="bottom"/>
            <w:shd w:val="clear" w:color="auto" w:fill="0B1B34"/>
          </w:tcPr>
          <w:p>
            <w:pPr>
              <w:jc w:val="right"/>
              <w:ind w:right="407"/>
              <w:spacing w:after="0"/>
              <w:rPr>
                <w:sz w:val="20"/>
                <w:szCs w:val="20"/>
                <w:color w:val="auto"/>
              </w:rPr>
            </w:pPr>
            <w:r>
              <w:rPr>
                <w:rFonts w:ascii="Arial" w:cs="Arial" w:eastAsia="Arial" w:hAnsi="Arial"/>
                <w:sz w:val="15"/>
                <w:szCs w:val="15"/>
                <w:b w:val="1"/>
                <w:bCs w:val="1"/>
                <w:color w:val="FFFFFF"/>
              </w:rPr>
              <w:t>Total</w:t>
            </w:r>
          </w:p>
        </w:tc>
      </w:tr>
      <w:tr>
        <w:trPr>
          <w:trHeight w:val="207"/>
        </w:trPr>
        <w:tc>
          <w:tcPr>
            <w:tcW w:w="5200" w:type="dxa"/>
            <w:vAlign w:val="bottom"/>
            <w:gridSpan w:val="2"/>
            <w:shd w:val="clear" w:color="auto" w:fill="0B1B34"/>
          </w:tcPr>
          <w:p>
            <w:pPr>
              <w:ind w:left="20"/>
              <w:spacing w:after="0"/>
              <w:rPr>
                <w:sz w:val="20"/>
                <w:szCs w:val="20"/>
                <w:color w:val="auto"/>
              </w:rPr>
            </w:pPr>
            <w:r>
              <w:rPr>
                <w:rFonts w:ascii="Arial" w:cs="Arial" w:eastAsia="Arial" w:hAnsi="Arial"/>
                <w:sz w:val="15"/>
                <w:szCs w:val="15"/>
                <w:color w:val="FFFFFF"/>
              </w:rPr>
              <w:t>Initial public offering price</w:t>
            </w:r>
          </w:p>
        </w:tc>
        <w:tc>
          <w:tcPr>
            <w:tcW w:w="142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200"/>
        </w:trPr>
        <w:tc>
          <w:tcPr>
            <w:tcW w:w="5200" w:type="dxa"/>
            <w:vAlign w:val="bottom"/>
            <w:gridSpan w:val="2"/>
            <w:shd w:val="clear" w:color="auto" w:fill="0B1B34"/>
          </w:tcPr>
          <w:p>
            <w:pPr>
              <w:ind w:left="20"/>
              <w:spacing w:after="0" w:line="200" w:lineRule="exact"/>
              <w:rPr>
                <w:sz w:val="20"/>
                <w:szCs w:val="20"/>
                <w:color w:val="auto"/>
              </w:rPr>
            </w:pPr>
            <w:r>
              <w:rPr>
                <w:rFonts w:ascii="Arial" w:cs="Arial" w:eastAsia="Arial" w:hAnsi="Arial"/>
                <w:sz w:val="15"/>
                <w:szCs w:val="15"/>
                <w:color w:val="FFFFFF"/>
              </w:rPr>
              <w:t>Underwriting discounts and commissions</w:t>
            </w:r>
            <w:r>
              <w:rPr>
                <w:rFonts w:ascii="Arial" w:cs="Arial" w:eastAsia="Arial" w:hAnsi="Arial"/>
                <w:sz w:val="18"/>
                <w:szCs w:val="18"/>
                <w:color w:val="FFFFFF"/>
                <w:vertAlign w:val="superscript"/>
              </w:rPr>
              <w:t>(1)</w:t>
            </w:r>
          </w:p>
        </w:tc>
        <w:tc>
          <w:tcPr>
            <w:tcW w:w="142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190"/>
        </w:trPr>
        <w:tc>
          <w:tcPr>
            <w:tcW w:w="5200" w:type="dxa"/>
            <w:vAlign w:val="bottom"/>
            <w:gridSpan w:val="2"/>
            <w:shd w:val="clear" w:color="auto" w:fill="0B1B34"/>
          </w:tcPr>
          <w:p>
            <w:pPr>
              <w:ind w:left="20"/>
              <w:spacing w:after="0"/>
              <w:rPr>
                <w:sz w:val="20"/>
                <w:szCs w:val="20"/>
                <w:color w:val="auto"/>
              </w:rPr>
            </w:pPr>
            <w:r>
              <w:rPr>
                <w:rFonts w:ascii="Arial" w:cs="Arial" w:eastAsia="Arial" w:hAnsi="Arial"/>
                <w:sz w:val="15"/>
                <w:szCs w:val="15"/>
                <w:color w:val="FFFFFF"/>
              </w:rPr>
              <w:t>Proceeds to Expensify, Inc., before expenses</w:t>
            </w:r>
          </w:p>
        </w:tc>
        <w:tc>
          <w:tcPr>
            <w:tcW w:w="142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195"/>
        </w:trPr>
        <w:tc>
          <w:tcPr>
            <w:tcW w:w="5200" w:type="dxa"/>
            <w:vAlign w:val="bottom"/>
            <w:gridSpan w:val="2"/>
            <w:shd w:val="clear" w:color="auto" w:fill="0B1B34"/>
          </w:tcPr>
          <w:p>
            <w:pPr>
              <w:ind w:left="20"/>
              <w:spacing w:after="0"/>
              <w:rPr>
                <w:sz w:val="20"/>
                <w:szCs w:val="20"/>
                <w:color w:val="auto"/>
              </w:rPr>
            </w:pPr>
            <w:r>
              <w:rPr>
                <w:rFonts w:ascii="Arial" w:cs="Arial" w:eastAsia="Arial" w:hAnsi="Arial"/>
                <w:sz w:val="15"/>
                <w:szCs w:val="15"/>
                <w:color w:val="FFFFFF"/>
              </w:rPr>
              <w:t>Proceeds to the selling stockholders, before expenses</w:t>
            </w:r>
          </w:p>
        </w:tc>
        <w:tc>
          <w:tcPr>
            <w:tcW w:w="142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53"/>
        </w:trPr>
        <w:tc>
          <w:tcPr>
            <w:tcW w:w="2580" w:type="dxa"/>
            <w:vAlign w:val="bottom"/>
            <w:shd w:val="clear" w:color="auto" w:fill="0B1B34"/>
          </w:tcPr>
          <w:p>
            <w:pPr>
              <w:spacing w:after="0"/>
              <w:rPr>
                <w:sz w:val="4"/>
                <w:szCs w:val="4"/>
                <w:color w:val="auto"/>
              </w:rPr>
            </w:pPr>
          </w:p>
        </w:tc>
        <w:tc>
          <w:tcPr>
            <w:tcW w:w="2620" w:type="dxa"/>
            <w:vAlign w:val="bottom"/>
            <w:shd w:val="clear" w:color="auto" w:fill="0B1B34"/>
          </w:tcPr>
          <w:p>
            <w:pPr>
              <w:spacing w:after="0"/>
              <w:rPr>
                <w:sz w:val="4"/>
                <w:szCs w:val="4"/>
                <w:color w:val="auto"/>
              </w:rPr>
            </w:pPr>
          </w:p>
        </w:tc>
        <w:tc>
          <w:tcPr>
            <w:tcW w:w="1420" w:type="dxa"/>
            <w:vAlign w:val="bottom"/>
            <w:shd w:val="clear" w:color="auto" w:fill="0B1B34"/>
          </w:tcPr>
          <w:p>
            <w:pPr>
              <w:spacing w:after="0"/>
              <w:rPr>
                <w:sz w:val="4"/>
                <w:szCs w:val="4"/>
                <w:color w:val="auto"/>
              </w:rPr>
            </w:pPr>
          </w:p>
        </w:tc>
        <w:tc>
          <w:tcPr>
            <w:tcW w:w="1400" w:type="dxa"/>
            <w:vAlign w:val="bottom"/>
            <w:shd w:val="clear" w:color="auto" w:fill="0B1B34"/>
          </w:tcPr>
          <w:p>
            <w:pPr>
              <w:spacing w:after="0"/>
              <w:rPr>
                <w:sz w:val="4"/>
                <w:szCs w:val="4"/>
                <w:color w:val="auto"/>
              </w:rPr>
            </w:pPr>
          </w:p>
        </w:tc>
      </w:tr>
    </w:tbl>
    <w:p>
      <w:pPr>
        <w:spacing w:after="0" w:line="36" w:lineRule="exact"/>
        <w:rPr>
          <w:sz w:val="20"/>
          <w:szCs w:val="20"/>
          <w:color w:val="auto"/>
        </w:rPr>
      </w:pPr>
    </w:p>
    <w:p>
      <w:pPr>
        <w:ind w:left="780" w:hanging="279"/>
        <w:spacing w:after="0"/>
        <w:tabs>
          <w:tab w:leader="none" w:pos="780" w:val="left"/>
        </w:tabs>
        <w:numPr>
          <w:ilvl w:val="0"/>
          <w:numId w:val="2"/>
        </w:numPr>
        <w:rPr>
          <w:rFonts w:ascii="Arial" w:cs="Arial" w:eastAsia="Arial" w:hAnsi="Arial"/>
          <w:sz w:val="12"/>
          <w:szCs w:val="12"/>
          <w:color w:val="FFFFFF"/>
        </w:rPr>
      </w:pPr>
      <w:r>
        <w:rPr>
          <w:rFonts w:ascii="Arial" w:cs="Arial" w:eastAsia="Arial" w:hAnsi="Arial"/>
          <w:sz w:val="12"/>
          <w:szCs w:val="12"/>
          <w:color w:val="FFFFFF"/>
        </w:rPr>
        <w:t>See “Underwriting” for a description of the compensation payable to the underwriters.</w:t>
      </w:r>
    </w:p>
    <w:p>
      <w:pPr>
        <w:spacing w:after="0" w:line="132" w:lineRule="exact"/>
        <w:rPr>
          <w:sz w:val="20"/>
          <w:szCs w:val="20"/>
          <w:color w:val="auto"/>
        </w:rPr>
      </w:pPr>
    </w:p>
    <w:p>
      <w:pPr>
        <w:ind w:left="500" w:right="639"/>
        <w:spacing w:after="0" w:line="237" w:lineRule="auto"/>
        <w:rPr>
          <w:sz w:val="20"/>
          <w:szCs w:val="20"/>
          <w:color w:val="auto"/>
        </w:rPr>
      </w:pPr>
      <w:r>
        <w:rPr>
          <w:rFonts w:ascii="Arial" w:cs="Arial" w:eastAsia="Arial" w:hAnsi="Arial"/>
          <w:sz w:val="15"/>
          <w:szCs w:val="15"/>
          <w:color w:val="FFFFFF"/>
        </w:rPr>
        <w:t>We have granted the underwriters the option for a period of 30 days to purchase up to an additional shares from us, and the selling stockholders have granted the underwriters the option for a period of 30 days to purchase up to an</w:t>
      </w:r>
    </w:p>
    <w:p>
      <w:pPr>
        <w:ind w:left="500" w:right="879"/>
        <w:spacing w:after="0" w:line="242" w:lineRule="auto"/>
        <w:rPr>
          <w:sz w:val="20"/>
          <w:szCs w:val="20"/>
          <w:color w:val="auto"/>
        </w:rPr>
      </w:pPr>
      <w:r>
        <w:rPr>
          <w:rFonts w:ascii="Arial" w:cs="Arial" w:eastAsia="Arial" w:hAnsi="Arial"/>
          <w:sz w:val="15"/>
          <w:szCs w:val="15"/>
          <w:color w:val="FFFFFF"/>
        </w:rPr>
        <w:t>additional shares from them, in each case at the initial price to the public less the underwriting discounts and commissions.</w:t>
      </w:r>
    </w:p>
    <w:p>
      <w:pPr>
        <w:spacing w:after="0" w:line="109" w:lineRule="exact"/>
        <w:rPr>
          <w:sz w:val="20"/>
          <w:szCs w:val="20"/>
          <w:color w:val="auto"/>
        </w:rPr>
      </w:pPr>
    </w:p>
    <w:p>
      <w:pPr>
        <w:ind w:left="500"/>
        <w:spacing w:after="0"/>
        <w:rPr>
          <w:rFonts w:ascii="Arial" w:cs="Arial" w:eastAsia="Arial" w:hAnsi="Arial"/>
          <w:sz w:val="15"/>
          <w:szCs w:val="15"/>
          <w:b w:val="1"/>
          <w:bCs w:val="1"/>
          <w:color w:val="FFFFFF"/>
        </w:rPr>
      </w:pPr>
      <w:r>
        <w:rPr>
          <w:rFonts w:ascii="Arial" w:cs="Arial" w:eastAsia="Arial" w:hAnsi="Arial"/>
          <w:sz w:val="15"/>
          <w:szCs w:val="15"/>
          <w:b w:val="1"/>
          <w:bCs w:val="1"/>
          <w:color w:val="FFFFFF"/>
        </w:rPr>
        <w:t xml:space="preserve">Investing in our common stock involves a high degree of risk. See “Risk factors” beginning on page </w:t>
      </w:r>
      <w:hyperlink w:anchor="page35">
        <w:r>
          <w:rPr>
            <w:rFonts w:ascii="Arial" w:cs="Arial" w:eastAsia="Arial" w:hAnsi="Arial"/>
            <w:sz w:val="15"/>
            <w:szCs w:val="15"/>
            <w:b w:val="1"/>
            <w:bCs w:val="1"/>
            <w:color w:val="FFFFFF"/>
          </w:rPr>
          <w:t>22.</w:t>
        </w:r>
      </w:hyperlink>
    </w:p>
    <w:p>
      <w:pPr>
        <w:spacing w:after="0" w:line="132" w:lineRule="exact"/>
        <w:rPr>
          <w:sz w:val="20"/>
          <w:szCs w:val="20"/>
          <w:color w:val="auto"/>
        </w:rPr>
      </w:pPr>
    </w:p>
    <w:p>
      <w:pPr>
        <w:ind w:left="500" w:right="559"/>
        <w:spacing w:after="0" w:line="252" w:lineRule="auto"/>
        <w:rPr>
          <w:sz w:val="20"/>
          <w:szCs w:val="20"/>
          <w:color w:val="auto"/>
        </w:rPr>
      </w:pPr>
      <w:r>
        <w:rPr>
          <w:rFonts w:ascii="Arial" w:cs="Arial" w:eastAsia="Arial" w:hAnsi="Arial"/>
          <w:sz w:val="15"/>
          <w:szCs w:val="15"/>
          <w:b w:val="1"/>
          <w:bCs w:val="1"/>
          <w:color w:val="FFFFFF"/>
        </w:rPr>
        <w:t>Neither the Securities and Exchange Commission nor any state securities commission has approved or disapproved of these securities nor passed upon the accuracy or adequacy of this prospectus. Any representation to the contrary is a criminal offense.</w:t>
      </w:r>
    </w:p>
    <w:p>
      <w:pPr>
        <w:spacing w:after="0" w:line="108"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4940" w:type="dxa"/>
            <w:vAlign w:val="bottom"/>
          </w:tcPr>
          <w:p>
            <w:pPr>
              <w:spacing w:after="0"/>
              <w:rPr>
                <w:sz w:val="20"/>
                <w:szCs w:val="20"/>
                <w:color w:val="auto"/>
              </w:rPr>
            </w:pPr>
            <w:r>
              <w:rPr>
                <w:rFonts w:ascii="Arial" w:cs="Arial" w:eastAsia="Arial" w:hAnsi="Arial"/>
                <w:sz w:val="15"/>
                <w:szCs w:val="15"/>
                <w:color w:val="FFFFFF"/>
              </w:rPr>
              <w:t>The underwriters expect to deliver the shares to purchasers on or about</w:t>
            </w:r>
          </w:p>
        </w:tc>
        <w:tc>
          <w:tcPr>
            <w:tcW w:w="740" w:type="dxa"/>
            <w:vAlign w:val="bottom"/>
          </w:tcPr>
          <w:p>
            <w:pPr>
              <w:jc w:val="right"/>
              <w:spacing w:after="0"/>
              <w:rPr>
                <w:sz w:val="20"/>
                <w:szCs w:val="20"/>
                <w:color w:val="auto"/>
              </w:rPr>
            </w:pPr>
            <w:r>
              <w:rPr>
                <w:rFonts w:ascii="Arial" w:cs="Arial" w:eastAsia="Arial" w:hAnsi="Arial"/>
                <w:sz w:val="15"/>
                <w:szCs w:val="15"/>
                <w:color w:val="FFFFFF"/>
              </w:rPr>
              <w:t>, 2021.</w:t>
            </w:r>
          </w:p>
        </w:tc>
      </w:tr>
    </w:tbl>
    <w:p>
      <w:pPr>
        <w:spacing w:after="0" w:line="139" w:lineRule="exact"/>
        <w:rPr>
          <w:sz w:val="20"/>
          <w:szCs w:val="20"/>
          <w:color w:val="auto"/>
        </w:rPr>
      </w:pPr>
    </w:p>
    <w:tbl>
      <w:tblPr>
        <w:tblLayout w:type="fixed"/>
        <w:tblInd w:w="480" w:type="dxa"/>
        <w:tblCellMar>
          <w:top w:w="0" w:type="dxa"/>
          <w:left w:w="0" w:type="dxa"/>
          <w:bottom w:w="0" w:type="dxa"/>
          <w:right w:w="0" w:type="dxa"/>
        </w:tblCellMar>
      </w:tblPr>
      <w:tr>
        <w:trPr>
          <w:trHeight w:val="341"/>
        </w:trPr>
        <w:tc>
          <w:tcPr>
            <w:tcW w:w="2580" w:type="dxa"/>
            <w:vAlign w:val="bottom"/>
            <w:shd w:val="clear" w:color="auto" w:fill="0B1B34"/>
          </w:tcPr>
          <w:p>
            <w:pPr>
              <w:ind w:left="20"/>
              <w:spacing w:after="0"/>
              <w:rPr>
                <w:sz w:val="20"/>
                <w:szCs w:val="20"/>
                <w:color w:val="auto"/>
              </w:rPr>
            </w:pPr>
            <w:r>
              <w:rPr>
                <w:rFonts w:ascii="Arial" w:cs="Arial" w:eastAsia="Arial" w:hAnsi="Arial"/>
                <w:sz w:val="29"/>
                <w:szCs w:val="29"/>
                <w:color w:val="FFFFFF"/>
              </w:rPr>
              <w:t>J.P. Morgan</w:t>
            </w:r>
          </w:p>
        </w:tc>
        <w:tc>
          <w:tcPr>
            <w:tcW w:w="2680" w:type="dxa"/>
            <w:vAlign w:val="bottom"/>
          </w:tcPr>
          <w:p>
            <w:pPr>
              <w:jc w:val="center"/>
              <w:spacing w:after="0"/>
              <w:rPr>
                <w:sz w:val="20"/>
                <w:szCs w:val="20"/>
                <w:color w:val="auto"/>
              </w:rPr>
            </w:pPr>
            <w:r>
              <w:rPr>
                <w:rFonts w:ascii="Arial" w:cs="Arial" w:eastAsia="Arial" w:hAnsi="Arial"/>
                <w:sz w:val="29"/>
                <w:szCs w:val="29"/>
                <w:color w:val="FFFFFF"/>
                <w:w w:val="99"/>
              </w:rPr>
              <w:t>Citigroup</w:t>
            </w:r>
          </w:p>
        </w:tc>
        <w:tc>
          <w:tcPr>
            <w:tcW w:w="2760" w:type="dxa"/>
            <w:vAlign w:val="bottom"/>
          </w:tcPr>
          <w:p>
            <w:pPr>
              <w:jc w:val="right"/>
              <w:spacing w:after="0"/>
              <w:rPr>
                <w:sz w:val="20"/>
                <w:szCs w:val="20"/>
                <w:color w:val="auto"/>
              </w:rPr>
            </w:pPr>
            <w:r>
              <w:rPr>
                <w:rFonts w:ascii="Arial" w:cs="Arial" w:eastAsia="Arial" w:hAnsi="Arial"/>
                <w:sz w:val="29"/>
                <w:szCs w:val="29"/>
                <w:color w:val="FFFFFF"/>
              </w:rPr>
              <w:t>BofA Securities</w:t>
            </w:r>
          </w:p>
        </w:tc>
      </w:tr>
      <w:tr>
        <w:trPr>
          <w:trHeight w:val="241"/>
        </w:trPr>
        <w:tc>
          <w:tcPr>
            <w:tcW w:w="2580" w:type="dxa"/>
            <w:vAlign w:val="bottom"/>
            <w:shd w:val="clear" w:color="auto" w:fill="0B1B34"/>
          </w:tcPr>
          <w:p>
            <w:pPr>
              <w:ind w:left="20"/>
              <w:spacing w:after="0"/>
              <w:rPr>
                <w:sz w:val="20"/>
                <w:szCs w:val="20"/>
                <w:color w:val="auto"/>
              </w:rPr>
            </w:pPr>
            <w:r>
              <w:rPr>
                <w:rFonts w:ascii="Arial" w:cs="Arial" w:eastAsia="Arial" w:hAnsi="Arial"/>
                <w:sz w:val="19"/>
                <w:szCs w:val="19"/>
                <w:color w:val="FFFFFF"/>
              </w:rPr>
              <w:t>Piper Sandler</w:t>
            </w:r>
          </w:p>
        </w:tc>
        <w:tc>
          <w:tcPr>
            <w:tcW w:w="2680" w:type="dxa"/>
            <w:vAlign w:val="bottom"/>
            <w:shd w:val="clear" w:color="auto" w:fill="0B1B34"/>
          </w:tcPr>
          <w:p>
            <w:pPr>
              <w:jc w:val="center"/>
              <w:spacing w:after="0"/>
              <w:rPr>
                <w:sz w:val="20"/>
                <w:szCs w:val="20"/>
                <w:color w:val="auto"/>
              </w:rPr>
            </w:pPr>
            <w:r>
              <w:rPr>
                <w:rFonts w:ascii="Arial" w:cs="Arial" w:eastAsia="Arial" w:hAnsi="Arial"/>
                <w:sz w:val="19"/>
                <w:szCs w:val="19"/>
                <w:color w:val="FFFFFF"/>
              </w:rPr>
              <w:t>JMP Securities</w:t>
            </w:r>
          </w:p>
        </w:tc>
        <w:tc>
          <w:tcPr>
            <w:tcW w:w="2760" w:type="dxa"/>
            <w:vAlign w:val="bottom"/>
            <w:shd w:val="clear" w:color="auto" w:fill="0B1B34"/>
          </w:tcPr>
          <w:p>
            <w:pPr>
              <w:jc w:val="right"/>
              <w:spacing w:after="0"/>
              <w:rPr>
                <w:sz w:val="20"/>
                <w:szCs w:val="20"/>
                <w:color w:val="auto"/>
              </w:rPr>
            </w:pPr>
            <w:r>
              <w:rPr>
                <w:rFonts w:ascii="Arial" w:cs="Arial" w:eastAsia="Arial" w:hAnsi="Arial"/>
                <w:sz w:val="19"/>
                <w:szCs w:val="19"/>
                <w:color w:val="FFFFFF"/>
              </w:rPr>
              <w:t>Loop Capital Markets</w:t>
            </w:r>
          </w:p>
        </w:tc>
      </w:tr>
      <w:tr>
        <w:trPr>
          <w:trHeight w:val="234"/>
        </w:trPr>
        <w:tc>
          <w:tcPr>
            <w:tcW w:w="2580" w:type="dxa"/>
            <w:vAlign w:val="bottom"/>
            <w:shd w:val="clear" w:color="auto" w:fill="0B1B34"/>
          </w:tcPr>
          <w:p>
            <w:pPr>
              <w:jc w:val="right"/>
              <w:ind w:right="1512"/>
              <w:spacing w:after="0"/>
              <w:rPr>
                <w:sz w:val="20"/>
                <w:szCs w:val="20"/>
                <w:color w:val="auto"/>
              </w:rPr>
            </w:pPr>
            <w:r>
              <w:rPr>
                <w:rFonts w:ascii="Arial" w:cs="Arial" w:eastAsia="Arial" w:hAnsi="Arial"/>
                <w:sz w:val="16"/>
                <w:szCs w:val="16"/>
                <w:color w:val="FFFFFF"/>
              </w:rPr>
              <w:t>, 2021.</w:t>
            </w:r>
          </w:p>
        </w:tc>
        <w:tc>
          <w:tcPr>
            <w:tcW w:w="2680" w:type="dxa"/>
            <w:vAlign w:val="bottom"/>
            <w:shd w:val="clear" w:color="auto" w:fill="0B1B34"/>
          </w:tcPr>
          <w:p>
            <w:pPr>
              <w:spacing w:after="0"/>
              <w:rPr>
                <w:sz w:val="20"/>
                <w:szCs w:val="20"/>
                <w:color w:val="auto"/>
              </w:rPr>
            </w:pPr>
          </w:p>
        </w:tc>
        <w:tc>
          <w:tcPr>
            <w:tcW w:w="2760" w:type="dxa"/>
            <w:vAlign w:val="bottom"/>
            <w:shd w:val="clear" w:color="auto" w:fill="0B1B34"/>
          </w:tcPr>
          <w:p>
            <w:pPr>
              <w:spacing w:after="0"/>
              <w:rPr>
                <w:sz w:val="20"/>
                <w:szCs w:val="20"/>
                <w:color w:val="auto"/>
              </w:rPr>
            </w:pPr>
          </w:p>
        </w:tc>
      </w:tr>
      <w:tr>
        <w:trPr>
          <w:trHeight w:val="244"/>
        </w:trPr>
        <w:tc>
          <w:tcPr>
            <w:tcW w:w="2580" w:type="dxa"/>
            <w:vAlign w:val="bottom"/>
            <w:shd w:val="clear" w:color="auto" w:fill="0B1B34"/>
          </w:tcPr>
          <w:p>
            <w:pPr>
              <w:spacing w:after="0"/>
              <w:rPr>
                <w:sz w:val="21"/>
                <w:szCs w:val="21"/>
                <w:color w:val="auto"/>
              </w:rPr>
            </w:pPr>
          </w:p>
        </w:tc>
        <w:tc>
          <w:tcPr>
            <w:tcW w:w="2680" w:type="dxa"/>
            <w:vAlign w:val="bottom"/>
            <w:shd w:val="clear" w:color="auto" w:fill="0B1B34"/>
          </w:tcPr>
          <w:p>
            <w:pPr>
              <w:spacing w:after="0"/>
              <w:rPr>
                <w:sz w:val="21"/>
                <w:szCs w:val="21"/>
                <w:color w:val="auto"/>
              </w:rPr>
            </w:pPr>
          </w:p>
        </w:tc>
        <w:tc>
          <w:tcPr>
            <w:tcW w:w="2760" w:type="dxa"/>
            <w:vAlign w:val="bottom"/>
            <w:shd w:val="clear" w:color="auto" w:fill="0B1B34"/>
          </w:tcPr>
          <w:p>
            <w:pPr>
              <w:spacing w:after="0"/>
              <w:rPr>
                <w:sz w:val="21"/>
                <w:szCs w:val="21"/>
                <w:color w:val="auto"/>
              </w:rPr>
            </w:pPr>
          </w:p>
        </w:tc>
      </w:tr>
    </w:tbl>
    <w:p>
      <w:pPr>
        <w:sectPr>
          <w:pgSz w:w="11900" w:h="16838" w:orient="portrait"/>
          <w:cols w:equalWidth="0" w:num="1">
            <w:col w:w="9019"/>
          </w:cols>
          <w:pgMar w:left="1440" w:top="769" w:right="1440"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Arial" w:cs="Arial" w:eastAsia="Arial" w:hAnsi="Arial"/>
          <w:sz w:val="26"/>
          <w:szCs w:val="26"/>
          <w:b w:val="1"/>
          <w:bCs w:val="1"/>
          <w:color w:val="auto"/>
        </w:rPr>
        <w:t>Table of contents</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1"/>
        </w:trPr>
        <w:tc>
          <w:tcPr>
            <w:tcW w:w="4400" w:type="dxa"/>
            <w:vAlign w:val="bottom"/>
            <w:gridSpan w:val="17"/>
          </w:tcPr>
          <w:p>
            <w:pPr>
              <w:spacing w:after="0" w:line="171" w:lineRule="exact"/>
              <w:rPr>
                <w:rFonts w:ascii="Arial" w:cs="Arial" w:eastAsia="Arial" w:hAnsi="Arial"/>
                <w:sz w:val="16"/>
                <w:szCs w:val="16"/>
                <w:color w:val="0000FF"/>
              </w:rPr>
            </w:pPr>
            <w:hyperlink w:anchor="page14">
              <w:r>
                <w:rPr>
                  <w:rFonts w:ascii="Arial" w:cs="Arial" w:eastAsia="Arial" w:hAnsi="Arial"/>
                  <w:sz w:val="16"/>
                  <w:szCs w:val="16"/>
                  <w:color w:val="0000FF"/>
                </w:rPr>
                <w:t>PROSPECTUS SUMMARY</w:t>
              </w:r>
            </w:hyperlink>
          </w:p>
        </w:tc>
        <w:tc>
          <w:tcPr>
            <w:tcW w:w="740" w:type="dxa"/>
            <w:vAlign w:val="bottom"/>
            <w:gridSpan w:val="4"/>
          </w:tcPr>
          <w:p>
            <w:pPr>
              <w:jc w:val="right"/>
              <w:spacing w:after="0" w:line="171" w:lineRule="exact"/>
              <w:rPr>
                <w:rFonts w:ascii="Arial" w:cs="Arial" w:eastAsia="Arial" w:hAnsi="Arial"/>
                <w:sz w:val="16"/>
                <w:szCs w:val="16"/>
                <w:color w:val="0000FF"/>
              </w:rPr>
            </w:pPr>
            <w:hyperlink w:anchor="page14">
              <w:r>
                <w:rPr>
                  <w:rFonts w:ascii="Arial" w:cs="Arial" w:eastAsia="Arial" w:hAnsi="Arial"/>
                  <w:sz w:val="16"/>
                  <w:szCs w:val="16"/>
                  <w:color w:val="0000FF"/>
                </w:rPr>
                <w:t>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980" w:type="dxa"/>
            <w:vAlign w:val="bottom"/>
            <w:gridSpan w:val="9"/>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RISK FACTORS</w:t>
              </w:r>
            </w:hyperlink>
          </w:p>
        </w:tc>
        <w:tc>
          <w:tcPr>
            <w:tcW w:w="2420" w:type="dxa"/>
            <w:vAlign w:val="bottom"/>
            <w:gridSpan w:val="8"/>
          </w:tcPr>
          <w:p>
            <w:pPr>
              <w:spacing w:after="0"/>
              <w:rPr>
                <w:sz w:val="16"/>
                <w:szCs w:val="16"/>
                <w:color w:val="auto"/>
              </w:rPr>
            </w:pPr>
          </w:p>
        </w:tc>
        <w:tc>
          <w:tcPr>
            <w:tcW w:w="740" w:type="dxa"/>
            <w:vAlign w:val="bottom"/>
            <w:gridSpan w:val="4"/>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22</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CAUTIONARY NOTE REGARDING FORWARD-</w:t>
              </w:r>
            </w:hyperlink>
          </w:p>
        </w:tc>
        <w:tc>
          <w:tcPr>
            <w:tcW w:w="560" w:type="dxa"/>
            <w:vAlign w:val="bottom"/>
            <w:gridSpan w:val="2"/>
            <w:vMerge w:val="restart"/>
          </w:tcPr>
          <w:p>
            <w:pPr>
              <w:spacing w:after="0"/>
              <w:rPr>
                <w:sz w:val="16"/>
                <w:szCs w:val="16"/>
                <w:color w:val="auto"/>
              </w:rPr>
            </w:pPr>
          </w:p>
        </w:tc>
        <w:tc>
          <w:tcPr>
            <w:tcW w:w="180" w:type="dxa"/>
            <w:vAlign w:val="bottom"/>
            <w:gridSpan w:val="2"/>
            <w:vMerge w:val="restart"/>
          </w:tcPr>
          <w:p>
            <w:pPr>
              <w:jc w:val="right"/>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67</w:t>
              </w:r>
            </w:hyperlink>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1860" w:type="dxa"/>
            <w:vAlign w:val="bottom"/>
            <w:tcBorders>
              <w:top w:val="single" w:sz="8" w:color="0000FF"/>
              <w:bottom w:val="single" w:sz="8" w:color="0000FF"/>
            </w:tcBorders>
            <w:gridSpan w:val="9"/>
          </w:tcPr>
          <w:p>
            <w:pPr>
              <w:spacing w:after="0" w:line="138" w:lineRule="exact"/>
              <w:rPr>
                <w:rFonts w:ascii="Arial" w:cs="Arial" w:eastAsia="Arial" w:hAnsi="Arial"/>
                <w:sz w:val="16"/>
                <w:szCs w:val="16"/>
                <w:color w:val="0000FF"/>
                <w:w w:val="99"/>
              </w:rPr>
            </w:pPr>
            <w:hyperlink w:anchor="page80">
              <w:r>
                <w:rPr>
                  <w:rFonts w:ascii="Arial" w:cs="Arial" w:eastAsia="Arial" w:hAnsi="Arial"/>
                  <w:sz w:val="16"/>
                  <w:szCs w:val="16"/>
                  <w:color w:val="0000FF"/>
                  <w:w w:val="99"/>
                </w:rPr>
                <w:t>LOOKING STATEMENTS</w:t>
              </w:r>
            </w:hyperlink>
          </w:p>
        </w:tc>
        <w:tc>
          <w:tcPr>
            <w:tcW w:w="1500" w:type="dxa"/>
            <w:vAlign w:val="bottom"/>
            <w:tcBorders>
              <w:top w:val="single" w:sz="8" w:color="0000FF"/>
            </w:tcBorders>
            <w:gridSpan w:val="4"/>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80" w:type="dxa"/>
            <w:vAlign w:val="bottom"/>
            <w:tcBorders>
              <w:bottom w:val="single" w:sz="8" w:color="0000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MARKET AND INDUSTRY DATA</w:t>
              </w:r>
            </w:hyperlink>
          </w:p>
        </w:tc>
        <w:tc>
          <w:tcPr>
            <w:tcW w:w="740" w:type="dxa"/>
            <w:vAlign w:val="bottom"/>
            <w:gridSpan w:val="4"/>
          </w:tcPr>
          <w:p>
            <w:pPr>
              <w:jc w:val="right"/>
              <w:spacing w:after="0"/>
              <w:rPr>
                <w:rFonts w:ascii="Arial" w:cs="Arial" w:eastAsia="Arial" w:hAnsi="Arial"/>
                <w:sz w:val="16"/>
                <w:szCs w:val="16"/>
                <w:color w:val="0000FF"/>
              </w:rPr>
            </w:pPr>
            <w:hyperlink w:anchor="page82">
              <w:r>
                <w:rPr>
                  <w:rFonts w:ascii="Arial" w:cs="Arial" w:eastAsia="Arial" w:hAnsi="Arial"/>
                  <w:sz w:val="16"/>
                  <w:szCs w:val="16"/>
                  <w:color w:val="0000FF"/>
                </w:rPr>
                <w:t>69</w:t>
              </w:r>
            </w:hyperlink>
          </w:p>
        </w:tc>
        <w:tc>
          <w:tcPr>
            <w:tcW w:w="0" w:type="dxa"/>
            <w:vAlign w:val="bottom"/>
          </w:tcPr>
          <w:p>
            <w:pPr>
              <w:spacing w:after="0"/>
              <w:rPr>
                <w:sz w:val="1"/>
                <w:szCs w:val="1"/>
                <w:color w:val="auto"/>
              </w:rPr>
            </w:pPr>
          </w:p>
        </w:tc>
      </w:tr>
      <w:tr>
        <w:trPr>
          <w:trHeight w:val="187"/>
        </w:trPr>
        <w:tc>
          <w:tcPr>
            <w:tcW w:w="156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USE OF PROCEEDS</w:t>
              </w:r>
            </w:hyperlink>
          </w:p>
        </w:tc>
        <w:tc>
          <w:tcPr>
            <w:tcW w:w="820" w:type="dxa"/>
            <w:vAlign w:val="bottom"/>
            <w:tcBorders>
              <w:top w:val="single" w:sz="8" w:color="0000FF"/>
            </w:tcBorders>
            <w:gridSpan w:val="3"/>
          </w:tcPr>
          <w:p>
            <w:pPr>
              <w:spacing w:after="0"/>
              <w:rPr>
                <w:sz w:val="16"/>
                <w:szCs w:val="16"/>
                <w:color w:val="auto"/>
              </w:rPr>
            </w:pPr>
          </w:p>
        </w:tc>
        <w:tc>
          <w:tcPr>
            <w:tcW w:w="2020" w:type="dxa"/>
            <w:vAlign w:val="bottom"/>
            <w:gridSpan w:val="6"/>
          </w:tcPr>
          <w:p>
            <w:pPr>
              <w:spacing w:after="0"/>
              <w:rPr>
                <w:sz w:val="16"/>
                <w:szCs w:val="16"/>
                <w:color w:val="auto"/>
              </w:rPr>
            </w:pPr>
          </w:p>
        </w:tc>
        <w:tc>
          <w:tcPr>
            <w:tcW w:w="560" w:type="dxa"/>
            <w:vAlign w:val="bottom"/>
            <w:gridSpan w:val="2"/>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83">
              <w:r>
                <w:rPr>
                  <w:rFonts w:ascii="Arial" w:cs="Arial" w:eastAsia="Arial" w:hAnsi="Arial"/>
                  <w:sz w:val="16"/>
                  <w:szCs w:val="16"/>
                  <w:color w:val="0000FF"/>
                  <w:w w:val="89"/>
                </w:rPr>
                <w:t>70</w:t>
              </w:r>
            </w:hyperlink>
          </w:p>
        </w:tc>
        <w:tc>
          <w:tcPr>
            <w:tcW w:w="0" w:type="dxa"/>
            <w:vAlign w:val="bottom"/>
          </w:tcPr>
          <w:p>
            <w:pPr>
              <w:spacing w:after="0"/>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CAPITALIZATION</w:t>
              </w:r>
            </w:hyperlink>
          </w:p>
        </w:tc>
        <w:tc>
          <w:tcPr>
            <w:tcW w:w="740" w:type="dxa"/>
            <w:vAlign w:val="bottom"/>
            <w:gridSpan w:val="4"/>
          </w:tcPr>
          <w:p>
            <w:pPr>
              <w:jc w:val="right"/>
              <w:spacing w:after="0"/>
              <w:rPr>
                <w:rFonts w:ascii="Arial" w:cs="Arial" w:eastAsia="Arial" w:hAnsi="Arial"/>
                <w:sz w:val="16"/>
                <w:szCs w:val="16"/>
                <w:color w:val="0000FF"/>
              </w:rPr>
            </w:pPr>
            <w:hyperlink w:anchor="page84">
              <w:r>
                <w:rPr>
                  <w:rFonts w:ascii="Arial" w:cs="Arial" w:eastAsia="Arial" w:hAnsi="Arial"/>
                  <w:sz w:val="16"/>
                  <w:szCs w:val="16"/>
                  <w:color w:val="0000FF"/>
                </w:rPr>
                <w:t>71</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DIVIDEND POLICY</w:t>
              </w:r>
            </w:hyperlink>
          </w:p>
        </w:tc>
        <w:tc>
          <w:tcPr>
            <w:tcW w:w="740" w:type="dxa"/>
            <w:vAlign w:val="bottom"/>
            <w:gridSpan w:val="4"/>
          </w:tcPr>
          <w:p>
            <w:pPr>
              <w:jc w:val="right"/>
              <w:spacing w:after="0"/>
              <w:rPr>
                <w:rFonts w:ascii="Arial" w:cs="Arial" w:eastAsia="Arial" w:hAnsi="Arial"/>
                <w:sz w:val="16"/>
                <w:szCs w:val="16"/>
                <w:color w:val="0000FF"/>
              </w:rPr>
            </w:pPr>
            <w:hyperlink w:anchor="page86">
              <w:r>
                <w:rPr>
                  <w:rFonts w:ascii="Arial" w:cs="Arial" w:eastAsia="Arial" w:hAnsi="Arial"/>
                  <w:sz w:val="16"/>
                  <w:szCs w:val="16"/>
                  <w:color w:val="0000FF"/>
                </w:rPr>
                <w:t>73</w:t>
              </w:r>
            </w:hyperlink>
          </w:p>
        </w:tc>
        <w:tc>
          <w:tcPr>
            <w:tcW w:w="0" w:type="dxa"/>
            <w:vAlign w:val="bottom"/>
          </w:tcPr>
          <w:p>
            <w:pPr>
              <w:spacing w:after="0"/>
              <w:rPr>
                <w:sz w:val="1"/>
                <w:szCs w:val="1"/>
                <w:color w:val="auto"/>
              </w:rPr>
            </w:pPr>
          </w:p>
        </w:tc>
      </w:tr>
      <w:tr>
        <w:trPr>
          <w:trHeight w:val="187"/>
        </w:trPr>
        <w:tc>
          <w:tcPr>
            <w:tcW w:w="820" w:type="dxa"/>
            <w:vAlign w:val="bottom"/>
            <w:tcBorders>
              <w:top w:val="single" w:sz="8" w:color="0000FF"/>
              <w:bottom w:val="single" w:sz="8" w:color="0000FF"/>
            </w:tcBorders>
            <w:gridSpan w:val="3"/>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DILUTION</w:t>
              </w:r>
            </w:hyperlink>
          </w:p>
        </w:tc>
        <w:tc>
          <w:tcPr>
            <w:tcW w:w="580" w:type="dxa"/>
            <w:vAlign w:val="bottom"/>
            <w:tcBorders>
              <w:top w:val="single" w:sz="8" w:color="0000FF"/>
            </w:tcBorders>
            <w:gridSpan w:val="4"/>
          </w:tcPr>
          <w:p>
            <w:pPr>
              <w:spacing w:after="0"/>
              <w:rPr>
                <w:sz w:val="16"/>
                <w:szCs w:val="16"/>
                <w:color w:val="auto"/>
              </w:rPr>
            </w:pPr>
          </w:p>
        </w:tc>
        <w:tc>
          <w:tcPr>
            <w:tcW w:w="3000" w:type="dxa"/>
            <w:vAlign w:val="bottom"/>
            <w:gridSpan w:val="10"/>
          </w:tcPr>
          <w:p>
            <w:pPr>
              <w:spacing w:after="0"/>
              <w:rPr>
                <w:sz w:val="16"/>
                <w:szCs w:val="16"/>
                <w:color w:val="auto"/>
              </w:rPr>
            </w:pPr>
          </w:p>
        </w:tc>
        <w:tc>
          <w:tcPr>
            <w:tcW w:w="560" w:type="dxa"/>
            <w:vAlign w:val="bottom"/>
            <w:gridSpan w:val="2"/>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87">
              <w:r>
                <w:rPr>
                  <w:rFonts w:ascii="Arial" w:cs="Arial" w:eastAsia="Arial" w:hAnsi="Arial"/>
                  <w:sz w:val="16"/>
                  <w:szCs w:val="16"/>
                  <w:color w:val="0000FF"/>
                  <w:w w:val="89"/>
                </w:rPr>
                <w:t>74</w:t>
              </w:r>
            </w:hyperlink>
          </w:p>
        </w:tc>
        <w:tc>
          <w:tcPr>
            <w:tcW w:w="0" w:type="dxa"/>
            <w:vAlign w:val="bottom"/>
          </w:tcPr>
          <w:p>
            <w:pPr>
              <w:spacing w:after="0"/>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SELECTED CONSOLIDATED FINANCIAL AND OTHER</w:t>
              </w:r>
            </w:hyperlink>
          </w:p>
        </w:tc>
        <w:tc>
          <w:tcPr>
            <w:tcW w:w="740" w:type="dxa"/>
            <w:vAlign w:val="bottom"/>
            <w:gridSpan w:val="4"/>
            <w:vMerge w:val="restart"/>
          </w:tcPr>
          <w:p>
            <w:pPr>
              <w:jc w:val="right"/>
              <w:spacing w:after="0"/>
              <w:rPr>
                <w:rFonts w:ascii="Arial" w:cs="Arial" w:eastAsia="Arial" w:hAnsi="Arial"/>
                <w:sz w:val="16"/>
                <w:szCs w:val="16"/>
                <w:color w:val="0000FF"/>
              </w:rPr>
            </w:pPr>
            <w:hyperlink w:anchor="page90">
              <w:r>
                <w:rPr>
                  <w:rFonts w:ascii="Arial" w:cs="Arial" w:eastAsia="Arial" w:hAnsi="Arial"/>
                  <w:sz w:val="16"/>
                  <w:szCs w:val="16"/>
                  <w:color w:val="0000FF"/>
                </w:rPr>
                <w:t>77</w:t>
              </w:r>
            </w:hyperlink>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3920" w:type="dxa"/>
            <w:vAlign w:val="bottom"/>
            <w:tcBorders>
              <w:top w:val="single" w:sz="8" w:color="0000FF"/>
            </w:tcBorders>
            <w:gridSpan w:val="15"/>
          </w:tcPr>
          <w:p>
            <w:pPr>
              <w:spacing w:after="0" w:line="138" w:lineRule="exact"/>
              <w:rPr>
                <w:rFonts w:ascii="Arial" w:cs="Arial" w:eastAsia="Arial" w:hAnsi="Arial"/>
                <w:sz w:val="16"/>
                <w:szCs w:val="16"/>
                <w:color w:val="0000FF"/>
              </w:rPr>
            </w:pPr>
            <w:hyperlink w:anchor="page90">
              <w:r>
                <w:rPr>
                  <w:rFonts w:ascii="Arial" w:cs="Arial" w:eastAsia="Arial" w:hAnsi="Arial"/>
                  <w:sz w:val="16"/>
                  <w:szCs w:val="16"/>
                  <w:color w:val="0000FF"/>
                </w:rPr>
                <w:t>DATA</w:t>
              </w:r>
            </w:hyperlink>
          </w:p>
        </w:tc>
        <w:tc>
          <w:tcPr>
            <w:tcW w:w="3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95">
              <w:r>
                <w:rPr>
                  <w:rFonts w:ascii="Arial" w:cs="Arial" w:eastAsia="Arial" w:hAnsi="Arial"/>
                  <w:sz w:val="16"/>
                  <w:szCs w:val="16"/>
                  <w:color w:val="0000FF"/>
                </w:rPr>
                <w:t>MANAGEMENT’S DISCUSSION AND ANALYSIS OF</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3700" w:type="dxa"/>
            <w:vAlign w:val="bottom"/>
            <w:tcBorders>
              <w:top w:val="single" w:sz="8" w:color="0000FF"/>
            </w:tcBorders>
            <w:gridSpan w:val="14"/>
          </w:tcPr>
          <w:p>
            <w:pPr>
              <w:spacing w:after="0" w:line="138" w:lineRule="exact"/>
              <w:rPr>
                <w:rFonts w:ascii="Arial" w:cs="Arial" w:eastAsia="Arial" w:hAnsi="Arial"/>
                <w:sz w:val="16"/>
                <w:szCs w:val="16"/>
                <w:color w:val="0000FF"/>
              </w:rPr>
            </w:pPr>
            <w:hyperlink w:anchor="page95">
              <w:r>
                <w:rPr>
                  <w:rFonts w:ascii="Arial" w:cs="Arial" w:eastAsia="Arial" w:hAnsi="Arial"/>
                  <w:sz w:val="16"/>
                  <w:szCs w:val="16"/>
                  <w:color w:val="0000FF"/>
                </w:rPr>
                <w:t>FINANCIAL CONDITION AND RESULTS OF</w:t>
              </w:r>
            </w:hyperlink>
          </w:p>
        </w:tc>
        <w:tc>
          <w:tcPr>
            <w:tcW w:w="560" w:type="dxa"/>
            <w:vAlign w:val="bottom"/>
            <w:gridSpan w:val="2"/>
          </w:tcPr>
          <w:p>
            <w:pPr>
              <w:spacing w:after="0"/>
              <w:rPr>
                <w:sz w:val="12"/>
                <w:szCs w:val="12"/>
                <w:color w:val="auto"/>
              </w:rPr>
            </w:pPr>
          </w:p>
        </w:tc>
        <w:tc>
          <w:tcPr>
            <w:tcW w:w="560" w:type="dxa"/>
            <w:vAlign w:val="bottom"/>
            <w:gridSpan w:val="2"/>
            <w:vMerge w:val="restart"/>
          </w:tcPr>
          <w:p>
            <w:pPr>
              <w:spacing w:after="0"/>
              <w:rPr>
                <w:sz w:val="12"/>
                <w:szCs w:val="12"/>
                <w:color w:val="auto"/>
              </w:rPr>
            </w:pPr>
          </w:p>
        </w:tc>
        <w:tc>
          <w:tcPr>
            <w:tcW w:w="180" w:type="dxa"/>
            <w:vAlign w:val="bottom"/>
            <w:gridSpan w:val="2"/>
            <w:vMerge w:val="restart"/>
          </w:tcPr>
          <w:p>
            <w:pPr>
              <w:jc w:val="right"/>
              <w:spacing w:after="0"/>
              <w:rPr>
                <w:rFonts w:ascii="Arial" w:cs="Arial" w:eastAsia="Arial" w:hAnsi="Arial"/>
                <w:sz w:val="16"/>
                <w:szCs w:val="16"/>
                <w:color w:val="0000FF"/>
                <w:w w:val="89"/>
              </w:rPr>
            </w:pPr>
            <w:hyperlink w:anchor="page95">
              <w:r>
                <w:rPr>
                  <w:rFonts w:ascii="Arial" w:cs="Arial" w:eastAsia="Arial" w:hAnsi="Arial"/>
                  <w:sz w:val="16"/>
                  <w:szCs w:val="16"/>
                  <w:color w:val="0000FF"/>
                  <w:w w:val="89"/>
                </w:rPr>
                <w:t>82</w:t>
              </w:r>
            </w:hyperlink>
          </w:p>
        </w:tc>
        <w:tc>
          <w:tcPr>
            <w:tcW w:w="0" w:type="dxa"/>
            <w:vAlign w:val="bottom"/>
          </w:tcPr>
          <w:p>
            <w:pPr>
              <w:spacing w:after="0"/>
              <w:rPr>
                <w:sz w:val="1"/>
                <w:szCs w:val="1"/>
                <w:color w:val="auto"/>
              </w:rPr>
            </w:pPr>
          </w:p>
        </w:tc>
      </w:tr>
      <w:tr>
        <w:trPr>
          <w:trHeight w:val="138"/>
        </w:trPr>
        <w:tc>
          <w:tcPr>
            <w:tcW w:w="14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4"/>
          </w:tcPr>
          <w:p>
            <w:pPr>
              <w:spacing w:after="0" w:line="138" w:lineRule="exact"/>
              <w:rPr>
                <w:rFonts w:ascii="Arial" w:cs="Arial" w:eastAsia="Arial" w:hAnsi="Arial"/>
                <w:sz w:val="16"/>
                <w:szCs w:val="16"/>
                <w:color w:val="0000FF"/>
                <w:w w:val="99"/>
              </w:rPr>
            </w:pPr>
            <w:hyperlink w:anchor="page95">
              <w:r>
                <w:rPr>
                  <w:rFonts w:ascii="Arial" w:cs="Arial" w:eastAsia="Arial" w:hAnsi="Arial"/>
                  <w:sz w:val="16"/>
                  <w:szCs w:val="16"/>
                  <w:color w:val="0000FF"/>
                  <w:w w:val="99"/>
                </w:rPr>
                <w:t>OPERATIONS</w:t>
              </w:r>
            </w:hyperlink>
          </w:p>
        </w:tc>
        <w:tc>
          <w:tcPr>
            <w:tcW w:w="2180" w:type="dxa"/>
            <w:vAlign w:val="bottom"/>
            <w:tcBorders>
              <w:top w:val="single" w:sz="8" w:color="0000FF"/>
            </w:tcBorders>
            <w:gridSpan w:val="8"/>
          </w:tcPr>
          <w:p>
            <w:pPr>
              <w:spacing w:after="0"/>
              <w:rPr>
                <w:sz w:val="12"/>
                <w:szCs w:val="12"/>
                <w:color w:val="auto"/>
              </w:rPr>
            </w:pPr>
          </w:p>
        </w:tc>
        <w:tc>
          <w:tcPr>
            <w:tcW w:w="1020" w:type="dxa"/>
            <w:vAlign w:val="bottom"/>
            <w:gridSpan w:val="4"/>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80" w:type="dxa"/>
            <w:vAlign w:val="bottom"/>
            <w:tcBorders>
              <w:bottom w:val="single" w:sz="8" w:color="0000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80" w:type="dxa"/>
            <w:vAlign w:val="bottom"/>
            <w:gridSpan w:val="12"/>
          </w:tcPr>
          <w:p>
            <w:pPr>
              <w:spacing w:after="0"/>
              <w:rPr>
                <w:rFonts w:ascii="Arial" w:cs="Arial" w:eastAsia="Arial" w:hAnsi="Arial"/>
                <w:sz w:val="16"/>
                <w:szCs w:val="16"/>
                <w:color w:val="0000FF"/>
              </w:rPr>
            </w:pPr>
            <w:hyperlink w:anchor="page121">
              <w:r>
                <w:rPr>
                  <w:rFonts w:ascii="Arial" w:cs="Arial" w:eastAsia="Arial" w:hAnsi="Arial"/>
                  <w:sz w:val="16"/>
                  <w:szCs w:val="16"/>
                  <w:color w:val="0000FF"/>
                </w:rPr>
                <w:t>LETTER FROM OUR FOUNDER AND CEO</w:t>
              </w:r>
            </w:hyperlink>
          </w:p>
        </w:tc>
        <w:tc>
          <w:tcPr>
            <w:tcW w:w="1220" w:type="dxa"/>
            <w:vAlign w:val="bottom"/>
            <w:gridSpan w:val="5"/>
          </w:tcPr>
          <w:p>
            <w:pPr>
              <w:spacing w:after="0"/>
              <w:rPr>
                <w:sz w:val="16"/>
                <w:szCs w:val="16"/>
                <w:color w:val="auto"/>
              </w:rPr>
            </w:pPr>
          </w:p>
        </w:tc>
        <w:tc>
          <w:tcPr>
            <w:tcW w:w="740" w:type="dxa"/>
            <w:vAlign w:val="bottom"/>
            <w:gridSpan w:val="4"/>
          </w:tcPr>
          <w:p>
            <w:pPr>
              <w:jc w:val="right"/>
              <w:spacing w:after="0"/>
              <w:rPr>
                <w:rFonts w:ascii="Arial" w:cs="Arial" w:eastAsia="Arial" w:hAnsi="Arial"/>
                <w:sz w:val="16"/>
                <w:szCs w:val="16"/>
                <w:color w:val="0000FF"/>
              </w:rPr>
            </w:pPr>
            <w:hyperlink w:anchor="page121">
              <w:r>
                <w:rPr>
                  <w:rFonts w:ascii="Arial" w:cs="Arial" w:eastAsia="Arial" w:hAnsi="Arial"/>
                  <w:sz w:val="16"/>
                  <w:szCs w:val="16"/>
                  <w:color w:val="0000FF"/>
                </w:rPr>
                <w:t>108</w:t>
              </w:r>
            </w:hyperlink>
          </w:p>
        </w:tc>
        <w:tc>
          <w:tcPr>
            <w:tcW w:w="0" w:type="dxa"/>
            <w:vAlign w:val="bottom"/>
          </w:tcPr>
          <w:p>
            <w:pPr>
              <w:spacing w:after="0"/>
              <w:rPr>
                <w:sz w:val="1"/>
                <w:szCs w:val="1"/>
                <w:color w:val="auto"/>
              </w:rPr>
            </w:pPr>
          </w:p>
        </w:tc>
      </w:tr>
      <w:tr>
        <w:trPr>
          <w:trHeight w:val="20"/>
        </w:trPr>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360" w:type="dxa"/>
            <w:vAlign w:val="bottom"/>
            <w:gridSpan w:val="9"/>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0" w:type="dxa"/>
            <w:vAlign w:val="bottom"/>
            <w:gridSpan w:val="3"/>
          </w:tcPr>
          <w:p>
            <w:pPr>
              <w:spacing w:after="0"/>
              <w:rPr>
                <w:rFonts w:ascii="Arial" w:cs="Arial" w:eastAsia="Arial" w:hAnsi="Arial"/>
                <w:sz w:val="16"/>
                <w:szCs w:val="16"/>
                <w:color w:val="0000FF"/>
                <w:w w:val="96"/>
              </w:rPr>
            </w:pPr>
            <w:hyperlink w:anchor="page127">
              <w:r>
                <w:rPr>
                  <w:rFonts w:ascii="Arial" w:cs="Arial" w:eastAsia="Arial" w:hAnsi="Arial"/>
                  <w:sz w:val="16"/>
                  <w:szCs w:val="16"/>
                  <w:color w:val="0000FF"/>
                  <w:w w:val="96"/>
                </w:rPr>
                <w:t>BUSINESS</w:t>
              </w:r>
            </w:hyperlink>
          </w:p>
        </w:tc>
        <w:tc>
          <w:tcPr>
            <w:tcW w:w="2360" w:type="dxa"/>
            <w:vAlign w:val="bottom"/>
            <w:gridSpan w:val="9"/>
          </w:tcPr>
          <w:p>
            <w:pPr>
              <w:spacing w:after="0"/>
              <w:rPr>
                <w:sz w:val="16"/>
                <w:szCs w:val="16"/>
                <w:color w:val="auto"/>
              </w:rPr>
            </w:pPr>
          </w:p>
        </w:tc>
        <w:tc>
          <w:tcPr>
            <w:tcW w:w="1220" w:type="dxa"/>
            <w:vAlign w:val="bottom"/>
            <w:gridSpan w:val="5"/>
          </w:tcPr>
          <w:p>
            <w:pPr>
              <w:spacing w:after="0"/>
              <w:rPr>
                <w:sz w:val="16"/>
                <w:szCs w:val="16"/>
                <w:color w:val="auto"/>
              </w:rPr>
            </w:pPr>
          </w:p>
        </w:tc>
        <w:tc>
          <w:tcPr>
            <w:tcW w:w="740" w:type="dxa"/>
            <w:vAlign w:val="bottom"/>
            <w:gridSpan w:val="4"/>
          </w:tcPr>
          <w:p>
            <w:pPr>
              <w:jc w:val="right"/>
              <w:spacing w:after="0"/>
              <w:rPr>
                <w:rFonts w:ascii="Arial" w:cs="Arial" w:eastAsia="Arial" w:hAnsi="Arial"/>
                <w:sz w:val="16"/>
                <w:szCs w:val="16"/>
                <w:color w:val="0000FF"/>
              </w:rPr>
            </w:pPr>
            <w:hyperlink w:anchor="page127">
              <w:r>
                <w:rPr>
                  <w:rFonts w:ascii="Arial" w:cs="Arial" w:eastAsia="Arial" w:hAnsi="Arial"/>
                  <w:sz w:val="16"/>
                  <w:szCs w:val="16"/>
                  <w:color w:val="0000FF"/>
                </w:rPr>
                <w:t>114</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1"/>
        </w:trPr>
        <w:tc>
          <w:tcPr>
            <w:tcW w:w="4080" w:type="dxa"/>
            <w:vAlign w:val="bottom"/>
            <w:gridSpan w:val="15"/>
          </w:tcPr>
          <w:p>
            <w:pPr>
              <w:spacing w:after="0" w:line="171" w:lineRule="exact"/>
              <w:rPr>
                <w:rFonts w:ascii="Arial" w:cs="Arial" w:eastAsia="Arial" w:hAnsi="Arial"/>
                <w:sz w:val="16"/>
                <w:szCs w:val="16"/>
                <w:color w:val="0000FF"/>
              </w:rPr>
            </w:pPr>
            <w:hyperlink w:anchor="page163">
              <w:r>
                <w:rPr>
                  <w:rFonts w:ascii="Arial" w:cs="Arial" w:eastAsia="Arial" w:hAnsi="Arial"/>
                  <w:sz w:val="16"/>
                  <w:szCs w:val="16"/>
                  <w:color w:val="0000FF"/>
                </w:rPr>
                <w:t>MANAGEMENT</w:t>
              </w:r>
            </w:hyperlink>
          </w:p>
        </w:tc>
        <w:tc>
          <w:tcPr>
            <w:tcW w:w="1080" w:type="dxa"/>
            <w:vAlign w:val="bottom"/>
            <w:gridSpan w:val="2"/>
          </w:tcPr>
          <w:p>
            <w:pPr>
              <w:jc w:val="right"/>
              <w:spacing w:after="0" w:line="171" w:lineRule="exact"/>
              <w:rPr>
                <w:rFonts w:ascii="Arial" w:cs="Arial" w:eastAsia="Arial" w:hAnsi="Arial"/>
                <w:sz w:val="16"/>
                <w:szCs w:val="16"/>
                <w:color w:val="0000FF"/>
              </w:rPr>
            </w:pPr>
            <w:hyperlink w:anchor="page163">
              <w:r>
                <w:rPr>
                  <w:rFonts w:ascii="Arial" w:cs="Arial" w:eastAsia="Arial" w:hAnsi="Arial"/>
                  <w:sz w:val="16"/>
                  <w:szCs w:val="16"/>
                  <w:color w:val="0000FF"/>
                </w:rPr>
                <w:t>150</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280" w:type="dxa"/>
            <w:vAlign w:val="bottom"/>
            <w:tcBorders>
              <w:bottom w:val="single" w:sz="8" w:color="0000FF"/>
            </w:tcBorders>
            <w:gridSpan w:val="7"/>
          </w:tcPr>
          <w:p>
            <w:pPr>
              <w:spacing w:after="0"/>
              <w:rPr>
                <w:rFonts w:ascii="Arial" w:cs="Arial" w:eastAsia="Arial" w:hAnsi="Arial"/>
                <w:sz w:val="16"/>
                <w:szCs w:val="16"/>
                <w:color w:val="0000FF"/>
              </w:rPr>
            </w:pPr>
            <w:hyperlink w:anchor="page168">
              <w:r>
                <w:rPr>
                  <w:rFonts w:ascii="Arial" w:cs="Arial" w:eastAsia="Arial" w:hAnsi="Arial"/>
                  <w:sz w:val="16"/>
                  <w:szCs w:val="16"/>
                  <w:color w:val="0000FF"/>
                </w:rPr>
                <w:t>EXECUTIVE COMPENSATION</w:t>
              </w:r>
            </w:hyperlink>
          </w:p>
        </w:tc>
        <w:tc>
          <w:tcPr>
            <w:tcW w:w="1800" w:type="dxa"/>
            <w:vAlign w:val="bottom"/>
            <w:gridSpan w:val="8"/>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168">
              <w:r>
                <w:rPr>
                  <w:rFonts w:ascii="Arial" w:cs="Arial" w:eastAsia="Arial" w:hAnsi="Arial"/>
                  <w:sz w:val="16"/>
                  <w:szCs w:val="16"/>
                  <w:color w:val="0000FF"/>
                  <w:w w:val="82"/>
                </w:rPr>
                <w:t>155</w:t>
              </w:r>
            </w:hyperlink>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rPr>
            </w:pPr>
            <w:hyperlink w:anchor="page181">
              <w:r>
                <w:rPr>
                  <w:rFonts w:ascii="Arial" w:cs="Arial" w:eastAsia="Arial" w:hAnsi="Arial"/>
                  <w:sz w:val="16"/>
                  <w:szCs w:val="16"/>
                  <w:color w:val="0000FF"/>
                </w:rPr>
                <w:t>CERTAIN RELATIONSHIPS AND RELATED PARTY</w:t>
              </w:r>
            </w:hyperlink>
          </w:p>
        </w:tc>
        <w:tc>
          <w:tcPr>
            <w:tcW w:w="840" w:type="dxa"/>
            <w:vAlign w:val="bottom"/>
            <w:vMerge w:val="restart"/>
          </w:tcPr>
          <w:p>
            <w:pPr>
              <w:spacing w:after="0"/>
              <w:rPr>
                <w:sz w:val="16"/>
                <w:szCs w:val="16"/>
                <w:color w:val="auto"/>
              </w:rPr>
            </w:pPr>
          </w:p>
        </w:tc>
        <w:tc>
          <w:tcPr>
            <w:tcW w:w="240" w:type="dxa"/>
            <w:vAlign w:val="bottom"/>
            <w:vMerge w:val="restart"/>
          </w:tcPr>
          <w:p>
            <w:pPr>
              <w:jc w:val="right"/>
              <w:spacing w:after="0"/>
              <w:rPr>
                <w:rFonts w:ascii="Arial" w:cs="Arial" w:eastAsia="Arial" w:hAnsi="Arial"/>
                <w:sz w:val="16"/>
                <w:szCs w:val="16"/>
                <w:color w:val="0000FF"/>
                <w:w w:val="82"/>
              </w:rPr>
            </w:pPr>
            <w:hyperlink w:anchor="page181">
              <w:r>
                <w:rPr>
                  <w:rFonts w:ascii="Arial" w:cs="Arial" w:eastAsia="Arial" w:hAnsi="Arial"/>
                  <w:sz w:val="16"/>
                  <w:szCs w:val="16"/>
                  <w:color w:val="0000FF"/>
                  <w:w w:val="82"/>
                </w:rPr>
                <w:t>168</w:t>
              </w:r>
            </w:hyperlink>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1280" w:type="dxa"/>
            <w:vAlign w:val="bottom"/>
            <w:tcBorders>
              <w:top w:val="single" w:sz="8" w:color="0000FF"/>
              <w:bottom w:val="single" w:sz="8" w:color="0000FF"/>
            </w:tcBorders>
            <w:gridSpan w:val="5"/>
          </w:tcPr>
          <w:p>
            <w:pPr>
              <w:spacing w:after="0" w:line="138" w:lineRule="exact"/>
              <w:rPr>
                <w:rFonts w:ascii="Arial" w:cs="Arial" w:eastAsia="Arial" w:hAnsi="Arial"/>
                <w:sz w:val="16"/>
                <w:szCs w:val="16"/>
                <w:color w:val="0000FF"/>
              </w:rPr>
            </w:pPr>
            <w:hyperlink w:anchor="page181">
              <w:r>
                <w:rPr>
                  <w:rFonts w:ascii="Arial" w:cs="Arial" w:eastAsia="Arial" w:hAnsi="Arial"/>
                  <w:sz w:val="16"/>
                  <w:szCs w:val="16"/>
                  <w:color w:val="0000FF"/>
                </w:rPr>
                <w:t>TRANSACTIONS</w:t>
              </w:r>
            </w:hyperlink>
          </w:p>
        </w:tc>
        <w:tc>
          <w:tcPr>
            <w:tcW w:w="2360" w:type="dxa"/>
            <w:vAlign w:val="bottom"/>
            <w:tcBorders>
              <w:top w:val="single" w:sz="8" w:color="0000FF"/>
            </w:tcBorders>
            <w:gridSpan w:val="8"/>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Borders>
              <w:bottom w:val="single" w:sz="8" w:color="0000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rPr>
            </w:pPr>
            <w:hyperlink w:anchor="page185">
              <w:r>
                <w:rPr>
                  <w:rFonts w:ascii="Arial" w:cs="Arial" w:eastAsia="Arial" w:hAnsi="Arial"/>
                  <w:sz w:val="16"/>
                  <w:szCs w:val="16"/>
                  <w:color w:val="0000FF"/>
                </w:rPr>
                <w:t>PRINCIPAL AND SELLING STOCKHOLDERS</w:t>
              </w:r>
            </w:hyperlink>
          </w:p>
        </w:tc>
        <w:tc>
          <w:tcPr>
            <w:tcW w:w="1080" w:type="dxa"/>
            <w:vAlign w:val="bottom"/>
            <w:gridSpan w:val="2"/>
          </w:tcPr>
          <w:p>
            <w:pPr>
              <w:jc w:val="right"/>
              <w:spacing w:after="0"/>
              <w:rPr>
                <w:rFonts w:ascii="Arial" w:cs="Arial" w:eastAsia="Arial" w:hAnsi="Arial"/>
                <w:sz w:val="16"/>
                <w:szCs w:val="16"/>
                <w:color w:val="0000FF"/>
              </w:rPr>
            </w:pPr>
            <w:hyperlink w:anchor="page185">
              <w:r>
                <w:rPr>
                  <w:rFonts w:ascii="Arial" w:cs="Arial" w:eastAsia="Arial" w:hAnsi="Arial"/>
                  <w:sz w:val="16"/>
                  <w:szCs w:val="16"/>
                  <w:color w:val="0000FF"/>
                </w:rPr>
                <w:t>172</w:t>
              </w:r>
            </w:hyperlink>
          </w:p>
        </w:tc>
        <w:tc>
          <w:tcPr>
            <w:tcW w:w="0" w:type="dxa"/>
            <w:vAlign w:val="bottom"/>
          </w:tcPr>
          <w:p>
            <w:pPr>
              <w:spacing w:after="0"/>
              <w:rPr>
                <w:sz w:val="1"/>
                <w:szCs w:val="1"/>
                <w:color w:val="auto"/>
              </w:rPr>
            </w:pPr>
          </w:p>
        </w:tc>
      </w:tr>
      <w:tr>
        <w:trPr>
          <w:trHeight w:val="187"/>
        </w:trPr>
        <w:tc>
          <w:tcPr>
            <w:tcW w:w="270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w:anchor="page187">
              <w:r>
                <w:rPr>
                  <w:rFonts w:ascii="Arial" w:cs="Arial" w:eastAsia="Arial" w:hAnsi="Arial"/>
                  <w:sz w:val="16"/>
                  <w:szCs w:val="16"/>
                  <w:color w:val="0000FF"/>
                </w:rPr>
                <w:t>DESCRIPTION OF CAPITAL STOCK</w:t>
              </w:r>
            </w:hyperlink>
          </w:p>
        </w:tc>
        <w:tc>
          <w:tcPr>
            <w:tcW w:w="640" w:type="dxa"/>
            <w:vAlign w:val="bottom"/>
            <w:tcBorders>
              <w:top w:val="single" w:sz="8" w:color="0000FF"/>
            </w:tcBorders>
            <w:gridSpan w:val="3"/>
          </w:tcPr>
          <w:p>
            <w:pPr>
              <w:spacing w:after="0"/>
              <w:rPr>
                <w:sz w:val="16"/>
                <w:szCs w:val="16"/>
                <w:color w:val="auto"/>
              </w:rPr>
            </w:pPr>
          </w:p>
        </w:tc>
        <w:tc>
          <w:tcPr>
            <w:tcW w:w="740" w:type="dxa"/>
            <w:vAlign w:val="bottom"/>
            <w:gridSpan w:val="4"/>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top w:val="single" w:sz="8" w:color="0000FF"/>
              <w:bottom w:val="single" w:sz="8" w:color="0000FF"/>
            </w:tcBorders>
          </w:tcPr>
          <w:p>
            <w:pPr>
              <w:jc w:val="right"/>
              <w:spacing w:after="0"/>
              <w:rPr>
                <w:rFonts w:ascii="Arial" w:cs="Arial" w:eastAsia="Arial" w:hAnsi="Arial"/>
                <w:sz w:val="16"/>
                <w:szCs w:val="16"/>
                <w:color w:val="0000FF"/>
                <w:w w:val="82"/>
              </w:rPr>
            </w:pPr>
            <w:hyperlink w:anchor="page187">
              <w:r>
                <w:rPr>
                  <w:rFonts w:ascii="Arial" w:cs="Arial" w:eastAsia="Arial" w:hAnsi="Arial"/>
                  <w:sz w:val="16"/>
                  <w:szCs w:val="16"/>
                  <w:color w:val="0000FF"/>
                  <w:w w:val="82"/>
                </w:rPr>
                <w:t>174</w:t>
              </w:r>
            </w:hyperlink>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rPr>
            </w:pPr>
            <w:hyperlink w:anchor="page196">
              <w:r>
                <w:rPr>
                  <w:rFonts w:ascii="Arial" w:cs="Arial" w:eastAsia="Arial" w:hAnsi="Arial"/>
                  <w:sz w:val="16"/>
                  <w:szCs w:val="16"/>
                  <w:color w:val="0000FF"/>
                </w:rPr>
                <w:t>SHARES ELIGIBLE FOR FUTURE SALE</w:t>
              </w:r>
            </w:hyperlink>
          </w:p>
        </w:tc>
        <w:tc>
          <w:tcPr>
            <w:tcW w:w="1080" w:type="dxa"/>
            <w:vAlign w:val="bottom"/>
            <w:gridSpan w:val="2"/>
          </w:tcPr>
          <w:p>
            <w:pPr>
              <w:jc w:val="right"/>
              <w:spacing w:after="0"/>
              <w:rPr>
                <w:rFonts w:ascii="Arial" w:cs="Arial" w:eastAsia="Arial" w:hAnsi="Arial"/>
                <w:sz w:val="16"/>
                <w:szCs w:val="16"/>
                <w:color w:val="0000FF"/>
              </w:rPr>
            </w:pPr>
            <w:hyperlink w:anchor="page196">
              <w:r>
                <w:rPr>
                  <w:rFonts w:ascii="Arial" w:cs="Arial" w:eastAsia="Arial" w:hAnsi="Arial"/>
                  <w:sz w:val="16"/>
                  <w:szCs w:val="16"/>
                  <w:color w:val="0000FF"/>
                </w:rPr>
                <w:t>183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000" w:type="dxa"/>
            <w:vAlign w:val="bottom"/>
            <w:tcBorders>
              <w:bottom w:val="single" w:sz="8" w:color="0000FF"/>
            </w:tcBorders>
            <w:gridSpan w:val="10"/>
          </w:tcPr>
          <w:p>
            <w:pPr>
              <w:spacing w:after="0"/>
              <w:rPr>
                <w:rFonts w:ascii="Arial" w:cs="Arial" w:eastAsia="Arial" w:hAnsi="Arial"/>
                <w:sz w:val="16"/>
                <w:szCs w:val="16"/>
                <w:color w:val="0000FF"/>
              </w:rPr>
            </w:pPr>
            <w:hyperlink w:anchor="page199">
              <w:r>
                <w:rPr>
                  <w:rFonts w:ascii="Arial" w:cs="Arial" w:eastAsia="Arial" w:hAnsi="Arial"/>
                  <w:sz w:val="16"/>
                  <w:szCs w:val="16"/>
                  <w:color w:val="0000FF"/>
                </w:rPr>
                <w:t>MATERIAL U.S. FEDERAL INCOME TAX</w:t>
              </w:r>
            </w:hyperlink>
          </w:p>
        </w:tc>
        <w:tc>
          <w:tcPr>
            <w:tcW w:w="1080" w:type="dxa"/>
            <w:vAlign w:val="bottom"/>
            <w:gridSpan w:val="5"/>
          </w:tcPr>
          <w:p>
            <w:pPr>
              <w:spacing w:after="0"/>
              <w:rPr>
                <w:sz w:val="16"/>
                <w:szCs w:val="16"/>
                <w:color w:val="auto"/>
              </w:rPr>
            </w:pPr>
          </w:p>
        </w:tc>
        <w:tc>
          <w:tcPr>
            <w:tcW w:w="840" w:type="dxa"/>
            <w:vAlign w:val="bottom"/>
            <w:vMerge w:val="restart"/>
          </w:tcPr>
          <w:p>
            <w:pPr>
              <w:spacing w:after="0"/>
              <w:rPr>
                <w:sz w:val="16"/>
                <w:szCs w:val="16"/>
                <w:color w:val="auto"/>
              </w:rPr>
            </w:pPr>
          </w:p>
        </w:tc>
        <w:tc>
          <w:tcPr>
            <w:tcW w:w="240" w:type="dxa"/>
            <w:vAlign w:val="bottom"/>
            <w:vMerge w:val="restart"/>
          </w:tcPr>
          <w:p>
            <w:pPr>
              <w:jc w:val="right"/>
              <w:spacing w:after="0"/>
              <w:rPr>
                <w:rFonts w:ascii="Arial" w:cs="Arial" w:eastAsia="Arial" w:hAnsi="Arial"/>
                <w:sz w:val="16"/>
                <w:szCs w:val="16"/>
                <w:color w:val="0000FF"/>
                <w:w w:val="82"/>
              </w:rPr>
            </w:pPr>
            <w:hyperlink w:anchor="page199">
              <w:r>
                <w:rPr>
                  <w:rFonts w:ascii="Arial" w:cs="Arial" w:eastAsia="Arial" w:hAnsi="Arial"/>
                  <w:sz w:val="16"/>
                  <w:szCs w:val="16"/>
                  <w:color w:val="0000FF"/>
                  <w:w w:val="82"/>
                </w:rPr>
                <w:t>186</w:t>
              </w:r>
            </w:hyperlink>
          </w:p>
        </w:tc>
        <w:tc>
          <w:tcPr>
            <w:tcW w:w="0" w:type="dxa"/>
            <w:vAlign w:val="bottom"/>
          </w:tcPr>
          <w:p>
            <w:pPr>
              <w:spacing w:after="0"/>
              <w:rPr>
                <w:sz w:val="1"/>
                <w:szCs w:val="1"/>
                <w:color w:val="auto"/>
              </w:rPr>
            </w:pPr>
          </w:p>
        </w:tc>
      </w:tr>
      <w:tr>
        <w:trPr>
          <w:trHeight w:val="138"/>
        </w:trPr>
        <w:tc>
          <w:tcPr>
            <w:tcW w:w="140" w:type="dxa"/>
            <w:vAlign w:val="bottom"/>
          </w:tcPr>
          <w:p>
            <w:pPr>
              <w:spacing w:after="0"/>
              <w:rPr>
                <w:sz w:val="12"/>
                <w:szCs w:val="12"/>
                <w:color w:val="auto"/>
              </w:rPr>
            </w:pPr>
          </w:p>
        </w:tc>
        <w:tc>
          <w:tcPr>
            <w:tcW w:w="3260" w:type="dxa"/>
            <w:vAlign w:val="bottom"/>
            <w:tcBorders>
              <w:bottom w:val="single" w:sz="8" w:color="0000FF"/>
            </w:tcBorders>
            <w:gridSpan w:val="11"/>
          </w:tcPr>
          <w:p>
            <w:pPr>
              <w:spacing w:after="0" w:line="138" w:lineRule="exact"/>
              <w:rPr>
                <w:rFonts w:ascii="Arial" w:cs="Arial" w:eastAsia="Arial" w:hAnsi="Arial"/>
                <w:sz w:val="16"/>
                <w:szCs w:val="16"/>
                <w:color w:val="0000FF"/>
              </w:rPr>
            </w:pPr>
            <w:hyperlink w:anchor="page199">
              <w:r>
                <w:rPr>
                  <w:rFonts w:ascii="Arial" w:cs="Arial" w:eastAsia="Arial" w:hAnsi="Arial"/>
                  <w:sz w:val="16"/>
                  <w:szCs w:val="16"/>
                  <w:color w:val="0000FF"/>
                </w:rPr>
                <w:t>CONSEQUENCES TO NON-U.S. HOLDERS</w:t>
              </w:r>
            </w:hyperlink>
          </w:p>
        </w:tc>
        <w:tc>
          <w:tcPr>
            <w:tcW w:w="680" w:type="dxa"/>
            <w:vAlign w:val="bottom"/>
            <w:gridSpan w:val="3"/>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Borders>
              <w:bottom w:val="single" w:sz="8" w:color="0000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8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203">
              <w:r>
                <w:rPr>
                  <w:rFonts w:ascii="Arial" w:cs="Arial" w:eastAsia="Arial" w:hAnsi="Arial"/>
                  <w:sz w:val="16"/>
                  <w:szCs w:val="16"/>
                  <w:color w:val="0000FF"/>
                  <w:w w:val="99"/>
                </w:rPr>
                <w:t>UNDERWRITING</w:t>
              </w:r>
            </w:hyperlink>
          </w:p>
        </w:tc>
        <w:tc>
          <w:tcPr>
            <w:tcW w:w="2800" w:type="dxa"/>
            <w:vAlign w:val="bottom"/>
            <w:gridSpan w:val="11"/>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03">
              <w:r>
                <w:rPr>
                  <w:rFonts w:ascii="Arial" w:cs="Arial" w:eastAsia="Arial" w:hAnsi="Arial"/>
                  <w:sz w:val="16"/>
                  <w:szCs w:val="16"/>
                  <w:color w:val="0000FF"/>
                  <w:w w:val="82"/>
                </w:rPr>
                <w:t>190</w:t>
              </w:r>
            </w:hyperlink>
          </w:p>
        </w:tc>
        <w:tc>
          <w:tcPr>
            <w:tcW w:w="0" w:type="dxa"/>
            <w:vAlign w:val="bottom"/>
          </w:tcPr>
          <w:p>
            <w:pPr>
              <w:spacing w:after="0"/>
              <w:rPr>
                <w:sz w:val="1"/>
                <w:szCs w:val="1"/>
                <w:color w:val="auto"/>
              </w:rPr>
            </w:pPr>
          </w:p>
        </w:tc>
      </w:tr>
      <w:tr>
        <w:trPr>
          <w:trHeight w:val="187"/>
        </w:trPr>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214">
              <w:r>
                <w:rPr>
                  <w:rFonts w:ascii="Arial" w:cs="Arial" w:eastAsia="Arial" w:hAnsi="Arial"/>
                  <w:sz w:val="16"/>
                  <w:szCs w:val="16"/>
                  <w:color w:val="0000FF"/>
                  <w:w w:val="99"/>
                </w:rPr>
                <w:t>LEGAL MATTERS</w:t>
              </w:r>
            </w:hyperlink>
          </w:p>
        </w:tc>
        <w:tc>
          <w:tcPr>
            <w:tcW w:w="2740" w:type="dxa"/>
            <w:vAlign w:val="bottom"/>
            <w:gridSpan w:val="10"/>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14">
              <w:r>
                <w:rPr>
                  <w:rFonts w:ascii="Arial" w:cs="Arial" w:eastAsia="Arial" w:hAnsi="Arial"/>
                  <w:sz w:val="16"/>
                  <w:szCs w:val="16"/>
                  <w:color w:val="0000FF"/>
                  <w:w w:val="82"/>
                </w:rPr>
                <w:t>201</w:t>
              </w:r>
            </w:hyperlink>
          </w:p>
        </w:tc>
        <w:tc>
          <w:tcPr>
            <w:tcW w:w="0" w:type="dxa"/>
            <w:vAlign w:val="bottom"/>
          </w:tcPr>
          <w:p>
            <w:pPr>
              <w:spacing w:after="0"/>
              <w:rPr>
                <w:sz w:val="1"/>
                <w:szCs w:val="1"/>
                <w:color w:val="auto"/>
              </w:rPr>
            </w:pPr>
          </w:p>
        </w:tc>
      </w:tr>
      <w:tr>
        <w:trPr>
          <w:trHeight w:val="187"/>
        </w:trPr>
        <w:tc>
          <w:tcPr>
            <w:tcW w:w="76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215">
              <w:r>
                <w:rPr>
                  <w:rFonts w:ascii="Arial" w:cs="Arial" w:eastAsia="Arial" w:hAnsi="Arial"/>
                  <w:sz w:val="16"/>
                  <w:szCs w:val="16"/>
                  <w:color w:val="0000FF"/>
                  <w:w w:val="99"/>
                </w:rPr>
                <w:t>EXPERTS</w:t>
              </w:r>
            </w:hyperlink>
          </w:p>
        </w:tc>
        <w:tc>
          <w:tcPr>
            <w:tcW w:w="3320" w:type="dxa"/>
            <w:vAlign w:val="bottom"/>
            <w:gridSpan w:val="13"/>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15">
              <w:r>
                <w:rPr>
                  <w:rFonts w:ascii="Arial" w:cs="Arial" w:eastAsia="Arial" w:hAnsi="Arial"/>
                  <w:sz w:val="16"/>
                  <w:szCs w:val="16"/>
                  <w:color w:val="0000FF"/>
                  <w:w w:val="82"/>
                </w:rPr>
                <w:t>201</w:t>
              </w:r>
            </w:hyperlink>
          </w:p>
        </w:tc>
        <w:tc>
          <w:tcPr>
            <w:tcW w:w="0" w:type="dxa"/>
            <w:vAlign w:val="bottom"/>
          </w:tcPr>
          <w:p>
            <w:pPr>
              <w:spacing w:after="0"/>
              <w:rPr>
                <w:sz w:val="1"/>
                <w:szCs w:val="1"/>
                <w:color w:val="auto"/>
              </w:rPr>
            </w:pPr>
          </w:p>
        </w:tc>
      </w:tr>
      <w:tr>
        <w:trPr>
          <w:trHeight w:val="187"/>
        </w:trPr>
        <w:tc>
          <w:tcPr>
            <w:tcW w:w="3520" w:type="dxa"/>
            <w:vAlign w:val="bottom"/>
            <w:tcBorders>
              <w:bottom w:val="single" w:sz="8" w:color="0000FF"/>
            </w:tcBorders>
            <w:gridSpan w:val="13"/>
          </w:tcPr>
          <w:p>
            <w:pPr>
              <w:spacing w:after="0"/>
              <w:rPr>
                <w:rFonts w:ascii="Arial" w:cs="Arial" w:eastAsia="Arial" w:hAnsi="Arial"/>
                <w:sz w:val="16"/>
                <w:szCs w:val="16"/>
                <w:color w:val="0000FF"/>
              </w:rPr>
            </w:pPr>
            <w:hyperlink w:anchor="page215">
              <w:r>
                <w:rPr>
                  <w:rFonts w:ascii="Arial" w:cs="Arial" w:eastAsia="Arial" w:hAnsi="Arial"/>
                  <w:sz w:val="16"/>
                  <w:szCs w:val="16"/>
                  <w:color w:val="0000FF"/>
                </w:rPr>
                <w:t>WHERE YOU CAN FIND MORE INFORMATION</w:t>
              </w:r>
            </w:hyperlink>
          </w:p>
        </w:tc>
        <w:tc>
          <w:tcPr>
            <w:tcW w:w="56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15">
              <w:r>
                <w:rPr>
                  <w:rFonts w:ascii="Arial" w:cs="Arial" w:eastAsia="Arial" w:hAnsi="Arial"/>
                  <w:sz w:val="16"/>
                  <w:szCs w:val="16"/>
                  <w:color w:val="0000FF"/>
                  <w:w w:val="82"/>
                </w:rPr>
                <w:t>201</w:t>
              </w:r>
            </w:hyperlink>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w w:val="99"/>
              </w:rPr>
            </w:pPr>
            <w:hyperlink w:anchor="page215">
              <w:r>
                <w:rPr>
                  <w:rFonts w:ascii="Arial" w:cs="Arial" w:eastAsia="Arial" w:hAnsi="Arial"/>
                  <w:sz w:val="16"/>
                  <w:szCs w:val="16"/>
                  <w:color w:val="0000FF"/>
                  <w:w w:val="99"/>
                </w:rPr>
                <w:t>INDEX TO CONSOLIDATED FINANCIAL STATEMENTS</w:t>
              </w:r>
            </w:hyperlink>
          </w:p>
        </w:tc>
        <w:tc>
          <w:tcPr>
            <w:tcW w:w="840" w:type="dxa"/>
            <w:vAlign w:val="bottom"/>
          </w:tcPr>
          <w:p>
            <w:pPr>
              <w:spacing w:after="0"/>
              <w:rPr>
                <w:sz w:val="16"/>
                <w:szCs w:val="16"/>
                <w:color w:val="auto"/>
              </w:rPr>
            </w:pPr>
          </w:p>
        </w:tc>
        <w:tc>
          <w:tcPr>
            <w:tcW w:w="240" w:type="dxa"/>
            <w:vAlign w:val="bottom"/>
          </w:tcPr>
          <w:p>
            <w:pPr>
              <w:jc w:val="right"/>
              <w:spacing w:after="0"/>
              <w:rPr>
                <w:rFonts w:ascii="Arial" w:cs="Arial" w:eastAsia="Arial" w:hAnsi="Arial"/>
                <w:sz w:val="16"/>
                <w:szCs w:val="16"/>
                <w:color w:val="0000FF"/>
                <w:w w:val="91"/>
              </w:rPr>
            </w:pPr>
            <w:hyperlink w:anchor="page215">
              <w:r>
                <w:rPr>
                  <w:rFonts w:ascii="Arial" w:cs="Arial" w:eastAsia="Arial" w:hAnsi="Arial"/>
                  <w:sz w:val="16"/>
                  <w:szCs w:val="16"/>
                  <w:color w:val="0000FF"/>
                  <w:w w:val="91"/>
                </w:rPr>
                <w:t>F-1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6" w:lineRule="exact"/>
        <w:rPr>
          <w:sz w:val="20"/>
          <w:szCs w:val="20"/>
          <w:color w:val="auto"/>
        </w:rPr>
      </w:pPr>
    </w:p>
    <w:p>
      <w:pPr>
        <w:sectPr>
          <w:pgSz w:w="11900" w:h="16838" w:orient="portrait"/>
          <w:cols w:equalWidth="0" w:num="2">
            <w:col w:w="5240" w:space="720"/>
            <w:col w:w="5280"/>
          </w:cols>
          <w:pgMar w:left="320" w:top="1407" w:right="339" w:bottom="1440" w:gutter="0" w:footer="0" w:header="0"/>
        </w:sectPr>
      </w:pPr>
    </w:p>
    <w:p>
      <w:pPr>
        <w:spacing w:after="0" w:line="152"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__________________</w:t>
      </w:r>
    </w:p>
    <w:p>
      <w:pPr>
        <w:spacing w:after="0" w:line="125" w:lineRule="exact"/>
        <w:rPr>
          <w:sz w:val="20"/>
          <w:szCs w:val="20"/>
          <w:color w:val="auto"/>
        </w:rPr>
      </w:pPr>
    </w:p>
    <w:p>
      <w:pPr>
        <w:spacing w:after="0"/>
        <w:tabs>
          <w:tab w:leader="none" w:pos="2680" w:val="left"/>
        </w:tabs>
        <w:rPr>
          <w:sz w:val="20"/>
          <w:szCs w:val="20"/>
          <w:color w:val="auto"/>
        </w:rPr>
      </w:pPr>
      <w:r>
        <w:rPr>
          <w:rFonts w:ascii="Arial" w:cs="Arial" w:eastAsia="Arial" w:hAnsi="Arial"/>
          <w:sz w:val="16"/>
          <w:szCs w:val="16"/>
          <w:b w:val="1"/>
          <w:bCs w:val="1"/>
          <w:color w:val="auto"/>
        </w:rPr>
        <w:t>Through and including</w:t>
      </w:r>
      <w:r>
        <w:rPr>
          <w:sz w:val="20"/>
          <w:szCs w:val="20"/>
          <w:color w:val="auto"/>
        </w:rPr>
        <w:tab/>
      </w:r>
      <w:r>
        <w:rPr>
          <w:rFonts w:ascii="Arial" w:cs="Arial" w:eastAsia="Arial" w:hAnsi="Arial"/>
          <w:sz w:val="16"/>
          <w:szCs w:val="16"/>
          <w:b w:val="1"/>
          <w:bCs w:val="1"/>
          <w:color w:val="auto"/>
        </w:rPr>
        <w:t>, 2021 (the 25th day after the date of this prospectus), all dealers effecting transactions in these securities,</w:t>
      </w:r>
    </w:p>
    <w:p>
      <w:pPr>
        <w:spacing w:after="0" w:line="31" w:lineRule="exact"/>
        <w:rPr>
          <w:sz w:val="20"/>
          <w:szCs w:val="20"/>
          <w:color w:val="auto"/>
        </w:rPr>
      </w:pPr>
    </w:p>
    <w:p>
      <w:pPr>
        <w:ind w:right="580"/>
        <w:spacing w:after="0" w:line="254" w:lineRule="auto"/>
        <w:rPr>
          <w:sz w:val="20"/>
          <w:szCs w:val="20"/>
          <w:color w:val="auto"/>
        </w:rPr>
      </w:pPr>
      <w:r>
        <w:rPr>
          <w:rFonts w:ascii="Arial" w:cs="Arial" w:eastAsia="Arial" w:hAnsi="Arial"/>
          <w:sz w:val="16"/>
          <w:szCs w:val="16"/>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ind w:left="4820"/>
        <w:spacing w:after="0"/>
        <w:rPr>
          <w:sz w:val="20"/>
          <w:szCs w:val="20"/>
          <w:color w:val="auto"/>
        </w:rPr>
      </w:pPr>
      <w:r>
        <w:rPr>
          <w:rFonts w:ascii="Arial" w:cs="Arial" w:eastAsia="Arial" w:hAnsi="Arial"/>
          <w:sz w:val="16"/>
          <w:szCs w:val="16"/>
          <w:color w:val="auto"/>
        </w:rPr>
        <w:t>__________________</w:t>
      </w:r>
    </w:p>
    <w:p>
      <w:pPr>
        <w:spacing w:after="0" w:line="6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Neither we, the selling stockholders nor the underwriters have authorized anyone to provide any information or to make any representations other than those contained in this prospectus or in any free writing prospectuses prepared by or on behalf of us or to which we have referred you. Neither we, the selling stockholders nor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Class A common stock. Our business, financial condition, results of operations and prospects may have changed since that date.</w:t>
      </w:r>
    </w:p>
    <w:p>
      <w:pPr>
        <w:spacing w:after="0" w:line="109"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240"/>
          </w:cols>
          <w:pgMar w:left="320" w:top="1407" w:right="3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176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617601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Prospectus summary</w:t>
      </w:r>
    </w:p>
    <w:p>
      <w:pPr>
        <w:spacing w:after="0" w:line="28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Unless the context otherwise requires, the terms “Expensify,” the “company,” “we,” “us,” “our” and similar references in this prospectus refer to Expensify, Inc. and its consolidated subsidiaries.</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Small and medium businesses (“SMBs”) are the cornerstone of the global economy, making up over 99% of businesses and approximately 70% of employment in Organization for Economic Cooperation and Development ("OECD") countries. Despite their significance, the vast majority of SMBs still rely on manual, inefficient processes to manage the critical back office functions that power their businesses every day.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316" w:lineRule="exact"/>
        <w:rPr>
          <w:sz w:val="20"/>
          <w:szCs w:val="20"/>
          <w:color w:val="auto"/>
        </w:rPr>
      </w:pPr>
    </w:p>
    <w:p>
      <w:pPr>
        <w:jc w:val="both"/>
        <w:ind w:right="500"/>
        <w:spacing w:after="0" w:line="261" w:lineRule="auto"/>
        <w:rPr>
          <w:sz w:val="20"/>
          <w:szCs w:val="20"/>
          <w:color w:val="auto"/>
        </w:rPr>
      </w:pPr>
      <w:r>
        <w:rPr>
          <w:rFonts w:ascii="Arial" w:cs="Arial" w:eastAsia="Arial" w:hAnsi="Arial"/>
          <w:sz w:val="16"/>
          <w:szCs w:val="16"/>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users (who we refer to as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1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 business model allows us to prioritize attracting, retaining and inspiring talented, ambitious and humble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040"/>
          </w:cols>
          <w:pgMar w:left="920" w:top="1440" w:right="9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157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6315710"/>
                    </a:xfrm>
                    <a:prstGeom prst="rect">
                      <a:avLst/>
                    </a:prstGeom>
                    <a:noFill/>
                  </pic:spPr>
                </pic:pic>
              </a:graphicData>
            </a:graphic>
          </wp:anchor>
        </w:drawing>
      </w:r>
    </w:p>
    <w:p>
      <w:pPr>
        <w:spacing w:after="0" w:line="399" w:lineRule="exact"/>
        <w:rPr>
          <w:sz w:val="20"/>
          <w:szCs w:val="20"/>
          <w:color w:val="auto"/>
        </w:rPr>
      </w:pPr>
    </w:p>
    <w:p>
      <w:pPr>
        <w:ind w:left="2" w:right="100"/>
        <w:spacing w:after="0" w:line="255" w:lineRule="auto"/>
        <w:rPr>
          <w:sz w:val="20"/>
          <w:szCs w:val="20"/>
          <w:color w:val="auto"/>
        </w:rPr>
      </w:pPr>
      <w:r>
        <w:rPr>
          <w:rFonts w:ascii="Arial" w:cs="Arial" w:eastAsia="Arial" w:hAnsi="Arial"/>
          <w:sz w:val="16"/>
          <w:szCs w:val="16"/>
          <w:color w:val="auto"/>
        </w:rPr>
        <w:t>people committed to a long-term vision. We are a team that likes to solve real problems, and though expense reports are problematic for most people, there are other pressing problems facing our world that we want to also help solve. In 2020, we launched our 501(c)(3) non-profit, Expensify.org, to increase transparency in the donation process while connecting with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28" w:lineRule="exact"/>
        <w:rPr>
          <w:sz w:val="20"/>
          <w:szCs w:val="20"/>
          <w:color w:val="auto"/>
        </w:rPr>
      </w:pPr>
    </w:p>
    <w:p>
      <w:pPr>
        <w:ind w:left="2" w:right="100"/>
        <w:spacing w:after="0" w:line="256" w:lineRule="auto"/>
        <w:rPr>
          <w:sz w:val="20"/>
          <w:szCs w:val="20"/>
          <w:color w:val="auto"/>
        </w:rPr>
      </w:pPr>
      <w:r>
        <w:rPr>
          <w:rFonts w:ascii="Arial" w:cs="Arial" w:eastAsia="Arial" w:hAnsi="Arial"/>
          <w:sz w:val="16"/>
          <w:szCs w:val="16"/>
          <w:color w:val="auto"/>
        </w:rPr>
        <w:t>We believe that our unique approach has created a highly scalable and efficient business model. We have experienced rapid growth in recent periods. Our revenue was $ 80.5 million and $88.1 million in the years ended December 31, 2019 and 2020, respectively. Our net income (loss) was $1.2 million and $(1.7) million in the years ended December 31, 2019 and 2020, respectively. Our adjusted EBITDA was $7.6 million and $26.8 million in the years ended December 31, 2019 and 2020, respectively. For the six months ended June 30, 2020 and 2021, our revenue was $40.6 million and $65.0 million, respectively. Our net income was $3.5 million and $14.7 million in the six months ended June 30, 2020 and 2021, respectively. Our adjusted EBITDA was $9.2 million and $22.9 million in the six months ended June 30, 2020 and 2021, respectively. See the section titled “Management’s discussion and analysis of financial condition and results of operations” for additional information on our non-GAAP metrics.</w:t>
      </w:r>
    </w:p>
    <w:p>
      <w:pPr>
        <w:spacing w:after="0" w:line="9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industry</w:t>
      </w:r>
    </w:p>
    <w:p>
      <w:pPr>
        <w:spacing w:after="0" w:line="14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SMBs are the bedrock of the global economy and have distinctive technology requirements</w:t>
      </w:r>
    </w:p>
    <w:p>
      <w:pPr>
        <w:spacing w:after="0" w:line="165" w:lineRule="exact"/>
        <w:rPr>
          <w:sz w:val="20"/>
          <w:szCs w:val="20"/>
          <w:color w:val="auto"/>
        </w:rPr>
      </w:pPr>
    </w:p>
    <w:p>
      <w:pPr>
        <w:ind w:left="2" w:right="200"/>
        <w:spacing w:after="0" w:line="268" w:lineRule="auto"/>
        <w:rPr>
          <w:sz w:val="20"/>
          <w:szCs w:val="20"/>
          <w:color w:val="auto"/>
        </w:rPr>
      </w:pPr>
      <w:r>
        <w:rPr>
          <w:rFonts w:ascii="Arial" w:cs="Arial" w:eastAsia="Arial" w:hAnsi="Arial"/>
          <w:sz w:val="16"/>
          <w:szCs w:val="16"/>
          <w:color w:val="auto"/>
        </w:rPr>
        <w:t>Small and medium businesses are the foundation of the global economy. According to the OECD, SMBs, defined as firms with fewer than 250 employees, make up over 99% of all businesses and approximately 70% of all employment across the 36 OECD countries.</w:t>
      </w:r>
    </w:p>
    <w:p>
      <w:pPr>
        <w:spacing w:after="0" w:line="101"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93" w:lineRule="exact"/>
        <w:rPr>
          <w:sz w:val="20"/>
          <w:szCs w:val="20"/>
          <w:color w:val="auto"/>
        </w:rPr>
      </w:pPr>
    </w:p>
    <w:p>
      <w:pPr>
        <w:ind w:left="302" w:right="60" w:hanging="302"/>
        <w:spacing w:after="0" w:line="294"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discover. </w:t>
      </w:r>
      <w:r>
        <w:rPr>
          <w:rFonts w:ascii="Arial" w:cs="Arial" w:eastAsia="Arial" w:hAnsi="Arial"/>
          <w:sz w:val="16"/>
          <w:szCs w:val="16"/>
          <w:color w:val="auto"/>
        </w:rPr>
        <w:t>SMBs increasingly rely on online channels for finding new technologies and heavily consider recommendations from</w:t>
      </w:r>
      <w:r>
        <w:rPr>
          <w:rFonts w:ascii="Arial" w:cs="Arial" w:eastAsia="Arial" w:hAnsi="Arial"/>
          <w:sz w:val="16"/>
          <w:szCs w:val="16"/>
          <w:b w:val="1"/>
          <w:bCs w:val="1"/>
          <w:color w:val="auto"/>
        </w:rPr>
        <w:t xml:space="preserve"> </w:t>
      </w:r>
      <w:r>
        <w:rPr>
          <w:rFonts w:ascii="Arial" w:cs="Arial" w:eastAsia="Arial" w:hAnsi="Arial"/>
          <w:sz w:val="16"/>
          <w:szCs w:val="16"/>
          <w:color w:val="auto"/>
        </w:rPr>
        <w:t>experts, friends and colleagues.</w:t>
      </w:r>
    </w:p>
    <w:p>
      <w:pPr>
        <w:spacing w:after="0" w:line="72" w:lineRule="exact"/>
        <w:rPr>
          <w:rFonts w:ascii="Arial" w:cs="Arial" w:eastAsia="Arial" w:hAnsi="Arial"/>
          <w:sz w:val="16"/>
          <w:szCs w:val="16"/>
          <w:color w:val="auto"/>
        </w:rPr>
      </w:pPr>
    </w:p>
    <w:p>
      <w:pPr>
        <w:ind w:left="302" w:right="160" w:hanging="302"/>
        <w:spacing w:after="0" w:line="294"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implement. </w:t>
      </w:r>
      <w:r>
        <w:rPr>
          <w:rFonts w:ascii="Arial" w:cs="Arial" w:eastAsia="Arial" w:hAnsi="Arial"/>
          <w:sz w:val="16"/>
          <w:szCs w:val="16"/>
          <w:color w:val="auto"/>
        </w:rPr>
        <w:t>IT departments within SMBs are often one person or the business owner themselves and are incapable of taking</w:t>
      </w:r>
      <w:r>
        <w:rPr>
          <w:rFonts w:ascii="Arial" w:cs="Arial" w:eastAsia="Arial" w:hAnsi="Arial"/>
          <w:sz w:val="16"/>
          <w:szCs w:val="16"/>
          <w:b w:val="1"/>
          <w:bCs w:val="1"/>
          <w:color w:val="auto"/>
        </w:rPr>
        <w:t xml:space="preserve"> </w:t>
      </w:r>
      <w:r>
        <w:rPr>
          <w:rFonts w:ascii="Arial" w:cs="Arial" w:eastAsia="Arial" w:hAnsi="Arial"/>
          <w:sz w:val="16"/>
          <w:szCs w:val="16"/>
          <w:color w:val="auto"/>
        </w:rPr>
        <w:t>time away from their business to support cumbersome implementation, maintenance and training requirements.</w:t>
      </w:r>
    </w:p>
    <w:p>
      <w:pPr>
        <w:spacing w:after="0" w:line="60" w:lineRule="exact"/>
        <w:rPr>
          <w:rFonts w:ascii="Arial" w:cs="Arial" w:eastAsia="Arial" w:hAnsi="Arial"/>
          <w:sz w:val="16"/>
          <w:szCs w:val="16"/>
          <w:color w:val="auto"/>
        </w:rPr>
      </w:pPr>
    </w:p>
    <w:p>
      <w:pPr>
        <w:ind w:left="302" w:right="260" w:hanging="302"/>
        <w:spacing w:after="0" w:line="294"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purchase. </w:t>
      </w:r>
      <w:r>
        <w:rPr>
          <w:rFonts w:ascii="Arial" w:cs="Arial" w:eastAsia="Arial" w:hAnsi="Arial"/>
          <w:sz w:val="16"/>
          <w:szCs w:val="16"/>
          <w:color w:val="auto"/>
        </w:rPr>
        <w:t>With no procurement department and limited resources, the individuals making the purchasing decision at SMBs</w:t>
      </w:r>
      <w:r>
        <w:rPr>
          <w:rFonts w:ascii="Arial" w:cs="Arial" w:eastAsia="Arial" w:hAnsi="Arial"/>
          <w:sz w:val="16"/>
          <w:szCs w:val="16"/>
          <w:b w:val="1"/>
          <w:bCs w:val="1"/>
          <w:color w:val="auto"/>
        </w:rPr>
        <w:t xml:space="preserve"> </w:t>
      </w:r>
      <w:r>
        <w:rPr>
          <w:rFonts w:ascii="Arial" w:cs="Arial" w:eastAsia="Arial" w:hAnsi="Arial"/>
          <w:sz w:val="16"/>
          <w:szCs w:val="16"/>
          <w:color w:val="auto"/>
        </w:rPr>
        <w:t>often prefer vendors with transparent, self-service monthly subscription plans that can be paid by credit card.</w:t>
      </w:r>
    </w:p>
    <w:p>
      <w:pPr>
        <w:spacing w:after="0" w:line="72"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manage. </w:t>
      </w:r>
      <w:r>
        <w:rPr>
          <w:rFonts w:ascii="Arial" w:cs="Arial" w:eastAsia="Arial" w:hAnsi="Arial"/>
          <w:sz w:val="16"/>
          <w:szCs w:val="16"/>
          <w:color w:val="auto"/>
        </w:rPr>
        <w:t>SMBs prefer a single, comprehensive platform from one provider that can solve multiple pain points.</w:t>
      </w:r>
    </w:p>
    <w:p>
      <w:pPr>
        <w:spacing w:after="0" w:line="144" w:lineRule="exact"/>
        <w:rPr>
          <w:rFonts w:ascii="Arial" w:cs="Arial" w:eastAsia="Arial" w:hAnsi="Arial"/>
          <w:sz w:val="16"/>
          <w:szCs w:val="16"/>
          <w:color w:val="auto"/>
        </w:rPr>
      </w:pPr>
    </w:p>
    <w:p>
      <w:pPr>
        <w:ind w:left="302" w:right="140" w:hanging="302"/>
        <w:spacing w:after="0" w:line="294"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use. </w:t>
      </w:r>
      <w:r>
        <w:rPr>
          <w:rFonts w:ascii="Arial" w:cs="Arial" w:eastAsia="Arial" w:hAnsi="Arial"/>
          <w:sz w:val="16"/>
          <w:szCs w:val="16"/>
          <w:color w:val="auto"/>
        </w:rPr>
        <w:t>Many SMBs prioritize ease of use and convenience over cost and seek solutions with elegant, intuitive user experiences</w:t>
      </w:r>
      <w:r>
        <w:rPr>
          <w:rFonts w:ascii="Arial" w:cs="Arial" w:eastAsia="Arial" w:hAnsi="Arial"/>
          <w:sz w:val="16"/>
          <w:szCs w:val="16"/>
          <w:b w:val="1"/>
          <w:bCs w:val="1"/>
          <w:color w:val="auto"/>
        </w:rPr>
        <w:t xml:space="preserve"> </w:t>
      </w:r>
      <w:r>
        <w:rPr>
          <w:rFonts w:ascii="Arial" w:cs="Arial" w:eastAsia="Arial" w:hAnsi="Arial"/>
          <w:sz w:val="16"/>
          <w:szCs w:val="16"/>
          <w:color w:val="auto"/>
        </w:rPr>
        <w:t>that require no training or expertise to operate.</w:t>
      </w:r>
    </w:p>
    <w:p>
      <w:pPr>
        <w:spacing w:after="0" w:line="61"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Back office processes are critical to every SMB, but remain antiquated and inefficient</w:t>
      </w:r>
    </w:p>
    <w:p>
      <w:pPr>
        <w:spacing w:after="0" w:line="165" w:lineRule="exact"/>
        <w:rPr>
          <w:sz w:val="20"/>
          <w:szCs w:val="20"/>
          <w:color w:val="auto"/>
        </w:rPr>
      </w:pPr>
    </w:p>
    <w:p>
      <w:pPr>
        <w:ind w:left="2" w:right="40"/>
        <w:spacing w:after="0" w:line="268" w:lineRule="auto"/>
        <w:rPr>
          <w:sz w:val="20"/>
          <w:szCs w:val="20"/>
          <w:color w:val="auto"/>
        </w:rPr>
      </w:pPr>
      <w:r>
        <w:rPr>
          <w:rFonts w:ascii="Arial" w:cs="Arial" w:eastAsia="Arial" w:hAnsi="Arial"/>
          <w:sz w:val="16"/>
          <w:szCs w:val="16"/>
          <w:color w:val="auto"/>
        </w:rPr>
        <w:t>Back office functions, such as HR, accounting and expense management, are ubiquitous and fundamental activities for businesses of every size and industry. Despite the mission criticality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042"/>
          </w:cols>
          <w:pgMar w:left="918" w:top="1440" w:right="9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106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6106795"/>
                    </a:xfrm>
                    <a:prstGeom prst="rect">
                      <a:avLst/>
                    </a:prstGeom>
                    <a:noFill/>
                  </pic:spPr>
                </pic:pic>
              </a:graphicData>
            </a:graphic>
          </wp:anchor>
        </w:drawing>
      </w:r>
    </w:p>
    <w:p>
      <w:pPr>
        <w:spacing w:after="0" w:line="399" w:lineRule="exact"/>
        <w:rPr>
          <w:sz w:val="20"/>
          <w:szCs w:val="20"/>
          <w:color w:val="auto"/>
        </w:rPr>
      </w:pPr>
    </w:p>
    <w:p>
      <w:pPr>
        <w:jc w:val="both"/>
        <w:ind w:left="2" w:right="20"/>
        <w:spacing w:after="0" w:line="261" w:lineRule="auto"/>
        <w:rPr>
          <w:sz w:val="20"/>
          <w:szCs w:val="20"/>
          <w:color w:val="auto"/>
        </w:rPr>
      </w:pPr>
      <w:r>
        <w:rPr>
          <w:rFonts w:ascii="Arial" w:cs="Arial" w:eastAsia="Arial" w:hAnsi="Arial"/>
          <w:sz w:val="16"/>
          <w:szCs w:val="16"/>
          <w:color w:val="auto"/>
        </w:rPr>
        <w:t>activities, the vast majority of SMBs rely on manual, inefficient processes to manage and execute most back office functions. To compete in today’s increasingly digital economy, SMBs require modern solutions that can automate and streamline manual, time-consuming back-office functions to reduce costs and allow managers to focus on higher value, strategic activities.</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Every business manages expenses, most do it manually</w:t>
      </w:r>
    </w:p>
    <w:p>
      <w:pPr>
        <w:spacing w:after="0" w:line="153" w:lineRule="exact"/>
        <w:rPr>
          <w:sz w:val="20"/>
          <w:szCs w:val="20"/>
          <w:color w:val="auto"/>
        </w:rPr>
      </w:pPr>
    </w:p>
    <w:p>
      <w:pPr>
        <w:ind w:left="2" w:right="60"/>
        <w:spacing w:after="0" w:line="256" w:lineRule="auto"/>
        <w:rPr>
          <w:sz w:val="20"/>
          <w:szCs w:val="20"/>
          <w:color w:val="auto"/>
        </w:rPr>
      </w:pPr>
      <w:r>
        <w:rPr>
          <w:rFonts w:ascii="Arial" w:cs="Arial" w:eastAsia="Arial" w:hAnsi="Arial"/>
          <w:sz w:val="16"/>
          <w:szCs w:val="16"/>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As a result, employees, accountants and managers across every business unit are bogged down by time-consuming, manual tasks related to expense management, reducing their productivity and job satisfaction.</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The modern day employee is increasingly empowered to drive technology change</w:t>
      </w:r>
    </w:p>
    <w:p>
      <w:pPr>
        <w:spacing w:after="0" w:line="165" w:lineRule="exact"/>
        <w:rPr>
          <w:sz w:val="20"/>
          <w:szCs w:val="20"/>
          <w:color w:val="auto"/>
        </w:rPr>
      </w:pPr>
    </w:p>
    <w:p>
      <w:pPr>
        <w:ind w:left="2" w:right="40"/>
        <w:spacing w:after="0" w:line="257" w:lineRule="auto"/>
        <w:rPr>
          <w:sz w:val="20"/>
          <w:szCs w:val="20"/>
          <w:color w:val="auto"/>
        </w:rPr>
      </w:pPr>
      <w:r>
        <w:rPr>
          <w:rFonts w:ascii="Arial" w:cs="Arial" w:eastAsia="Arial" w:hAnsi="Arial"/>
          <w:sz w:val="16"/>
          <w:szCs w:val="16"/>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In the SMB segment, employees are even more influential in driving company-wide adoption: with infrequent technology evaluation and less employees per company than enterprises, SMBs require a smaller critical mass for technological change.</w:t>
      </w:r>
    </w:p>
    <w:p>
      <w:pPr>
        <w:spacing w:after="0" w:line="9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Limitations of traditional approaches</w:t>
      </w:r>
    </w:p>
    <w:p>
      <w:pPr>
        <w:spacing w:after="0" w:line="164" w:lineRule="exact"/>
        <w:rPr>
          <w:sz w:val="20"/>
          <w:szCs w:val="20"/>
          <w:color w:val="auto"/>
        </w:rPr>
      </w:pPr>
    </w:p>
    <w:p>
      <w:pPr>
        <w:ind w:left="2" w:right="180"/>
        <w:spacing w:after="0" w:line="268" w:lineRule="auto"/>
        <w:rPr>
          <w:sz w:val="20"/>
          <w:szCs w:val="20"/>
          <w:color w:val="auto"/>
        </w:rPr>
      </w:pPr>
      <w:r>
        <w:rPr>
          <w:rFonts w:ascii="Arial" w:cs="Arial" w:eastAsia="Arial" w:hAnsi="Arial"/>
          <w:sz w:val="16"/>
          <w:szCs w:val="16"/>
          <w:color w:val="auto"/>
        </w:rPr>
        <w:t>We believe both existing solutions and their underlying business models have fundamental shortcomings that limit their ability to solve the inefficiencies of expense management and other back-office functions for SMBs.</w:t>
      </w:r>
    </w:p>
    <w:p>
      <w:pPr>
        <w:spacing w:after="0" w:line="93"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Existing solutions</w:t>
      </w:r>
    </w:p>
    <w:p>
      <w:pPr>
        <w:spacing w:after="0" w:line="153" w:lineRule="exact"/>
        <w:rPr>
          <w:sz w:val="20"/>
          <w:szCs w:val="20"/>
          <w:color w:val="auto"/>
        </w:rPr>
      </w:pPr>
    </w:p>
    <w:p>
      <w:pPr>
        <w:ind w:left="2"/>
        <w:spacing w:after="0" w:line="257" w:lineRule="auto"/>
        <w:rPr>
          <w:sz w:val="20"/>
          <w:szCs w:val="20"/>
          <w:color w:val="auto"/>
        </w:rPr>
      </w:pPr>
      <w:r>
        <w:rPr>
          <w:rFonts w:ascii="Arial" w:cs="Arial" w:eastAsia="Arial" w:hAnsi="Arial"/>
          <w:sz w:val="16"/>
          <w:szCs w:val="16"/>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21" w:lineRule="exact"/>
        <w:rPr>
          <w:sz w:val="20"/>
          <w:szCs w:val="20"/>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 designed for the employee;</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Multiple, disparate product lines for different features;</w:t>
      </w:r>
    </w:p>
    <w:p>
      <w:pPr>
        <w:spacing w:after="0" w:line="132"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Inaccurate receipt scanning;</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Lack purposeful automation;</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Lack integration with key systems and applications; and</w:t>
      </w:r>
    </w:p>
    <w:p>
      <w:pPr>
        <w:spacing w:after="0" w:line="132"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Partitioned database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042"/>
          </w:cols>
          <w:pgMar w:left="918" w:top="1440" w:right="9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895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6895465"/>
                    </a:xfrm>
                    <a:prstGeom prst="rect">
                      <a:avLst/>
                    </a:prstGeom>
                    <a:noFill/>
                  </pic:spPr>
                </pic:pic>
              </a:graphicData>
            </a:graphic>
          </wp:anchor>
        </w:drawing>
      </w:r>
    </w:p>
    <w:p>
      <w:pPr>
        <w:spacing w:after="0" w:line="37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Traditional approaches</w:t>
      </w:r>
    </w:p>
    <w:p>
      <w:pPr>
        <w:spacing w:after="0" w:line="165"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This type of approach poses key challenges for traditional software providers, including:</w:t>
      </w:r>
    </w:p>
    <w:p>
      <w:pPr>
        <w:spacing w:after="0" w:line="86" w:lineRule="exact"/>
        <w:rPr>
          <w:sz w:val="20"/>
          <w:szCs w:val="20"/>
          <w:color w:val="auto"/>
        </w:rPr>
      </w:pPr>
    </w:p>
    <w:p>
      <w:pPr>
        <w:ind w:left="302" w:right="480" w:hanging="302"/>
        <w:spacing w:after="0" w:line="294"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cost of sale. </w:t>
      </w:r>
      <w:r>
        <w:rPr>
          <w:rFonts w:ascii="Arial" w:cs="Arial" w:eastAsia="Arial" w:hAnsi="Arial"/>
          <w:sz w:val="16"/>
          <w:szCs w:val="16"/>
          <w:color w:val="auto"/>
        </w:rPr>
        <w:t>The traditional top-down approach relies on an army of salespeople to sell, retain and upsell decision makers,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requiring an ever-increasing pipeline of sales talent.</w:t>
      </w:r>
    </w:p>
    <w:p>
      <w:pPr>
        <w:spacing w:after="0" w:line="72" w:lineRule="exact"/>
        <w:rPr>
          <w:rFonts w:ascii="Arial" w:cs="Arial" w:eastAsia="Arial" w:hAnsi="Arial"/>
          <w:sz w:val="16"/>
          <w:szCs w:val="16"/>
          <w:color w:val="auto"/>
        </w:rPr>
      </w:pPr>
    </w:p>
    <w:p>
      <w:pPr>
        <w:ind w:left="302" w:hanging="302"/>
        <w:spacing w:after="0" w:line="274"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SMB decision makers are hard to identify and talk to. </w:t>
      </w:r>
      <w:r>
        <w:rPr>
          <w:rFonts w:ascii="Arial" w:cs="Arial" w:eastAsia="Arial" w:hAnsi="Arial"/>
          <w:sz w:val="16"/>
          <w:szCs w:val="16"/>
          <w:color w:val="auto"/>
        </w:rPr>
        <w:t>Discovering and buying software is typically not the core job function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anyone at most SMBs, and software providers leveraging a top-down approach struggle to identify, engage with and sell to key decision makers at SMBs.</w:t>
      </w:r>
    </w:p>
    <w:p>
      <w:pPr>
        <w:spacing w:after="0" w:line="88" w:lineRule="exact"/>
        <w:rPr>
          <w:rFonts w:ascii="Arial" w:cs="Arial" w:eastAsia="Arial" w:hAnsi="Arial"/>
          <w:sz w:val="16"/>
          <w:szCs w:val="16"/>
          <w:color w:val="auto"/>
        </w:rPr>
      </w:pPr>
    </w:p>
    <w:p>
      <w:pPr>
        <w:ind w:left="302" w:right="860" w:hanging="302"/>
        <w:spacing w:after="0" w:line="294"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Contracts and sales processes tailored to enterprises. </w:t>
      </w:r>
      <w:r>
        <w:rPr>
          <w:rFonts w:ascii="Arial" w:cs="Arial" w:eastAsia="Arial" w:hAnsi="Arial"/>
          <w:sz w:val="16"/>
          <w:szCs w:val="16"/>
          <w:color w:val="auto"/>
        </w:rPr>
        <w:t>Traditional enterprise sales models are designed to address long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procurement processes, which emphasize pricing and control features over the user experience.</w:t>
      </w:r>
    </w:p>
    <w:p>
      <w:pPr>
        <w:spacing w:after="0" w:line="60" w:lineRule="exact"/>
        <w:rPr>
          <w:rFonts w:ascii="Arial" w:cs="Arial" w:eastAsia="Arial" w:hAnsi="Arial"/>
          <w:sz w:val="16"/>
          <w:szCs w:val="16"/>
          <w:color w:val="auto"/>
        </w:rPr>
      </w:pPr>
    </w:p>
    <w:p>
      <w:pPr>
        <w:ind w:left="302" w:right="380" w:hanging="302"/>
        <w:spacing w:after="0" w:line="294"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Company-owned data and legal terms. </w:t>
      </w:r>
      <w:r>
        <w:rPr>
          <w:rFonts w:ascii="Arial" w:cs="Arial" w:eastAsia="Arial" w:hAnsi="Arial"/>
          <w:sz w:val="16"/>
          <w:szCs w:val="16"/>
          <w:color w:val="auto"/>
        </w:rPr>
        <w:t>Traditional approaches have a legal structure where all employee data is owned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This company-centric legal approach acts as an impediment to viral employee adoption within and across organizations.</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market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We believe we address a massive market opportunity today that is significantly underpenetrated by modern solutions. We estimate our total addressable market (“TAM”) was approximately $16.0 billion in the United States and $21.5 billion in our core geographies in 2020, which consisted of the United States, United Kingdom, Canada and Australia in 2020.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June 30, 2021. Given our focus on SMBs,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022"/>
          </w:cols>
          <w:pgMar w:left="918" w:top="1440" w:right="9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106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6106795"/>
                    </a:xfrm>
                    <a:prstGeom prst="rect">
                      <a:avLst/>
                    </a:prstGeom>
                    <a:noFill/>
                  </pic:spPr>
                </pic:pic>
              </a:graphicData>
            </a:graphic>
          </wp:anchor>
        </w:drawing>
      </w:r>
    </w:p>
    <w:p>
      <w:pPr>
        <w:spacing w:after="0" w:line="399"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excludes the U.S. market opportunity for companies with greater than 1,000 employees, which we estimate to be $7.1 billion using the same methodology described above.</w:t>
      </w:r>
    </w:p>
    <w:p>
      <w:pPr>
        <w:spacing w:after="0" w:line="113" w:lineRule="exact"/>
        <w:rPr>
          <w:sz w:val="20"/>
          <w:szCs w:val="20"/>
          <w:color w:val="auto"/>
        </w:rPr>
      </w:pPr>
    </w:p>
    <w:p>
      <w:pPr>
        <w:ind w:left="2" w:right="80"/>
        <w:spacing w:after="0" w:line="255" w:lineRule="auto"/>
        <w:rPr>
          <w:sz w:val="20"/>
          <w:szCs w:val="20"/>
          <w:color w:val="auto"/>
        </w:rPr>
      </w:pPr>
      <w:r>
        <w:rPr>
          <w:rFonts w:ascii="Arial" w:cs="Arial" w:eastAsia="Arial" w:hAnsi="Arial"/>
          <w:sz w:val="16"/>
          <w:szCs w:val="16"/>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June 30,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16" w:lineRule="exact"/>
        <w:rPr>
          <w:sz w:val="20"/>
          <w:szCs w:val="20"/>
          <w:color w:val="auto"/>
        </w:rPr>
      </w:pPr>
    </w:p>
    <w:p>
      <w:pPr>
        <w:ind w:left="2" w:right="280"/>
        <w:spacing w:after="0" w:line="261" w:lineRule="auto"/>
        <w:rPr>
          <w:sz w:val="20"/>
          <w:szCs w:val="20"/>
          <w:color w:val="auto"/>
        </w:rPr>
      </w:pPr>
      <w:r>
        <w:rPr>
          <w:rFonts w:ascii="Arial" w:cs="Arial" w:eastAsia="Arial" w:hAnsi="Arial"/>
          <w:sz w:val="16"/>
          <w:szCs w:val="16"/>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believe there are multiple sources of upside to our TAM in the near-term future:</w:t>
      </w:r>
    </w:p>
    <w:p>
      <w:pPr>
        <w:spacing w:after="0" w:line="125" w:lineRule="exact"/>
        <w:rPr>
          <w:sz w:val="20"/>
          <w:szCs w:val="20"/>
          <w:color w:val="auto"/>
        </w:rPr>
      </w:pPr>
    </w:p>
    <w:p>
      <w:pPr>
        <w:ind w:left="302" w:hanging="302"/>
        <w:spacing w:after="0" w:line="267" w:lineRule="auto"/>
        <w:tabs>
          <w:tab w:leader="none" w:pos="29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Monetizing transactions on our platform. </w:t>
      </w:r>
      <w:r>
        <w:rPr>
          <w:rFonts w:ascii="Arial" w:cs="Arial" w:eastAsia="Arial" w:hAnsi="Arial"/>
          <w:sz w:val="16"/>
          <w:szCs w:val="16"/>
          <w:color w:val="auto"/>
        </w:rPr>
        <w:t>We launched the Expensify Card for early access to a limited number of customers in late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and then launched fully in early 2020.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w:t>
      </w:r>
    </w:p>
    <w:p>
      <w:pPr>
        <w:spacing w:after="0" w:line="82" w:lineRule="exact"/>
        <w:rPr>
          <w:rFonts w:ascii="Arial" w:cs="Arial" w:eastAsia="Arial" w:hAnsi="Arial"/>
          <w:sz w:val="16"/>
          <w:szCs w:val="16"/>
          <w:color w:val="auto"/>
        </w:rPr>
      </w:pPr>
    </w:p>
    <w:p>
      <w:pPr>
        <w:ind w:left="302" w:right="60" w:hanging="302"/>
        <w:spacing w:after="0" w:line="267" w:lineRule="auto"/>
        <w:tabs>
          <w:tab w:leader="none" w:pos="29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expansion. </w:t>
      </w:r>
      <w:r>
        <w:rPr>
          <w:rFonts w:ascii="Arial" w:cs="Arial" w:eastAsia="Arial" w:hAnsi="Arial"/>
          <w:sz w:val="16"/>
          <w:szCs w:val="16"/>
          <w:color w:val="auto"/>
        </w:rPr>
        <w:t>While expense management tends to touch the majority of company employees at least once or twice in a given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94"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Continued international expansion. </w:t>
      </w:r>
      <w:r>
        <w:rPr>
          <w:rFonts w:ascii="Arial" w:cs="Arial" w:eastAsia="Arial" w:hAnsi="Arial"/>
          <w:sz w:val="16"/>
          <w:szCs w:val="16"/>
          <w:color w:val="auto"/>
        </w:rPr>
        <w:t>We believe there is a large, untapped opportunity outside of our core geographies.</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approach</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Since our founding, we have taken a unique approach to expense management built on key, complementary elements:</w:t>
      </w:r>
    </w:p>
    <w:p>
      <w:pPr>
        <w:spacing w:after="0" w:line="125" w:lineRule="exact"/>
        <w:rPr>
          <w:sz w:val="20"/>
          <w:szCs w:val="20"/>
          <w:color w:val="auto"/>
        </w:rPr>
      </w:pPr>
    </w:p>
    <w:p>
      <w:pPr>
        <w:ind w:left="302" w:right="640" w:hanging="302"/>
        <w:spacing w:after="0" w:line="294" w:lineRule="auto"/>
        <w:tabs>
          <w:tab w:leader="none" w:pos="29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strategy hyper-focused on the employee. </w:t>
      </w:r>
      <w:r>
        <w:rPr>
          <w:rFonts w:ascii="Arial" w:cs="Arial" w:eastAsia="Arial" w:hAnsi="Arial"/>
          <w:sz w:val="16"/>
          <w:szCs w:val="16"/>
          <w:color w:val="auto"/>
        </w:rPr>
        <w:t>We designed Expensify to be easily configured and used by every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within an organization, not just decision makers or managers.</w:t>
      </w:r>
    </w:p>
    <w:p>
      <w:pPr>
        <w:spacing w:after="0" w:line="72" w:lineRule="exact"/>
        <w:rPr>
          <w:rFonts w:ascii="Arial" w:cs="Arial" w:eastAsia="Arial" w:hAnsi="Arial"/>
          <w:sz w:val="16"/>
          <w:szCs w:val="16"/>
          <w:color w:val="auto"/>
        </w:rPr>
      </w:pPr>
    </w:p>
    <w:p>
      <w:pPr>
        <w:ind w:left="302" w:right="280" w:hanging="302"/>
        <w:spacing w:after="0" w:line="267" w:lineRule="auto"/>
        <w:tabs>
          <w:tab w:leader="none" w:pos="29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bottom-up business model driven by the employee. </w:t>
      </w:r>
      <w:r>
        <w:rPr>
          <w:rFonts w:ascii="Arial" w:cs="Arial" w:eastAsia="Arial" w:hAnsi="Arial"/>
          <w:sz w:val="16"/>
          <w:szCs w:val="16"/>
          <w:color w:val="auto"/>
        </w:rPr>
        <w:t>Our employee-focused platform strategy enables a viral, “bottom-up”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w:t>
      </w:r>
    </w:p>
    <w:p>
      <w:pPr>
        <w:spacing w:after="0" w:line="82" w:lineRule="exact"/>
        <w:rPr>
          <w:rFonts w:ascii="Arial" w:cs="Arial" w:eastAsia="Arial" w:hAnsi="Arial"/>
          <w:sz w:val="16"/>
          <w:szCs w:val="16"/>
          <w:color w:val="auto"/>
        </w:rPr>
      </w:pPr>
    </w:p>
    <w:p>
      <w:pPr>
        <w:ind w:left="302" w:right="260" w:hanging="302"/>
        <w:spacing w:after="0" w:line="274" w:lineRule="auto"/>
        <w:tabs>
          <w:tab w:leader="none" w:pos="29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Word-of-mouth adoption supported by a market consensus approach. </w:t>
      </w:r>
      <w:r>
        <w:rPr>
          <w:rFonts w:ascii="Arial" w:cs="Arial" w:eastAsia="Arial" w:hAnsi="Arial"/>
          <w:sz w:val="16"/>
          <w:szCs w:val="16"/>
          <w:color w:val="auto"/>
        </w:rPr>
        <w:t>We believe that our happy members are the best form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We strive to build a superior platform that makes the lives of employees and admins easier so that they become our champions and promote us to other individuals and organizations. We deploy large scale brand advertising to build on this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042"/>
          </w:cols>
          <w:pgMar w:left="918" w:top="1440" w:right="9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253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6253480"/>
                    </a:xfrm>
                    <a:prstGeom prst="rect">
                      <a:avLst/>
                    </a:prstGeom>
                    <a:noFill/>
                  </pic:spPr>
                </pic:pic>
              </a:graphicData>
            </a:graphic>
          </wp:anchor>
        </w:drawing>
      </w:r>
    </w:p>
    <w:p>
      <w:pPr>
        <w:spacing w:after="0" w:line="399" w:lineRule="exact"/>
        <w:rPr>
          <w:sz w:val="20"/>
          <w:szCs w:val="20"/>
          <w:color w:val="auto"/>
        </w:rPr>
      </w:pPr>
    </w:p>
    <w:p>
      <w:pPr>
        <w:ind w:left="302"/>
        <w:spacing w:after="0"/>
        <w:rPr>
          <w:sz w:val="20"/>
          <w:szCs w:val="20"/>
          <w:color w:val="auto"/>
        </w:rPr>
      </w:pPr>
      <w:r>
        <w:rPr>
          <w:rFonts w:ascii="Arial" w:cs="Arial" w:eastAsia="Arial" w:hAnsi="Arial"/>
          <w:sz w:val="16"/>
          <w:szCs w:val="16"/>
          <w:color w:val="auto"/>
        </w:rPr>
        <w:t>superiority and help create market consensus that Expensify is the category leader for expense management software.</w:t>
      </w:r>
    </w:p>
    <w:p>
      <w:pPr>
        <w:spacing w:after="0" w:line="125" w:lineRule="exact"/>
        <w:rPr>
          <w:sz w:val="20"/>
          <w:szCs w:val="20"/>
          <w:color w:val="auto"/>
        </w:rPr>
      </w:pPr>
    </w:p>
    <w:p>
      <w:pPr>
        <w:ind w:left="302" w:right="680" w:hanging="302"/>
        <w:spacing w:after="0" w:line="294" w:lineRule="auto"/>
        <w:tabs>
          <w:tab w:leader="none" w:pos="298"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company culture and long-term vision. </w:t>
      </w:r>
      <w:r>
        <w:rPr>
          <w:rFonts w:ascii="Arial" w:cs="Arial" w:eastAsia="Arial" w:hAnsi="Arial"/>
          <w:sz w:val="16"/>
          <w:szCs w:val="16"/>
          <w:color w:val="auto"/>
        </w:rPr>
        <w:t>Our platform strategy and business model are complemented by our unique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culture and intense focus on the long-term happiness of our employees.</w:t>
      </w:r>
    </w:p>
    <w:p>
      <w:pPr>
        <w:spacing w:after="0" w:line="81" w:lineRule="exact"/>
        <w:rPr>
          <w:sz w:val="20"/>
          <w:szCs w:val="20"/>
          <w:color w:val="auto"/>
        </w:rPr>
      </w:pPr>
    </w:p>
    <w:p>
      <w:pPr>
        <w:ind w:left="2" w:right="360"/>
        <w:spacing w:after="0" w:line="268" w:lineRule="auto"/>
        <w:rPr>
          <w:sz w:val="20"/>
          <w:szCs w:val="20"/>
          <w:color w:val="auto"/>
        </w:rPr>
      </w:pPr>
      <w:r>
        <w:rPr>
          <w:rFonts w:ascii="Arial" w:cs="Arial" w:eastAsia="Arial" w:hAnsi="Arial"/>
          <w:sz w:val="16"/>
          <w:szCs w:val="16"/>
          <w:color w:val="auto"/>
        </w:rPr>
        <w:t>We believe that these elements of our approach are hard to replicate, self-reinforcing and work together to drive a powerful competitive advantage.</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platform strategy</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platform strategy centers around the following key concepts:</w:t>
      </w:r>
    </w:p>
    <w:p>
      <w:pPr>
        <w:spacing w:after="0" w:line="113" w:lineRule="exact"/>
        <w:rPr>
          <w:sz w:val="20"/>
          <w:szCs w:val="20"/>
          <w:color w:val="auto"/>
        </w:rPr>
      </w:pPr>
    </w:p>
    <w:p>
      <w:pPr>
        <w:ind w:left="302" w:right="140" w:hanging="302"/>
        <w:spacing w:after="0" w:line="29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Built for everyone. </w:t>
      </w:r>
      <w:r>
        <w:rPr>
          <w:rFonts w:ascii="Arial" w:cs="Arial" w:eastAsia="Arial" w:hAnsi="Arial"/>
          <w:sz w:val="16"/>
          <w:szCs w:val="16"/>
          <w:color w:val="auto"/>
        </w:rPr>
        <w:t>We designed our platform to be used by everyone in an organization, from employees to managers to the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department. We believe that the more intuitive and simple Expensify is, the more employees and administrators will want to use it.</w:t>
      </w:r>
    </w:p>
    <w:p>
      <w:pPr>
        <w:spacing w:after="0" w:line="72" w:lineRule="exact"/>
        <w:rPr>
          <w:rFonts w:ascii="Arial" w:cs="Arial" w:eastAsia="Arial" w:hAnsi="Arial"/>
          <w:sz w:val="16"/>
          <w:szCs w:val="16"/>
          <w:color w:val="auto"/>
        </w:rPr>
      </w:pPr>
    </w:p>
    <w:p>
      <w:pPr>
        <w:ind w:left="302" w:right="540" w:hanging="302"/>
        <w:spacing w:after="0" w:line="29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set up. </w:t>
      </w:r>
      <w:r>
        <w:rPr>
          <w:rFonts w:ascii="Arial" w:cs="Arial" w:eastAsia="Arial" w:hAnsi="Arial"/>
          <w:sz w:val="16"/>
          <w:szCs w:val="16"/>
          <w:color w:val="auto"/>
        </w:rPr>
        <w:t>We believe that by making our platform easily accessible, simple to set up and easily configurable attracts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 to download and try Expensify.</w:t>
      </w:r>
    </w:p>
    <w:p>
      <w:pPr>
        <w:spacing w:after="0" w:line="72" w:lineRule="exact"/>
        <w:rPr>
          <w:rFonts w:ascii="Arial" w:cs="Arial" w:eastAsia="Arial" w:hAnsi="Arial"/>
          <w:sz w:val="16"/>
          <w:szCs w:val="16"/>
          <w:color w:val="auto"/>
        </w:rPr>
      </w:pPr>
    </w:p>
    <w:p>
      <w:pPr>
        <w:ind w:left="302" w:right="100" w:hanging="302"/>
        <w:spacing w:after="0" w:line="27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Designed to improve experiences for all members. </w:t>
      </w:r>
      <w:r>
        <w:rPr>
          <w:rFonts w:ascii="Arial" w:cs="Arial" w:eastAsia="Arial" w:hAnsi="Arial"/>
          <w:sz w:val="16"/>
          <w:szCs w:val="16"/>
          <w:color w:val="auto"/>
        </w:rPr>
        <w:t>We believe that always having the pain points of our members at the center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every technology decision and feature we develop enables us to consistently deliver an improved experience for every employee in an organization.</w:t>
      </w:r>
    </w:p>
    <w:p>
      <w:pPr>
        <w:spacing w:after="0" w:line="76" w:lineRule="exact"/>
        <w:rPr>
          <w:rFonts w:ascii="Arial" w:cs="Arial" w:eastAsia="Arial" w:hAnsi="Arial"/>
          <w:sz w:val="16"/>
          <w:szCs w:val="16"/>
          <w:color w:val="auto"/>
        </w:rPr>
      </w:pPr>
    </w:p>
    <w:p>
      <w:pPr>
        <w:ind w:left="302" w:right="240" w:hanging="302"/>
        <w:spacing w:after="0" w:line="27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One platform, many features. </w:t>
      </w:r>
      <w:r>
        <w:rPr>
          <w:rFonts w:ascii="Arial" w:cs="Arial" w:eastAsia="Arial" w:hAnsi="Arial"/>
          <w:sz w:val="16"/>
          <w:szCs w:val="16"/>
          <w:color w:val="auto"/>
        </w:rPr>
        <w:t>Expensify is one platform, with one price that unlocks access to every feature on the platform,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management to bill payment. Our features are just different configurations of the same underlying tool, and are not different products in some kind of combined suite.</w:t>
      </w:r>
    </w:p>
    <w:p>
      <w:pPr>
        <w:spacing w:after="0" w:line="88" w:lineRule="exact"/>
        <w:rPr>
          <w:rFonts w:ascii="Arial" w:cs="Arial" w:eastAsia="Arial" w:hAnsi="Arial"/>
          <w:sz w:val="16"/>
          <w:szCs w:val="16"/>
          <w:color w:val="auto"/>
        </w:rPr>
      </w:pPr>
    </w:p>
    <w:p>
      <w:pPr>
        <w:ind w:left="282" w:hanging="282"/>
        <w:spacing w:after="0"/>
        <w:tabs>
          <w:tab w:leader="none" w:pos="282"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integrated. </w:t>
      </w:r>
      <w:r>
        <w:rPr>
          <w:rFonts w:ascii="Arial" w:cs="Arial" w:eastAsia="Arial" w:hAnsi="Arial"/>
          <w:sz w:val="16"/>
          <w:szCs w:val="16"/>
          <w:color w:val="auto"/>
        </w:rPr>
        <w:t>We designed our platform to easily integrate with other business and consumer applications.</w:t>
      </w:r>
    </w:p>
    <w:p>
      <w:pPr>
        <w:spacing w:after="0" w:line="165"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We believe that elements of our platform strategy are a critical driver of the viral, widespread adoption of Expensify across and between any type of organization.</w:t>
      </w:r>
    </w:p>
    <w:p>
      <w:pPr>
        <w:spacing w:after="0" w:line="8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business model</w:t>
      </w:r>
    </w:p>
    <w:p>
      <w:pPr>
        <w:spacing w:after="0" w:line="164" w:lineRule="exact"/>
        <w:rPr>
          <w:sz w:val="20"/>
          <w:szCs w:val="20"/>
          <w:color w:val="auto"/>
        </w:rPr>
      </w:pPr>
    </w:p>
    <w:p>
      <w:pPr>
        <w:ind w:left="2" w:right="80"/>
        <w:spacing w:after="0" w:line="257" w:lineRule="auto"/>
        <w:rPr>
          <w:sz w:val="20"/>
          <w:szCs w:val="20"/>
          <w:color w:val="auto"/>
        </w:rPr>
      </w:pPr>
      <w:r>
        <w:rPr>
          <w:rFonts w:ascii="Arial" w:cs="Arial" w:eastAsia="Arial" w:hAnsi="Arial"/>
          <w:sz w:val="16"/>
          <w:szCs w:val="16"/>
          <w:color w:val="auto"/>
        </w:rPr>
        <w:t>Our platform strategy enables a viral “bottom-up” business model that is capital efficient and extremely scalable.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w:t>
      </w:r>
    </w:p>
    <w:p>
      <w:pPr>
        <w:spacing w:after="0" w:line="121" w:lineRule="exact"/>
        <w:rPr>
          <w:sz w:val="20"/>
          <w:szCs w:val="20"/>
          <w:color w:val="auto"/>
        </w:rPr>
      </w:pPr>
    </w:p>
    <w:p>
      <w:pPr>
        <w:ind w:left="2"/>
        <w:spacing w:after="0" w:line="258" w:lineRule="auto"/>
        <w:rPr>
          <w:sz w:val="20"/>
          <w:szCs w:val="20"/>
          <w:color w:val="auto"/>
        </w:rPr>
      </w:pPr>
      <w:r>
        <w:rPr>
          <w:rFonts w:ascii="Arial" w:cs="Arial" w:eastAsia="Arial" w:hAnsi="Arial"/>
          <w:sz w:val="16"/>
          <w:szCs w:val="16"/>
          <w:color w:val="auto"/>
        </w:rPr>
        <w:t>We offer simple, transparent and flexible subscription plans for both individuals and businesses that are completely self-service and payable by credit card. In the quarter ended June 30, 2021, 95% of our revenue came from recurring, automated monthly payments made via credit cards. We designed our pricing plans to facilitate the easy adoption of our platform by the smallest mom-and-pop stores to the largest and most complex organizations.</w:t>
      </w:r>
    </w:p>
    <w:p>
      <w:pPr>
        <w:spacing w:after="0" w:line="110" w:lineRule="exact"/>
        <w:rPr>
          <w:sz w:val="20"/>
          <w:szCs w:val="20"/>
          <w:color w:val="auto"/>
        </w:rPr>
      </w:pPr>
    </w:p>
    <w:p>
      <w:pPr>
        <w:ind w:left="2" w:right="200"/>
        <w:spacing w:after="0" w:line="261" w:lineRule="auto"/>
        <w:rPr>
          <w:sz w:val="20"/>
          <w:szCs w:val="20"/>
          <w:color w:val="auto"/>
        </w:rPr>
      </w:pPr>
      <w:r>
        <w:rPr>
          <w:rFonts w:ascii="Arial" w:cs="Arial" w:eastAsia="Arial" w:hAnsi="Arial"/>
          <w:sz w:val="16"/>
          <w:szCs w:val="16"/>
          <w:color w:val="auto"/>
        </w:rPr>
        <w:t>We believe that our happy members are the best form of marketing, and our self-service, bottom-up approach takes advantage of strong, organic word-of-mouth adoption. We support this powerful word-of-mouth marketing with large-scale brand advertising to build market consensus that Expensify is the software of choice for expense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022"/>
          </w:cols>
          <w:pgMar w:left="918" w:top="1440" w:right="9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609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6609080"/>
                    </a:xfrm>
                    <a:prstGeom prst="rect">
                      <a:avLst/>
                    </a:prstGeom>
                    <a:noFill/>
                  </pic:spPr>
                </pic:pic>
              </a:graphicData>
            </a:graphic>
          </wp:anchor>
        </w:drawing>
      </w:r>
    </w:p>
    <w:p>
      <w:pPr>
        <w:spacing w:after="0" w:line="399"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culture</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At Expensify, our culture is deeply embedded in everything we do.</w:t>
      </w:r>
    </w:p>
    <w:p>
      <w:pPr>
        <w:spacing w:after="0" w:line="145" w:lineRule="exact"/>
        <w:rPr>
          <w:sz w:val="20"/>
          <w:szCs w:val="20"/>
          <w:color w:val="auto"/>
        </w:rPr>
      </w:pPr>
    </w:p>
    <w:p>
      <w:pPr>
        <w:ind w:left="2" w:right="160"/>
        <w:spacing w:after="0" w:line="268" w:lineRule="auto"/>
        <w:rPr>
          <w:sz w:val="20"/>
          <w:szCs w:val="20"/>
          <w:color w:val="auto"/>
        </w:rPr>
      </w:pPr>
      <w:r>
        <w:rPr>
          <w:rFonts w:ascii="Arial" w:cs="Arial" w:eastAsia="Arial" w:hAnsi="Arial"/>
          <w:sz w:val="16"/>
          <w:szCs w:val="16"/>
          <w:color w:val="auto"/>
        </w:rPr>
        <w:t xml:space="preserve">Our culture is centered on the belief that a life well lived is one that enables you to achieve the following three life goals, which we all work towards with a long-term mindset: </w:t>
      </w:r>
      <w:r>
        <w:rPr>
          <w:rFonts w:ascii="Arial" w:cs="Arial" w:eastAsia="Arial" w:hAnsi="Arial"/>
          <w:sz w:val="16"/>
          <w:szCs w:val="16"/>
          <w:b w:val="1"/>
          <w:bCs w:val="1"/>
          <w:i w:val="1"/>
          <w:iCs w:val="1"/>
          <w:color w:val="auto"/>
        </w:rPr>
        <w:t>Live Rich, Have Fun</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Save The World.</w:t>
      </w:r>
    </w:p>
    <w:p>
      <w:pPr>
        <w:spacing w:after="0" w:line="93" w:lineRule="exact"/>
        <w:rPr>
          <w:sz w:val="20"/>
          <w:szCs w:val="20"/>
          <w:color w:val="auto"/>
        </w:rPr>
      </w:pPr>
    </w:p>
    <w:p>
      <w:pPr>
        <w:ind w:left="2" w:right="60"/>
        <w:spacing w:after="0" w:line="294" w:lineRule="auto"/>
        <w:rPr>
          <w:sz w:val="20"/>
          <w:szCs w:val="20"/>
          <w:color w:val="auto"/>
        </w:rPr>
      </w:pPr>
      <w:r>
        <w:rPr>
          <w:rFonts w:ascii="Arial" w:cs="Arial" w:eastAsia="Arial" w:hAnsi="Arial"/>
          <w:sz w:val="16"/>
          <w:szCs w:val="16"/>
          <w:color w:val="auto"/>
        </w:rPr>
        <w:t xml:space="preserve">We believe that there are three common qualities critical to achieving these three goals and the success of our company: </w:t>
      </w:r>
      <w:r>
        <w:rPr>
          <w:rFonts w:ascii="Arial" w:cs="Arial" w:eastAsia="Arial" w:hAnsi="Arial"/>
          <w:sz w:val="16"/>
          <w:szCs w:val="16"/>
          <w:b w:val="1"/>
          <w:bCs w:val="1"/>
          <w:i w:val="1"/>
          <w:iCs w:val="1"/>
          <w:color w:val="auto"/>
        </w:rPr>
        <w:t>Talent, Ambition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w:t>
      </w:r>
      <w:r>
        <w:rPr>
          <w:rFonts w:ascii="Arial" w:cs="Arial" w:eastAsia="Arial" w:hAnsi="Arial"/>
          <w:sz w:val="16"/>
          <w:szCs w:val="16"/>
          <w:b w:val="1"/>
          <w:bCs w:val="1"/>
          <w:i w:val="1"/>
          <w:iCs w:val="1"/>
          <w:color w:val="auto"/>
        </w:rPr>
        <w:t>Humility</w:t>
      </w:r>
    </w:p>
    <w:p>
      <w:pPr>
        <w:spacing w:after="0" w:line="61" w:lineRule="exact"/>
        <w:rPr>
          <w:sz w:val="20"/>
          <w:szCs w:val="20"/>
          <w:color w:val="auto"/>
        </w:rPr>
      </w:pPr>
    </w:p>
    <w:p>
      <w:pPr>
        <w:ind w:left="2" w:right="400"/>
        <w:spacing w:after="0" w:line="294" w:lineRule="auto"/>
        <w:rPr>
          <w:sz w:val="20"/>
          <w:szCs w:val="20"/>
          <w:color w:val="auto"/>
        </w:rPr>
      </w:pPr>
      <w:r>
        <w:rPr>
          <w:rFonts w:ascii="Arial" w:cs="Arial" w:eastAsia="Arial" w:hAnsi="Arial"/>
          <w:sz w:val="16"/>
          <w:szCs w:val="16"/>
          <w:color w:val="auto"/>
        </w:rPr>
        <w:t xml:space="preserve">Finally, our long-term commitment to our three life goals is guided by two simple rules: </w:t>
      </w:r>
      <w:r>
        <w:rPr>
          <w:rFonts w:ascii="Arial" w:cs="Arial" w:eastAsia="Arial" w:hAnsi="Arial"/>
          <w:sz w:val="16"/>
          <w:szCs w:val="16"/>
          <w:b w:val="1"/>
          <w:bCs w:val="1"/>
          <w:i w:val="1"/>
          <w:iCs w:val="1"/>
          <w:color w:val="auto"/>
        </w:rPr>
        <w:t>Get Shit Done</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Don’t Ruin It for Everyone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Else.</w:t>
      </w:r>
    </w:p>
    <w:p>
      <w:pPr>
        <w:spacing w:after="0" w:line="93" w:lineRule="exact"/>
        <w:rPr>
          <w:sz w:val="20"/>
          <w:szCs w:val="20"/>
          <w:color w:val="auto"/>
        </w:rPr>
      </w:pPr>
    </w:p>
    <w:p>
      <w:pPr>
        <w:ind w:left="2" w:right="320"/>
        <w:spacing w:after="0" w:line="268" w:lineRule="auto"/>
        <w:rPr>
          <w:sz w:val="20"/>
          <w:szCs w:val="20"/>
          <w:color w:val="auto"/>
        </w:rPr>
      </w:pPr>
      <w:r>
        <w:rPr>
          <w:rFonts w:ascii="Arial" w:cs="Arial" w:eastAsia="Arial" w:hAnsi="Arial"/>
          <w:sz w:val="16"/>
          <w:szCs w:val="16"/>
          <w:color w:val="auto"/>
        </w:rPr>
        <w:t>We believe that our unique culture and our employees’ happiness and long-term commitment to Expensify is a critical component of our success.</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competitive strengths</w:t>
      </w:r>
    </w:p>
    <w:p>
      <w:pPr>
        <w:spacing w:after="0" w:line="152"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3" w:lineRule="exact"/>
        <w:rPr>
          <w:sz w:val="20"/>
          <w:szCs w:val="20"/>
          <w:color w:val="auto"/>
        </w:rPr>
      </w:pPr>
    </w:p>
    <w:p>
      <w:pPr>
        <w:ind w:left="302" w:right="20" w:hanging="302"/>
        <w:spacing w:after="0" w:line="294"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Hyper-focus on an improved experience for our members. </w:t>
      </w:r>
      <w:r>
        <w:rPr>
          <w:rFonts w:ascii="Arial" w:cs="Arial" w:eastAsia="Arial" w:hAnsi="Arial"/>
          <w:sz w:val="16"/>
          <w:szCs w:val="16"/>
          <w:color w:val="auto"/>
        </w:rPr>
        <w:t>Since our inception, our principal goal has been to offer a single, intuitive</w:t>
      </w:r>
      <w:r>
        <w:rPr>
          <w:rFonts w:ascii="Arial" w:cs="Arial" w:eastAsia="Arial" w:hAnsi="Arial"/>
          <w:sz w:val="16"/>
          <w:szCs w:val="16"/>
          <w:b w:val="1"/>
          <w:bCs w:val="1"/>
          <w:color w:val="auto"/>
        </w:rPr>
        <w:t xml:space="preserve"> </w:t>
      </w:r>
      <w:r>
        <w:rPr>
          <w:rFonts w:ascii="Arial" w:cs="Arial" w:eastAsia="Arial" w:hAnsi="Arial"/>
          <w:sz w:val="16"/>
          <w:szCs w:val="16"/>
          <w:color w:val="auto"/>
        </w:rPr>
        <w:t>and powerful platform with features designed for the actual end users of expense management software: everyday employees.</w:t>
      </w:r>
    </w:p>
    <w:p>
      <w:pPr>
        <w:spacing w:after="0" w:line="72" w:lineRule="exact"/>
        <w:rPr>
          <w:rFonts w:ascii="Arial" w:cs="Arial" w:eastAsia="Arial" w:hAnsi="Arial"/>
          <w:sz w:val="16"/>
          <w:szCs w:val="16"/>
          <w:color w:val="auto"/>
        </w:rPr>
      </w:pPr>
    </w:p>
    <w:p>
      <w:pPr>
        <w:ind w:left="302" w:right="60" w:hanging="302"/>
        <w:spacing w:after="0" w:line="294"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Viral, bottom-up business model. </w:t>
      </w:r>
      <w:r>
        <w:rPr>
          <w:rFonts w:ascii="Arial" w:cs="Arial" w:eastAsia="Arial" w:hAnsi="Arial"/>
          <w:sz w:val="16"/>
          <w:szCs w:val="16"/>
          <w:color w:val="auto"/>
        </w:rPr>
        <w:t>We leverage an efficient, self-service business model driven by the viral, bottom-up adoption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by employees.</w:t>
      </w:r>
    </w:p>
    <w:p>
      <w:pPr>
        <w:spacing w:after="0" w:line="60" w:lineRule="exact"/>
        <w:rPr>
          <w:rFonts w:ascii="Arial" w:cs="Arial" w:eastAsia="Arial" w:hAnsi="Arial"/>
          <w:sz w:val="16"/>
          <w:szCs w:val="16"/>
          <w:color w:val="auto"/>
        </w:rPr>
      </w:pPr>
    </w:p>
    <w:p>
      <w:pPr>
        <w:ind w:left="302" w:right="280" w:hanging="302"/>
        <w:spacing w:after="0" w:line="294"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Recognized market consensus and efficient word-of-mouth. </w:t>
      </w:r>
      <w:r>
        <w:rPr>
          <w:rFonts w:ascii="Arial" w:cs="Arial" w:eastAsia="Arial" w:hAnsi="Arial"/>
          <w:sz w:val="16"/>
          <w:szCs w:val="16"/>
          <w:color w:val="auto"/>
        </w:rPr>
        <w:t>Our members drive the adoption and expansion of Expensify within</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and our platform and business model are intensely focused on improving their everyday experience.</w:t>
      </w:r>
    </w:p>
    <w:p>
      <w:pPr>
        <w:spacing w:after="0" w:line="72" w:lineRule="exact"/>
        <w:rPr>
          <w:rFonts w:ascii="Arial" w:cs="Arial" w:eastAsia="Arial" w:hAnsi="Arial"/>
          <w:sz w:val="16"/>
          <w:szCs w:val="16"/>
          <w:color w:val="auto"/>
        </w:rPr>
      </w:pPr>
    </w:p>
    <w:p>
      <w:pPr>
        <w:ind w:left="302" w:right="160" w:hanging="302"/>
        <w:spacing w:after="0" w:line="267"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Employee-centric legal structure and database design. </w:t>
      </w:r>
      <w:r>
        <w:rPr>
          <w:rFonts w:ascii="Arial" w:cs="Arial" w:eastAsia="Arial" w:hAnsi="Arial"/>
          <w:sz w:val="16"/>
          <w:szCs w:val="16"/>
          <w:color w:val="auto"/>
        </w:rPr>
        <w:t>Our platform is built on Bedrock, a proprietary and private distributed</w:t>
      </w:r>
      <w:r>
        <w:rPr>
          <w:rFonts w:ascii="Arial" w:cs="Arial" w:eastAsia="Arial" w:hAnsi="Arial"/>
          <w:sz w:val="16"/>
          <w:szCs w:val="16"/>
          <w:b w:val="1"/>
          <w:bCs w:val="1"/>
          <w:color w:val="auto"/>
        </w:rPr>
        <w:t xml:space="preserve"> </w:t>
      </w:r>
      <w:r>
        <w:rPr>
          <w:rFonts w:ascii="Arial" w:cs="Arial" w:eastAsia="Arial" w:hAnsi="Arial"/>
          <w:sz w:val="16"/>
          <w:szCs w:val="16"/>
          <w:color w:val="auto"/>
        </w:rPr>
        <w:t>database that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w:t>
      </w:r>
    </w:p>
    <w:p>
      <w:pPr>
        <w:spacing w:after="0" w:line="94" w:lineRule="exact"/>
        <w:rPr>
          <w:rFonts w:ascii="Arial" w:cs="Arial" w:eastAsia="Arial" w:hAnsi="Arial"/>
          <w:sz w:val="16"/>
          <w:szCs w:val="16"/>
          <w:color w:val="auto"/>
        </w:rPr>
      </w:pPr>
    </w:p>
    <w:p>
      <w:pPr>
        <w:ind w:left="302" w:right="80" w:hanging="302"/>
        <w:spacing w:after="0" w:line="274"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Nimble and extremely loyal team with a shared, long-term vision. </w:t>
      </w:r>
      <w:r>
        <w:rPr>
          <w:rFonts w:ascii="Arial" w:cs="Arial" w:eastAsia="Arial" w:hAnsi="Arial"/>
          <w:sz w:val="16"/>
          <w:szCs w:val="16"/>
          <w:color w:val="auto"/>
        </w:rPr>
        <w:t>Our efficient business model allows us to prioritize our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to attract, retain and inspire a vastly more talent-dense team than our competition. We have achieved impressive levels of retention, which provides the necessary corporate patience and ambition to execute a truly massive, long-term vision.</w:t>
      </w:r>
    </w:p>
    <w:p>
      <w:pPr>
        <w:spacing w:after="0" w:line="79"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growth strategies</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intend to drive the growth of our business by executing on the following strategies:</w:t>
      </w:r>
    </w:p>
    <w:p>
      <w:pPr>
        <w:spacing w:after="0" w:line="133" w:lineRule="exact"/>
        <w:rPr>
          <w:sz w:val="20"/>
          <w:szCs w:val="20"/>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Build new features that create additional value for existing members;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Build new features that attract new members beyond employees who submit expenses;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Build viral loops into our member experience that increase adoption by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042"/>
          </w:cols>
          <w:pgMar w:left="918" w:top="1440" w:right="9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23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6323330"/>
                    </a:xfrm>
                    <a:prstGeom prst="rect">
                      <a:avLst/>
                    </a:prstGeom>
                    <a:noFill/>
                  </pic:spPr>
                </pic:pic>
              </a:graphicData>
            </a:graphic>
          </wp:anchor>
        </w:drawing>
      </w:r>
    </w:p>
    <w:p>
      <w:pPr>
        <w:spacing w:after="0" w:line="399" w:lineRule="exact"/>
        <w:rPr>
          <w:sz w:val="20"/>
          <w:szCs w:val="20"/>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and monetize transaction volume from existing and new customers;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Promote Expensify’s culture and values;</w:t>
      </w:r>
    </w:p>
    <w:p>
      <w:pPr>
        <w:spacing w:after="0" w:line="132" w:lineRule="exact"/>
        <w:rPr>
          <w:rFonts w:ascii="Arial" w:cs="Arial" w:eastAsia="Arial" w:hAnsi="Arial"/>
          <w:sz w:val="16"/>
          <w:szCs w:val="16"/>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Continue to strengthen our market consensus;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integrations and strengthen partnerships; and</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internationally.</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Expensify.org</w:t>
      </w:r>
    </w:p>
    <w:p>
      <w:pPr>
        <w:spacing w:after="0" w:line="164" w:lineRule="exact"/>
        <w:rPr>
          <w:sz w:val="20"/>
          <w:szCs w:val="20"/>
          <w:color w:val="auto"/>
        </w:rPr>
      </w:pPr>
    </w:p>
    <w:p>
      <w:pPr>
        <w:ind w:left="2"/>
        <w:spacing w:after="0" w:line="258" w:lineRule="auto"/>
        <w:rPr>
          <w:sz w:val="20"/>
          <w:szCs w:val="20"/>
          <w:color w:val="auto"/>
        </w:rPr>
      </w:pPr>
      <w:r>
        <w:rPr>
          <w:rFonts w:ascii="Arial" w:cs="Arial" w:eastAsia="Arial" w:hAnsi="Arial"/>
          <w:sz w:val="16"/>
          <w:szCs w:val="16"/>
          <w:color w:val="auto"/>
        </w:rPr>
        <w:t>We started Expensify.org to “create a just and generous world” with the belief that doing good is good for business. 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105"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The Voting Trust</w:t>
      </w:r>
    </w:p>
    <w:p>
      <w:pPr>
        <w:sectPr>
          <w:pgSz w:w="11900" w:h="16838" w:orient="portrait"/>
          <w:cols w:equalWidth="0" w:num="1">
            <w:col w:w="10042"/>
          </w:cols>
          <w:pgMar w:left="918" w:top="1440" w:right="939" w:bottom="1440" w:gutter="0" w:footer="0" w:header="0"/>
        </w:sectPr>
      </w:pP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Prior to the completion of this offering, all of our outstanding shares of LT10 and LT50 common stock, representing approximately</w:t>
      </w:r>
    </w:p>
    <w:p>
      <w:pPr>
        <w:spacing w:after="0" w:line="11" w:lineRule="exact"/>
        <w:rPr>
          <w:sz w:val="20"/>
          <w:szCs w:val="20"/>
          <w:color w:val="auto"/>
        </w:rPr>
      </w:pPr>
    </w:p>
    <w:p>
      <w:pPr>
        <w:ind w:left="2"/>
        <w:spacing w:after="0"/>
        <w:tabs>
          <w:tab w:leader="none" w:pos="3001" w:val="left"/>
        </w:tabs>
        <w:rPr>
          <w:sz w:val="20"/>
          <w:szCs w:val="20"/>
          <w:color w:val="auto"/>
        </w:rPr>
      </w:pPr>
      <w:r>
        <w:rPr>
          <w:rFonts w:ascii="Arial" w:cs="Arial" w:eastAsia="Arial" w:hAnsi="Arial"/>
          <w:sz w:val="16"/>
          <w:szCs w:val="16"/>
          <w:color w:val="auto"/>
        </w:rPr>
        <w:t>of the combined voting power and</w:t>
      </w:r>
      <w:r>
        <w:rPr>
          <w:sz w:val="20"/>
          <w:szCs w:val="20"/>
          <w:color w:val="auto"/>
        </w:rPr>
        <w:tab/>
      </w:r>
      <w:r>
        <w:rPr>
          <w:rFonts w:ascii="Arial" w:cs="Arial" w:eastAsia="Arial" w:hAnsi="Arial"/>
          <w:sz w:val="16"/>
          <w:szCs w:val="16"/>
          <w:color w:val="auto"/>
        </w:rPr>
        <w:t>% of the economic interest in us immediately following the completion of this offering, will be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17" w:lineRule="exact"/>
        <w:rPr>
          <w:sz w:val="20"/>
          <w:szCs w:val="20"/>
          <w:color w:val="auto"/>
        </w:rPr>
      </w:pPr>
    </w:p>
    <w:p>
      <w:pPr>
        <w:sectPr>
          <w:pgSz w:w="11900" w:h="16838" w:orient="portrait"/>
          <w:cols w:equalWidth="0" w:num="2">
            <w:col w:w="9622" w:space="220"/>
            <w:col w:w="200"/>
          </w:cols>
          <w:pgMar w:left="918" w:top="1440" w:right="939" w:bottom="1440" w:gutter="0" w:footer="0" w:header="0"/>
          <w:type w:val="continuous"/>
        </w:sectPr>
      </w:pPr>
    </w:p>
    <w:p>
      <w:pPr>
        <w:ind w:left="2"/>
        <w:spacing w:after="0" w:line="255" w:lineRule="auto"/>
        <w:rPr>
          <w:sz w:val="20"/>
          <w:szCs w:val="20"/>
          <w:color w:val="auto"/>
        </w:rPr>
      </w:pPr>
      <w:r>
        <w:rPr>
          <w:rFonts w:ascii="Arial" w:cs="Arial" w:eastAsia="Arial" w:hAnsi="Arial"/>
          <w:sz w:val="16"/>
          <w:szCs w:val="16"/>
          <w:color w:val="auto"/>
        </w:rPr>
        <w:t>contributed by the beneficial holders of such shares (the “Trust Beneficiaries”) to a new voting trust (the "Voting Trust”) formed pursuant to a voting trust agreement (the “Voting Trust Agreement"), under which all decisions with respect to the voting (but not the disposition) of such shares of LT10 and LT50 common stock, as well as any other shares of any class of common stock held in the Voting Trust from time to time, will be made by the trustees of the Voting Trust (the “Trustees”) in their sole and absolute discretion, with no responsibility under the Voting Trust Agreement as stockholder, trustee or otherwise, except for his or her own individual malfeasance. The initial Trustees of the Voting Trust will be David Barrett, our CEO, Ryan Schaffer, our CFO, and Jason Mills, our Chief Product Officer. The Voting Trust and its Trustees will, for the foreseeable future, have significant influence over our corporate management and affairs, and will be able to control virtually all matters requiring stockholder approval.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which will occur when all of the then-outstanding shares of LT10 and LT50 common stock represent, in the aggregate, less than 2% of all then-outstanding shares of common stock.</w:t>
      </w:r>
    </w:p>
    <w:p>
      <w:pPr>
        <w:spacing w:after="0" w:line="305"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Risk factor summary</w:t>
      </w:r>
    </w:p>
    <w:p>
      <w:pPr>
        <w:spacing w:after="0" w:line="164"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Our business is subject to a number of risks and uncertainties of which you should be aware before making a decision to invest in our Class A common stock. These risks are more fully described in the section titled “Risk factors” immediately following this prospectus summary. These risks include, among others, the following:</w:t>
      </w:r>
    </w:p>
    <w:p>
      <w:pPr>
        <w:spacing w:after="0" w:line="106" w:lineRule="exact"/>
        <w:rPr>
          <w:sz w:val="20"/>
          <w:szCs w:val="20"/>
          <w:color w:val="auto"/>
        </w:rPr>
      </w:pPr>
    </w:p>
    <w:p>
      <w:pPr>
        <w:ind w:left="302" w:right="6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quarterly and annual results of operations have fluctuated in the past and may fluctuate significantly in the future and may not meet our expectations or those of investors or securities analysts.</w:t>
      </w:r>
    </w:p>
    <w:p>
      <w:pPr>
        <w:spacing w:after="0" w:line="112" w:lineRule="exact"/>
        <w:rPr>
          <w:rFonts w:ascii="Arial" w:cs="Arial" w:eastAsia="Arial" w:hAnsi="Arial"/>
          <w:sz w:val="16"/>
          <w:szCs w:val="16"/>
          <w:color w:val="auto"/>
        </w:rPr>
      </w:pPr>
    </w:p>
    <w:p>
      <w:pPr>
        <w:ind w:left="302" w:right="26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experienced rapid growth in recent periods prior to the COVID-19 pandemic, and those growth rates may not be indicative of our future growth, and we may not be able to maintain profitability.</w:t>
      </w:r>
    </w:p>
    <w:p>
      <w:pPr>
        <w:spacing w:after="0" w:line="112" w:lineRule="exact"/>
        <w:rPr>
          <w:rFonts w:ascii="Arial" w:cs="Arial" w:eastAsia="Arial" w:hAnsi="Arial"/>
          <w:sz w:val="16"/>
          <w:szCs w:val="16"/>
          <w:color w:val="auto"/>
        </w:rPr>
      </w:pPr>
    </w:p>
    <w:p>
      <w:pPr>
        <w:ind w:left="302"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COVID 19 pandemic has materially adversely affected, and may continue to materially adversely affect, our business and our ability to grow. Whether or not a result of the COVID-19 pandemic,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042"/>
          </w:cols>
          <w:pgMar w:left="918" w:top="1440" w:right="93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663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6663690"/>
                    </a:xfrm>
                    <a:prstGeom prst="rect">
                      <a:avLst/>
                    </a:prstGeom>
                    <a:noFill/>
                  </pic:spPr>
                </pic:pic>
              </a:graphicData>
            </a:graphic>
          </wp:anchor>
        </w:drawing>
      </w:r>
    </w:p>
    <w:p>
      <w:pPr>
        <w:spacing w:after="0" w:line="399" w:lineRule="exact"/>
        <w:rPr>
          <w:sz w:val="20"/>
          <w:szCs w:val="20"/>
          <w:color w:val="auto"/>
        </w:rPr>
      </w:pPr>
    </w:p>
    <w:p>
      <w:pPr>
        <w:ind w:left="302" w:right="60"/>
        <w:spacing w:after="0" w:line="268" w:lineRule="auto"/>
        <w:rPr>
          <w:sz w:val="20"/>
          <w:szCs w:val="20"/>
          <w:color w:val="auto"/>
        </w:rPr>
      </w:pPr>
      <w:r>
        <w:rPr>
          <w:rFonts w:ascii="Arial" w:cs="Arial" w:eastAsia="Arial" w:hAnsi="Arial"/>
          <w:sz w:val="16"/>
          <w:szCs w:val="16"/>
          <w:color w:val="auto"/>
        </w:rPr>
        <w:t>sustained general economic downturn, an uneven recovery, or continued instability could materially and adversely affect our business, results of operations and financial condition and growth prospects.</w:t>
      </w:r>
    </w:p>
    <w:p>
      <w:pPr>
        <w:spacing w:after="0" w:line="113" w:lineRule="exact"/>
        <w:rPr>
          <w:sz w:val="20"/>
          <w:szCs w:val="20"/>
          <w:color w:val="auto"/>
        </w:rPr>
      </w:pPr>
    </w:p>
    <w:p>
      <w:pPr>
        <w:ind w:left="302" w:right="100" w:hanging="302"/>
        <w:spacing w:after="0" w:line="261"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06" w:lineRule="exact"/>
        <w:rPr>
          <w:rFonts w:ascii="Arial" w:cs="Arial" w:eastAsia="Arial" w:hAnsi="Arial"/>
          <w:sz w:val="16"/>
          <w:szCs w:val="16"/>
          <w:color w:val="auto"/>
        </w:rPr>
      </w:pPr>
    </w:p>
    <w:p>
      <w:pPr>
        <w:ind w:left="302" w:right="4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fail to adapt and respond effectively to rapidly changing technology, evolving industry standards and changing customer needs or preferences, our platform may become less competitive.</w:t>
      </w:r>
    </w:p>
    <w:p>
      <w:pPr>
        <w:spacing w:after="0" w:line="112" w:lineRule="exact"/>
        <w:rPr>
          <w:rFonts w:ascii="Arial" w:cs="Arial" w:eastAsia="Arial" w:hAnsi="Arial"/>
          <w:sz w:val="16"/>
          <w:szCs w:val="16"/>
          <w:color w:val="auto"/>
        </w:rPr>
      </w:pPr>
    </w:p>
    <w:p>
      <w:pPr>
        <w:ind w:left="302" w:right="40" w:hanging="302"/>
        <w:spacing w:after="0" w:line="261"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18" w:lineRule="exact"/>
        <w:rPr>
          <w:rFonts w:ascii="Arial" w:cs="Arial" w:eastAsia="Arial" w:hAnsi="Arial"/>
          <w:sz w:val="16"/>
          <w:szCs w:val="16"/>
          <w:color w:val="auto"/>
        </w:rPr>
      </w:pPr>
    </w:p>
    <w:p>
      <w:pPr>
        <w:ind w:left="302" w:right="42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fail to accurately predict the optimal pricing strategies necessary to attract new customers, retain existing customers and respond to changing market conditions.</w:t>
      </w:r>
    </w:p>
    <w:p>
      <w:pPr>
        <w:spacing w:after="0" w:line="100" w:lineRule="exact"/>
        <w:rPr>
          <w:rFonts w:ascii="Arial" w:cs="Arial" w:eastAsia="Arial" w:hAnsi="Arial"/>
          <w:sz w:val="16"/>
          <w:szCs w:val="16"/>
          <w:color w:val="auto"/>
        </w:rPr>
      </w:pPr>
    </w:p>
    <w:p>
      <w:pPr>
        <w:ind w:left="302" w:right="40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112" w:lineRule="exact"/>
        <w:rPr>
          <w:rFonts w:ascii="Arial" w:cs="Arial" w:eastAsia="Arial" w:hAnsi="Arial"/>
          <w:sz w:val="16"/>
          <w:szCs w:val="16"/>
          <w:color w:val="auto"/>
        </w:rPr>
      </w:pPr>
    </w:p>
    <w:p>
      <w:pPr>
        <w:ind w:left="302" w:right="10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face significant competition, the market in which we operate is rapidly evolving, and if we do not compete effectively, our results of operations and financial condition could be harmed.</w:t>
      </w:r>
    </w:p>
    <w:p>
      <w:pPr>
        <w:spacing w:after="0" w:line="112" w:lineRule="exact"/>
        <w:rPr>
          <w:rFonts w:ascii="Arial" w:cs="Arial" w:eastAsia="Arial" w:hAnsi="Arial"/>
          <w:sz w:val="16"/>
          <w:szCs w:val="16"/>
          <w:color w:val="auto"/>
        </w:rPr>
      </w:pPr>
    </w:p>
    <w:p>
      <w:pPr>
        <w:ind w:left="302"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100" w:lineRule="exact"/>
        <w:rPr>
          <w:rFonts w:ascii="Arial" w:cs="Arial" w:eastAsia="Arial" w:hAnsi="Arial"/>
          <w:sz w:val="16"/>
          <w:szCs w:val="16"/>
          <w:color w:val="auto"/>
        </w:rPr>
      </w:pPr>
    </w:p>
    <w:p>
      <w:pPr>
        <w:ind w:left="302" w:right="46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112" w:lineRule="exact"/>
        <w:rPr>
          <w:rFonts w:ascii="Arial" w:cs="Arial" w:eastAsia="Arial" w:hAnsi="Arial"/>
          <w:sz w:val="16"/>
          <w:szCs w:val="16"/>
          <w:color w:val="auto"/>
        </w:rPr>
      </w:pPr>
    </w:p>
    <w:p>
      <w:pPr>
        <w:ind w:left="302" w:right="80" w:hanging="302"/>
        <w:spacing w:after="0" w:line="261"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118" w:lineRule="exact"/>
        <w:rPr>
          <w:rFonts w:ascii="Arial" w:cs="Arial" w:eastAsia="Arial" w:hAnsi="Arial"/>
          <w:sz w:val="16"/>
          <w:szCs w:val="16"/>
          <w:color w:val="auto"/>
        </w:rPr>
      </w:pPr>
    </w:p>
    <w:p>
      <w:pPr>
        <w:ind w:left="302" w:right="12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depends on a strong brand, and if we are not able to maintain and enhance our brand, our ability to expand our base of customers may be impaired, and our business and results of operations will be harmed.</w:t>
      </w:r>
    </w:p>
    <w:p>
      <w:pPr>
        <w:spacing w:after="0" w:line="100" w:lineRule="exact"/>
        <w:rPr>
          <w:rFonts w:ascii="Arial" w:cs="Arial" w:eastAsia="Arial" w:hAnsi="Arial"/>
          <w:sz w:val="16"/>
          <w:szCs w:val="16"/>
          <w:color w:val="auto"/>
        </w:rPr>
      </w:pPr>
    </w:p>
    <w:p>
      <w:pPr>
        <w:ind w:left="302" w:right="56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culture has contributed to our success, and if we cannot maintain this culture as we grow, we could lose the high employee engagement fostered by our culture, which could harm our business.</w:t>
      </w:r>
    </w:p>
    <w:p>
      <w:pPr>
        <w:spacing w:after="0" w:line="112" w:lineRule="exact"/>
        <w:rPr>
          <w:rFonts w:ascii="Arial" w:cs="Arial" w:eastAsia="Arial" w:hAnsi="Arial"/>
          <w:sz w:val="16"/>
          <w:szCs w:val="16"/>
          <w:color w:val="auto"/>
        </w:rPr>
      </w:pPr>
    </w:p>
    <w:p>
      <w:pPr>
        <w:ind w:left="302" w:right="28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Sales to customers outside the United States and our international operations expose us to risks inherent in international sales and operations.</w:t>
      </w:r>
    </w:p>
    <w:p>
      <w:pPr>
        <w:spacing w:after="0" w:line="112" w:lineRule="exact"/>
        <w:rPr>
          <w:rFonts w:ascii="Arial" w:cs="Arial" w:eastAsia="Arial" w:hAnsi="Arial"/>
          <w:sz w:val="16"/>
          <w:szCs w:val="16"/>
          <w:color w:val="auto"/>
        </w:rPr>
      </w:pPr>
    </w:p>
    <w:p>
      <w:pPr>
        <w:jc w:val="both"/>
        <w:ind w:left="302" w:right="160" w:hanging="302"/>
        <w:spacing w:after="0" w:line="261"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06" w:lineRule="exact"/>
        <w:rPr>
          <w:rFonts w:ascii="Arial" w:cs="Arial" w:eastAsia="Arial" w:hAnsi="Arial"/>
          <w:sz w:val="16"/>
          <w:szCs w:val="16"/>
          <w:color w:val="auto"/>
        </w:rPr>
      </w:pPr>
    </w:p>
    <w:p>
      <w:pPr>
        <w:ind w:left="302" w:right="2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fail to manage our technical operations infrastructure, or experience service outages, interruptions, or delays in the deployment of our platform, our results of operations may be harmed.</w:t>
      </w:r>
    </w:p>
    <w:p>
      <w:pPr>
        <w:spacing w:after="0" w:line="112" w:lineRule="exact"/>
        <w:rPr>
          <w:rFonts w:ascii="Arial" w:cs="Arial" w:eastAsia="Arial" w:hAnsi="Arial"/>
          <w:sz w:val="16"/>
          <w:szCs w:val="16"/>
          <w:color w:val="auto"/>
        </w:rPr>
      </w:pPr>
    </w:p>
    <w:p>
      <w:pPr>
        <w:ind w:left="302" w:right="140" w:hanging="302"/>
        <w:spacing w:after="0" w:line="261"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multiple class structure of our common stock and the ownership of substantially all of our LT10 and LT50 common stock by Trust Beneficiaries through the Voting Trust have the effect of concentrating voting control with the Voting Trust for the foreseeable future, which will limit your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962"/>
          </w:cols>
          <w:pgMar w:left="918" w:top="1440" w:right="10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006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6006465"/>
                    </a:xfrm>
                    <a:prstGeom prst="rect">
                      <a:avLst/>
                    </a:prstGeom>
                    <a:noFill/>
                  </pic:spPr>
                </pic:pic>
              </a:graphicData>
            </a:graphic>
          </wp:anchor>
        </w:drawing>
      </w:r>
    </w:p>
    <w:p>
      <w:pPr>
        <w:spacing w:after="0" w:line="399" w:lineRule="exact"/>
        <w:rPr>
          <w:sz w:val="20"/>
          <w:szCs w:val="20"/>
          <w:color w:val="auto"/>
        </w:rPr>
      </w:pPr>
    </w:p>
    <w:p>
      <w:pPr>
        <w:ind w:left="302" w:right="360"/>
        <w:spacing w:after="0" w:line="261" w:lineRule="auto"/>
        <w:rPr>
          <w:sz w:val="20"/>
          <w:szCs w:val="20"/>
          <w:color w:val="auto"/>
        </w:rPr>
      </w:pPr>
      <w:r>
        <w:rPr>
          <w:rFonts w:ascii="Arial" w:cs="Arial" w:eastAsia="Arial" w:hAnsi="Arial"/>
          <w:sz w:val="16"/>
          <w:szCs w:val="16"/>
          <w:color w:val="auto"/>
        </w:rPr>
        <w:t>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Recent developments</w:t>
      </w:r>
    </w:p>
    <w:p>
      <w:pPr>
        <w:spacing w:after="0" w:line="13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Preliminary consolidated financial results for the fiscal quarter ended September 30, 2021</w:t>
      </w:r>
    </w:p>
    <w:p>
      <w:pPr>
        <w:spacing w:after="0" w:line="165" w:lineRule="exact"/>
        <w:rPr>
          <w:sz w:val="20"/>
          <w:szCs w:val="20"/>
          <w:color w:val="auto"/>
        </w:rPr>
      </w:pPr>
    </w:p>
    <w:p>
      <w:pPr>
        <w:ind w:left="2"/>
        <w:spacing w:after="0" w:line="255" w:lineRule="auto"/>
        <w:rPr>
          <w:sz w:val="20"/>
          <w:szCs w:val="20"/>
          <w:color w:val="auto"/>
        </w:rPr>
      </w:pPr>
      <w:r>
        <w:rPr>
          <w:rFonts w:ascii="Arial" w:cs="Arial" w:eastAsia="Arial" w:hAnsi="Arial"/>
          <w:sz w:val="16"/>
          <w:szCs w:val="16"/>
          <w:color w:val="auto"/>
        </w:rPr>
        <w:t>The following preliminary consolidated financial information for the fiscal quarter ended September 30, 2021 is based upon our estimates and subject to completion of our financial closing procedures. Moreover, this data has been prepared solely on the basis of currently available information by, and is the responsibility of, Expensify, Inc. This information should be read in conjunction with our audited consolidated financial statements and related notes, our unaudited consolidated financial statements and related notes and “Management’s discussion and analysis of financial condition and results of operations” for prior periods included elsewhere in this prospectus. Our independent registered public accounting firm, Ernst and Young LLP, has not audited or reviewed, and does not express an opinion with respect to, this data. This summary is not a comprehensive statement of our financial results for this period, and our actual results may differ from these estimates due to the completion of our financial closing procedures and final adjustments and other developments that may arise between the date of this prospectus and the time our final quarterly consolidated financial statements are completed. Our actual results for the fiscal quarter ended September 30, 2021 will not be available until after the completion of this offering. There can be no assurance that these estimates will be realized, and these estimates are subject to risks and uncertainties, many of which are not within our control.</w:t>
      </w:r>
    </w:p>
    <w:p>
      <w:pPr>
        <w:spacing w:after="0" w:line="127"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have prepared estimates of the following preliminary consolidated financial data for the fiscal quarter ended September 30, 2021:</w:t>
      </w:r>
    </w:p>
    <w:p>
      <w:pPr>
        <w:spacing w:after="0" w:line="138"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6920" w:type="dxa"/>
            <w:vAlign w:val="bottom"/>
            <w:tcBorders>
              <w:top w:val="single" w:sz="8" w:color="auto"/>
            </w:tcBorders>
          </w:tcPr>
          <w:p>
            <w:pPr>
              <w:spacing w:after="0"/>
              <w:rPr>
                <w:sz w:val="16"/>
                <w:szCs w:val="16"/>
                <w:color w:val="auto"/>
              </w:rPr>
            </w:pPr>
          </w:p>
        </w:tc>
        <w:tc>
          <w:tcPr>
            <w:tcW w:w="31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Fiscal quarter ended September 30, 2021</w:t>
            </w:r>
          </w:p>
        </w:tc>
        <w:tc>
          <w:tcPr>
            <w:tcW w:w="0" w:type="dxa"/>
            <w:vAlign w:val="bottom"/>
          </w:tcPr>
          <w:p>
            <w:pPr>
              <w:spacing w:after="0"/>
              <w:rPr>
                <w:sz w:val="1"/>
                <w:szCs w:val="1"/>
                <w:color w:val="auto"/>
              </w:rPr>
            </w:pPr>
          </w:p>
        </w:tc>
      </w:tr>
      <w:tr>
        <w:trPr>
          <w:trHeight w:val="163"/>
        </w:trPr>
        <w:tc>
          <w:tcPr>
            <w:tcW w:w="6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income data:</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Low</w:t>
            </w: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High</w:t>
            </w:r>
          </w:p>
        </w:tc>
        <w:tc>
          <w:tcPr>
            <w:tcW w:w="0" w:type="dxa"/>
            <w:vAlign w:val="bottom"/>
          </w:tcPr>
          <w:p>
            <w:pPr>
              <w:spacing w:after="0"/>
              <w:rPr>
                <w:sz w:val="1"/>
                <w:szCs w:val="1"/>
                <w:color w:val="auto"/>
              </w:rPr>
            </w:pPr>
          </w:p>
        </w:tc>
      </w:tr>
      <w:tr>
        <w:trPr>
          <w:trHeight w:val="187"/>
        </w:trPr>
        <w:tc>
          <w:tcPr>
            <w:tcW w:w="692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(in thousands)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Pr>
          <w:p>
            <w:pPr>
              <w:ind w:left="1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100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6"/>
                <w:szCs w:val="16"/>
                <w:color w:val="auto"/>
              </w:rPr>
              <w:t>— %</w:t>
            </w:r>
          </w:p>
        </w:tc>
        <w:tc>
          <w:tcPr>
            <w:tcW w:w="560" w:type="dxa"/>
            <w:vAlign w:val="bottom"/>
          </w:tcPr>
          <w:p>
            <w:pPr>
              <w:spacing w:after="0"/>
              <w:rPr>
                <w:sz w:val="17"/>
                <w:szCs w:val="17"/>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Key business metrics and non-GAAP financial measures: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line="207" w:lineRule="exact"/>
              <w:rPr>
                <w:sz w:val="20"/>
                <w:szCs w:val="20"/>
                <w:color w:val="auto"/>
              </w:rPr>
            </w:pPr>
            <w:r>
              <w:rPr>
                <w:rFonts w:ascii="Arial" w:cs="Arial" w:eastAsia="Arial" w:hAnsi="Arial"/>
                <w:sz w:val="16"/>
                <w:szCs w:val="16"/>
                <w:color w:val="auto"/>
              </w:rPr>
              <w:t>Paid members</w:t>
            </w:r>
            <w:r>
              <w:rPr>
                <w:rFonts w:ascii="Arial" w:cs="Arial" w:eastAsia="Arial" w:hAnsi="Arial"/>
                <w:sz w:val="21"/>
                <w:szCs w:val="21"/>
                <w:color w:val="auto"/>
                <w:vertAlign w:val="superscript"/>
              </w:rPr>
              <w:t>(1)</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(2)</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 %</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2" w:right="340" w:hanging="302"/>
        <w:spacing w:after="0" w:line="254" w:lineRule="auto"/>
        <w:tabs>
          <w:tab w:leader="none" w:pos="292" w:val="left"/>
        </w:tabs>
        <w:numPr>
          <w:ilvl w:val="0"/>
          <w:numId w:val="15"/>
        </w:numPr>
        <w:rPr>
          <w:rFonts w:ascii="Arial" w:cs="Arial" w:eastAsia="Arial" w:hAnsi="Arial"/>
          <w:sz w:val="12"/>
          <w:szCs w:val="12"/>
          <w:color w:val="auto"/>
        </w:rPr>
      </w:pPr>
      <w:r>
        <w:rPr>
          <w:rFonts w:ascii="Arial" w:cs="Arial" w:eastAsia="Arial" w:hAnsi="Arial"/>
          <w:sz w:val="12"/>
          <w:szCs w:val="12"/>
          <w:color w:val="auto"/>
        </w:rPr>
        <w:t>For additional information, please see the section titled “Management’s discussion and analysis of financial condition and results of operations—Key business metrics and non-GAAP financial measures.”</w:t>
      </w:r>
    </w:p>
    <w:p>
      <w:pPr>
        <w:ind w:left="302" w:right="440" w:hanging="302"/>
        <w:spacing w:after="0" w:line="261" w:lineRule="auto"/>
        <w:tabs>
          <w:tab w:leader="none" w:pos="292"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define Adjusted EBITDA as net income (loss) excluding provision for income taxes, interest and other expenses, net, depreciation and amortization and stock based compensation. We define Adjusted EBITDA margin as Adjusted EBITDA divided by total revenue for the same period. For additional information, please see the section titled “Management’s discussion and analysis of financial condition and results of operations—Key business metrics and non-GAAP financial measures.”</w:t>
      </w:r>
    </w:p>
    <w:p>
      <w:pPr>
        <w:spacing w:after="0" w:line="106"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Revenue</w:t>
      </w:r>
    </w:p>
    <w:p>
      <w:pPr>
        <w:spacing w:after="0" w:line="149" w:lineRule="exact"/>
        <w:rPr>
          <w:sz w:val="20"/>
          <w:szCs w:val="20"/>
          <w:color w:val="auto"/>
        </w:rPr>
      </w:pPr>
    </w:p>
    <w:p>
      <w:pPr>
        <w:ind w:left="2" w:right="280"/>
        <w:spacing w:after="0" w:line="261" w:lineRule="auto"/>
        <w:rPr>
          <w:sz w:val="20"/>
          <w:szCs w:val="20"/>
          <w:color w:val="auto"/>
        </w:rPr>
      </w:pPr>
      <w:r>
        <w:rPr>
          <w:rFonts w:ascii="Arial" w:cs="Arial" w:eastAsia="Arial" w:hAnsi="Arial"/>
          <w:sz w:val="16"/>
          <w:szCs w:val="16"/>
          <w:color w:val="auto"/>
        </w:rPr>
        <w:t>Our preliminary estimated revenue is expected to be between $ million and $ million, which represents an increased range of approximately $ million to $ million for the fiscal quarter ended September 30, 2021 compared to the fiscal quarter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042"/>
          </w:cols>
          <w:pgMar w:left="918" w:top="1440" w:right="9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523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65239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Income (loss) from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Our preliminary estimated income (loss) from operations for the fiscal quarter ended September 30, 2021 compared to the fiscal quarter</w:t>
      </w:r>
    </w:p>
    <w:p>
      <w:pPr>
        <w:spacing w:after="0" w:line="11" w:lineRule="exact"/>
        <w:rPr>
          <w:sz w:val="20"/>
          <w:szCs w:val="20"/>
          <w:color w:val="auto"/>
        </w:rPr>
      </w:pPr>
    </w:p>
    <w:p>
      <w:pPr>
        <w:spacing w:after="0"/>
        <w:tabs>
          <w:tab w:leader="none" w:pos="5320" w:val="left"/>
          <w:tab w:leader="none" w:pos="6560" w:val="left"/>
        </w:tabs>
        <w:rPr>
          <w:sz w:val="20"/>
          <w:szCs w:val="20"/>
          <w:color w:val="auto"/>
        </w:rPr>
      </w:pPr>
      <w:r>
        <w:rPr>
          <w:rFonts w:ascii="Arial" w:cs="Arial" w:eastAsia="Arial" w:hAnsi="Arial"/>
          <w:sz w:val="16"/>
          <w:szCs w:val="16"/>
          <w:color w:val="auto"/>
        </w:rPr>
        <w:t>ended September 30, 2020 increased by a range of approximately $</w:t>
      </w:r>
      <w:r>
        <w:rPr>
          <w:sz w:val="20"/>
          <w:szCs w:val="20"/>
          <w:color w:val="auto"/>
        </w:rPr>
        <w:tab/>
      </w:r>
      <w:r>
        <w:rPr>
          <w:rFonts w:ascii="Arial" w:cs="Arial" w:eastAsia="Arial" w:hAnsi="Arial"/>
          <w:sz w:val="16"/>
          <w:szCs w:val="16"/>
          <w:color w:val="auto"/>
        </w:rPr>
        <w:t>million to $</w:t>
      </w:r>
      <w:r>
        <w:rPr>
          <w:sz w:val="20"/>
          <w:szCs w:val="20"/>
          <w:color w:val="auto"/>
        </w:rPr>
        <w:tab/>
      </w:r>
      <w:r>
        <w:rPr>
          <w:rFonts w:ascii="Arial" w:cs="Arial" w:eastAsia="Arial" w:hAnsi="Arial"/>
          <w:sz w:val="16"/>
          <w:szCs w:val="16"/>
          <w:color w:val="auto"/>
        </w:rPr>
        <w:t>million.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Our preliminary estimated net income (loss) for the fiscal quarter ended September 30, 2021 compared to the fiscal quarter ended</w:t>
      </w:r>
    </w:p>
    <w:p>
      <w:pPr>
        <w:spacing w:after="0" w:line="11" w:lineRule="exact"/>
        <w:rPr>
          <w:sz w:val="20"/>
          <w:szCs w:val="20"/>
          <w:color w:val="auto"/>
        </w:rPr>
      </w:pPr>
    </w:p>
    <w:p>
      <w:pPr>
        <w:spacing w:after="0"/>
        <w:tabs>
          <w:tab w:leader="none" w:pos="4840" w:val="left"/>
          <w:tab w:leader="none" w:pos="6060" w:val="left"/>
        </w:tabs>
        <w:rPr>
          <w:sz w:val="20"/>
          <w:szCs w:val="20"/>
          <w:color w:val="auto"/>
        </w:rPr>
      </w:pPr>
      <w:r>
        <w:rPr>
          <w:rFonts w:ascii="Arial" w:cs="Arial" w:eastAsia="Arial" w:hAnsi="Arial"/>
          <w:sz w:val="16"/>
          <w:szCs w:val="16"/>
          <w:color w:val="auto"/>
        </w:rPr>
        <w:t>September 30, 2020 increased by a range of approximately $</w:t>
      </w:r>
      <w:r>
        <w:rPr>
          <w:sz w:val="20"/>
          <w:szCs w:val="20"/>
          <w:color w:val="auto"/>
        </w:rPr>
        <w:tab/>
      </w:r>
      <w:r>
        <w:rPr>
          <w:rFonts w:ascii="Arial" w:cs="Arial" w:eastAsia="Arial" w:hAnsi="Arial"/>
          <w:sz w:val="16"/>
          <w:szCs w:val="16"/>
          <w:color w:val="auto"/>
        </w:rPr>
        <w:t>million to $</w:t>
      </w:r>
      <w:r>
        <w:rPr>
          <w:sz w:val="20"/>
          <w:szCs w:val="20"/>
          <w:color w:val="auto"/>
        </w:rPr>
        <w:tab/>
      </w:r>
      <w:r>
        <w:rPr>
          <w:rFonts w:ascii="Arial" w:cs="Arial" w:eastAsia="Arial" w:hAnsi="Arial"/>
          <w:sz w:val="16"/>
          <w:szCs w:val="16"/>
          <w:color w:val="auto"/>
        </w:rPr>
        <w:t>million.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income (loss) margin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Our preliminary estimated net income (loss) margin for the fiscal quarter ended September 30, 2021 compared to the fiscal quarter ended</w:t>
      </w:r>
    </w:p>
    <w:p>
      <w:pPr>
        <w:spacing w:after="0" w:line="11" w:lineRule="exact"/>
        <w:rPr>
          <w:sz w:val="20"/>
          <w:szCs w:val="20"/>
          <w:color w:val="auto"/>
        </w:rPr>
      </w:pPr>
    </w:p>
    <w:p>
      <w:pPr>
        <w:spacing w:after="0"/>
        <w:tabs>
          <w:tab w:leader="none" w:pos="4740" w:val="left"/>
          <w:tab w:leader="none" w:pos="5520" w:val="left"/>
        </w:tabs>
        <w:rPr>
          <w:sz w:val="20"/>
          <w:szCs w:val="20"/>
          <w:color w:val="auto"/>
        </w:rPr>
      </w:pPr>
      <w:r>
        <w:rPr>
          <w:rFonts w:ascii="Arial" w:cs="Arial" w:eastAsia="Arial" w:hAnsi="Arial"/>
          <w:sz w:val="16"/>
          <w:szCs w:val="16"/>
          <w:color w:val="auto"/>
        </w:rPr>
        <w:t>September 30, 2020 increased by a range of approximately</w:t>
      </w:r>
      <w:r>
        <w:rPr>
          <w:sz w:val="20"/>
          <w:szCs w:val="20"/>
          <w:color w:val="auto"/>
        </w:rPr>
        <w:tab/>
      </w:r>
      <w:r>
        <w:rPr>
          <w:rFonts w:ascii="Arial" w:cs="Arial" w:eastAsia="Arial" w:hAnsi="Arial"/>
          <w:sz w:val="16"/>
          <w:szCs w:val="16"/>
          <w:color w:val="auto"/>
        </w:rPr>
        <w:t>% to</w:t>
      </w:r>
      <w:r>
        <w:rPr>
          <w:sz w:val="20"/>
          <w:szCs w:val="20"/>
          <w:color w:val="auto"/>
        </w:rPr>
        <w:tab/>
      </w:r>
      <w:r>
        <w:rPr>
          <w:rFonts w:ascii="Arial" w:cs="Arial" w:eastAsia="Arial" w:hAnsi="Arial"/>
          <w:sz w:val="15"/>
          <w:szCs w:val="15"/>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Paid members</w:t>
      </w:r>
    </w:p>
    <w:p>
      <w:pPr>
        <w:sectPr>
          <w:pgSz w:w="11900" w:h="16838" w:orient="portrait"/>
          <w:cols w:equalWidth="0" w:num="1">
            <w:col w:w="10040"/>
          </w:cols>
          <w:pgMar w:left="920" w:top="1440" w:right="9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Our preliminary estimated paid members as of September 30, 2021 were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an increase of</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from our paid members as</w:t>
      </w:r>
    </w:p>
    <w:p>
      <w:pPr>
        <w:spacing w:after="0" w:line="11" w:lineRule="exact"/>
        <w:rPr>
          <w:sz w:val="20"/>
          <w:szCs w:val="20"/>
          <w:color w:val="auto"/>
        </w:rPr>
      </w:pPr>
    </w:p>
    <w:p>
      <w:pPr>
        <w:sectPr>
          <w:pgSz w:w="11900" w:h="16838" w:orient="portrait"/>
          <w:cols w:equalWidth="0" w:num="4">
            <w:col w:w="5240" w:space="460"/>
            <w:col w:w="1100" w:space="500"/>
            <w:col w:w="260" w:space="460"/>
            <w:col w:w="2020"/>
          </w:cols>
          <w:pgMar w:left="920" w:top="1440" w:right="939" w:bottom="1440" w:gutter="0" w:footer="0" w:header="0"/>
          <w:type w:val="continuous"/>
        </w:sectPr>
      </w:pPr>
    </w:p>
    <w:p>
      <w:pPr>
        <w:spacing w:after="0"/>
        <w:rPr>
          <w:sz w:val="20"/>
          <w:szCs w:val="20"/>
          <w:color w:val="auto"/>
        </w:rPr>
      </w:pPr>
      <w:r>
        <w:rPr>
          <w:rFonts w:ascii="Arial" w:cs="Arial" w:eastAsia="Arial" w:hAnsi="Arial"/>
          <w:sz w:val="16"/>
          <w:szCs w:val="16"/>
          <w:color w:val="auto"/>
        </w:rPr>
        <w:t>of June 30, 2021 and September 30, 2020, respectively.</w:t>
      </w:r>
    </w:p>
    <w:p>
      <w:pPr>
        <w:sectPr>
          <w:pgSz w:w="11900" w:h="16838" w:orient="portrait"/>
          <w:cols w:equalWidth="0" w:num="1">
            <w:col w:w="10040"/>
          </w:cols>
          <w:pgMar w:left="920" w:top="1440" w:right="9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and adjusted EBITDA margin reconciliation</w:t>
      </w:r>
    </w:p>
    <w:p>
      <w:pPr>
        <w:spacing w:after="0" w:line="161"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The following table provides reconciliations of adjusted EBITDA and adjusted EBITDA margin to net income (loss) and net income (loss) margin, the most directly comparable GAAP measures, of our preliminary estimates of adjusted EBITDA and adjusted EBITDA margin for the fiscal quarter ended September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Borders>
              <w:top w:val="single" w:sz="8" w:color="auto"/>
            </w:tcBorders>
          </w:tcPr>
          <w:p>
            <w:pPr>
              <w:spacing w:after="0"/>
              <w:rPr>
                <w:sz w:val="16"/>
                <w:szCs w:val="16"/>
                <w:color w:val="auto"/>
              </w:rPr>
            </w:pPr>
          </w:p>
        </w:tc>
        <w:tc>
          <w:tcPr>
            <w:tcW w:w="3120" w:type="dxa"/>
            <w:vAlign w:val="bottom"/>
            <w:tcBorders>
              <w:top w:val="single" w:sz="8" w:color="auto"/>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Fiscal quarter ended September 30, 2021</w:t>
            </w:r>
          </w:p>
        </w:tc>
      </w:tr>
      <w:tr>
        <w:trPr>
          <w:trHeight w:val="163"/>
        </w:trPr>
        <w:tc>
          <w:tcPr>
            <w:tcW w:w="6920" w:type="dxa"/>
            <w:vAlign w:val="bottom"/>
          </w:tcPr>
          <w:p>
            <w:pPr>
              <w:spacing w:after="0"/>
              <w:rPr>
                <w:sz w:val="14"/>
                <w:szCs w:val="14"/>
                <w:color w:val="auto"/>
              </w:rPr>
            </w:pPr>
          </w:p>
        </w:tc>
        <w:tc>
          <w:tcPr>
            <w:tcW w:w="100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Low</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High</w:t>
            </w:r>
          </w:p>
        </w:tc>
      </w:tr>
      <w:tr>
        <w:trPr>
          <w:trHeight w:val="163"/>
        </w:trPr>
        <w:tc>
          <w:tcPr>
            <w:tcW w:w="6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spacing w:after="0"/>
              <w:rPr>
                <w:sz w:val="14"/>
                <w:szCs w:val="14"/>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1000" w:type="dxa"/>
            <w:vAlign w:val="bottom"/>
          </w:tcPr>
          <w:p>
            <w:pPr>
              <w:spacing w:after="0"/>
              <w:rPr>
                <w:sz w:val="17"/>
                <w:szCs w:val="17"/>
                <w:color w:val="auto"/>
              </w:rPr>
            </w:pPr>
          </w:p>
        </w:tc>
        <w:tc>
          <w:tcPr>
            <w:tcW w:w="520" w:type="dxa"/>
            <w:vAlign w:val="bottom"/>
          </w:tcPr>
          <w:p>
            <w:pPr>
              <w:ind w:left="1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 %</w:t>
            </w: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1000" w:type="dxa"/>
            <w:vAlign w:val="bottom"/>
          </w:tcPr>
          <w:p>
            <w:pPr>
              <w:spacing w:after="0"/>
              <w:rPr>
                <w:sz w:val="17"/>
                <w:szCs w:val="17"/>
                <w:color w:val="auto"/>
              </w:rPr>
            </w:pP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7"/>
                <w:szCs w:val="17"/>
                <w:color w:val="auto"/>
              </w:rPr>
            </w:pP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199"/>
        </w:trPr>
        <w:tc>
          <w:tcPr>
            <w:tcW w:w="69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000" w:type="dxa"/>
            <w:vAlign w:val="bottom"/>
          </w:tcPr>
          <w:p>
            <w:pPr>
              <w:jc w:val="right"/>
              <w:ind w:right="827"/>
              <w:spacing w:after="0"/>
              <w:rPr>
                <w:sz w:val="20"/>
                <w:szCs w:val="20"/>
                <w:color w:val="auto"/>
              </w:rPr>
            </w:pPr>
            <w:r>
              <w:rPr>
                <w:rFonts w:ascii="Arial" w:cs="Arial" w:eastAsia="Arial" w:hAnsi="Arial"/>
                <w:sz w:val="16"/>
                <w:szCs w:val="16"/>
                <w:color w:val="auto"/>
                <w:w w:val="89"/>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25"/>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 %</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recent developments section includes forward-looking statements. All statements contained herein other than statements of historical facts, including, without limitation, statements regarding our expectations regarding our financial and operating results for the fiscal quarter ended September 30, 2021, and our future financial and business performance, are forward-looking statements. The words “anticipate,” “believe,” “continue,” “estimate,” “expect,” “intend,” “may,” “will”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growth and ability to sustain our revenue growth rate, competition in the markets in which we operate, market growth,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040"/>
          </w:cols>
          <w:pgMar w:left="920" w:top="1440" w:right="93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77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6377305"/>
                    </a:xfrm>
                    <a:prstGeom prst="rect">
                      <a:avLst/>
                    </a:prstGeom>
                    <a:noFill/>
                  </pic:spPr>
                </pic:pic>
              </a:graphicData>
            </a:graphic>
          </wp:anchor>
        </w:drawing>
      </w:r>
    </w:p>
    <w:p>
      <w:pPr>
        <w:spacing w:after="0" w:line="399" w:lineRule="exact"/>
        <w:rPr>
          <w:sz w:val="20"/>
          <w:szCs w:val="20"/>
          <w:color w:val="auto"/>
        </w:rPr>
      </w:pPr>
    </w:p>
    <w:p>
      <w:pPr>
        <w:ind w:left="2" w:right="260"/>
        <w:spacing w:after="0" w:line="261" w:lineRule="auto"/>
        <w:rPr>
          <w:sz w:val="20"/>
          <w:szCs w:val="20"/>
          <w:color w:val="auto"/>
        </w:rPr>
      </w:pPr>
      <w:r>
        <w:rPr>
          <w:rFonts w:ascii="Arial" w:cs="Arial" w:eastAsia="Arial" w:hAnsi="Arial"/>
          <w:sz w:val="16"/>
          <w:szCs w:val="16"/>
          <w:color w:val="auto"/>
        </w:rPr>
        <w:t>innovate and manage our growth and the impact of the COVID-19 pandemic and associated global economic uncertainty. For additional information regarding the various risks and uncertainties inherent in estimates of this type, see “Special note regarding forward-looking statements” and “Risk factors” elsewhere in this prospectus.</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corporate information</w:t>
      </w:r>
    </w:p>
    <w:p>
      <w:pPr>
        <w:spacing w:after="0" w:line="152" w:lineRule="exact"/>
        <w:rPr>
          <w:sz w:val="20"/>
          <w:szCs w:val="20"/>
          <w:color w:val="auto"/>
        </w:rPr>
      </w:pPr>
    </w:p>
    <w:p>
      <w:pPr>
        <w:ind w:left="2" w:right="120"/>
        <w:spacing w:after="0" w:line="235" w:lineRule="auto"/>
        <w:rPr>
          <w:sz w:val="20"/>
          <w:szCs w:val="20"/>
          <w:color w:val="auto"/>
        </w:rPr>
      </w:pPr>
      <w:r>
        <w:rPr>
          <w:rFonts w:ascii="Arial" w:cs="Arial" w:eastAsia="Arial" w:hAnsi="Arial"/>
          <w:sz w:val="16"/>
          <w:szCs w:val="16"/>
          <w:color w:val="auto"/>
        </w:rPr>
        <w:t>Our corporate headquarters are located at 401 SW 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Ave, Portland, Oregon 97204. Our telephone number is (971) 365-3939. Our principal website address is use.expensify.com. The information on or accessed through our website is not incorporated in this prospectus or the registration statement of which this prospectus forms a part, and potential investors should not rely on such information in making a decision to purchase our Class A common stock in this offering.</w:t>
      </w:r>
    </w:p>
    <w:p>
      <w:pPr>
        <w:spacing w:after="0" w:line="136" w:lineRule="exact"/>
        <w:rPr>
          <w:sz w:val="20"/>
          <w:szCs w:val="20"/>
          <w:color w:val="auto"/>
        </w:rPr>
      </w:pPr>
    </w:p>
    <w:p>
      <w:pPr>
        <w:ind w:left="2" w:right="120"/>
        <w:spacing w:after="0" w:line="239" w:lineRule="auto"/>
        <w:rPr>
          <w:sz w:val="20"/>
          <w:szCs w:val="20"/>
          <w:color w:val="auto"/>
        </w:rPr>
      </w:pPr>
      <w:r>
        <w:rPr>
          <w:rFonts w:ascii="Arial" w:cs="Arial" w:eastAsia="Arial" w:hAnsi="Arial"/>
          <w:sz w:val="16"/>
          <w:szCs w:val="16"/>
          <w:color w:val="auto"/>
        </w:rPr>
        <w:t xml:space="preserve">“Expensify,” “SMARTSCAN,” the Expensify logo and other trademarks, trade names or service marks of Expensify, Inc. appearing in this prospectus are the property of Expensify,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symbols, but such references should not be construed as any indicator that their respective owners will not assert their rights thereto.</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Implications of being an emerging growth company</w:t>
      </w:r>
    </w:p>
    <w:p>
      <w:pPr>
        <w:spacing w:after="0" w:line="152"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118" w:lineRule="exact"/>
        <w:rPr>
          <w:sz w:val="20"/>
          <w:szCs w:val="20"/>
          <w:color w:val="auto"/>
        </w:rPr>
      </w:pPr>
    </w:p>
    <w:p>
      <w:pPr>
        <w:ind w:left="302" w:right="460" w:hanging="302"/>
        <w:spacing w:after="0" w:line="268"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required to present only two years of audited financial statements and two years of related Management’s Discussion and Analysis of Financial Condition and Results of Operations disclosure;</w:t>
      </w:r>
    </w:p>
    <w:p>
      <w:pPr>
        <w:spacing w:after="0" w:line="112" w:lineRule="exact"/>
        <w:rPr>
          <w:rFonts w:ascii="Arial" w:cs="Arial" w:eastAsia="Arial" w:hAnsi="Arial"/>
          <w:sz w:val="16"/>
          <w:szCs w:val="16"/>
          <w:color w:val="auto"/>
        </w:rPr>
      </w:pPr>
    </w:p>
    <w:p>
      <w:pPr>
        <w:ind w:left="302" w:right="420" w:hanging="302"/>
        <w:spacing w:after="0" w:line="268"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engage an auditor to report on our internal control over financial reporting pursuant to Section 404(b) of the Sarbanes-Oxley Act of 2002, or the Sarbanes-Oxley Act;</w:t>
      </w:r>
    </w:p>
    <w:p>
      <w:pPr>
        <w:spacing w:after="0" w:line="100" w:lineRule="exact"/>
        <w:rPr>
          <w:rFonts w:ascii="Arial" w:cs="Arial" w:eastAsia="Arial" w:hAnsi="Arial"/>
          <w:sz w:val="16"/>
          <w:szCs w:val="16"/>
          <w:color w:val="auto"/>
        </w:rPr>
      </w:pPr>
    </w:p>
    <w:p>
      <w:pPr>
        <w:ind w:left="302" w:right="60" w:hanging="302"/>
        <w:spacing w:after="0" w:line="261"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8" w:lineRule="exact"/>
        <w:rPr>
          <w:rFonts w:ascii="Arial" w:cs="Arial" w:eastAsia="Arial" w:hAnsi="Arial"/>
          <w:sz w:val="16"/>
          <w:szCs w:val="16"/>
          <w:color w:val="auto"/>
        </w:rPr>
      </w:pPr>
    </w:p>
    <w:p>
      <w:pPr>
        <w:ind w:left="302" w:right="280" w:hanging="302"/>
        <w:spacing w:after="0" w:line="268"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submit certain executive compensation matters to stockholder advisory votes, such as “say-on-pay,” “say-on-frequency” and “say-on-golden parachutes;” and</w:t>
      </w:r>
    </w:p>
    <w:p>
      <w:pPr>
        <w:spacing w:after="0" w:line="112" w:lineRule="exact"/>
        <w:rPr>
          <w:rFonts w:ascii="Arial" w:cs="Arial" w:eastAsia="Arial" w:hAnsi="Arial"/>
          <w:sz w:val="16"/>
          <w:szCs w:val="16"/>
          <w:color w:val="auto"/>
        </w:rPr>
      </w:pPr>
    </w:p>
    <w:p>
      <w:pPr>
        <w:ind w:left="302" w:right="160" w:hanging="302"/>
        <w:spacing w:after="0" w:line="261"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106" w:lineRule="exact"/>
        <w:rPr>
          <w:sz w:val="20"/>
          <w:szCs w:val="20"/>
          <w:color w:val="auto"/>
        </w:rPr>
      </w:pPr>
    </w:p>
    <w:p>
      <w:pPr>
        <w:ind w:left="2"/>
        <w:spacing w:after="0" w:line="256" w:lineRule="auto"/>
        <w:rPr>
          <w:sz w:val="20"/>
          <w:szCs w:val="20"/>
          <w:color w:val="auto"/>
        </w:rPr>
      </w:pPr>
      <w:r>
        <w:rPr>
          <w:rFonts w:ascii="Arial" w:cs="Arial" w:eastAsia="Arial" w:hAnsi="Arial"/>
          <w:sz w:val="16"/>
          <w:szCs w:val="16"/>
          <w:color w:val="auto"/>
        </w:rPr>
        <w:t>We may take advantage of these reduced reporting and other requirements until the last day of our fiscal year following the fifth anniversary of the completion of this offering, or such earlier time that we are no longer an emerging growth company. However, if certain events occur prior to the end of such five-year period, including if we have more than $1.07 billion in annual gross revenue, have more than $700 million in market value of our common stock held by non-affiliates, or issue more than $1.0 billion of non-convertible debt over a three-year period, we will cease to be an emerging growth company prior to the end of such five-year period. We may choose to take advantage of some, but not all, of the available exemptions. We have elected to adopt the reduced requirements with respect to our financial statements and the related selected financial data and Management’s Discussion and Analysis of Financial Condition and Results of Operations disclosure. As a result, the information that we provide to stockholders may be different from the information disclosed by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002"/>
          </w:cols>
          <w:pgMar w:left="918" w:top="1440" w:right="97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15900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1590040"/>
                    </a:xfrm>
                    <a:prstGeom prst="rect">
                      <a:avLst/>
                    </a:prstGeom>
                    <a:noFill/>
                  </pic:spPr>
                </pic:pic>
              </a:graphicData>
            </a:graphic>
          </wp:anchor>
        </w:drawing>
      </w:r>
    </w:p>
    <w:p>
      <w:pPr>
        <w:spacing w:after="0" w:line="399" w:lineRule="exact"/>
        <w:rPr>
          <w:sz w:val="20"/>
          <w:szCs w:val="20"/>
          <w:color w:val="auto"/>
        </w:rPr>
      </w:pPr>
    </w:p>
    <w:p>
      <w:pPr>
        <w:ind w:left="2"/>
        <w:spacing w:after="0" w:line="254"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have elected to use this extended transition period to enable us to comply with new or revised accounting standards that have different effective dates for public and private companies until the earlier of the date we</w:t>
      </w:r>
    </w:p>
    <w:p>
      <w:pPr>
        <w:ind w:left="2" w:right="140" w:hanging="2"/>
        <w:spacing w:after="0" w:line="261" w:lineRule="auto"/>
        <w:tabs>
          <w:tab w:leader="none" w:pos="2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022"/>
          </w:cols>
          <w:pgMar w:left="918" w:top="1440" w:right="9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50704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507047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offering</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200" w:type="dxa"/>
            <w:vAlign w:val="bottom"/>
          </w:tcPr>
          <w:p>
            <w:pPr>
              <w:spacing w:after="0"/>
              <w:rPr>
                <w:sz w:val="20"/>
                <w:szCs w:val="20"/>
                <w:color w:val="auto"/>
              </w:rPr>
            </w:pPr>
            <w:r>
              <w:rPr>
                <w:rFonts w:ascii="Arial" w:cs="Arial" w:eastAsia="Arial" w:hAnsi="Arial"/>
                <w:sz w:val="16"/>
                <w:szCs w:val="16"/>
                <w:color w:val="auto"/>
              </w:rPr>
              <w:t>Class A common stock offered by us</w:t>
            </w:r>
          </w:p>
        </w:tc>
        <w:tc>
          <w:tcPr>
            <w:tcW w:w="600" w:type="dxa"/>
            <w:vAlign w:val="bottom"/>
          </w:tcPr>
          <w:p>
            <w:pPr>
              <w:spacing w:after="0"/>
              <w:rPr>
                <w:sz w:val="16"/>
                <w:szCs w:val="16"/>
                <w:color w:val="auto"/>
              </w:rPr>
            </w:pPr>
          </w:p>
        </w:tc>
        <w:tc>
          <w:tcPr>
            <w:tcW w:w="1580" w:type="dxa"/>
            <w:vAlign w:val="bottom"/>
          </w:tcPr>
          <w:p>
            <w:pPr>
              <w:ind w:left="120"/>
              <w:spacing w:after="0"/>
              <w:rPr>
                <w:sz w:val="20"/>
                <w:szCs w:val="20"/>
                <w:color w:val="auto"/>
              </w:rPr>
            </w:pPr>
            <w:r>
              <w:rPr>
                <w:rFonts w:ascii="Arial" w:cs="Arial" w:eastAsia="Arial" w:hAnsi="Arial"/>
                <w:sz w:val="16"/>
                <w:szCs w:val="16"/>
                <w:color w:val="auto"/>
              </w:rPr>
              <w:t>shares.</w:t>
            </w:r>
          </w:p>
        </w:tc>
        <w:tc>
          <w:tcPr>
            <w:tcW w:w="3620" w:type="dxa"/>
            <w:vAlign w:val="bottom"/>
          </w:tcPr>
          <w:p>
            <w:pPr>
              <w:spacing w:after="0"/>
              <w:rPr>
                <w:sz w:val="16"/>
                <w:szCs w:val="16"/>
                <w:color w:val="auto"/>
              </w:rPr>
            </w:pPr>
          </w:p>
        </w:tc>
      </w:tr>
      <w:tr>
        <w:trPr>
          <w:trHeight w:val="256"/>
        </w:trPr>
        <w:tc>
          <w:tcPr>
            <w:tcW w:w="4200" w:type="dxa"/>
            <w:vAlign w:val="bottom"/>
          </w:tcPr>
          <w:p>
            <w:pPr>
              <w:spacing w:after="0"/>
              <w:rPr>
                <w:sz w:val="20"/>
                <w:szCs w:val="20"/>
                <w:color w:val="auto"/>
              </w:rPr>
            </w:pPr>
            <w:r>
              <w:rPr>
                <w:rFonts w:ascii="Arial" w:cs="Arial" w:eastAsia="Arial" w:hAnsi="Arial"/>
                <w:sz w:val="16"/>
                <w:szCs w:val="16"/>
                <w:color w:val="auto"/>
              </w:rPr>
              <w:t>Class A common stock offered by the selling stockholders</w:t>
            </w:r>
          </w:p>
        </w:tc>
        <w:tc>
          <w:tcPr>
            <w:tcW w:w="600" w:type="dxa"/>
            <w:vAlign w:val="bottom"/>
          </w:tcPr>
          <w:p>
            <w:pPr>
              <w:spacing w:after="0"/>
              <w:rPr>
                <w:sz w:val="22"/>
                <w:szCs w:val="22"/>
                <w:color w:val="auto"/>
              </w:rPr>
            </w:pPr>
          </w:p>
        </w:tc>
        <w:tc>
          <w:tcPr>
            <w:tcW w:w="1580" w:type="dxa"/>
            <w:vAlign w:val="bottom"/>
          </w:tcPr>
          <w:p>
            <w:pPr>
              <w:ind w:left="120"/>
              <w:spacing w:after="0"/>
              <w:rPr>
                <w:sz w:val="20"/>
                <w:szCs w:val="20"/>
                <w:color w:val="auto"/>
              </w:rPr>
            </w:pPr>
            <w:r>
              <w:rPr>
                <w:rFonts w:ascii="Arial" w:cs="Arial" w:eastAsia="Arial" w:hAnsi="Arial"/>
                <w:sz w:val="16"/>
                <w:szCs w:val="16"/>
                <w:color w:val="auto"/>
              </w:rPr>
              <w:t>shares.</w:t>
            </w:r>
          </w:p>
        </w:tc>
        <w:tc>
          <w:tcPr>
            <w:tcW w:w="3620" w:type="dxa"/>
            <w:vAlign w:val="bottom"/>
          </w:tcPr>
          <w:p>
            <w:pPr>
              <w:spacing w:after="0"/>
              <w:rPr>
                <w:sz w:val="22"/>
                <w:szCs w:val="22"/>
                <w:color w:val="auto"/>
              </w:rPr>
            </w:pPr>
          </w:p>
        </w:tc>
      </w:tr>
      <w:tr>
        <w:trPr>
          <w:trHeight w:val="219"/>
        </w:trPr>
        <w:tc>
          <w:tcPr>
            <w:tcW w:w="4200" w:type="dxa"/>
            <w:vAlign w:val="bottom"/>
          </w:tcPr>
          <w:p>
            <w:pPr>
              <w:spacing w:after="0"/>
              <w:rPr>
                <w:sz w:val="20"/>
                <w:szCs w:val="20"/>
                <w:color w:val="auto"/>
              </w:rPr>
            </w:pPr>
            <w:r>
              <w:rPr>
                <w:rFonts w:ascii="Arial" w:cs="Arial" w:eastAsia="Arial" w:hAnsi="Arial"/>
                <w:sz w:val="16"/>
                <w:szCs w:val="16"/>
                <w:color w:val="auto"/>
              </w:rPr>
              <w:t>Option to purchase additional shares of Class A common</w:t>
            </w:r>
          </w:p>
        </w:tc>
        <w:tc>
          <w:tcPr>
            <w:tcW w:w="5800" w:type="dxa"/>
            <w:vAlign w:val="bottom"/>
            <w:gridSpan w:val="3"/>
          </w:tcPr>
          <w:p>
            <w:pPr>
              <w:ind w:left="40"/>
              <w:spacing w:after="0"/>
              <w:rPr>
                <w:sz w:val="20"/>
                <w:szCs w:val="20"/>
                <w:color w:val="auto"/>
              </w:rPr>
            </w:pPr>
            <w:r>
              <w:rPr>
                <w:rFonts w:ascii="Arial" w:cs="Arial" w:eastAsia="Arial" w:hAnsi="Arial"/>
                <w:sz w:val="16"/>
                <w:szCs w:val="16"/>
                <w:color w:val="auto"/>
              </w:rPr>
              <w:t>We have granted the underwriters an option for a period of 30 days to purchase</w:t>
            </w:r>
          </w:p>
        </w:tc>
      </w:tr>
      <w:tr>
        <w:trPr>
          <w:trHeight w:val="195"/>
        </w:trPr>
        <w:tc>
          <w:tcPr>
            <w:tcW w:w="4200" w:type="dxa"/>
            <w:vAlign w:val="bottom"/>
          </w:tcPr>
          <w:p>
            <w:pPr>
              <w:ind w:left="140"/>
              <w:spacing w:after="0"/>
              <w:rPr>
                <w:sz w:val="20"/>
                <w:szCs w:val="20"/>
                <w:color w:val="auto"/>
              </w:rPr>
            </w:pPr>
            <w:r>
              <w:rPr>
                <w:rFonts w:ascii="Arial" w:cs="Arial" w:eastAsia="Arial" w:hAnsi="Arial"/>
                <w:sz w:val="16"/>
                <w:szCs w:val="16"/>
                <w:color w:val="auto"/>
              </w:rPr>
              <w:t>stock offered by us</w:t>
            </w:r>
          </w:p>
        </w:tc>
        <w:tc>
          <w:tcPr>
            <w:tcW w:w="600" w:type="dxa"/>
            <w:vAlign w:val="bottom"/>
          </w:tcPr>
          <w:p>
            <w:pPr>
              <w:ind w:left="40"/>
              <w:spacing w:after="0"/>
              <w:rPr>
                <w:sz w:val="20"/>
                <w:szCs w:val="20"/>
                <w:color w:val="auto"/>
              </w:rPr>
            </w:pPr>
            <w:r>
              <w:rPr>
                <w:rFonts w:ascii="Arial" w:cs="Arial" w:eastAsia="Arial" w:hAnsi="Arial"/>
                <w:sz w:val="16"/>
                <w:szCs w:val="16"/>
                <w:color w:val="auto"/>
              </w:rPr>
              <w:t>up to</w:t>
            </w:r>
          </w:p>
        </w:tc>
        <w:tc>
          <w:tcPr>
            <w:tcW w:w="5200" w:type="dxa"/>
            <w:vAlign w:val="bottom"/>
            <w:gridSpan w:val="2"/>
          </w:tcPr>
          <w:p>
            <w:pPr>
              <w:ind w:left="260"/>
              <w:spacing w:after="0"/>
              <w:rPr>
                <w:sz w:val="20"/>
                <w:szCs w:val="20"/>
                <w:color w:val="auto"/>
              </w:rPr>
            </w:pPr>
            <w:r>
              <w:rPr>
                <w:rFonts w:ascii="Arial" w:cs="Arial" w:eastAsia="Arial" w:hAnsi="Arial"/>
                <w:sz w:val="16"/>
                <w:szCs w:val="16"/>
                <w:color w:val="auto"/>
              </w:rPr>
              <w:t>additional shares of our Class A common stock.</w:t>
            </w:r>
          </w:p>
        </w:tc>
      </w:tr>
      <w:tr>
        <w:trPr>
          <w:trHeight w:val="219"/>
        </w:trPr>
        <w:tc>
          <w:tcPr>
            <w:tcW w:w="4200" w:type="dxa"/>
            <w:vAlign w:val="bottom"/>
          </w:tcPr>
          <w:p>
            <w:pPr>
              <w:spacing w:after="0"/>
              <w:rPr>
                <w:sz w:val="20"/>
                <w:szCs w:val="20"/>
                <w:color w:val="auto"/>
              </w:rPr>
            </w:pPr>
            <w:r>
              <w:rPr>
                <w:rFonts w:ascii="Arial" w:cs="Arial" w:eastAsia="Arial" w:hAnsi="Arial"/>
                <w:sz w:val="16"/>
                <w:szCs w:val="16"/>
                <w:color w:val="auto"/>
              </w:rPr>
              <w:t>Option to purchase additional shares of Class A common</w:t>
            </w:r>
          </w:p>
        </w:tc>
        <w:tc>
          <w:tcPr>
            <w:tcW w:w="5800" w:type="dxa"/>
            <w:vAlign w:val="bottom"/>
            <w:gridSpan w:val="3"/>
          </w:tcPr>
          <w:p>
            <w:pPr>
              <w:ind w:left="40"/>
              <w:spacing w:after="0"/>
              <w:rPr>
                <w:sz w:val="20"/>
                <w:szCs w:val="20"/>
                <w:color w:val="auto"/>
              </w:rPr>
            </w:pPr>
            <w:r>
              <w:rPr>
                <w:rFonts w:ascii="Arial" w:cs="Arial" w:eastAsia="Arial" w:hAnsi="Arial"/>
                <w:sz w:val="16"/>
                <w:szCs w:val="16"/>
                <w:color w:val="auto"/>
              </w:rPr>
              <w:t>The selling stockholders have granted the underwriters an option for a period of</w:t>
            </w:r>
          </w:p>
        </w:tc>
      </w:tr>
      <w:tr>
        <w:trPr>
          <w:trHeight w:val="158"/>
        </w:trPr>
        <w:tc>
          <w:tcPr>
            <w:tcW w:w="4200" w:type="dxa"/>
            <w:vAlign w:val="bottom"/>
          </w:tcPr>
          <w:p>
            <w:pPr>
              <w:ind w:left="140"/>
              <w:spacing w:after="0" w:line="158" w:lineRule="exact"/>
              <w:rPr>
                <w:sz w:val="20"/>
                <w:szCs w:val="20"/>
                <w:color w:val="auto"/>
              </w:rPr>
            </w:pPr>
            <w:r>
              <w:rPr>
                <w:rFonts w:ascii="Arial" w:cs="Arial" w:eastAsia="Arial" w:hAnsi="Arial"/>
                <w:sz w:val="16"/>
                <w:szCs w:val="16"/>
                <w:color w:val="auto"/>
              </w:rPr>
              <w:t>stock offered by the selling stockholders</w:t>
            </w:r>
          </w:p>
        </w:tc>
        <w:tc>
          <w:tcPr>
            <w:tcW w:w="2180" w:type="dxa"/>
            <w:vAlign w:val="bottom"/>
            <w:gridSpan w:val="2"/>
          </w:tcPr>
          <w:p>
            <w:pPr>
              <w:ind w:left="40"/>
              <w:spacing w:after="0" w:line="158" w:lineRule="exact"/>
              <w:rPr>
                <w:sz w:val="20"/>
                <w:szCs w:val="20"/>
                <w:color w:val="auto"/>
              </w:rPr>
            </w:pPr>
            <w:r>
              <w:rPr>
                <w:rFonts w:ascii="Arial" w:cs="Arial" w:eastAsia="Arial" w:hAnsi="Arial"/>
                <w:sz w:val="16"/>
                <w:szCs w:val="16"/>
                <w:color w:val="auto"/>
              </w:rPr>
              <w:t>30 days to purchase up to</w:t>
            </w:r>
          </w:p>
        </w:tc>
        <w:tc>
          <w:tcPr>
            <w:tcW w:w="3620" w:type="dxa"/>
            <w:vAlign w:val="bottom"/>
          </w:tcPr>
          <w:p>
            <w:pPr>
              <w:ind w:left="280"/>
              <w:spacing w:after="0" w:line="158" w:lineRule="exact"/>
              <w:rPr>
                <w:sz w:val="20"/>
                <w:szCs w:val="20"/>
                <w:color w:val="auto"/>
              </w:rPr>
            </w:pPr>
            <w:r>
              <w:rPr>
                <w:rFonts w:ascii="Arial" w:cs="Arial" w:eastAsia="Arial" w:hAnsi="Arial"/>
                <w:sz w:val="16"/>
                <w:szCs w:val="16"/>
                <w:color w:val="auto"/>
              </w:rPr>
              <w:t>additional shares of our Class A common</w:t>
            </w:r>
          </w:p>
        </w:tc>
      </w:tr>
      <w:tr>
        <w:trPr>
          <w:trHeight w:val="195"/>
        </w:trPr>
        <w:tc>
          <w:tcPr>
            <w:tcW w:w="4200" w:type="dxa"/>
            <w:vAlign w:val="bottom"/>
          </w:tcPr>
          <w:p>
            <w:pPr>
              <w:spacing w:after="0"/>
              <w:rPr>
                <w:sz w:val="16"/>
                <w:szCs w:val="16"/>
                <w:color w:val="auto"/>
              </w:rPr>
            </w:pPr>
          </w:p>
        </w:tc>
        <w:tc>
          <w:tcPr>
            <w:tcW w:w="600" w:type="dxa"/>
            <w:vAlign w:val="bottom"/>
          </w:tcPr>
          <w:p>
            <w:pPr>
              <w:ind w:left="40"/>
              <w:spacing w:after="0"/>
              <w:rPr>
                <w:sz w:val="20"/>
                <w:szCs w:val="20"/>
                <w:color w:val="auto"/>
              </w:rPr>
            </w:pPr>
            <w:r>
              <w:rPr>
                <w:rFonts w:ascii="Arial" w:cs="Arial" w:eastAsia="Arial" w:hAnsi="Arial"/>
                <w:sz w:val="16"/>
                <w:szCs w:val="16"/>
                <w:color w:val="auto"/>
              </w:rPr>
              <w:t>stock.</w:t>
            </w:r>
          </w:p>
        </w:tc>
        <w:tc>
          <w:tcPr>
            <w:tcW w:w="1580" w:type="dxa"/>
            <w:vAlign w:val="bottom"/>
          </w:tcPr>
          <w:p>
            <w:pPr>
              <w:spacing w:after="0"/>
              <w:rPr>
                <w:sz w:val="16"/>
                <w:szCs w:val="16"/>
                <w:color w:val="auto"/>
              </w:rPr>
            </w:pPr>
          </w:p>
        </w:tc>
        <w:tc>
          <w:tcPr>
            <w:tcW w:w="3620" w:type="dxa"/>
            <w:vAlign w:val="bottom"/>
          </w:tcPr>
          <w:p>
            <w:pPr>
              <w:spacing w:after="0"/>
              <w:rPr>
                <w:sz w:val="16"/>
                <w:szCs w:val="16"/>
                <w:color w:val="auto"/>
              </w:rPr>
            </w:pPr>
          </w:p>
        </w:tc>
      </w:tr>
    </w:tbl>
    <w:p>
      <w:pPr>
        <w:spacing w:after="0" w:line="61" w:lineRule="exact"/>
        <w:rPr>
          <w:sz w:val="20"/>
          <w:szCs w:val="20"/>
          <w:color w:val="auto"/>
        </w:rPr>
      </w:pPr>
    </w:p>
    <w:p>
      <w:pPr>
        <w:sectPr>
          <w:pgSz w:w="11900" w:h="16838" w:orient="portrait"/>
          <w:cols w:equalWidth="0" w:num="1">
            <w:col w:w="10020"/>
          </w:cols>
          <w:pgMar w:left="920" w:top="1440" w:right="959" w:bottom="1440" w:gutter="0" w:footer="0" w:header="0"/>
        </w:sectPr>
      </w:pPr>
    </w:p>
    <w:p>
      <w:pPr>
        <w:ind w:left="160" w:hanging="145"/>
        <w:spacing w:after="0" w:line="230" w:lineRule="auto"/>
        <w:rPr>
          <w:sz w:val="20"/>
          <w:szCs w:val="20"/>
          <w:color w:val="auto"/>
        </w:rPr>
      </w:pPr>
      <w:r>
        <w:rPr>
          <w:rFonts w:ascii="Arial" w:cs="Arial" w:eastAsia="Arial" w:hAnsi="Arial"/>
          <w:sz w:val="16"/>
          <w:szCs w:val="16"/>
          <w:color w:val="auto"/>
        </w:rPr>
        <w:t>Class A common stock to be outstanding immediately after this offering</w:t>
      </w:r>
    </w:p>
    <w:p>
      <w:pPr>
        <w:spacing w:after="0" w:line="20" w:lineRule="exact"/>
        <w:rPr>
          <w:sz w:val="20"/>
          <w:szCs w:val="20"/>
          <w:color w:val="auto"/>
        </w:rPr>
      </w:pPr>
      <w:r>
        <w:rPr>
          <w:sz w:val="20"/>
          <w:szCs w:val="20"/>
          <w:color w:val="auto"/>
        </w:rPr>
        <w:br w:type="column"/>
      </w:r>
    </w:p>
    <w:p>
      <w:pPr>
        <w:ind w:firstLine="762"/>
        <w:spacing w:after="0" w:line="230" w:lineRule="auto"/>
        <w:rPr>
          <w:sz w:val="20"/>
          <w:szCs w:val="20"/>
          <w:color w:val="auto"/>
        </w:rPr>
      </w:pPr>
      <w:r>
        <w:rPr>
          <w:rFonts w:ascii="Arial" w:cs="Arial" w:eastAsia="Arial" w:hAnsi="Arial"/>
          <w:sz w:val="16"/>
          <w:szCs w:val="16"/>
          <w:color w:val="auto"/>
        </w:rPr>
        <w:t>shares (or shares if the underwriters exercise their option to purchase additional shares in full).</w:t>
      </w:r>
    </w:p>
    <w:p>
      <w:pPr>
        <w:spacing w:after="0" w:line="61" w:lineRule="exact"/>
        <w:rPr>
          <w:sz w:val="20"/>
          <w:szCs w:val="20"/>
          <w:color w:val="auto"/>
        </w:rPr>
      </w:pPr>
    </w:p>
    <w:p>
      <w:pPr>
        <w:sectPr>
          <w:pgSz w:w="11900" w:h="16838" w:orient="portrait"/>
          <w:cols w:equalWidth="0" w:num="2">
            <w:col w:w="3860" w:space="400"/>
            <w:col w:w="5760"/>
          </w:cols>
          <w:pgMar w:left="920" w:top="1440" w:right="95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4120" w:type="dxa"/>
            <w:vAlign w:val="bottom"/>
          </w:tcPr>
          <w:p>
            <w:pPr>
              <w:spacing w:after="0"/>
              <w:rPr>
                <w:sz w:val="20"/>
                <w:szCs w:val="20"/>
                <w:color w:val="auto"/>
              </w:rPr>
            </w:pPr>
            <w:r>
              <w:rPr>
                <w:rFonts w:ascii="Arial" w:cs="Arial" w:eastAsia="Arial" w:hAnsi="Arial"/>
                <w:sz w:val="16"/>
                <w:szCs w:val="16"/>
                <w:color w:val="auto"/>
              </w:rPr>
              <w:t>LT10 common stock to be outstanding after this offering</w:t>
            </w:r>
          </w:p>
        </w:tc>
        <w:tc>
          <w:tcPr>
            <w:tcW w:w="1900" w:type="dxa"/>
            <w:vAlign w:val="bottom"/>
          </w:tcPr>
          <w:p>
            <w:pPr>
              <w:ind w:left="800"/>
              <w:spacing w:after="0"/>
              <w:rPr>
                <w:sz w:val="20"/>
                <w:szCs w:val="20"/>
                <w:color w:val="auto"/>
              </w:rPr>
            </w:pPr>
            <w:r>
              <w:rPr>
                <w:rFonts w:ascii="Arial" w:cs="Arial" w:eastAsia="Arial" w:hAnsi="Arial"/>
                <w:sz w:val="16"/>
                <w:szCs w:val="16"/>
                <w:color w:val="auto"/>
              </w:rPr>
              <w:t>shares.</w:t>
            </w:r>
          </w:p>
        </w:tc>
        <w:tc>
          <w:tcPr>
            <w:tcW w:w="1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56"/>
        </w:trPr>
        <w:tc>
          <w:tcPr>
            <w:tcW w:w="4120" w:type="dxa"/>
            <w:vAlign w:val="bottom"/>
          </w:tcPr>
          <w:p>
            <w:pPr>
              <w:spacing w:after="0"/>
              <w:rPr>
                <w:sz w:val="20"/>
                <w:szCs w:val="20"/>
                <w:color w:val="auto"/>
              </w:rPr>
            </w:pPr>
            <w:r>
              <w:rPr>
                <w:rFonts w:ascii="Arial" w:cs="Arial" w:eastAsia="Arial" w:hAnsi="Arial"/>
                <w:sz w:val="16"/>
                <w:szCs w:val="16"/>
                <w:color w:val="auto"/>
              </w:rPr>
              <w:t>LT50 common stock to be outstanding after this offering</w:t>
            </w:r>
          </w:p>
        </w:tc>
        <w:tc>
          <w:tcPr>
            <w:tcW w:w="1900" w:type="dxa"/>
            <w:vAlign w:val="bottom"/>
          </w:tcPr>
          <w:p>
            <w:pPr>
              <w:ind w:left="800"/>
              <w:spacing w:after="0"/>
              <w:rPr>
                <w:sz w:val="20"/>
                <w:szCs w:val="20"/>
                <w:color w:val="auto"/>
              </w:rPr>
            </w:pPr>
            <w:r>
              <w:rPr>
                <w:rFonts w:ascii="Arial" w:cs="Arial" w:eastAsia="Arial" w:hAnsi="Arial"/>
                <w:sz w:val="16"/>
                <w:szCs w:val="16"/>
                <w:color w:val="auto"/>
              </w:rPr>
              <w:t>shares.</w:t>
            </w:r>
          </w:p>
        </w:tc>
        <w:tc>
          <w:tcPr>
            <w:tcW w:w="12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19"/>
        </w:trPr>
        <w:tc>
          <w:tcPr>
            <w:tcW w:w="4120" w:type="dxa"/>
            <w:vAlign w:val="bottom"/>
          </w:tcPr>
          <w:p>
            <w:pPr>
              <w:spacing w:after="0"/>
              <w:rPr>
                <w:sz w:val="20"/>
                <w:szCs w:val="20"/>
                <w:color w:val="auto"/>
              </w:rPr>
            </w:pPr>
            <w:r>
              <w:rPr>
                <w:rFonts w:ascii="Arial" w:cs="Arial" w:eastAsia="Arial" w:hAnsi="Arial"/>
                <w:sz w:val="16"/>
                <w:szCs w:val="16"/>
                <w:color w:val="auto"/>
              </w:rPr>
              <w:t>Total common stock to be outstanding after this offering</w:t>
            </w:r>
          </w:p>
        </w:tc>
        <w:tc>
          <w:tcPr>
            <w:tcW w:w="1900" w:type="dxa"/>
            <w:vAlign w:val="bottom"/>
          </w:tcPr>
          <w:p>
            <w:pPr>
              <w:ind w:left="760"/>
              <w:spacing w:after="0"/>
              <w:rPr>
                <w:sz w:val="20"/>
                <w:szCs w:val="20"/>
                <w:color w:val="auto"/>
              </w:rPr>
            </w:pPr>
            <w:r>
              <w:rPr>
                <w:rFonts w:ascii="Arial" w:cs="Arial" w:eastAsia="Arial" w:hAnsi="Arial"/>
                <w:sz w:val="16"/>
                <w:szCs w:val="16"/>
                <w:color w:val="auto"/>
              </w:rPr>
              <w:t>shares (or</w:t>
            </w:r>
          </w:p>
        </w:tc>
        <w:tc>
          <w:tcPr>
            <w:tcW w:w="3980" w:type="dxa"/>
            <w:vAlign w:val="bottom"/>
            <w:gridSpan w:val="3"/>
          </w:tcPr>
          <w:p>
            <w:pPr>
              <w:jc w:val="right"/>
              <w:spacing w:after="0"/>
              <w:rPr>
                <w:sz w:val="20"/>
                <w:szCs w:val="20"/>
                <w:color w:val="auto"/>
              </w:rPr>
            </w:pPr>
            <w:r>
              <w:rPr>
                <w:rFonts w:ascii="Arial" w:cs="Arial" w:eastAsia="Arial" w:hAnsi="Arial"/>
                <w:sz w:val="16"/>
                <w:szCs w:val="16"/>
                <w:color w:val="auto"/>
              </w:rPr>
              <w:t>shares if the underwriters exercise their option to</w:t>
            </w:r>
          </w:p>
        </w:tc>
      </w:tr>
      <w:tr>
        <w:trPr>
          <w:trHeight w:val="195"/>
        </w:trPr>
        <w:tc>
          <w:tcPr>
            <w:tcW w:w="4120" w:type="dxa"/>
            <w:vAlign w:val="bottom"/>
          </w:tcPr>
          <w:p>
            <w:pPr>
              <w:spacing w:after="0"/>
              <w:rPr>
                <w:sz w:val="16"/>
                <w:szCs w:val="16"/>
                <w:color w:val="auto"/>
              </w:rPr>
            </w:pPr>
          </w:p>
        </w:tc>
        <w:tc>
          <w:tcPr>
            <w:tcW w:w="3160" w:type="dxa"/>
            <w:vAlign w:val="bottom"/>
            <w:gridSpan w:val="2"/>
          </w:tcPr>
          <w:p>
            <w:pPr>
              <w:ind w:left="120"/>
              <w:spacing w:after="0"/>
              <w:rPr>
                <w:sz w:val="20"/>
                <w:szCs w:val="20"/>
                <w:color w:val="auto"/>
              </w:rPr>
            </w:pPr>
            <w:r>
              <w:rPr>
                <w:rFonts w:ascii="Arial" w:cs="Arial" w:eastAsia="Arial" w:hAnsi="Arial"/>
                <w:sz w:val="16"/>
                <w:szCs w:val="16"/>
                <w:color w:val="auto"/>
              </w:rPr>
              <w:t>purchase additional shares in full).</w:t>
            </w:r>
          </w:p>
        </w:tc>
        <w:tc>
          <w:tcPr>
            <w:tcW w:w="22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9"/>
        </w:trPr>
        <w:tc>
          <w:tcPr>
            <w:tcW w:w="4120" w:type="dxa"/>
            <w:vAlign w:val="bottom"/>
          </w:tcPr>
          <w:p>
            <w:pPr>
              <w:spacing w:after="0"/>
              <w:rPr>
                <w:sz w:val="20"/>
                <w:szCs w:val="20"/>
                <w:color w:val="auto"/>
              </w:rPr>
            </w:pPr>
            <w:r>
              <w:rPr>
                <w:rFonts w:ascii="Arial" w:cs="Arial" w:eastAsia="Arial" w:hAnsi="Arial"/>
                <w:sz w:val="16"/>
                <w:szCs w:val="16"/>
                <w:color w:val="auto"/>
              </w:rPr>
              <w:t>Voting rights</w:t>
            </w:r>
          </w:p>
        </w:tc>
        <w:tc>
          <w:tcPr>
            <w:tcW w:w="5880" w:type="dxa"/>
            <w:vAlign w:val="bottom"/>
            <w:gridSpan w:val="4"/>
          </w:tcPr>
          <w:p>
            <w:pPr>
              <w:ind w:left="120"/>
              <w:spacing w:after="0"/>
              <w:rPr>
                <w:sz w:val="20"/>
                <w:szCs w:val="20"/>
                <w:color w:val="auto"/>
              </w:rPr>
            </w:pPr>
            <w:r>
              <w:rPr>
                <w:rFonts w:ascii="Arial" w:cs="Arial" w:eastAsia="Arial" w:hAnsi="Arial"/>
                <w:sz w:val="16"/>
                <w:szCs w:val="16"/>
                <w:color w:val="auto"/>
              </w:rPr>
              <w:t>We have three series of common stock, Class A, LT10 and LT50 common stock.</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The rights of holders of Class A, LT10 and LT50 common stock are identical,</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except for voting, transfer and conversion rights. Each share of Class A</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common stock is entitled to one vote. Each share of LT10 common stock and</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LT50 common stock is entitled to 10 and 50 votes, respectively, and is</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convertible into one share of Class A common stock only upon satisfaction of</w:t>
            </w:r>
          </w:p>
        </w:tc>
      </w:tr>
      <w:tr>
        <w:trPr>
          <w:trHeight w:val="195"/>
        </w:trPr>
        <w:tc>
          <w:tcPr>
            <w:tcW w:w="4120" w:type="dxa"/>
            <w:vAlign w:val="bottom"/>
          </w:tcPr>
          <w:p>
            <w:pPr>
              <w:spacing w:after="0"/>
              <w:rPr>
                <w:sz w:val="16"/>
                <w:szCs w:val="16"/>
                <w:color w:val="auto"/>
              </w:rPr>
            </w:pPr>
          </w:p>
        </w:tc>
        <w:tc>
          <w:tcPr>
            <w:tcW w:w="5880" w:type="dxa"/>
            <w:vAlign w:val="bottom"/>
            <w:gridSpan w:val="4"/>
          </w:tcPr>
          <w:p>
            <w:pPr>
              <w:ind w:left="120"/>
              <w:spacing w:after="0"/>
              <w:rPr>
                <w:sz w:val="20"/>
                <w:szCs w:val="20"/>
                <w:color w:val="auto"/>
              </w:rPr>
            </w:pPr>
            <w:r>
              <w:rPr>
                <w:rFonts w:ascii="Arial" w:cs="Arial" w:eastAsia="Arial" w:hAnsi="Arial"/>
                <w:sz w:val="16"/>
                <w:szCs w:val="16"/>
                <w:color w:val="auto"/>
              </w:rPr>
              <w:t>certain notice and other requirements, including the applicable restricted period.</w:t>
            </w:r>
          </w:p>
        </w:tc>
      </w:tr>
      <w:tr>
        <w:trPr>
          <w:trHeight w:val="268"/>
        </w:trPr>
        <w:tc>
          <w:tcPr>
            <w:tcW w:w="4120" w:type="dxa"/>
            <w:vAlign w:val="bottom"/>
          </w:tcPr>
          <w:p>
            <w:pPr>
              <w:spacing w:after="0"/>
              <w:rPr>
                <w:sz w:val="23"/>
                <w:szCs w:val="23"/>
                <w:color w:val="auto"/>
              </w:rPr>
            </w:pPr>
          </w:p>
        </w:tc>
        <w:tc>
          <w:tcPr>
            <w:tcW w:w="5880" w:type="dxa"/>
            <w:vAlign w:val="bottom"/>
            <w:gridSpan w:val="4"/>
          </w:tcPr>
          <w:p>
            <w:pPr>
              <w:ind w:left="120"/>
              <w:spacing w:after="0"/>
              <w:rPr>
                <w:sz w:val="20"/>
                <w:szCs w:val="20"/>
                <w:color w:val="auto"/>
              </w:rPr>
            </w:pPr>
            <w:r>
              <w:rPr>
                <w:rFonts w:ascii="Arial" w:cs="Arial" w:eastAsia="Arial" w:hAnsi="Arial"/>
                <w:sz w:val="16"/>
                <w:szCs w:val="16"/>
                <w:color w:val="auto"/>
              </w:rPr>
              <w:t>Prior to the completion of this offering, all of our outstanding shares of LT10</w:t>
            </w:r>
          </w:p>
        </w:tc>
      </w:tr>
      <w:tr>
        <w:trPr>
          <w:trHeight w:val="158"/>
        </w:trPr>
        <w:tc>
          <w:tcPr>
            <w:tcW w:w="4120" w:type="dxa"/>
            <w:vAlign w:val="bottom"/>
          </w:tcPr>
          <w:p>
            <w:pPr>
              <w:spacing w:after="0"/>
              <w:rPr>
                <w:sz w:val="13"/>
                <w:szCs w:val="13"/>
                <w:color w:val="auto"/>
              </w:rPr>
            </w:pPr>
          </w:p>
        </w:tc>
        <w:tc>
          <w:tcPr>
            <w:tcW w:w="5400" w:type="dxa"/>
            <w:vAlign w:val="bottom"/>
            <w:gridSpan w:val="3"/>
          </w:tcPr>
          <w:p>
            <w:pPr>
              <w:ind w:left="120"/>
              <w:spacing w:after="0" w:line="158" w:lineRule="exact"/>
              <w:rPr>
                <w:sz w:val="20"/>
                <w:szCs w:val="20"/>
                <w:color w:val="auto"/>
              </w:rPr>
            </w:pPr>
            <w:r>
              <w:rPr>
                <w:rFonts w:ascii="Arial" w:cs="Arial" w:eastAsia="Arial" w:hAnsi="Arial"/>
                <w:sz w:val="16"/>
                <w:szCs w:val="16"/>
                <w:color w:val="auto"/>
              </w:rPr>
              <w:t>common stock and LT50 common stock, representing approximately</w:t>
            </w:r>
          </w:p>
        </w:tc>
        <w:tc>
          <w:tcPr>
            <w:tcW w:w="480" w:type="dxa"/>
            <w:vAlign w:val="bottom"/>
          </w:tcPr>
          <w:p>
            <w:pPr>
              <w:jc w:val="right"/>
              <w:spacing w:after="0" w:line="158" w:lineRule="exact"/>
              <w:rPr>
                <w:sz w:val="20"/>
                <w:szCs w:val="20"/>
                <w:color w:val="auto"/>
              </w:rPr>
            </w:pPr>
            <w:r>
              <w:rPr>
                <w:rFonts w:ascii="Arial" w:cs="Arial" w:eastAsia="Arial" w:hAnsi="Arial"/>
                <w:sz w:val="16"/>
                <w:szCs w:val="16"/>
                <w:color w:val="auto"/>
              </w:rPr>
              <w:t>%</w:t>
            </w:r>
          </w:p>
        </w:tc>
      </w:tr>
      <w:tr>
        <w:trPr>
          <w:trHeight w:val="158"/>
        </w:trPr>
        <w:tc>
          <w:tcPr>
            <w:tcW w:w="4120" w:type="dxa"/>
            <w:vAlign w:val="bottom"/>
          </w:tcPr>
          <w:p>
            <w:pPr>
              <w:spacing w:after="0"/>
              <w:rPr>
                <w:sz w:val="13"/>
                <w:szCs w:val="13"/>
                <w:color w:val="auto"/>
              </w:rPr>
            </w:pPr>
          </w:p>
        </w:tc>
        <w:tc>
          <w:tcPr>
            <w:tcW w:w="3160" w:type="dxa"/>
            <w:vAlign w:val="bottom"/>
            <w:gridSpan w:val="2"/>
          </w:tcPr>
          <w:p>
            <w:pPr>
              <w:ind w:left="120"/>
              <w:spacing w:after="0" w:line="158" w:lineRule="exact"/>
              <w:rPr>
                <w:sz w:val="20"/>
                <w:szCs w:val="20"/>
                <w:color w:val="auto"/>
              </w:rPr>
            </w:pPr>
            <w:r>
              <w:rPr>
                <w:rFonts w:ascii="Arial" w:cs="Arial" w:eastAsia="Arial" w:hAnsi="Arial"/>
                <w:sz w:val="16"/>
                <w:szCs w:val="16"/>
                <w:color w:val="auto"/>
              </w:rPr>
              <w:t>of the combined voting power and</w:t>
            </w:r>
          </w:p>
        </w:tc>
        <w:tc>
          <w:tcPr>
            <w:tcW w:w="2720" w:type="dxa"/>
            <w:vAlign w:val="bottom"/>
            <w:gridSpan w:val="2"/>
          </w:tcPr>
          <w:p>
            <w:pPr>
              <w:jc w:val="right"/>
              <w:spacing w:after="0" w:line="158" w:lineRule="exact"/>
              <w:rPr>
                <w:sz w:val="20"/>
                <w:szCs w:val="20"/>
                <w:color w:val="auto"/>
              </w:rPr>
            </w:pPr>
            <w:r>
              <w:rPr>
                <w:rFonts w:ascii="Arial" w:cs="Arial" w:eastAsia="Arial" w:hAnsi="Arial"/>
                <w:sz w:val="16"/>
                <w:szCs w:val="16"/>
                <w:color w:val="auto"/>
              </w:rPr>
              <w:t>of the economic interest in us</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immediately following the completion of this offering, will be contributed by the</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Trust Beneficiaries to the Voting Trust formed pursuant to the Voting Trust</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Agreement under which all decisions with respect to the voting (but not the</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disposition) of such shares of Class A, LT10 and LT50 common stock, as well</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as any other shares of any class of common stock held in the Voting Trust from</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time to time, will be made by the Trustees in their sole and absolute discretion,</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with no responsibility under the Voting Trust Agreement as stockholder, trustee</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or otherwise, except for his or her own individual malfeasance. See “Description</w:t>
            </w:r>
          </w:p>
        </w:tc>
      </w:tr>
      <w:tr>
        <w:trPr>
          <w:trHeight w:val="195"/>
        </w:trPr>
        <w:tc>
          <w:tcPr>
            <w:tcW w:w="4120" w:type="dxa"/>
            <w:vAlign w:val="bottom"/>
          </w:tcPr>
          <w:p>
            <w:pPr>
              <w:spacing w:after="0"/>
              <w:rPr>
                <w:sz w:val="16"/>
                <w:szCs w:val="16"/>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of capital stock.”</w:t>
            </w:r>
          </w:p>
        </w:tc>
        <w:tc>
          <w:tcPr>
            <w:tcW w:w="1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020"/>
          </w:cols>
          <w:pgMar w:left="920" w:top="1440" w:right="95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5551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65551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22" w:type="dxa"/>
        <w:tblCellMar>
          <w:top w:w="0" w:type="dxa"/>
          <w:left w:w="0" w:type="dxa"/>
          <w:bottom w:w="0" w:type="dxa"/>
          <w:right w:w="0" w:type="dxa"/>
        </w:tblCellMar>
      </w:tblPr>
      <w:tr>
        <w:trPr>
          <w:trHeight w:val="195"/>
        </w:trPr>
        <w:tc>
          <w:tcPr>
            <w:tcW w:w="2720" w:type="dxa"/>
            <w:vAlign w:val="bottom"/>
          </w:tcPr>
          <w:p>
            <w:pPr>
              <w:spacing w:after="0"/>
              <w:rPr>
                <w:sz w:val="20"/>
                <w:szCs w:val="20"/>
                <w:color w:val="auto"/>
              </w:rPr>
            </w:pPr>
            <w:r>
              <w:rPr>
                <w:rFonts w:ascii="Arial" w:cs="Arial" w:eastAsia="Arial" w:hAnsi="Arial"/>
                <w:sz w:val="16"/>
                <w:szCs w:val="16"/>
                <w:color w:val="auto"/>
              </w:rPr>
              <w:t>Use of proceeds</w:t>
            </w:r>
          </w:p>
        </w:tc>
        <w:tc>
          <w:tcPr>
            <w:tcW w:w="7280" w:type="dxa"/>
            <w:vAlign w:val="bottom"/>
            <w:gridSpan w:val="3"/>
          </w:tcPr>
          <w:p>
            <w:pPr>
              <w:ind w:left="1520"/>
              <w:spacing w:after="0"/>
              <w:rPr>
                <w:sz w:val="20"/>
                <w:szCs w:val="20"/>
                <w:color w:val="auto"/>
              </w:rPr>
            </w:pPr>
            <w:r>
              <w:rPr>
                <w:rFonts w:ascii="Arial" w:cs="Arial" w:eastAsia="Arial" w:hAnsi="Arial"/>
                <w:sz w:val="16"/>
                <w:szCs w:val="16"/>
                <w:color w:val="auto"/>
              </w:rPr>
              <w:t>We estimate that the net proceeds to us from this offering will be approximately</w:t>
            </w:r>
          </w:p>
        </w:tc>
      </w:tr>
      <w:tr>
        <w:trPr>
          <w:trHeight w:val="195"/>
        </w:trPr>
        <w:tc>
          <w:tcPr>
            <w:tcW w:w="2720" w:type="dxa"/>
            <w:vAlign w:val="bottom"/>
          </w:tcPr>
          <w:p>
            <w:pPr>
              <w:spacing w:after="0"/>
              <w:rPr>
                <w:sz w:val="16"/>
                <w:szCs w:val="16"/>
                <w:color w:val="auto"/>
              </w:rPr>
            </w:pPr>
          </w:p>
        </w:tc>
        <w:tc>
          <w:tcPr>
            <w:tcW w:w="1940" w:type="dxa"/>
            <w:vAlign w:val="bottom"/>
          </w:tcPr>
          <w:p>
            <w:pPr>
              <w:ind w:left="1520"/>
              <w:spacing w:after="0"/>
              <w:rPr>
                <w:sz w:val="20"/>
                <w:szCs w:val="20"/>
                <w:color w:val="auto"/>
              </w:rPr>
            </w:pPr>
            <w:r>
              <w:rPr>
                <w:rFonts w:ascii="Arial" w:cs="Arial" w:eastAsia="Arial" w:hAnsi="Arial"/>
                <w:sz w:val="16"/>
                <w:szCs w:val="16"/>
                <w:color w:val="auto"/>
              </w:rPr>
              <w:t>$</w:t>
            </w:r>
          </w:p>
        </w:tc>
        <w:tc>
          <w:tcPr>
            <w:tcW w:w="1600" w:type="dxa"/>
            <w:vAlign w:val="bottom"/>
          </w:tcPr>
          <w:p>
            <w:pPr>
              <w:ind w:left="340"/>
              <w:spacing w:after="0"/>
              <w:rPr>
                <w:sz w:val="20"/>
                <w:szCs w:val="20"/>
                <w:color w:val="auto"/>
              </w:rPr>
            </w:pPr>
            <w:r>
              <w:rPr>
                <w:rFonts w:ascii="Arial" w:cs="Arial" w:eastAsia="Arial" w:hAnsi="Arial"/>
                <w:sz w:val="16"/>
                <w:szCs w:val="16"/>
                <w:color w:val="auto"/>
              </w:rPr>
              <w:t>million, or $</w:t>
            </w:r>
          </w:p>
        </w:tc>
        <w:tc>
          <w:tcPr>
            <w:tcW w:w="3740" w:type="dxa"/>
            <w:vAlign w:val="bottom"/>
          </w:tcPr>
          <w:p>
            <w:pPr>
              <w:jc w:val="right"/>
              <w:spacing w:after="0"/>
              <w:rPr>
                <w:sz w:val="20"/>
                <w:szCs w:val="20"/>
                <w:color w:val="auto"/>
              </w:rPr>
            </w:pPr>
            <w:r>
              <w:rPr>
                <w:rFonts w:ascii="Arial" w:cs="Arial" w:eastAsia="Arial" w:hAnsi="Arial"/>
                <w:sz w:val="16"/>
                <w:szCs w:val="16"/>
                <w:color w:val="auto"/>
              </w:rPr>
              <w:t>million if the underwriters exercise their option to</w:t>
            </w:r>
          </w:p>
        </w:tc>
      </w:tr>
      <w:tr>
        <w:trPr>
          <w:trHeight w:val="195"/>
        </w:trPr>
        <w:tc>
          <w:tcPr>
            <w:tcW w:w="2720" w:type="dxa"/>
            <w:vAlign w:val="bottom"/>
          </w:tcPr>
          <w:p>
            <w:pPr>
              <w:spacing w:after="0"/>
              <w:rPr>
                <w:sz w:val="16"/>
                <w:szCs w:val="16"/>
                <w:color w:val="auto"/>
              </w:rPr>
            </w:pPr>
          </w:p>
        </w:tc>
        <w:tc>
          <w:tcPr>
            <w:tcW w:w="7280" w:type="dxa"/>
            <w:vAlign w:val="bottom"/>
            <w:gridSpan w:val="3"/>
          </w:tcPr>
          <w:p>
            <w:pPr>
              <w:ind w:left="1520"/>
              <w:spacing w:after="0"/>
              <w:rPr>
                <w:sz w:val="20"/>
                <w:szCs w:val="20"/>
                <w:color w:val="auto"/>
              </w:rPr>
            </w:pPr>
            <w:r>
              <w:rPr>
                <w:rFonts w:ascii="Arial" w:cs="Arial" w:eastAsia="Arial" w:hAnsi="Arial"/>
                <w:sz w:val="16"/>
                <w:szCs w:val="16"/>
                <w:color w:val="auto"/>
              </w:rPr>
              <w:t>purchase additional shares of Class A common stock in full, assuming an initial</w:t>
            </w:r>
          </w:p>
        </w:tc>
      </w:tr>
      <w:tr>
        <w:trPr>
          <w:trHeight w:val="195"/>
        </w:trPr>
        <w:tc>
          <w:tcPr>
            <w:tcW w:w="2720" w:type="dxa"/>
            <w:vAlign w:val="bottom"/>
          </w:tcPr>
          <w:p>
            <w:pPr>
              <w:spacing w:after="0"/>
              <w:rPr>
                <w:sz w:val="16"/>
                <w:szCs w:val="16"/>
                <w:color w:val="auto"/>
              </w:rPr>
            </w:pPr>
          </w:p>
        </w:tc>
        <w:tc>
          <w:tcPr>
            <w:tcW w:w="3540" w:type="dxa"/>
            <w:vAlign w:val="bottom"/>
            <w:gridSpan w:val="2"/>
          </w:tcPr>
          <w:p>
            <w:pPr>
              <w:ind w:left="1520"/>
              <w:spacing w:after="0"/>
              <w:rPr>
                <w:sz w:val="20"/>
                <w:szCs w:val="20"/>
                <w:color w:val="auto"/>
              </w:rPr>
            </w:pPr>
            <w:r>
              <w:rPr>
                <w:rFonts w:ascii="Arial" w:cs="Arial" w:eastAsia="Arial" w:hAnsi="Arial"/>
                <w:sz w:val="16"/>
                <w:szCs w:val="16"/>
                <w:color w:val="auto"/>
              </w:rPr>
              <w:t>public offering price of $</w:t>
            </w:r>
          </w:p>
        </w:tc>
        <w:tc>
          <w:tcPr>
            <w:tcW w:w="3740" w:type="dxa"/>
            <w:vAlign w:val="bottom"/>
          </w:tcPr>
          <w:p>
            <w:pPr>
              <w:jc w:val="right"/>
              <w:spacing w:after="0"/>
              <w:rPr>
                <w:sz w:val="20"/>
                <w:szCs w:val="20"/>
                <w:color w:val="auto"/>
              </w:rPr>
            </w:pPr>
            <w:r>
              <w:rPr>
                <w:rFonts w:ascii="Arial" w:cs="Arial" w:eastAsia="Arial" w:hAnsi="Arial"/>
                <w:sz w:val="16"/>
                <w:szCs w:val="16"/>
                <w:color w:val="auto"/>
              </w:rPr>
              <w:t>per share, which is the midpoint of the price</w:t>
            </w:r>
          </w:p>
        </w:tc>
      </w:tr>
      <w:tr>
        <w:trPr>
          <w:trHeight w:val="195"/>
        </w:trPr>
        <w:tc>
          <w:tcPr>
            <w:tcW w:w="2720" w:type="dxa"/>
            <w:vAlign w:val="bottom"/>
          </w:tcPr>
          <w:p>
            <w:pPr>
              <w:spacing w:after="0"/>
              <w:rPr>
                <w:sz w:val="16"/>
                <w:szCs w:val="16"/>
                <w:color w:val="auto"/>
              </w:rPr>
            </w:pPr>
          </w:p>
        </w:tc>
        <w:tc>
          <w:tcPr>
            <w:tcW w:w="7280" w:type="dxa"/>
            <w:vAlign w:val="bottom"/>
            <w:gridSpan w:val="3"/>
          </w:tcPr>
          <w:p>
            <w:pPr>
              <w:ind w:left="1520"/>
              <w:spacing w:after="0"/>
              <w:rPr>
                <w:sz w:val="20"/>
                <w:szCs w:val="20"/>
                <w:color w:val="auto"/>
              </w:rPr>
            </w:pPr>
            <w:r>
              <w:rPr>
                <w:rFonts w:ascii="Arial" w:cs="Arial" w:eastAsia="Arial" w:hAnsi="Arial"/>
                <w:sz w:val="16"/>
                <w:szCs w:val="16"/>
                <w:color w:val="auto"/>
              </w:rPr>
              <w:t>range set forth on the cover page of this prospectus, and after deducting</w:t>
            </w:r>
          </w:p>
        </w:tc>
      </w:tr>
      <w:tr>
        <w:trPr>
          <w:trHeight w:val="195"/>
        </w:trPr>
        <w:tc>
          <w:tcPr>
            <w:tcW w:w="2720" w:type="dxa"/>
            <w:vAlign w:val="bottom"/>
          </w:tcPr>
          <w:p>
            <w:pPr>
              <w:spacing w:after="0"/>
              <w:rPr>
                <w:sz w:val="16"/>
                <w:szCs w:val="16"/>
                <w:color w:val="auto"/>
              </w:rPr>
            </w:pPr>
          </w:p>
        </w:tc>
        <w:tc>
          <w:tcPr>
            <w:tcW w:w="7280" w:type="dxa"/>
            <w:vAlign w:val="bottom"/>
            <w:gridSpan w:val="3"/>
          </w:tcPr>
          <w:p>
            <w:pPr>
              <w:ind w:left="1520"/>
              <w:spacing w:after="0"/>
              <w:rPr>
                <w:sz w:val="20"/>
                <w:szCs w:val="20"/>
                <w:color w:val="auto"/>
              </w:rPr>
            </w:pPr>
            <w:r>
              <w:rPr>
                <w:rFonts w:ascii="Arial" w:cs="Arial" w:eastAsia="Arial" w:hAnsi="Arial"/>
                <w:sz w:val="16"/>
                <w:szCs w:val="16"/>
                <w:color w:val="auto"/>
              </w:rPr>
              <w:t>underwriting discounts and commissions and estimated offering expenses</w:t>
            </w:r>
          </w:p>
        </w:tc>
      </w:tr>
      <w:tr>
        <w:trPr>
          <w:trHeight w:val="195"/>
        </w:trPr>
        <w:tc>
          <w:tcPr>
            <w:tcW w:w="2720" w:type="dxa"/>
            <w:vAlign w:val="bottom"/>
          </w:tcPr>
          <w:p>
            <w:pPr>
              <w:spacing w:after="0"/>
              <w:rPr>
                <w:sz w:val="16"/>
                <w:szCs w:val="16"/>
                <w:color w:val="auto"/>
              </w:rPr>
            </w:pPr>
          </w:p>
        </w:tc>
        <w:tc>
          <w:tcPr>
            <w:tcW w:w="7280" w:type="dxa"/>
            <w:vAlign w:val="bottom"/>
            <w:gridSpan w:val="3"/>
          </w:tcPr>
          <w:p>
            <w:pPr>
              <w:ind w:left="1520"/>
              <w:spacing w:after="0"/>
              <w:rPr>
                <w:sz w:val="20"/>
                <w:szCs w:val="20"/>
                <w:color w:val="auto"/>
              </w:rPr>
            </w:pPr>
            <w:r>
              <w:rPr>
                <w:rFonts w:ascii="Arial" w:cs="Arial" w:eastAsia="Arial" w:hAnsi="Arial"/>
                <w:sz w:val="16"/>
                <w:szCs w:val="16"/>
                <w:color w:val="auto"/>
              </w:rPr>
              <w:t>payable by us. We will not receive any proceeds from the sale of Class A</w:t>
            </w:r>
          </w:p>
        </w:tc>
      </w:tr>
      <w:tr>
        <w:trPr>
          <w:trHeight w:val="195"/>
        </w:trPr>
        <w:tc>
          <w:tcPr>
            <w:tcW w:w="2720" w:type="dxa"/>
            <w:vAlign w:val="bottom"/>
          </w:tcPr>
          <w:p>
            <w:pPr>
              <w:spacing w:after="0"/>
              <w:rPr>
                <w:sz w:val="16"/>
                <w:szCs w:val="16"/>
                <w:color w:val="auto"/>
              </w:rPr>
            </w:pPr>
          </w:p>
        </w:tc>
        <w:tc>
          <w:tcPr>
            <w:tcW w:w="7280" w:type="dxa"/>
            <w:vAlign w:val="bottom"/>
            <w:gridSpan w:val="3"/>
          </w:tcPr>
          <w:p>
            <w:pPr>
              <w:ind w:left="1520"/>
              <w:spacing w:after="0"/>
              <w:rPr>
                <w:sz w:val="20"/>
                <w:szCs w:val="20"/>
                <w:color w:val="auto"/>
              </w:rPr>
            </w:pPr>
            <w:r>
              <w:rPr>
                <w:rFonts w:ascii="Arial" w:cs="Arial" w:eastAsia="Arial" w:hAnsi="Arial"/>
                <w:sz w:val="16"/>
                <w:szCs w:val="16"/>
                <w:color w:val="auto"/>
              </w:rPr>
              <w:t>common stock by the selling stockholders in this offering.</w:t>
            </w:r>
          </w:p>
        </w:tc>
      </w:tr>
    </w:tbl>
    <w:p>
      <w:pPr>
        <w:spacing w:after="0" w:line="134" w:lineRule="exact"/>
        <w:rPr>
          <w:sz w:val="20"/>
          <w:szCs w:val="20"/>
          <w:color w:val="auto"/>
        </w:rPr>
      </w:pPr>
    </w:p>
    <w:p>
      <w:pPr>
        <w:jc w:val="both"/>
        <w:ind w:left="4262"/>
        <w:spacing w:after="0" w:line="255" w:lineRule="auto"/>
        <w:rPr>
          <w:sz w:val="20"/>
          <w:szCs w:val="20"/>
          <w:color w:val="auto"/>
        </w:rPr>
      </w:pPr>
      <w:r>
        <w:rPr>
          <w:rFonts w:ascii="Arial" w:cs="Arial" w:eastAsia="Arial" w:hAnsi="Arial"/>
          <w:sz w:val="16"/>
          <w:szCs w:val="16"/>
          <w:color w:val="auto"/>
        </w:rPr>
        <w:t>We currently intend to use the net proceeds from this offering for general corporate purposes, including working capital, operating expenses and capital expenditures. We also intend on using a portion of the net proceeds we receive from this offering to pay discretionary cash bonuses to our employees during the fourth quarter of the year ended December 31, 2021, in an amount currently estimated to range from $30.8 million to $35.5 million (as described under "Management's discussion and analysis of financial condition and results of operations—Critical accounting policies and estimates—Cash bonuses"). We will have broad discretion in the way that we use the net proceeds of this offering. See the section titled “Use of proceeds” for additional information.</w:t>
      </w:r>
    </w:p>
    <w:p>
      <w:pPr>
        <w:sectPr>
          <w:pgSz w:w="11900" w:h="16838" w:orient="portrait"/>
          <w:cols w:equalWidth="0" w:num="1">
            <w:col w:w="10022"/>
          </w:cols>
          <w:pgMar w:left="918" w:top="1440" w:right="959" w:bottom="1440" w:gutter="0" w:footer="0" w:header="0"/>
        </w:sectPr>
      </w:pPr>
    </w:p>
    <w:p>
      <w:pPr>
        <w:spacing w:after="0" w:line="213" w:lineRule="exact"/>
        <w:rPr>
          <w:sz w:val="20"/>
          <w:szCs w:val="20"/>
          <w:color w:val="auto"/>
        </w:rPr>
      </w:pPr>
    </w:p>
    <w:p>
      <w:pPr>
        <w:ind w:left="22"/>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See “Risk factors” and the other information included in this prospectus for a discussion of factors you should carefully consider before deciding to invest in shares of our Class A common stock.</w:t>
      </w:r>
    </w:p>
    <w:p>
      <w:pPr>
        <w:spacing w:after="0" w:line="200" w:lineRule="exact"/>
        <w:rPr>
          <w:sz w:val="20"/>
          <w:szCs w:val="20"/>
          <w:color w:val="auto"/>
        </w:rPr>
      </w:pPr>
    </w:p>
    <w:p>
      <w:pPr>
        <w:sectPr>
          <w:pgSz w:w="11900" w:h="16838" w:orient="portrait"/>
          <w:cols w:equalWidth="0" w:num="2">
            <w:col w:w="3542" w:space="720"/>
            <w:col w:w="5760"/>
          </w:cols>
          <w:pgMar w:left="918" w:top="1440" w:right="959" w:bottom="1440" w:gutter="0" w:footer="0" w:header="0"/>
          <w:type w:val="continuous"/>
        </w:sectPr>
      </w:pPr>
    </w:p>
    <w:p>
      <w:pPr>
        <w:spacing w:after="0" w:line="16" w:lineRule="exact"/>
        <w:rPr>
          <w:sz w:val="20"/>
          <w:szCs w:val="20"/>
          <w:color w:val="auto"/>
        </w:rPr>
      </w:pPr>
    </w:p>
    <w:p>
      <w:pPr>
        <w:ind w:left="22"/>
        <w:spacing w:after="0"/>
        <w:rPr>
          <w:sz w:val="20"/>
          <w:szCs w:val="20"/>
          <w:color w:val="auto"/>
        </w:rPr>
      </w:pPr>
      <w:r>
        <w:rPr>
          <w:rFonts w:ascii="Arial" w:cs="Arial" w:eastAsia="Arial" w:hAnsi="Arial"/>
          <w:sz w:val="16"/>
          <w:szCs w:val="16"/>
          <w:color w:val="auto"/>
        </w:rPr>
        <w:t>Proposed 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“EXFY”</w:t>
      </w:r>
    </w:p>
    <w:p>
      <w:pPr>
        <w:spacing w:after="0" w:line="200" w:lineRule="exact"/>
        <w:rPr>
          <w:sz w:val="20"/>
          <w:szCs w:val="20"/>
          <w:color w:val="auto"/>
        </w:rPr>
      </w:pPr>
    </w:p>
    <w:p>
      <w:pPr>
        <w:sectPr>
          <w:pgSz w:w="11900" w:h="16838" w:orient="portrait"/>
          <w:cols w:equalWidth="0" w:num="2">
            <w:col w:w="3542" w:space="720"/>
            <w:col w:w="5760"/>
          </w:cols>
          <w:pgMar w:left="918" w:top="1440" w:right="959" w:bottom="1440" w:gutter="0" w:footer="0" w:header="0"/>
          <w:type w:val="continuous"/>
        </w:sectPr>
      </w:pPr>
    </w:p>
    <w:p>
      <w:pPr>
        <w:spacing w:after="0" w:line="176" w:lineRule="exact"/>
        <w:rPr>
          <w:sz w:val="20"/>
          <w:szCs w:val="20"/>
          <w:color w:val="auto"/>
        </w:rPr>
      </w:pPr>
    </w:p>
    <w:p>
      <w:pPr>
        <w:ind w:left="2" w:right="60"/>
        <w:spacing w:after="0" w:line="261" w:lineRule="auto"/>
        <w:rPr>
          <w:sz w:val="20"/>
          <w:szCs w:val="20"/>
          <w:color w:val="auto"/>
        </w:rPr>
      </w:pPr>
      <w:r>
        <w:rPr>
          <w:rFonts w:ascii="Arial" w:cs="Arial" w:eastAsia="Arial" w:hAnsi="Arial"/>
          <w:sz w:val="16"/>
          <w:szCs w:val="16"/>
          <w:color w:val="auto"/>
        </w:rPr>
        <w:t>The number of shares of our common stock that will be outstanding immediately after this offering is based on 7,681,191 shares of Class A common stock (including all shares of our convertible preferred stock on an as-converted basis) outstanding as of June 30, 2021 and excludes:</w:t>
      </w:r>
    </w:p>
    <w:p>
      <w:pPr>
        <w:spacing w:after="0" w:line="118" w:lineRule="exact"/>
        <w:rPr>
          <w:sz w:val="20"/>
          <w:szCs w:val="20"/>
          <w:color w:val="auto"/>
        </w:rPr>
      </w:pPr>
    </w:p>
    <w:p>
      <w:pPr>
        <w:ind w:left="302" w:right="180" w:hanging="302"/>
        <w:spacing w:after="0" w:line="261" w:lineRule="auto"/>
        <w:tabs>
          <w:tab w:leader="none" w:pos="2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18" w:lineRule="exact"/>
        <w:rPr>
          <w:rFonts w:ascii="Arial" w:cs="Arial" w:eastAsia="Arial" w:hAnsi="Arial"/>
          <w:sz w:val="16"/>
          <w:szCs w:val="16"/>
          <w:color w:val="auto"/>
        </w:rPr>
      </w:pPr>
    </w:p>
    <w:p>
      <w:pPr>
        <w:ind w:left="302" w:right="380" w:hanging="302"/>
        <w:spacing w:after="0" w:line="268" w:lineRule="auto"/>
        <w:tabs>
          <w:tab w:leader="none" w:pos="2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266,247 shares of common stock issuable upon exercise of outstanding stock options as of June 30, 2021 granted under our 2009 Stock Plan, with a weighted-average exercise price of $2.74 per share;</w:t>
      </w:r>
    </w:p>
    <w:p>
      <w:pPr>
        <w:spacing w:after="0" w:line="100" w:lineRule="exact"/>
        <w:rPr>
          <w:rFonts w:ascii="Arial" w:cs="Arial" w:eastAsia="Arial" w:hAnsi="Arial"/>
          <w:sz w:val="16"/>
          <w:szCs w:val="16"/>
          <w:color w:val="auto"/>
        </w:rPr>
      </w:pPr>
    </w:p>
    <w:p>
      <w:pPr>
        <w:ind w:left="302" w:right="380" w:hanging="302"/>
        <w:spacing w:after="0" w:line="268" w:lineRule="auto"/>
        <w:tabs>
          <w:tab w:leader="none" w:pos="2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590,276 shares of common stock issuable upon exercise of outstanding stock options as of June 30, 2021 granted under our 2019 Plan, with a weighted-average exercise price of $17.12 per share;</w:t>
      </w:r>
    </w:p>
    <w:p>
      <w:pPr>
        <w:sectPr>
          <w:pgSz w:w="11900" w:h="16838" w:orient="portrait"/>
          <w:cols w:equalWidth="0" w:num="1">
            <w:col w:w="10022"/>
          </w:cols>
          <w:pgMar w:left="918" w:top="1440" w:right="959" w:bottom="1440" w:gutter="0" w:footer="0" w:header="0"/>
          <w:type w:val="continuous"/>
        </w:sectPr>
      </w:pPr>
    </w:p>
    <w:p>
      <w:pPr>
        <w:spacing w:after="0" w:line="113" w:lineRule="exact"/>
        <w:rPr>
          <w:sz w:val="20"/>
          <w:szCs w:val="20"/>
          <w:color w:val="auto"/>
        </w:rPr>
      </w:pPr>
    </w:p>
    <w:p>
      <w:pPr>
        <w:ind w:left="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firstLine="627"/>
        <w:spacing w:after="0" w:line="268" w:lineRule="auto"/>
        <w:rPr>
          <w:sz w:val="20"/>
          <w:szCs w:val="20"/>
          <w:color w:val="auto"/>
        </w:rPr>
      </w:pPr>
      <w:r>
        <w:rPr>
          <w:rFonts w:ascii="Arial" w:cs="Arial" w:eastAsia="Arial" w:hAnsi="Arial"/>
          <w:sz w:val="16"/>
          <w:szCs w:val="16"/>
          <w:color w:val="auto"/>
        </w:rPr>
        <w:t>shares of under our</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260" w:firstLine="600"/>
        <w:spacing w:after="0" w:line="268" w:lineRule="auto"/>
        <w:rPr>
          <w:sz w:val="20"/>
          <w:szCs w:val="20"/>
          <w:color w:val="auto"/>
        </w:rPr>
      </w:pPr>
      <w:r>
        <w:rPr>
          <w:rFonts w:ascii="Arial" w:cs="Arial" w:eastAsia="Arial" w:hAnsi="Arial"/>
          <w:sz w:val="16"/>
          <w:szCs w:val="16"/>
          <w:color w:val="auto"/>
        </w:rPr>
        <w:t>common stock issuable upon exercise of outstanding stock options granted subsequent to June 30, 2021 Plan, with a weighted-average exercise price of $ per share;</w:t>
      </w:r>
    </w:p>
    <w:p>
      <w:pPr>
        <w:spacing w:after="0" w:line="113" w:lineRule="exact"/>
        <w:rPr>
          <w:sz w:val="20"/>
          <w:szCs w:val="20"/>
          <w:color w:val="auto"/>
        </w:rPr>
      </w:pPr>
    </w:p>
    <w:p>
      <w:pPr>
        <w:sectPr>
          <w:pgSz w:w="11900" w:h="16838" w:orient="portrait"/>
          <w:cols w:equalWidth="0" w:num="3">
            <w:col w:w="62" w:space="240"/>
            <w:col w:w="1280" w:space="40"/>
            <w:col w:w="8400"/>
          </w:cols>
          <w:pgMar w:left="918" w:top="1440" w:right="959" w:bottom="1440" w:gutter="0" w:footer="0" w:header="0"/>
          <w:type w:val="continuous"/>
        </w:sectPr>
      </w:pPr>
    </w:p>
    <w:p>
      <w:pPr>
        <w:ind w:left="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Plan; and</w:t>
      </w:r>
    </w:p>
    <w:p>
      <w:pPr>
        <w:spacing w:after="0" w:line="133" w:lineRule="exact"/>
        <w:rPr>
          <w:sz w:val="20"/>
          <w:szCs w:val="20"/>
          <w:color w:val="auto"/>
        </w:rPr>
      </w:pPr>
    </w:p>
    <w:p>
      <w:pPr>
        <w:sectPr>
          <w:pgSz w:w="11900" w:h="16838" w:orient="portrait"/>
          <w:cols w:equalWidth="0" w:num="3">
            <w:col w:w="202" w:space="720"/>
            <w:col w:w="5160" w:space="620"/>
            <w:col w:w="3320"/>
          </w:cols>
          <w:pgMar w:left="918" w:top="1440" w:right="959" w:bottom="1440" w:gutter="0" w:footer="0" w:header="0"/>
          <w:type w:val="continuous"/>
        </w:sectPr>
      </w:pPr>
    </w:p>
    <w:p>
      <w:pPr>
        <w:ind w:left="302" w:right="280" w:hanging="302"/>
        <w:spacing w:after="0" w:line="268" w:lineRule="auto"/>
        <w:tabs>
          <w:tab w:leader="none" w:pos="2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433,969 and 433,969 shares of Class A and LT50 common stock, respectively, issuable upon the vesting of restricted stock units, or RSUs, granted by our board of directors subsequent to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022"/>
          </w:cols>
          <w:pgMar w:left="918" w:top="1440" w:right="95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4189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4189095"/>
                    </a:xfrm>
                    <a:prstGeom prst="rect">
                      <a:avLst/>
                    </a:prstGeom>
                    <a:noFill/>
                  </pic:spPr>
                </pic:pic>
              </a:graphicData>
            </a:graphic>
          </wp:anchor>
        </w:drawing>
      </w:r>
    </w:p>
    <w:p>
      <w:pPr>
        <w:spacing w:after="0" w:line="399" w:lineRule="exact"/>
        <w:rPr>
          <w:sz w:val="20"/>
          <w:szCs w:val="20"/>
          <w:color w:val="auto"/>
        </w:rPr>
      </w:pPr>
    </w:p>
    <w:p>
      <w:pPr>
        <w:ind w:left="302"/>
        <w:spacing w:after="0" w:line="268" w:lineRule="auto"/>
        <w:rPr>
          <w:sz w:val="20"/>
          <w:szCs w:val="20"/>
          <w:color w:val="auto"/>
        </w:rPr>
      </w:pPr>
      <w:r>
        <w:rPr>
          <w:rFonts w:ascii="Arial" w:cs="Arial" w:eastAsia="Arial" w:hAnsi="Arial"/>
          <w:sz w:val="16"/>
          <w:szCs w:val="16"/>
          <w:color w:val="auto"/>
        </w:rPr>
        <w:t>2021 under our 2019 Plan that will be effective immediately prior to the effectiveness of the registration statement on Form S-1, of which this prospectus is a part.</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6"/>
          <w:szCs w:val="16"/>
          <w:color w:val="auto"/>
        </w:rPr>
        <w:t>Except as otherwise indicated, all information in this prospectus assumes or gives effect to the following:</w:t>
      </w:r>
    </w:p>
    <w:p>
      <w:pPr>
        <w:spacing w:after="0" w:line="133" w:lineRule="exact"/>
        <w:rPr>
          <w:sz w:val="20"/>
          <w:szCs w:val="20"/>
          <w:color w:val="auto"/>
        </w:rPr>
      </w:pPr>
    </w:p>
    <w:p>
      <w:pPr>
        <w:ind w:left="302" w:right="420" w:hanging="302"/>
        <w:spacing w:after="0" w:line="268" w:lineRule="auto"/>
        <w:tabs>
          <w:tab w:leader="none" w:pos="29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filing and effectiveness of our amended and restated certificate of incorporation and the adoption of our amended and restated bylaws, each of which will occur immediately prior to the completion of this offering;</w:t>
      </w:r>
    </w:p>
    <w:p>
      <w:pPr>
        <w:spacing w:after="0" w:line="113" w:lineRule="exact"/>
        <w:rPr>
          <w:sz w:val="20"/>
          <w:szCs w:val="20"/>
          <w:color w:val="auto"/>
        </w:rPr>
      </w:pPr>
    </w:p>
    <w:p>
      <w:pPr>
        <w:ind w:left="282" w:right="160" w:hanging="291"/>
        <w:spacing w:after="0" w:line="258" w:lineRule="auto"/>
        <w:tabs>
          <w:tab w:leader="none" w:pos="261" w:val="left"/>
        </w:tabs>
        <w:rPr>
          <w:sz w:val="20"/>
          <w:szCs w:val="20"/>
          <w:color w:val="auto"/>
        </w:rPr>
      </w:pPr>
      <w:r>
        <w:rPr>
          <w:rFonts w:ascii="Arial" w:cs="Arial" w:eastAsia="Arial" w:hAnsi="Arial"/>
          <w:sz w:val="16"/>
          <w:szCs w:val="16"/>
          <w:color w:val="auto"/>
        </w:rPr>
        <w:t>•</w:t>
        <w:tab/>
        <w:t>the reclassification of all outstanding shares of our common stock, of which shares were outstanding as of June 30, 2021, into an equivalent number of shares of our Class A common stock, which will occur in connection with the filing and effectiveness of an amendment to our current amended and restated certificate of incorporation immediately prior to the effectiveness of the registration statement on Form S-1, of which this prospectus is a part;</w:t>
      </w:r>
    </w:p>
    <w:p>
      <w:pPr>
        <w:spacing w:after="0" w:line="122" w:lineRule="exact"/>
        <w:rPr>
          <w:sz w:val="20"/>
          <w:szCs w:val="20"/>
          <w:color w:val="auto"/>
        </w:rPr>
      </w:pPr>
    </w:p>
    <w:p>
      <w:pPr>
        <w:ind w:left="282" w:hanging="282"/>
        <w:spacing w:after="0"/>
        <w:tabs>
          <w:tab w:leader="none" w:pos="2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completion of an exchange offer open to all of our employees and other service providers, whereby participants in the exchange</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5800" w:type="dxa"/>
            <w:vAlign w:val="bottom"/>
            <w:gridSpan w:val="5"/>
          </w:tcPr>
          <w:p>
            <w:pPr>
              <w:ind w:left="120"/>
              <w:spacing w:after="0"/>
              <w:rPr>
                <w:sz w:val="20"/>
                <w:szCs w:val="20"/>
                <w:color w:val="auto"/>
              </w:rPr>
            </w:pPr>
            <w:r>
              <w:rPr>
                <w:rFonts w:ascii="Arial" w:cs="Arial" w:eastAsia="Arial" w:hAnsi="Arial"/>
                <w:sz w:val="16"/>
                <w:szCs w:val="16"/>
                <w:color w:val="auto"/>
              </w:rPr>
              <w:t>offer have elected to exchange, on a one-for-one basis, an aggregate of</w:t>
            </w:r>
          </w:p>
        </w:tc>
        <w:tc>
          <w:tcPr>
            <w:tcW w:w="3560" w:type="dxa"/>
            <w:vAlign w:val="bottom"/>
            <w:gridSpan w:val="2"/>
          </w:tcPr>
          <w:p>
            <w:pPr>
              <w:ind w:left="100"/>
              <w:spacing w:after="0"/>
              <w:rPr>
                <w:sz w:val="20"/>
                <w:szCs w:val="20"/>
                <w:color w:val="auto"/>
              </w:rPr>
            </w:pPr>
            <w:r>
              <w:rPr>
                <w:rFonts w:ascii="Arial" w:cs="Arial" w:eastAsia="Arial" w:hAnsi="Arial"/>
                <w:sz w:val="16"/>
                <w:szCs w:val="16"/>
                <w:color w:val="auto"/>
              </w:rPr>
              <w:t>shares of our Class A common stock for</w:t>
            </w:r>
          </w:p>
        </w:tc>
        <w:tc>
          <w:tcPr>
            <w:tcW w:w="500" w:type="dxa"/>
            <w:vAlign w:val="bottom"/>
          </w:tcPr>
          <w:p>
            <w:pPr>
              <w:spacing w:after="0"/>
              <w:rPr>
                <w:sz w:val="20"/>
                <w:szCs w:val="20"/>
                <w:color w:val="auto"/>
              </w:rPr>
            </w:pPr>
            <w:r>
              <w:rPr>
                <w:rFonts w:ascii="Arial" w:cs="Arial" w:eastAsia="Arial" w:hAnsi="Arial"/>
                <w:sz w:val="16"/>
                <w:szCs w:val="16"/>
                <w:color w:val="auto"/>
                <w:w w:val="99"/>
              </w:rPr>
              <w:t>shares</w:t>
            </w:r>
          </w:p>
        </w:tc>
      </w:tr>
      <w:tr>
        <w:trPr>
          <w:trHeight w:val="195"/>
        </w:trPr>
        <w:tc>
          <w:tcPr>
            <w:tcW w:w="180" w:type="dxa"/>
            <w:vAlign w:val="bottom"/>
          </w:tcPr>
          <w:p>
            <w:pPr>
              <w:spacing w:after="0"/>
              <w:rPr>
                <w:sz w:val="16"/>
                <w:szCs w:val="16"/>
                <w:color w:val="auto"/>
              </w:rPr>
            </w:pPr>
          </w:p>
        </w:tc>
        <w:tc>
          <w:tcPr>
            <w:tcW w:w="2820" w:type="dxa"/>
            <w:vAlign w:val="bottom"/>
            <w:gridSpan w:val="3"/>
          </w:tcPr>
          <w:p>
            <w:pPr>
              <w:ind w:left="120"/>
              <w:spacing w:after="0"/>
              <w:rPr>
                <w:sz w:val="20"/>
                <w:szCs w:val="20"/>
                <w:color w:val="auto"/>
              </w:rPr>
            </w:pPr>
            <w:r>
              <w:rPr>
                <w:rFonts w:ascii="Arial" w:cs="Arial" w:eastAsia="Arial" w:hAnsi="Arial"/>
                <w:sz w:val="16"/>
                <w:szCs w:val="16"/>
                <w:color w:val="auto"/>
              </w:rPr>
              <w:t>of our LT10 common stock and</w:t>
            </w:r>
          </w:p>
        </w:tc>
        <w:tc>
          <w:tcPr>
            <w:tcW w:w="7040" w:type="dxa"/>
            <w:vAlign w:val="bottom"/>
            <w:gridSpan w:val="5"/>
          </w:tcPr>
          <w:p>
            <w:pPr>
              <w:ind w:left="140"/>
              <w:spacing w:after="0"/>
              <w:rPr>
                <w:sz w:val="20"/>
                <w:szCs w:val="20"/>
                <w:color w:val="auto"/>
              </w:rPr>
            </w:pPr>
            <w:r>
              <w:rPr>
                <w:rFonts w:ascii="Arial" w:cs="Arial" w:eastAsia="Arial" w:hAnsi="Arial"/>
                <w:sz w:val="16"/>
                <w:szCs w:val="16"/>
                <w:color w:val="auto"/>
              </w:rPr>
              <w:t>shares of our LT50 common stock (the “Exchange Offer”), which will occur immediately prior to</w:t>
            </w:r>
          </w:p>
        </w:tc>
      </w:tr>
      <w:tr>
        <w:trPr>
          <w:trHeight w:val="195"/>
        </w:trPr>
        <w:tc>
          <w:tcPr>
            <w:tcW w:w="180" w:type="dxa"/>
            <w:vAlign w:val="bottom"/>
          </w:tcPr>
          <w:p>
            <w:pPr>
              <w:spacing w:after="0"/>
              <w:rPr>
                <w:sz w:val="16"/>
                <w:szCs w:val="16"/>
                <w:color w:val="auto"/>
              </w:rPr>
            </w:pPr>
          </w:p>
        </w:tc>
        <w:tc>
          <w:tcPr>
            <w:tcW w:w="7140" w:type="dxa"/>
            <w:vAlign w:val="bottom"/>
            <w:gridSpan w:val="6"/>
          </w:tcPr>
          <w:p>
            <w:pPr>
              <w:ind w:left="120"/>
              <w:spacing w:after="0"/>
              <w:rPr>
                <w:sz w:val="20"/>
                <w:szCs w:val="20"/>
                <w:color w:val="auto"/>
              </w:rPr>
            </w:pPr>
            <w:r>
              <w:rPr>
                <w:rFonts w:ascii="Arial" w:cs="Arial" w:eastAsia="Arial" w:hAnsi="Arial"/>
                <w:sz w:val="16"/>
                <w:szCs w:val="16"/>
                <w:color w:val="auto"/>
              </w:rPr>
              <w:t>the effectiveness of the registration statement on Form S-1, of which this prospectus is a part;</w:t>
            </w:r>
          </w:p>
        </w:tc>
        <w:tc>
          <w:tcPr>
            <w:tcW w:w="22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17"/>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7140" w:type="dxa"/>
            <w:vAlign w:val="bottom"/>
            <w:gridSpan w:val="6"/>
          </w:tcPr>
          <w:p>
            <w:pPr>
              <w:ind w:left="100"/>
              <w:spacing w:after="0"/>
              <w:rPr>
                <w:sz w:val="20"/>
                <w:szCs w:val="20"/>
                <w:color w:val="auto"/>
              </w:rPr>
            </w:pPr>
            <w:r>
              <w:rPr>
                <w:rFonts w:ascii="Arial" w:cs="Arial" w:eastAsia="Arial" w:hAnsi="Arial"/>
                <w:sz w:val="16"/>
                <w:szCs w:val="16"/>
                <w:color w:val="auto"/>
              </w:rPr>
              <w:t>the automatic conversion of all outstanding shares of our convertible preferred stock, of which</w:t>
            </w:r>
          </w:p>
        </w:tc>
        <w:tc>
          <w:tcPr>
            <w:tcW w:w="2720" w:type="dxa"/>
            <w:vAlign w:val="bottom"/>
            <w:gridSpan w:val="2"/>
          </w:tcPr>
          <w:p>
            <w:pPr>
              <w:ind w:left="320"/>
              <w:spacing w:after="0"/>
              <w:rPr>
                <w:sz w:val="20"/>
                <w:szCs w:val="20"/>
                <w:color w:val="auto"/>
              </w:rPr>
            </w:pPr>
            <w:r>
              <w:rPr>
                <w:rFonts w:ascii="Arial" w:cs="Arial" w:eastAsia="Arial" w:hAnsi="Arial"/>
                <w:sz w:val="16"/>
                <w:szCs w:val="16"/>
                <w:color w:val="auto"/>
              </w:rPr>
              <w:t>shares were outstanding as of</w:t>
            </w:r>
          </w:p>
        </w:tc>
      </w:tr>
      <w:tr>
        <w:trPr>
          <w:trHeight w:val="195"/>
        </w:trPr>
        <w:tc>
          <w:tcPr>
            <w:tcW w:w="180" w:type="dxa"/>
            <w:vAlign w:val="bottom"/>
          </w:tcPr>
          <w:p>
            <w:pPr>
              <w:spacing w:after="0"/>
              <w:rPr>
                <w:sz w:val="16"/>
                <w:szCs w:val="16"/>
                <w:color w:val="auto"/>
              </w:rPr>
            </w:pPr>
          </w:p>
        </w:tc>
        <w:tc>
          <w:tcPr>
            <w:tcW w:w="2820" w:type="dxa"/>
            <w:vAlign w:val="bottom"/>
            <w:gridSpan w:val="3"/>
          </w:tcPr>
          <w:p>
            <w:pPr>
              <w:ind w:left="120"/>
              <w:spacing w:after="0"/>
              <w:rPr>
                <w:sz w:val="20"/>
                <w:szCs w:val="20"/>
                <w:color w:val="auto"/>
              </w:rPr>
            </w:pPr>
            <w:r>
              <w:rPr>
                <w:rFonts w:ascii="Arial" w:cs="Arial" w:eastAsia="Arial" w:hAnsi="Arial"/>
                <w:sz w:val="16"/>
                <w:szCs w:val="16"/>
                <w:color w:val="auto"/>
              </w:rPr>
              <w:t>June 30, 2021, into an aggregate of</w:t>
            </w:r>
          </w:p>
        </w:tc>
        <w:tc>
          <w:tcPr>
            <w:tcW w:w="6540" w:type="dxa"/>
            <w:vAlign w:val="bottom"/>
            <w:gridSpan w:val="4"/>
          </w:tcPr>
          <w:p>
            <w:pPr>
              <w:ind w:left="480"/>
              <w:spacing w:after="0"/>
              <w:rPr>
                <w:sz w:val="20"/>
                <w:szCs w:val="20"/>
                <w:color w:val="auto"/>
              </w:rPr>
            </w:pPr>
            <w:r>
              <w:rPr>
                <w:rFonts w:ascii="Arial" w:cs="Arial" w:eastAsia="Arial" w:hAnsi="Arial"/>
                <w:sz w:val="16"/>
                <w:szCs w:val="16"/>
                <w:color w:val="auto"/>
              </w:rPr>
              <w:t>shares of Class A common stock immediately prior to the completion of this offering;</w:t>
            </w:r>
          </w:p>
        </w:tc>
        <w:tc>
          <w:tcPr>
            <w:tcW w:w="500" w:type="dxa"/>
            <w:vAlign w:val="bottom"/>
          </w:tcPr>
          <w:p>
            <w:pPr>
              <w:spacing w:after="0"/>
              <w:rPr>
                <w:sz w:val="16"/>
                <w:szCs w:val="16"/>
                <w:color w:val="auto"/>
              </w:rPr>
            </w:pPr>
          </w:p>
        </w:tc>
      </w:tr>
      <w:tr>
        <w:trPr>
          <w:trHeight w:val="329"/>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color w:val="auto"/>
              </w:rPr>
              <w:t>a</w:t>
            </w:r>
          </w:p>
        </w:tc>
        <w:tc>
          <w:tcPr>
            <w:tcW w:w="540" w:type="dxa"/>
            <w:vAlign w:val="bottom"/>
          </w:tcPr>
          <w:p>
            <w:pPr>
              <w:ind w:left="200"/>
              <w:spacing w:after="0"/>
              <w:rPr>
                <w:sz w:val="20"/>
                <w:szCs w:val="20"/>
                <w:color w:val="auto"/>
              </w:rPr>
            </w:pPr>
            <w:r>
              <w:rPr>
                <w:rFonts w:ascii="Arial" w:cs="Arial" w:eastAsia="Arial" w:hAnsi="Arial"/>
                <w:sz w:val="16"/>
                <w:szCs w:val="16"/>
                <w:color w:val="auto"/>
              </w:rPr>
              <w:t>for</w:t>
            </w:r>
          </w:p>
        </w:tc>
        <w:tc>
          <w:tcPr>
            <w:tcW w:w="3980" w:type="dxa"/>
            <w:vAlign w:val="bottom"/>
            <w:gridSpan w:val="2"/>
          </w:tcPr>
          <w:p>
            <w:pPr>
              <w:ind w:left="160"/>
              <w:spacing w:after="0"/>
              <w:rPr>
                <w:sz w:val="20"/>
                <w:szCs w:val="20"/>
                <w:color w:val="auto"/>
              </w:rPr>
            </w:pPr>
            <w:r>
              <w:rPr>
                <w:rFonts w:ascii="Arial" w:cs="Arial" w:eastAsia="Arial" w:hAnsi="Arial"/>
                <w:sz w:val="16"/>
                <w:szCs w:val="16"/>
                <w:color w:val="auto"/>
              </w:rPr>
              <w:t>split of our common stock, which was effected on</w:t>
            </w:r>
          </w:p>
        </w:tc>
        <w:tc>
          <w:tcPr>
            <w:tcW w:w="880" w:type="dxa"/>
            <w:vAlign w:val="bottom"/>
          </w:tcPr>
          <w:p>
            <w:pPr>
              <w:jc w:val="right"/>
              <w:spacing w:after="0"/>
              <w:rPr>
                <w:sz w:val="20"/>
                <w:szCs w:val="20"/>
                <w:color w:val="auto"/>
              </w:rPr>
            </w:pPr>
            <w:r>
              <w:rPr>
                <w:rFonts w:ascii="Arial" w:cs="Arial" w:eastAsia="Arial" w:hAnsi="Arial"/>
                <w:sz w:val="16"/>
                <w:szCs w:val="16"/>
                <w:color w:val="auto"/>
              </w:rPr>
              <w:t>, 2021;</w:t>
            </w: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29"/>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5800" w:type="dxa"/>
            <w:vAlign w:val="bottom"/>
            <w:gridSpan w:val="5"/>
          </w:tcPr>
          <w:p>
            <w:pPr>
              <w:ind w:left="100"/>
              <w:spacing w:after="0"/>
              <w:rPr>
                <w:sz w:val="20"/>
                <w:szCs w:val="20"/>
                <w:color w:val="auto"/>
              </w:rPr>
            </w:pPr>
            <w:r>
              <w:rPr>
                <w:rFonts w:ascii="Arial" w:cs="Arial" w:eastAsia="Arial" w:hAnsi="Arial"/>
                <w:sz w:val="16"/>
                <w:szCs w:val="16"/>
                <w:color w:val="auto"/>
              </w:rPr>
              <w:t>the exercise by our employees and other service providers of an aggregate of</w:t>
            </w:r>
          </w:p>
        </w:tc>
        <w:tc>
          <w:tcPr>
            <w:tcW w:w="4060" w:type="dxa"/>
            <w:vAlign w:val="bottom"/>
            <w:gridSpan w:val="3"/>
          </w:tcPr>
          <w:p>
            <w:pPr>
              <w:ind w:left="460"/>
              <w:spacing w:after="0"/>
              <w:rPr>
                <w:sz w:val="20"/>
                <w:szCs w:val="20"/>
                <w:color w:val="auto"/>
              </w:rPr>
            </w:pPr>
            <w:r>
              <w:rPr>
                <w:rFonts w:ascii="Arial" w:cs="Arial" w:eastAsia="Arial" w:hAnsi="Arial"/>
                <w:sz w:val="16"/>
                <w:szCs w:val="16"/>
                <w:color w:val="auto"/>
              </w:rPr>
              <w:t>outstanding options to purchase shares of our</w:t>
            </w:r>
          </w:p>
        </w:tc>
      </w:tr>
      <w:tr>
        <w:trPr>
          <w:trHeight w:val="195"/>
        </w:trPr>
        <w:tc>
          <w:tcPr>
            <w:tcW w:w="180" w:type="dxa"/>
            <w:vAlign w:val="bottom"/>
          </w:tcPr>
          <w:p>
            <w:pPr>
              <w:spacing w:after="0"/>
              <w:rPr>
                <w:sz w:val="16"/>
                <w:szCs w:val="16"/>
                <w:color w:val="auto"/>
              </w:rPr>
            </w:pPr>
          </w:p>
        </w:tc>
        <w:tc>
          <w:tcPr>
            <w:tcW w:w="9360" w:type="dxa"/>
            <w:vAlign w:val="bottom"/>
            <w:gridSpan w:val="7"/>
          </w:tcPr>
          <w:p>
            <w:pPr>
              <w:ind w:left="120"/>
              <w:spacing w:after="0"/>
              <w:rPr>
                <w:sz w:val="20"/>
                <w:szCs w:val="20"/>
                <w:color w:val="auto"/>
              </w:rPr>
            </w:pPr>
            <w:r>
              <w:rPr>
                <w:rFonts w:ascii="Arial" w:cs="Arial" w:eastAsia="Arial" w:hAnsi="Arial"/>
                <w:sz w:val="16"/>
                <w:szCs w:val="16"/>
                <w:color w:val="auto"/>
              </w:rPr>
              <w:t>common stock subsequent to June 30, 2021 and prior to the completion of the Exchange Offer (the "Option Exercise");</w:t>
            </w:r>
          </w:p>
        </w:tc>
        <w:tc>
          <w:tcPr>
            <w:tcW w:w="500" w:type="dxa"/>
            <w:vAlign w:val="bottom"/>
          </w:tcPr>
          <w:p>
            <w:pPr>
              <w:spacing w:after="0"/>
              <w:rPr>
                <w:sz w:val="16"/>
                <w:szCs w:val="16"/>
                <w:color w:val="auto"/>
              </w:rPr>
            </w:pPr>
          </w:p>
        </w:tc>
      </w:tr>
    </w:tbl>
    <w:p>
      <w:pPr>
        <w:spacing w:after="0" w:line="122" w:lineRule="exact"/>
        <w:rPr>
          <w:sz w:val="20"/>
          <w:szCs w:val="20"/>
          <w:color w:val="auto"/>
        </w:rPr>
      </w:pPr>
    </w:p>
    <w:p>
      <w:pPr>
        <w:ind w:left="282" w:hanging="282"/>
        <w:spacing w:after="0"/>
        <w:tabs>
          <w:tab w:leader="none" w:pos="282"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 exercise of any other outstanding options or warrants or settlement of outstanding RSUs referred to above; and</w:t>
      </w:r>
    </w:p>
    <w:p>
      <w:pPr>
        <w:sectPr>
          <w:pgSz w:w="11900" w:h="16838" w:orient="portrait"/>
          <w:cols w:equalWidth="0" w:num="1">
            <w:col w:w="10042"/>
          </w:cols>
          <w:pgMar w:left="918" w:top="1440" w:right="939" w:bottom="1440" w:gutter="0" w:footer="0" w:header="0"/>
        </w:sectPr>
      </w:pP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hanging="3"/>
        <w:spacing w:after="0" w:line="268" w:lineRule="auto"/>
        <w:rPr>
          <w:sz w:val="20"/>
          <w:szCs w:val="20"/>
          <w:color w:val="auto"/>
        </w:rPr>
      </w:pPr>
      <w:r>
        <w:rPr>
          <w:rFonts w:ascii="Arial" w:cs="Arial" w:eastAsia="Arial" w:hAnsi="Arial"/>
          <w:sz w:val="16"/>
          <w:szCs w:val="16"/>
          <w:color w:val="auto"/>
        </w:rPr>
        <w:t>no exercise by the underwriters of their option to purchase from us and the selling stockholders up to Class A common stock.</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of our</w:t>
      </w:r>
    </w:p>
    <w:p>
      <w:pPr>
        <w:spacing w:after="0" w:line="426" w:lineRule="exact"/>
        <w:rPr>
          <w:sz w:val="20"/>
          <w:szCs w:val="20"/>
          <w:color w:val="auto"/>
        </w:rPr>
      </w:pPr>
    </w:p>
    <w:p>
      <w:pPr>
        <w:sectPr>
          <w:pgSz w:w="11900" w:h="16838" w:orient="portrait"/>
          <w:cols w:equalWidth="0" w:num="3">
            <w:col w:w="62" w:space="240"/>
            <w:col w:w="7200" w:space="540"/>
            <w:col w:w="2000"/>
          </w:cols>
          <w:pgMar w:left="918" w:top="1440"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042"/>
          </w:cols>
          <w:pgMar w:left="918" w:top="1440" w:right="93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2688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26885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consolidated financial and other data</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following tables summarize our consolidated financial and other data for the periods and as of the dates indicated. The summary consolidated statements of income data for the years ended December 31, 2019 and 2020 have been derived from our audited consolidated financial statements included elsewhere in this prospectus. The summary consolidated statements of income data for the six months ended June 30, 2020 and 2021 and our summary consolidated balance sheet data as of June 30, 2021 have been derived from our unaudited interim consolidated financial statements that are included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to be expected in any future period, and the results of operations for the six months ended June 30, 2021 are not necessarily indicative of the results to be expected for the full year ending December 31, 2021 or any future period. You should read this data together with our audited consolidated financial statements and related notes included elsewhere in this prospectus and the sections titled “Selected consolidated financial and other data” and “Management’s discussion and analysis of financial condition and results of operations.”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000"/>
          </w:cols>
          <w:pgMar w:left="920" w:top="1440" w:right="97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629"/>
        </w:trPr>
        <w:tc>
          <w:tcPr>
            <w:tcW w:w="600" w:type="dxa"/>
            <w:vAlign w:val="bottom"/>
            <w:tcBorders>
              <w:top w:val="single" w:sz="8" w:color="auto"/>
              <w:left w:val="single" w:sz="8" w:color="auto"/>
            </w:tcBorders>
          </w:tcPr>
          <w:p>
            <w:pPr>
              <w:spacing w:after="0"/>
              <w:rPr>
                <w:sz w:val="24"/>
                <w:szCs w:val="24"/>
                <w:color w:val="auto"/>
              </w:rPr>
            </w:pPr>
          </w:p>
        </w:tc>
        <w:tc>
          <w:tcPr>
            <w:tcW w:w="41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auto"/>
            </w:tcBorders>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tcPr>
          <w:p>
            <w:pPr>
              <w:jc w:val="right"/>
              <w:ind w:right="579"/>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60" w:type="dxa"/>
            <w:vAlign w:val="bottom"/>
            <w:tcBorders>
              <w:right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600" w:type="dxa"/>
            <w:vAlign w:val="bottom"/>
            <w:tcBorders>
              <w:left w:val="single" w:sz="8" w:color="auto"/>
            </w:tcBorders>
          </w:tcPr>
          <w:p>
            <w:pPr>
              <w:spacing w:after="0"/>
              <w:rPr>
                <w:sz w:val="14"/>
                <w:szCs w:val="14"/>
                <w:color w:val="auto"/>
              </w:rPr>
            </w:pPr>
          </w:p>
        </w:tc>
        <w:tc>
          <w:tcPr>
            <w:tcW w:w="4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00" w:type="dxa"/>
            <w:vAlign w:val="bottom"/>
            <w:tcBorders>
              <w:left w:val="single" w:sz="8" w:color="auto"/>
            </w:tcBorders>
          </w:tcPr>
          <w:p>
            <w:pPr>
              <w:spacing w:after="0"/>
              <w:rPr>
                <w:sz w:val="16"/>
                <w:szCs w:val="16"/>
                <w:color w:val="auto"/>
              </w:rPr>
            </w:pPr>
          </w:p>
        </w:tc>
        <w:tc>
          <w:tcPr>
            <w:tcW w:w="4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 w:type="dxa"/>
            <w:vAlign w:val="bottom"/>
            <w:tcBorders>
              <w:left w:val="single" w:sz="8" w:color="auto"/>
            </w:tcBorders>
          </w:tcPr>
          <w:p>
            <w:pPr>
              <w:spacing w:after="0"/>
              <w:rPr>
                <w:sz w:val="16"/>
                <w:szCs w:val="16"/>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0"/>
              <w:spacing w:after="0" w:line="208"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33,372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17,494</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41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tcBorders>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00" w:type="dxa"/>
            <w:vAlign w:val="bottom"/>
            <w:tcBorders>
              <w:left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(1,710)</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579</w:t>
            </w:r>
          </w:p>
        </w:tc>
        <w:tc>
          <w:tcPr>
            <w:tcW w:w="8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5,248</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00" w:type="dxa"/>
            <w:vAlign w:val="bottom"/>
            <w:tcBorders>
              <w:left w:val="single" w:sz="8" w:color="auto"/>
            </w:tcBorders>
          </w:tcPr>
          <w:p>
            <w:pPr>
              <w:spacing w:after="0"/>
              <w:rPr>
                <w:sz w:val="11"/>
                <w:szCs w:val="11"/>
                <w:color w:val="auto"/>
              </w:rPr>
            </w:pPr>
          </w:p>
        </w:tc>
        <w:tc>
          <w:tcPr>
            <w:tcW w:w="418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stockholders: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(0.62)</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1.77</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0" w:type="dxa"/>
            <w:vAlign w:val="bottom"/>
            <w:tcBorders>
              <w:left w:val="single" w:sz="8" w:color="auto"/>
            </w:tcBorders>
          </w:tcPr>
          <w:p>
            <w:pPr>
              <w:spacing w:after="0"/>
              <w:rPr>
                <w:sz w:val="9"/>
                <w:szCs w:val="9"/>
                <w:color w:val="auto"/>
              </w:rPr>
            </w:pPr>
          </w:p>
        </w:tc>
        <w:tc>
          <w:tcPr>
            <w:tcW w:w="41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 w:type="dxa"/>
            <w:vAlign w:val="bottom"/>
            <w:tcBorders>
              <w:left w:val="single" w:sz="8" w:color="auto"/>
            </w:tcBorders>
          </w:tcPr>
          <w:p>
            <w:pPr>
              <w:spacing w:after="0"/>
              <w:rPr>
                <w:sz w:val="13"/>
                <w:szCs w:val="13"/>
                <w:color w:val="auto"/>
              </w:rPr>
            </w:pPr>
          </w:p>
        </w:tc>
        <w:tc>
          <w:tcPr>
            <w:tcW w:w="4180" w:type="dxa"/>
            <w:vAlign w:val="bottom"/>
          </w:tcPr>
          <w:p>
            <w:pPr>
              <w:ind w:left="300"/>
              <w:spacing w:after="0" w:line="158" w:lineRule="exact"/>
              <w:rPr>
                <w:sz w:val="20"/>
                <w:szCs w:val="20"/>
                <w:color w:val="auto"/>
              </w:rPr>
            </w:pPr>
            <w:r>
              <w:rPr>
                <w:rFonts w:ascii="Arial" w:cs="Arial" w:eastAsia="Arial" w:hAnsi="Arial"/>
                <w:sz w:val="16"/>
                <w:szCs w:val="16"/>
                <w:color w:val="auto"/>
              </w:rPr>
              <w:t>compute net income (loss) per share attributable to</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4180" w:type="dxa"/>
            <w:vAlign w:val="bottom"/>
          </w:tcPr>
          <w:p>
            <w:pPr>
              <w:ind w:left="300"/>
              <w:spacing w:after="0"/>
              <w:rPr>
                <w:sz w:val="20"/>
                <w:szCs w:val="20"/>
                <w:color w:val="auto"/>
              </w:rPr>
            </w:pPr>
            <w:r>
              <w:rPr>
                <w:rFonts w:ascii="Arial" w:cs="Arial" w:eastAsia="Arial" w:hAnsi="Arial"/>
                <w:sz w:val="16"/>
                <w:szCs w:val="16"/>
                <w:color w:val="auto"/>
              </w:rPr>
              <w:t>common stockholders: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2,592,189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2,742,448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3,549,511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4,121,642</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(1,710)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5,248</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00" w:type="dxa"/>
            <w:vAlign w:val="bottom"/>
            <w:tcBorders>
              <w:left w:val="single" w:sz="8" w:color="auto"/>
            </w:tcBorders>
          </w:tcPr>
          <w:p>
            <w:pPr>
              <w:spacing w:after="0"/>
              <w:rPr>
                <w:sz w:val="13"/>
                <w:szCs w:val="13"/>
                <w:color w:val="auto"/>
              </w:rPr>
            </w:pPr>
          </w:p>
        </w:tc>
        <w:tc>
          <w:tcPr>
            <w:tcW w:w="41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Pro forma adjustment on undistributed income allocated</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300"/>
              <w:spacing w:after="0" w:line="205" w:lineRule="exact"/>
              <w:rPr>
                <w:sz w:val="20"/>
                <w:szCs w:val="20"/>
                <w:color w:val="auto"/>
              </w:rPr>
            </w:pPr>
            <w:r>
              <w:rPr>
                <w:rFonts w:ascii="Arial" w:cs="Arial" w:eastAsia="Arial" w:hAnsi="Arial"/>
                <w:sz w:val="16"/>
                <w:szCs w:val="16"/>
                <w:color w:val="auto"/>
              </w:rPr>
              <w:t>to participating securities</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tcBorders>
          </w:tcPr>
          <w:p>
            <w:pPr>
              <w:spacing w:after="0"/>
              <w:rPr>
                <w:sz w:val="13"/>
                <w:szCs w:val="13"/>
                <w:color w:val="auto"/>
              </w:rPr>
            </w:pPr>
          </w:p>
        </w:tc>
        <w:tc>
          <w:tcPr>
            <w:tcW w:w="4180" w:type="dxa"/>
            <w:vAlign w:val="bottom"/>
          </w:tcPr>
          <w:p>
            <w:pPr>
              <w:ind w:left="20"/>
              <w:spacing w:after="0" w:line="150" w:lineRule="exact"/>
              <w:rPr>
                <w:sz w:val="20"/>
                <w:szCs w:val="20"/>
                <w:color w:val="auto"/>
              </w:rPr>
            </w:pPr>
            <w:r>
              <w:rPr>
                <w:rFonts w:ascii="Arial" w:cs="Arial" w:eastAsia="Arial" w:hAnsi="Arial"/>
                <w:sz w:val="16"/>
                <w:szCs w:val="16"/>
                <w:color w:val="auto"/>
              </w:rPr>
              <w:t>Pro forma net income (loss) attributable to common</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(1,710)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14,674</w:t>
            </w: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auto"/>
            </w:tcBorders>
          </w:tcPr>
          <w:p>
            <w:pPr>
              <w:spacing w:after="0"/>
              <w:rPr>
                <w:sz w:val="14"/>
                <w:szCs w:val="14"/>
                <w:color w:val="auto"/>
              </w:rPr>
            </w:pPr>
          </w:p>
        </w:tc>
        <w:tc>
          <w:tcPr>
            <w:tcW w:w="4180" w:type="dxa"/>
            <w:vAlign w:val="bottom"/>
          </w:tcPr>
          <w:p>
            <w:pPr>
              <w:ind w:left="300"/>
              <w:spacing w:after="0" w:line="171" w:lineRule="exact"/>
              <w:rPr>
                <w:sz w:val="20"/>
                <w:szCs w:val="20"/>
                <w:color w:val="auto"/>
              </w:rPr>
            </w:pPr>
            <w:r>
              <w:rPr>
                <w:rFonts w:ascii="Arial" w:cs="Arial" w:eastAsia="Arial" w:hAnsi="Arial"/>
                <w:sz w:val="16"/>
                <w:szCs w:val="16"/>
                <w:color w:val="auto"/>
              </w:rPr>
              <w:t>stockholders, basic and diluted</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00" w:type="dxa"/>
            <w:vAlign w:val="bottom"/>
            <w:tcBorders>
              <w:left w:val="single" w:sz="8" w:color="auto"/>
            </w:tcBorders>
          </w:tcPr>
          <w:p>
            <w:pPr>
              <w:spacing w:after="0"/>
              <w:rPr>
                <w:sz w:val="11"/>
                <w:szCs w:val="11"/>
                <w:color w:val="auto"/>
              </w:rPr>
            </w:pPr>
          </w:p>
        </w:tc>
        <w:tc>
          <w:tcPr>
            <w:tcW w:w="418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Pro forma net income (loss) per share attributable to</w:t>
            </w: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stockholders: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2.05</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w:t>
            </w: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0" w:type="dxa"/>
            <w:vAlign w:val="bottom"/>
            <w:tcBorders>
              <w:left w:val="single" w:sz="8" w:color="auto"/>
            </w:tcBorders>
          </w:tcPr>
          <w:p>
            <w:pPr>
              <w:spacing w:after="0"/>
              <w:rPr>
                <w:sz w:val="9"/>
                <w:szCs w:val="9"/>
                <w:color w:val="auto"/>
              </w:rPr>
            </w:pPr>
          </w:p>
        </w:tc>
        <w:tc>
          <w:tcPr>
            <w:tcW w:w="41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 w:type="dxa"/>
            <w:vAlign w:val="bottom"/>
            <w:tcBorders>
              <w:left w:val="single" w:sz="8" w:color="auto"/>
            </w:tcBorders>
          </w:tcPr>
          <w:p>
            <w:pPr>
              <w:spacing w:after="0"/>
              <w:rPr>
                <w:sz w:val="13"/>
                <w:szCs w:val="13"/>
                <w:color w:val="auto"/>
              </w:rPr>
            </w:pPr>
          </w:p>
        </w:tc>
        <w:tc>
          <w:tcPr>
            <w:tcW w:w="4180" w:type="dxa"/>
            <w:vAlign w:val="bottom"/>
          </w:tcPr>
          <w:p>
            <w:pPr>
              <w:ind w:left="300"/>
              <w:spacing w:after="0" w:line="158" w:lineRule="exact"/>
              <w:rPr>
                <w:sz w:val="20"/>
                <w:szCs w:val="20"/>
                <w:color w:val="auto"/>
              </w:rPr>
            </w:pPr>
            <w:r>
              <w:rPr>
                <w:rFonts w:ascii="Arial" w:cs="Arial" w:eastAsia="Arial" w:hAnsi="Arial"/>
                <w:sz w:val="16"/>
                <w:szCs w:val="16"/>
                <w:color w:val="auto"/>
              </w:rPr>
              <w:t>compute pro forma net income (loss) per share</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4180" w:type="dxa"/>
            <w:vAlign w:val="bottom"/>
          </w:tcPr>
          <w:p>
            <w:pPr>
              <w:ind w:left="300"/>
              <w:spacing w:after="0"/>
              <w:rPr>
                <w:sz w:val="20"/>
                <w:szCs w:val="20"/>
                <w:color w:val="auto"/>
              </w:rPr>
            </w:pPr>
            <w:r>
              <w:rPr>
                <w:rFonts w:ascii="Arial" w:cs="Arial" w:eastAsia="Arial" w:hAnsi="Arial"/>
                <w:sz w:val="16"/>
                <w:szCs w:val="16"/>
                <w:color w:val="auto"/>
              </w:rPr>
              <w:t>attributable to common stockholders: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6,945,587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7,171,161</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6,945,587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8,324,781</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600" w:type="dxa"/>
            <w:vAlign w:val="bottom"/>
            <w:tcBorders>
              <w:left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8"/>
        </w:trPr>
        <w:tc>
          <w:tcPr>
            <w:tcW w:w="600" w:type="dxa"/>
            <w:vAlign w:val="bottom"/>
            <w:tcBorders>
              <w:left w:val="single" w:sz="8" w:color="auto"/>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-5539105</wp:posOffset>
            </wp:positionV>
            <wp:extent cx="6379845" cy="131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-5268595</wp:posOffset>
            </wp:positionV>
            <wp:extent cx="6379845" cy="131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-5005705</wp:posOffset>
            </wp:positionV>
            <wp:extent cx="6379845" cy="131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-4742180</wp:posOffset>
            </wp:positionV>
            <wp:extent cx="6379845" cy="139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79845" cy="13906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-4464050</wp:posOffset>
            </wp:positionV>
            <wp:extent cx="6379845" cy="131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-4193540</wp:posOffset>
            </wp:positionV>
            <wp:extent cx="6379845" cy="1314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-3907155</wp:posOffset>
            </wp:positionV>
            <wp:extent cx="6379845" cy="123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79845" cy="12382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-3651885</wp:posOffset>
            </wp:positionV>
            <wp:extent cx="6379845" cy="154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79845" cy="1549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-3265170</wp:posOffset>
            </wp:positionV>
            <wp:extent cx="6379845" cy="146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79845" cy="14668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-2955925</wp:posOffset>
            </wp:positionV>
            <wp:extent cx="6379845" cy="332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79845" cy="3327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-2491740</wp:posOffset>
            </wp:positionV>
            <wp:extent cx="6379845" cy="131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-2205990</wp:posOffset>
            </wp:positionV>
            <wp:extent cx="6379845" cy="131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-1842135</wp:posOffset>
            </wp:positionV>
            <wp:extent cx="6379845" cy="231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79845" cy="23177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-1378585</wp:posOffset>
            </wp:positionV>
            <wp:extent cx="6379845" cy="146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79845" cy="14668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-1069340</wp:posOffset>
            </wp:positionV>
            <wp:extent cx="6379845" cy="332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79845" cy="3327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-605155</wp:posOffset>
            </wp:positionV>
            <wp:extent cx="6379845" cy="131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79845" cy="13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320" w:top="1419" w:right="31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46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6346190"/>
                    </a:xfrm>
                    <a:prstGeom prst="rect">
                      <a:avLst/>
                    </a:prstGeom>
                    <a:noFill/>
                  </pic:spPr>
                </pic:pic>
              </a:graphicData>
            </a:graphic>
          </wp:anchor>
        </w:drawing>
      </w:r>
    </w:p>
    <w:p>
      <w:pPr>
        <w:spacing w:after="0" w:line="399" w:lineRule="exact"/>
        <w:rPr>
          <w:sz w:val="20"/>
          <w:szCs w:val="20"/>
          <w:color w:val="auto"/>
        </w:rPr>
      </w:pPr>
    </w:p>
    <w:p>
      <w:pPr>
        <w:ind w:left="282" w:hanging="282"/>
        <w:spacing w:after="0"/>
        <w:tabs>
          <w:tab w:leader="none" w:pos="282"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47" w:lineRule="exact"/>
        <w:rPr>
          <w:sz w:val="20"/>
          <w:szCs w:val="20"/>
          <w:color w:val="auto"/>
        </w:rPr>
      </w:pPr>
    </w:p>
    <w:tbl>
      <w:tblPr>
        <w:tblLayout w:type="fixed"/>
        <w:tblInd w:w="282" w:type="dxa"/>
        <w:tblCellMar>
          <w:top w:w="0" w:type="dxa"/>
          <w:left w:w="0" w:type="dxa"/>
          <w:bottom w:w="0" w:type="dxa"/>
          <w:right w:w="0" w:type="dxa"/>
        </w:tblCellMar>
      </w:tblPr>
      <w:tr>
        <w:trPr>
          <w:trHeight w:val="179"/>
        </w:trPr>
        <w:tc>
          <w:tcPr>
            <w:tcW w:w="3200" w:type="dxa"/>
            <w:vAlign w:val="bottom"/>
            <w:tcBorders>
              <w:top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7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2540" w:type="dxa"/>
            <w:vAlign w:val="bottom"/>
            <w:tcBorders>
              <w:top w:val="single" w:sz="8" w:color="auto"/>
              <w:bottom w:val="single" w:sz="8" w:color="auto"/>
            </w:tcBorders>
            <w:gridSpan w:val="4"/>
          </w:tcPr>
          <w:p>
            <w:pPr>
              <w:jc w:val="right"/>
              <w:ind w:right="643"/>
              <w:spacing w:after="0"/>
              <w:rPr>
                <w:sz w:val="20"/>
                <w:szCs w:val="20"/>
                <w:color w:val="auto"/>
              </w:rPr>
            </w:pPr>
            <w:r>
              <w:rPr>
                <w:rFonts w:ascii="Arial" w:cs="Arial" w:eastAsia="Arial" w:hAnsi="Arial"/>
                <w:sz w:val="11"/>
                <w:szCs w:val="11"/>
                <w:b w:val="1"/>
                <w:bCs w:val="1"/>
                <w:color w:val="auto"/>
              </w:rPr>
              <w:t>Six months ended June 30,</w:t>
            </w:r>
          </w:p>
        </w:tc>
      </w:tr>
      <w:tr>
        <w:trPr>
          <w:trHeight w:val="151"/>
        </w:trPr>
        <w:tc>
          <w:tcPr>
            <w:tcW w:w="320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r>
      <w:tr>
        <w:trPr>
          <w:trHeight w:val="151"/>
        </w:trPr>
        <w:tc>
          <w:tcPr>
            <w:tcW w:w="3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3"/>
          </w:tcPr>
          <w:p>
            <w:pPr>
              <w:jc w:val="right"/>
              <w:ind w:right="83"/>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32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Cost of revenue, net</w:t>
            </w:r>
          </w:p>
        </w:tc>
        <w:tc>
          <w:tcPr>
            <w:tcW w:w="1060" w:type="dxa"/>
            <w:vAlign w:val="bottom"/>
            <w:shd w:val="clear" w:color="auto" w:fill="CCEEFF"/>
          </w:tcPr>
          <w:p>
            <w:pPr>
              <w:jc w:val="right"/>
              <w:ind w:right="62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324</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w:t>
            </w:r>
          </w:p>
        </w:tc>
      </w:tr>
      <w:tr>
        <w:trPr>
          <w:trHeight w:val="151"/>
        </w:trPr>
        <w:tc>
          <w:tcPr>
            <w:tcW w:w="3200" w:type="dxa"/>
            <w:vAlign w:val="bottom"/>
          </w:tcPr>
          <w:p>
            <w:pPr>
              <w:ind w:left="320"/>
              <w:spacing w:after="0"/>
              <w:rPr>
                <w:sz w:val="20"/>
                <w:szCs w:val="20"/>
                <w:color w:val="auto"/>
              </w:rPr>
            </w:pPr>
            <w:r>
              <w:rPr>
                <w:rFonts w:ascii="Arial" w:cs="Arial" w:eastAsia="Arial" w:hAnsi="Arial"/>
                <w:sz w:val="11"/>
                <w:szCs w:val="11"/>
                <w:color w:val="auto"/>
              </w:rPr>
              <w:t>Research and development</w:t>
            </w:r>
          </w:p>
        </w:tc>
        <w:tc>
          <w:tcPr>
            <w:tcW w:w="10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2,469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328</w:t>
            </w:r>
          </w:p>
        </w:tc>
      </w:tr>
      <w:tr>
        <w:trPr>
          <w:trHeight w:val="166"/>
        </w:trPr>
        <w:tc>
          <w:tcPr>
            <w:tcW w:w="32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General and administrative</w:t>
            </w: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12,648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516</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w:t>
            </w:r>
          </w:p>
        </w:tc>
      </w:tr>
      <w:tr>
        <w:trPr>
          <w:trHeight w:val="151"/>
        </w:trPr>
        <w:tc>
          <w:tcPr>
            <w:tcW w:w="320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Sales and marketing</w:t>
            </w: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404</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448</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w:t>
            </w:r>
          </w:p>
        </w:tc>
      </w:tr>
      <w:tr>
        <w:trPr>
          <w:trHeight w:val="183"/>
        </w:trPr>
        <w:tc>
          <w:tcPr>
            <w:tcW w:w="3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stock-based compensation expense</w:t>
            </w:r>
          </w:p>
        </w:tc>
        <w:tc>
          <w:tcPr>
            <w:tcW w:w="106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3,487</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17,837</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1,186</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1,598</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02" w:right="280" w:hanging="302"/>
        <w:spacing w:after="0" w:line="261" w:lineRule="auto"/>
        <w:tabs>
          <w:tab w:leader="none" w:pos="292"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 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564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2"/>
          </w:tcPr>
          <w:p>
            <w:pPr>
              <w:jc w:val="center"/>
              <w:ind w:right="82"/>
              <w:spacing w:after="0"/>
              <w:rPr>
                <w:sz w:val="20"/>
                <w:szCs w:val="20"/>
                <w:color w:val="auto"/>
              </w:rPr>
            </w:pPr>
            <w:r>
              <w:rPr>
                <w:rFonts w:ascii="Arial" w:cs="Arial" w:eastAsia="Arial" w:hAnsi="Arial"/>
                <w:sz w:val="13"/>
                <w:szCs w:val="13"/>
                <w:b w:val="1"/>
                <w:bCs w:val="1"/>
                <w:color w:val="auto"/>
                <w:w w:val="99"/>
              </w:rPr>
              <w:t>As of June 30, 2021</w:t>
            </w:r>
          </w:p>
        </w:tc>
        <w:tc>
          <w:tcPr>
            <w:tcW w:w="13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5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vMerge w:val="restart"/>
          </w:tcPr>
          <w:p>
            <w:pPr>
              <w:jc w:val="right"/>
              <w:ind w:right="460"/>
              <w:spacing w:after="0"/>
              <w:rPr>
                <w:sz w:val="20"/>
                <w:szCs w:val="20"/>
                <w:color w:val="auto"/>
              </w:rPr>
            </w:pPr>
            <w:r>
              <w:rPr>
                <w:rFonts w:ascii="Arial" w:cs="Arial" w:eastAsia="Arial" w:hAnsi="Arial"/>
                <w:sz w:val="13"/>
                <w:szCs w:val="13"/>
                <w:b w:val="1"/>
                <w:bCs w:val="1"/>
                <w:color w:val="auto"/>
              </w:rPr>
              <w:t>Actual</w:t>
            </w:r>
          </w:p>
        </w:tc>
        <w:tc>
          <w:tcPr>
            <w:tcW w:w="220" w:type="dxa"/>
            <w:vAlign w:val="bottom"/>
          </w:tcPr>
          <w:p>
            <w:pPr>
              <w:spacing w:after="0"/>
              <w:rPr>
                <w:sz w:val="10"/>
                <w:szCs w:val="10"/>
                <w:color w:val="auto"/>
              </w:rPr>
            </w:pPr>
          </w:p>
        </w:tc>
        <w:tc>
          <w:tcPr>
            <w:tcW w:w="1420" w:type="dxa"/>
            <w:vAlign w:val="bottom"/>
            <w:vMerge w:val="restart"/>
          </w:tcPr>
          <w:p>
            <w:pPr>
              <w:jc w:val="center"/>
              <w:ind w:right="262"/>
              <w:spacing w:after="0"/>
              <w:rPr>
                <w:sz w:val="20"/>
                <w:szCs w:val="20"/>
                <w:color w:val="auto"/>
              </w:rPr>
            </w:pPr>
            <w:r>
              <w:rPr>
                <w:rFonts w:ascii="Arial" w:cs="Arial" w:eastAsia="Arial" w:hAnsi="Arial"/>
                <w:sz w:val="13"/>
                <w:szCs w:val="13"/>
                <w:b w:val="1"/>
                <w:bCs w:val="1"/>
                <w:color w:val="auto"/>
                <w:w w:val="96"/>
              </w:rPr>
              <w:t>Pro forma</w:t>
            </w:r>
            <w:r>
              <w:rPr>
                <w:rFonts w:ascii="Arial" w:cs="Arial" w:eastAsia="Arial" w:hAnsi="Arial"/>
                <w:sz w:val="16"/>
                <w:szCs w:val="16"/>
                <w:b w:val="1"/>
                <w:bCs w:val="1"/>
                <w:color w:val="auto"/>
                <w:w w:val="96"/>
                <w:vertAlign w:val="superscript"/>
              </w:rPr>
              <w:t>(1)</w:t>
            </w:r>
          </w:p>
        </w:tc>
        <w:tc>
          <w:tcPr>
            <w:tcW w:w="1300" w:type="dxa"/>
            <w:vAlign w:val="bottom"/>
          </w:tcPr>
          <w:p>
            <w:pPr>
              <w:jc w:val="center"/>
              <w:ind w:right="35"/>
              <w:spacing w:after="0" w:line="126"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58"/>
        </w:trPr>
        <w:tc>
          <w:tcPr>
            <w:tcW w:w="5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300" w:type="dxa"/>
            <w:vAlign w:val="bottom"/>
            <w:tcBorders>
              <w:bottom w:val="single" w:sz="8" w:color="auto"/>
            </w:tcBorders>
          </w:tcPr>
          <w:p>
            <w:pPr>
              <w:jc w:val="center"/>
              <w:ind w:right="15"/>
              <w:spacing w:after="0" w:line="158" w:lineRule="exact"/>
              <w:rPr>
                <w:sz w:val="20"/>
                <w:szCs w:val="20"/>
                <w:color w:val="auto"/>
              </w:rPr>
            </w:pPr>
            <w:r>
              <w:rPr>
                <w:rFonts w:ascii="Arial" w:cs="Arial" w:eastAsia="Arial" w:hAnsi="Arial"/>
                <w:sz w:val="13"/>
                <w:szCs w:val="13"/>
                <w:b w:val="1"/>
                <w:bCs w:val="1"/>
                <w:color w:val="auto"/>
                <w:w w:val="92"/>
              </w:rPr>
              <w:t>adjusted</w:t>
            </w:r>
            <w:r>
              <w:rPr>
                <w:rFonts w:ascii="Arial" w:cs="Arial" w:eastAsia="Arial" w:hAnsi="Arial"/>
                <w:sz w:val="16"/>
                <w:szCs w:val="16"/>
                <w:b w:val="1"/>
                <w:bCs w:val="1"/>
                <w:color w:val="auto"/>
                <w:w w:val="92"/>
                <w:vertAlign w:val="superscript"/>
              </w:rPr>
              <w:t>(2)(3)</w:t>
            </w:r>
          </w:p>
        </w:tc>
        <w:tc>
          <w:tcPr>
            <w:tcW w:w="0" w:type="dxa"/>
            <w:vAlign w:val="bottom"/>
          </w:tcPr>
          <w:p>
            <w:pPr>
              <w:spacing w:after="0"/>
              <w:rPr>
                <w:sz w:val="1"/>
                <w:szCs w:val="1"/>
                <w:color w:val="auto"/>
              </w:rPr>
            </w:pPr>
          </w:p>
        </w:tc>
      </w:tr>
      <w:tr>
        <w:trPr>
          <w:trHeight w:val="163"/>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282"/>
              <w:spacing w:after="0"/>
              <w:rPr>
                <w:sz w:val="20"/>
                <w:szCs w:val="20"/>
                <w:color w:val="auto"/>
              </w:rPr>
            </w:pPr>
            <w:r>
              <w:rPr>
                <w:rFonts w:ascii="Arial" w:cs="Arial" w:eastAsia="Arial" w:hAnsi="Arial"/>
                <w:sz w:val="13"/>
                <w:szCs w:val="13"/>
                <w:b w:val="1"/>
                <w:bCs w:val="1"/>
                <w:color w:val="auto"/>
              </w:rPr>
              <w:t>(in thousands)</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45,429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45,429</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39,574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39,574</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92,112</w:t>
            </w:r>
          </w:p>
        </w:tc>
        <w:tc>
          <w:tcPr>
            <w:tcW w:w="220" w:type="dxa"/>
            <w:vAlign w:val="bottom"/>
          </w:tcPr>
          <w:p>
            <w:pPr>
              <w:spacing w:after="0"/>
              <w:rPr>
                <w:sz w:val="17"/>
                <w:szCs w:val="17"/>
                <w:color w:val="auto"/>
              </w:rPr>
            </w:pP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92,112</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116,795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116,795</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52,538</w:t>
            </w:r>
          </w:p>
        </w:tc>
        <w:tc>
          <w:tcPr>
            <w:tcW w:w="220" w:type="dxa"/>
            <w:vAlign w:val="bottom"/>
          </w:tcPr>
          <w:p>
            <w:pPr>
              <w:spacing w:after="0"/>
              <w:rPr>
                <w:sz w:val="17"/>
                <w:szCs w:val="17"/>
                <w:color w:val="auto"/>
              </w:rPr>
            </w:pP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52,538</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85,483</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85,483</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640" w:type="dxa"/>
            <w:vAlign w:val="bottom"/>
          </w:tcPr>
          <w:p>
            <w:pPr>
              <w:ind w:left="20"/>
              <w:spacing w:after="0" w:line="170" w:lineRule="exact"/>
              <w:rPr>
                <w:sz w:val="20"/>
                <w:szCs w:val="20"/>
                <w:color w:val="auto"/>
              </w:rPr>
            </w:pPr>
            <w:r>
              <w:rPr>
                <w:rFonts w:ascii="Arial" w:cs="Arial" w:eastAsia="Arial" w:hAnsi="Arial"/>
                <w:sz w:val="16"/>
                <w:szCs w:val="16"/>
                <w:color w:val="auto"/>
              </w:rPr>
              <w:t>Convertible preferred stock, par value $0.0001; 4,203,139 shares authorized,</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40" w:type="dxa"/>
            <w:vAlign w:val="bottom"/>
          </w:tcPr>
          <w:p>
            <w:pPr>
              <w:ind w:left="160"/>
              <w:spacing w:after="0" w:line="158" w:lineRule="exact"/>
              <w:rPr>
                <w:sz w:val="20"/>
                <w:szCs w:val="20"/>
                <w:color w:val="auto"/>
              </w:rPr>
            </w:pPr>
            <w:r>
              <w:rPr>
                <w:rFonts w:ascii="Arial" w:cs="Arial" w:eastAsia="Arial" w:hAnsi="Arial"/>
                <w:sz w:val="16"/>
                <w:szCs w:val="16"/>
                <w:color w:val="auto"/>
              </w:rPr>
              <w:t>issued and outstanding at December 31, 2019, December 31, 2020 and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tcPr>
          <w:p>
            <w:pPr>
              <w:ind w:left="160"/>
              <w:spacing w:after="0" w:line="158" w:lineRule="exact"/>
              <w:rPr>
                <w:sz w:val="20"/>
                <w:szCs w:val="20"/>
                <w:color w:val="auto"/>
              </w:rPr>
            </w:pPr>
            <w:r>
              <w:rPr>
                <w:rFonts w:ascii="Arial" w:cs="Arial" w:eastAsia="Arial" w:hAnsi="Arial"/>
                <w:sz w:val="16"/>
                <w:szCs w:val="16"/>
                <w:color w:val="auto"/>
              </w:rPr>
              <w:t>June 30, 2021 (unaudited) (aggregate liquidation preference of $24,929,457</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40" w:type="dxa"/>
            <w:vAlign w:val="bottom"/>
          </w:tcPr>
          <w:p>
            <w:pPr>
              <w:ind w:left="160"/>
              <w:spacing w:after="0"/>
              <w:rPr>
                <w:sz w:val="20"/>
                <w:szCs w:val="20"/>
                <w:color w:val="auto"/>
              </w:rPr>
            </w:pPr>
            <w:r>
              <w:rPr>
                <w:rFonts w:ascii="Arial" w:cs="Arial" w:eastAsia="Arial" w:hAnsi="Arial"/>
                <w:sz w:val="16"/>
                <w:szCs w:val="16"/>
                <w:color w:val="auto"/>
              </w:rPr>
              <w:t>at December 31, 2019, December 31, 2020 and June 30, 2021 (unaudited))</w:t>
            </w:r>
          </w:p>
        </w:tc>
        <w:tc>
          <w:tcPr>
            <w:tcW w:w="32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45,105</w:t>
            </w:r>
          </w:p>
        </w:tc>
        <w:tc>
          <w:tcPr>
            <w:tcW w:w="220" w:type="dxa"/>
            <w:vAlign w:val="bottom"/>
          </w:tcPr>
          <w:p>
            <w:pPr>
              <w:spacing w:after="0"/>
              <w:rPr>
                <w:sz w:val="16"/>
                <w:szCs w:val="16"/>
                <w:color w:val="auto"/>
              </w:rPr>
            </w:pP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(37,674)</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40" w:type="dxa"/>
            <w:vAlign w:val="bottom"/>
          </w:tcPr>
          <w:p>
            <w:pPr>
              <w:ind w:left="20"/>
              <w:spacing w:after="0"/>
              <w:rPr>
                <w:sz w:val="20"/>
                <w:szCs w:val="20"/>
                <w:color w:val="auto"/>
              </w:rPr>
            </w:pPr>
            <w:r>
              <w:rPr>
                <w:rFonts w:ascii="Arial" w:cs="Arial" w:eastAsia="Arial" w:hAnsi="Arial"/>
                <w:sz w:val="16"/>
                <w:szCs w:val="16"/>
                <w:color w:val="auto"/>
              </w:rPr>
              <w:t>Total stockholders' equity (deficit)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(13,793)</w:t>
            </w:r>
          </w:p>
        </w:tc>
        <w:tc>
          <w:tcPr>
            <w:tcW w:w="220" w:type="dxa"/>
            <w:vAlign w:val="bottom"/>
          </w:tcPr>
          <w:p>
            <w:pPr>
              <w:spacing w:after="0"/>
              <w:rPr>
                <w:sz w:val="17"/>
                <w:szCs w:val="17"/>
                <w:color w:val="auto"/>
              </w:rPr>
            </w:pP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31,312</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82" w:hanging="282"/>
        <w:spacing w:after="0"/>
        <w:tabs>
          <w:tab w:leader="none" w:pos="282"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pro forma column reflects: (i) the automatic conversion of all outstanding shares of our convertible preferred stock into an aggregate of 4,203,139 shares of our Class A common</w:t>
      </w:r>
    </w:p>
    <w:p>
      <w:pPr>
        <w:spacing w:after="0" w:line="8"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stock immediately prior to the completion of this offering; (ii) the reclassification of all outstanding shares of our common stock into an equivalent number of shares of Class A</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common stock, which will occur in connection with the filing and effectiveness of our amended and restated certificate of incorporation immediately prior to the effectiveness of the</w:t>
            </w:r>
          </w:p>
        </w:tc>
      </w:tr>
      <w:tr>
        <w:trPr>
          <w:trHeight w:val="146"/>
        </w:trPr>
        <w:tc>
          <w:tcPr>
            <w:tcW w:w="220" w:type="dxa"/>
            <w:vAlign w:val="bottom"/>
          </w:tcPr>
          <w:p>
            <w:pPr>
              <w:spacing w:after="0"/>
              <w:rPr>
                <w:sz w:val="12"/>
                <w:szCs w:val="12"/>
                <w:color w:val="auto"/>
              </w:rPr>
            </w:pPr>
          </w:p>
        </w:tc>
        <w:tc>
          <w:tcPr>
            <w:tcW w:w="8100" w:type="dxa"/>
            <w:vAlign w:val="bottom"/>
            <w:gridSpan w:val="8"/>
          </w:tcPr>
          <w:p>
            <w:pPr>
              <w:ind w:left="80"/>
              <w:spacing w:after="0"/>
              <w:rPr>
                <w:sz w:val="20"/>
                <w:szCs w:val="20"/>
                <w:color w:val="auto"/>
              </w:rPr>
            </w:pPr>
            <w:r>
              <w:rPr>
                <w:rFonts w:ascii="Arial" w:cs="Arial" w:eastAsia="Arial" w:hAnsi="Arial"/>
                <w:sz w:val="12"/>
                <w:szCs w:val="12"/>
                <w:color w:val="auto"/>
              </w:rPr>
              <w:t>registration statement on Form S-1, of which this prospectus is a part; (iii) the completion of the Exchange Offer, pursuant to which an aggregate of</w:t>
            </w:r>
          </w:p>
        </w:tc>
        <w:tc>
          <w:tcPr>
            <w:tcW w:w="1680" w:type="dxa"/>
            <w:vAlign w:val="bottom"/>
          </w:tcPr>
          <w:p>
            <w:pPr>
              <w:jc w:val="center"/>
              <w:spacing w:after="0"/>
              <w:rPr>
                <w:sz w:val="20"/>
                <w:szCs w:val="20"/>
                <w:color w:val="auto"/>
              </w:rPr>
            </w:pPr>
            <w:r>
              <w:rPr>
                <w:rFonts w:ascii="Arial" w:cs="Arial" w:eastAsia="Arial" w:hAnsi="Arial"/>
                <w:sz w:val="12"/>
                <w:szCs w:val="12"/>
                <w:color w:val="auto"/>
              </w:rPr>
              <w:t>shares of our Class A</w:t>
            </w:r>
          </w:p>
        </w:tc>
      </w:tr>
      <w:tr>
        <w:trPr>
          <w:trHeight w:val="146"/>
        </w:trPr>
        <w:tc>
          <w:tcPr>
            <w:tcW w:w="220" w:type="dxa"/>
            <w:vAlign w:val="bottom"/>
          </w:tcPr>
          <w:p>
            <w:pPr>
              <w:spacing w:after="0"/>
              <w:rPr>
                <w:sz w:val="12"/>
                <w:szCs w:val="12"/>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common stock will be exchanged for</w:t>
            </w:r>
          </w:p>
        </w:tc>
        <w:tc>
          <w:tcPr>
            <w:tcW w:w="760" w:type="dxa"/>
            <w:vAlign w:val="bottom"/>
          </w:tcPr>
          <w:p>
            <w:pPr>
              <w:ind w:left="180"/>
              <w:spacing w:after="0"/>
              <w:rPr>
                <w:sz w:val="20"/>
                <w:szCs w:val="20"/>
                <w:color w:val="auto"/>
              </w:rPr>
            </w:pPr>
            <w:r>
              <w:rPr>
                <w:rFonts w:ascii="Arial" w:cs="Arial" w:eastAsia="Arial" w:hAnsi="Arial"/>
                <w:sz w:val="12"/>
                <w:szCs w:val="12"/>
                <w:color w:val="auto"/>
              </w:rPr>
              <w:t>and</w:t>
            </w:r>
          </w:p>
        </w:tc>
        <w:tc>
          <w:tcPr>
            <w:tcW w:w="5120" w:type="dxa"/>
            <w:vAlign w:val="bottom"/>
            <w:gridSpan w:val="4"/>
          </w:tcPr>
          <w:p>
            <w:pPr>
              <w:ind w:left="40"/>
              <w:spacing w:after="0"/>
              <w:rPr>
                <w:sz w:val="20"/>
                <w:szCs w:val="20"/>
                <w:color w:val="auto"/>
              </w:rPr>
            </w:pPr>
            <w:r>
              <w:rPr>
                <w:rFonts w:ascii="Arial" w:cs="Arial" w:eastAsia="Arial" w:hAnsi="Arial"/>
                <w:sz w:val="12"/>
                <w:szCs w:val="12"/>
                <w:color w:val="auto"/>
              </w:rPr>
              <w:t>newly issued shares of our LT10 and LT50 common stock, respectively; (iv) the exercise of</w:t>
            </w:r>
          </w:p>
        </w:tc>
        <w:tc>
          <w:tcPr>
            <w:tcW w:w="1680" w:type="dxa"/>
            <w:vAlign w:val="bottom"/>
          </w:tcPr>
          <w:p>
            <w:pPr>
              <w:jc w:val="center"/>
              <w:spacing w:after="0"/>
              <w:rPr>
                <w:sz w:val="20"/>
                <w:szCs w:val="20"/>
                <w:color w:val="auto"/>
              </w:rPr>
            </w:pPr>
            <w:r>
              <w:rPr>
                <w:rFonts w:ascii="Arial" w:cs="Arial" w:eastAsia="Arial" w:hAnsi="Arial"/>
                <w:sz w:val="12"/>
                <w:szCs w:val="12"/>
                <w:color w:val="auto"/>
              </w:rPr>
              <w:t>outstanding stock options</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pursuant to the Option Exercise, which will occur prior to the completion of the Exchange Offer; and (v) the filing and effectiveness of our amended and restated certificate of</w:t>
            </w:r>
          </w:p>
        </w:tc>
      </w:tr>
      <w:tr>
        <w:trPr>
          <w:trHeight w:val="146"/>
        </w:trPr>
        <w:tc>
          <w:tcPr>
            <w:tcW w:w="220" w:type="dxa"/>
            <w:vAlign w:val="bottom"/>
          </w:tcPr>
          <w:p>
            <w:pPr>
              <w:spacing w:after="0"/>
              <w:rPr>
                <w:sz w:val="12"/>
                <w:szCs w:val="12"/>
                <w:color w:val="auto"/>
              </w:rPr>
            </w:pPr>
          </w:p>
        </w:tc>
        <w:tc>
          <w:tcPr>
            <w:tcW w:w="7160" w:type="dxa"/>
            <w:vAlign w:val="bottom"/>
            <w:gridSpan w:val="7"/>
          </w:tcPr>
          <w:p>
            <w:pPr>
              <w:ind w:left="80"/>
              <w:spacing w:after="0"/>
              <w:rPr>
                <w:sz w:val="20"/>
                <w:szCs w:val="20"/>
                <w:color w:val="auto"/>
              </w:rPr>
            </w:pPr>
            <w:r>
              <w:rPr>
                <w:rFonts w:ascii="Arial" w:cs="Arial" w:eastAsia="Arial" w:hAnsi="Arial"/>
                <w:sz w:val="12"/>
                <w:szCs w:val="12"/>
                <w:color w:val="auto"/>
              </w:rPr>
              <w:t>incorporation immediately prior to the effectiveness of the registration statement on Form S-1, of which this prospectus is a part.</w:t>
            </w:r>
          </w:p>
        </w:tc>
        <w:tc>
          <w:tcPr>
            <w:tcW w:w="9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6"/>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(2)</w:t>
            </w:r>
          </w:p>
        </w:tc>
        <w:tc>
          <w:tcPr>
            <w:tcW w:w="7160" w:type="dxa"/>
            <w:vAlign w:val="bottom"/>
            <w:gridSpan w:val="7"/>
          </w:tcPr>
          <w:p>
            <w:pPr>
              <w:ind w:left="60"/>
              <w:spacing w:after="0"/>
              <w:rPr>
                <w:sz w:val="20"/>
                <w:szCs w:val="20"/>
                <w:color w:val="auto"/>
              </w:rPr>
            </w:pPr>
            <w:r>
              <w:rPr>
                <w:rFonts w:ascii="Arial" w:cs="Arial" w:eastAsia="Arial" w:hAnsi="Arial"/>
                <w:sz w:val="12"/>
                <w:szCs w:val="12"/>
                <w:color w:val="auto"/>
              </w:rPr>
              <w:t>The pro forma as adjusted column reflects: (i) the pro forma adjustments described above and (ii) the issuance and sale by us of</w:t>
            </w:r>
          </w:p>
        </w:tc>
        <w:tc>
          <w:tcPr>
            <w:tcW w:w="2620" w:type="dxa"/>
            <w:vAlign w:val="bottom"/>
            <w:gridSpan w:val="2"/>
          </w:tcPr>
          <w:p>
            <w:pPr>
              <w:ind w:left="180"/>
              <w:spacing w:after="0"/>
              <w:rPr>
                <w:sz w:val="20"/>
                <w:szCs w:val="20"/>
                <w:color w:val="auto"/>
              </w:rPr>
            </w:pPr>
            <w:r>
              <w:rPr>
                <w:rFonts w:ascii="Arial" w:cs="Arial" w:eastAsia="Arial" w:hAnsi="Arial"/>
                <w:sz w:val="12"/>
                <w:szCs w:val="12"/>
                <w:color w:val="auto"/>
              </w:rPr>
              <w:t>shares of Class A common stock in this</w:t>
            </w:r>
          </w:p>
        </w:tc>
      </w:tr>
      <w:tr>
        <w:trPr>
          <w:trHeight w:val="146"/>
        </w:trPr>
        <w:tc>
          <w:tcPr>
            <w:tcW w:w="220" w:type="dxa"/>
            <w:vAlign w:val="bottom"/>
          </w:tcPr>
          <w:p>
            <w:pPr>
              <w:spacing w:after="0"/>
              <w:rPr>
                <w:sz w:val="12"/>
                <w:szCs w:val="12"/>
                <w:color w:val="auto"/>
              </w:rPr>
            </w:pPr>
          </w:p>
        </w:tc>
        <w:tc>
          <w:tcPr>
            <w:tcW w:w="2980" w:type="dxa"/>
            <w:vAlign w:val="bottom"/>
            <w:gridSpan w:val="4"/>
          </w:tcPr>
          <w:p>
            <w:pPr>
              <w:ind w:left="80"/>
              <w:spacing w:after="0"/>
              <w:rPr>
                <w:sz w:val="20"/>
                <w:szCs w:val="20"/>
                <w:color w:val="auto"/>
              </w:rPr>
            </w:pPr>
            <w:r>
              <w:rPr>
                <w:rFonts w:ascii="Arial" w:cs="Arial" w:eastAsia="Arial" w:hAnsi="Arial"/>
                <w:sz w:val="12"/>
                <w:szCs w:val="12"/>
                <w:color w:val="auto"/>
              </w:rPr>
              <w:t>offering at an assumed initial public offering price of $</w:t>
            </w:r>
          </w:p>
        </w:tc>
        <w:tc>
          <w:tcPr>
            <w:tcW w:w="6800" w:type="dxa"/>
            <w:vAlign w:val="bottom"/>
            <w:gridSpan w:val="5"/>
          </w:tcPr>
          <w:p>
            <w:pPr>
              <w:ind w:left="340"/>
              <w:spacing w:after="0"/>
              <w:rPr>
                <w:sz w:val="20"/>
                <w:szCs w:val="20"/>
                <w:color w:val="auto"/>
              </w:rPr>
            </w:pPr>
            <w:r>
              <w:rPr>
                <w:rFonts w:ascii="Arial" w:cs="Arial" w:eastAsia="Arial" w:hAnsi="Arial"/>
                <w:sz w:val="12"/>
                <w:szCs w:val="12"/>
                <w:color w:val="auto"/>
              </w:rPr>
              <w:t>per share, which is the midpoint of the price range set forth on the cover page of this prospectus, after deducting the</w:t>
            </w:r>
          </w:p>
        </w:tc>
      </w:tr>
      <w:tr>
        <w:trPr>
          <w:trHeight w:val="146"/>
        </w:trPr>
        <w:tc>
          <w:tcPr>
            <w:tcW w:w="220" w:type="dxa"/>
            <w:vAlign w:val="bottom"/>
          </w:tcPr>
          <w:p>
            <w:pPr>
              <w:spacing w:after="0"/>
              <w:rPr>
                <w:sz w:val="12"/>
                <w:szCs w:val="12"/>
                <w:color w:val="auto"/>
              </w:rPr>
            </w:pPr>
          </w:p>
        </w:tc>
        <w:tc>
          <w:tcPr>
            <w:tcW w:w="5080" w:type="dxa"/>
            <w:vAlign w:val="bottom"/>
            <w:gridSpan w:val="5"/>
          </w:tcPr>
          <w:p>
            <w:pPr>
              <w:ind w:left="80"/>
              <w:spacing w:after="0"/>
              <w:rPr>
                <w:sz w:val="20"/>
                <w:szCs w:val="20"/>
                <w:color w:val="auto"/>
              </w:rPr>
            </w:pPr>
            <w:r>
              <w:rPr>
                <w:rFonts w:ascii="Arial" w:cs="Arial" w:eastAsia="Arial" w:hAnsi="Arial"/>
                <w:sz w:val="12"/>
                <w:szCs w:val="12"/>
                <w:color w:val="auto"/>
              </w:rPr>
              <w:t>underwriting discounts and commissions and estimated offering expenses payable by us.</w:t>
            </w: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6"/>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(3)</w:t>
            </w:r>
          </w:p>
        </w:tc>
        <w:tc>
          <w:tcPr>
            <w:tcW w:w="5080" w:type="dxa"/>
            <w:vAlign w:val="bottom"/>
            <w:gridSpan w:val="5"/>
          </w:tcPr>
          <w:p>
            <w:pPr>
              <w:ind w:left="60"/>
              <w:spacing w:after="0"/>
              <w:rPr>
                <w:sz w:val="20"/>
                <w:szCs w:val="20"/>
                <w:color w:val="auto"/>
              </w:rPr>
            </w:pPr>
            <w:r>
              <w:rPr>
                <w:rFonts w:ascii="Arial" w:cs="Arial" w:eastAsia="Arial" w:hAnsi="Arial"/>
                <w:sz w:val="12"/>
                <w:szCs w:val="12"/>
                <w:color w:val="auto"/>
              </w:rPr>
              <w:t>Each $1.00 increase or decrease in the assumed initial public offering price per share of $</w:t>
            </w:r>
          </w:p>
        </w:tc>
        <w:tc>
          <w:tcPr>
            <w:tcW w:w="4700" w:type="dxa"/>
            <w:vAlign w:val="bottom"/>
            <w:gridSpan w:val="4"/>
          </w:tcPr>
          <w:p>
            <w:pPr>
              <w:ind w:left="180"/>
              <w:spacing w:after="0"/>
              <w:rPr>
                <w:sz w:val="20"/>
                <w:szCs w:val="20"/>
                <w:color w:val="auto"/>
              </w:rPr>
            </w:pPr>
            <w:r>
              <w:rPr>
                <w:rFonts w:ascii="Arial" w:cs="Arial" w:eastAsia="Arial" w:hAnsi="Arial"/>
                <w:sz w:val="12"/>
                <w:szCs w:val="12"/>
                <w:color w:val="auto"/>
              </w:rPr>
              <w:t>, which is the midpoint of the price range set forth on the cover page of this</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prospectus, would increase or decrease, as applicable, each of cash and cash equivalents, working capital, total assets and total stockholders’ deficit on a pro forma as adjusted</w:t>
            </w:r>
          </w:p>
        </w:tc>
      </w:tr>
      <w:tr>
        <w:trPr>
          <w:trHeight w:val="146"/>
        </w:trPr>
        <w:tc>
          <w:tcPr>
            <w:tcW w:w="220" w:type="dxa"/>
            <w:vAlign w:val="bottom"/>
          </w:tcPr>
          <w:p>
            <w:pPr>
              <w:spacing w:after="0"/>
              <w:rPr>
                <w:sz w:val="12"/>
                <w:szCs w:val="12"/>
                <w:color w:val="auto"/>
              </w:rPr>
            </w:pPr>
          </w:p>
        </w:tc>
        <w:tc>
          <w:tcPr>
            <w:tcW w:w="1600" w:type="dxa"/>
            <w:vAlign w:val="bottom"/>
            <w:gridSpan w:val="2"/>
          </w:tcPr>
          <w:p>
            <w:pPr>
              <w:ind w:left="80"/>
              <w:spacing w:after="0"/>
              <w:rPr>
                <w:sz w:val="20"/>
                <w:szCs w:val="20"/>
                <w:color w:val="auto"/>
              </w:rPr>
            </w:pPr>
            <w:r>
              <w:rPr>
                <w:rFonts w:ascii="Arial" w:cs="Arial" w:eastAsia="Arial" w:hAnsi="Arial"/>
                <w:sz w:val="12"/>
                <w:szCs w:val="12"/>
                <w:color w:val="auto"/>
              </w:rPr>
              <w:t>basis by approximately $</w:t>
            </w:r>
          </w:p>
        </w:tc>
        <w:tc>
          <w:tcPr>
            <w:tcW w:w="8180" w:type="dxa"/>
            <w:vAlign w:val="bottom"/>
            <w:gridSpan w:val="7"/>
          </w:tcPr>
          <w:p>
            <w:pPr>
              <w:ind w:left="180"/>
              <w:spacing w:after="0"/>
              <w:rPr>
                <w:sz w:val="20"/>
                <w:szCs w:val="20"/>
                <w:color w:val="auto"/>
              </w:rPr>
            </w:pPr>
            <w:r>
              <w:rPr>
                <w:rFonts w:ascii="Arial" w:cs="Arial" w:eastAsia="Arial" w:hAnsi="Arial"/>
                <w:sz w:val="12"/>
                <w:szCs w:val="12"/>
                <w:color w:val="auto"/>
              </w:rPr>
              <w:t>million, assuming the number of shares offered, as set forth on the cover page of this prospectus, remains the same and after deducting underwriting</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discounts and commissions and estimated offering expenses payable by us. Similarly, each 1.0 million share increase or decrease in the number of shares offered in this offering</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would increase or decrease, as applicable, each of cash and cash equivalents, working capital, total assets and total stockholders’ deficit on a pro forma as adjusted basis by</w:t>
            </w:r>
          </w:p>
        </w:tc>
      </w:tr>
      <w:tr>
        <w:trPr>
          <w:trHeight w:val="146"/>
        </w:trPr>
        <w:tc>
          <w:tcPr>
            <w:tcW w:w="220" w:type="dxa"/>
            <w:vAlign w:val="bottom"/>
          </w:tcPr>
          <w:p>
            <w:pPr>
              <w:spacing w:after="0"/>
              <w:rPr>
                <w:sz w:val="12"/>
                <w:szCs w:val="12"/>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approximately $</w:t>
            </w:r>
          </w:p>
        </w:tc>
        <w:tc>
          <w:tcPr>
            <w:tcW w:w="4360" w:type="dxa"/>
            <w:vAlign w:val="bottom"/>
            <w:gridSpan w:val="5"/>
          </w:tcPr>
          <w:p>
            <w:pPr>
              <w:ind w:left="160"/>
              <w:spacing w:after="0"/>
              <w:rPr>
                <w:sz w:val="20"/>
                <w:szCs w:val="20"/>
                <w:color w:val="auto"/>
              </w:rPr>
            </w:pPr>
            <w:r>
              <w:rPr>
                <w:rFonts w:ascii="Arial" w:cs="Arial" w:eastAsia="Arial" w:hAnsi="Arial"/>
                <w:sz w:val="12"/>
                <w:szCs w:val="12"/>
                <w:color w:val="auto"/>
              </w:rPr>
              <w:t>million, assuming that the initial public offering price per share remains at $</w:t>
            </w:r>
          </w:p>
        </w:tc>
        <w:tc>
          <w:tcPr>
            <w:tcW w:w="4320" w:type="dxa"/>
            <w:vAlign w:val="bottom"/>
            <w:gridSpan w:val="3"/>
          </w:tcPr>
          <w:p>
            <w:pPr>
              <w:ind w:left="180"/>
              <w:spacing w:after="0"/>
              <w:rPr>
                <w:sz w:val="20"/>
                <w:szCs w:val="20"/>
                <w:color w:val="auto"/>
              </w:rPr>
            </w:pPr>
            <w:r>
              <w:rPr>
                <w:rFonts w:ascii="Arial" w:cs="Arial" w:eastAsia="Arial" w:hAnsi="Arial"/>
                <w:sz w:val="12"/>
                <w:szCs w:val="12"/>
                <w:color w:val="auto"/>
              </w:rPr>
              <w:t>, which is the midpoint of the price range set forth on the cover page of this</w:t>
            </w:r>
          </w:p>
        </w:tc>
      </w:tr>
    </w:tbl>
    <w:p>
      <w:pPr>
        <w:ind w:left="302"/>
        <w:spacing w:after="0"/>
        <w:rPr>
          <w:sz w:val="20"/>
          <w:szCs w:val="20"/>
          <w:color w:val="auto"/>
        </w:rPr>
      </w:pPr>
      <w:r>
        <w:rPr>
          <w:rFonts w:ascii="Arial" w:cs="Arial" w:eastAsia="Arial" w:hAnsi="Arial"/>
          <w:sz w:val="12"/>
          <w:szCs w:val="12"/>
          <w:color w:val="auto"/>
        </w:rPr>
        <w:t>prospectus, and after deducting underwriting discounts and commissions and estimated offering expenses payable by us.</w:t>
      </w:r>
    </w:p>
    <w:p>
      <w:pPr>
        <w:spacing w:after="0" w:line="8" w:lineRule="exact"/>
        <w:rPr>
          <w:sz w:val="20"/>
          <w:szCs w:val="20"/>
          <w:color w:val="auto"/>
        </w:rPr>
      </w:pPr>
    </w:p>
    <w:p>
      <w:pPr>
        <w:ind w:left="302" w:right="300" w:hanging="302"/>
        <w:spacing w:after="0" w:line="268" w:lineRule="auto"/>
        <w:tabs>
          <w:tab w:leader="none" w:pos="292"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042"/>
          </w:cols>
          <w:pgMar w:left="918" w:top="1440" w:right="9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5938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6593840"/>
                    </a:xfrm>
                    <a:prstGeom prst="rect">
                      <a:avLst/>
                    </a:prstGeom>
                    <a:noFill/>
                  </pic:spPr>
                </pic:pic>
              </a:graphicData>
            </a:graphic>
          </wp:anchor>
        </w:drawing>
      </w:r>
    </w:p>
    <w:p>
      <w:pPr>
        <w:spacing w:after="0" w:line="382"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Key business metrics and non-GAAP financial measures</w:t>
      </w:r>
    </w:p>
    <w:p>
      <w:pPr>
        <w:spacing w:after="0" w:line="164" w:lineRule="exact"/>
        <w:rPr>
          <w:sz w:val="20"/>
          <w:szCs w:val="20"/>
          <w:color w:val="auto"/>
        </w:rPr>
      </w:pPr>
    </w:p>
    <w:p>
      <w:pPr>
        <w:ind w:left="2" w:right="40"/>
        <w:spacing w:after="0" w:line="257" w:lineRule="auto"/>
        <w:rPr>
          <w:sz w:val="20"/>
          <w:szCs w:val="20"/>
          <w:color w:val="auto"/>
        </w:rPr>
      </w:pPr>
      <w:r>
        <w:rPr>
          <w:rFonts w:ascii="Arial" w:cs="Arial" w:eastAsia="Arial" w:hAnsi="Arial"/>
          <w:sz w:val="16"/>
          <w:szCs w:val="16"/>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8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Paid members</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sets forth the average number of paid members for the quarters ended March 31, 2018 through June 30, 2021.</w:t>
      </w:r>
    </w:p>
    <w:p>
      <w:pPr>
        <w:spacing w:after="0" w:line="150" w:lineRule="exact"/>
        <w:rPr>
          <w:sz w:val="20"/>
          <w:szCs w:val="20"/>
          <w:color w:val="auto"/>
        </w:rPr>
      </w:pPr>
    </w:p>
    <w:tbl>
      <w:tblPr>
        <w:tblLayout w:type="fixed"/>
        <w:tblInd w:w="2" w:type="dxa"/>
        <w:tblCellMar>
          <w:top w:w="0" w:type="dxa"/>
          <w:left w:w="0" w:type="dxa"/>
          <w:bottom w:w="0" w:type="dxa"/>
          <w:right w:w="0" w:type="dxa"/>
        </w:tblCellMar>
      </w:tblPr>
      <w:tr>
        <w:trPr>
          <w:trHeight w:val="158"/>
        </w:trPr>
        <w:tc>
          <w:tcPr>
            <w:tcW w:w="86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Paid</w:t>
            </w:r>
          </w:p>
        </w:tc>
        <w:tc>
          <w:tcPr>
            <w:tcW w:w="0" w:type="dxa"/>
            <w:vAlign w:val="bottom"/>
          </w:tcPr>
          <w:p>
            <w:pPr>
              <w:spacing w:after="0"/>
              <w:rPr>
                <w:sz w:val="1"/>
                <w:szCs w:val="1"/>
                <w:color w:val="auto"/>
              </w:rPr>
            </w:pPr>
          </w:p>
        </w:tc>
      </w:tr>
      <w:tr>
        <w:trPr>
          <w:trHeight w:val="122"/>
        </w:trPr>
        <w:tc>
          <w:tcPr>
            <w:tcW w:w="8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4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 xml:space="preserve">members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58"/>
        </w:trPr>
        <w:tc>
          <w:tcPr>
            <w:tcW w:w="8640" w:type="dxa"/>
            <w:vAlign w:val="bottom"/>
            <w:tcBorders>
              <w:bottom w:val="single" w:sz="8" w:color="CCEEFF"/>
            </w:tcBorders>
            <w:vMerge w:val="continue"/>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9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June 30, 2018</w:t>
            </w:r>
          </w:p>
        </w:tc>
        <w:tc>
          <w:tcPr>
            <w:tcW w:w="140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140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June 30, 2019</w:t>
            </w:r>
          </w:p>
        </w:tc>
        <w:tc>
          <w:tcPr>
            <w:tcW w:w="1400" w:type="dxa"/>
            <w:vAlign w:val="bottom"/>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40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140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140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36"/>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June 30, 2021</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0"/>
        </w:trPr>
        <w:tc>
          <w:tcPr>
            <w:tcW w:w="86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02" w:right="140" w:hanging="302"/>
        <w:spacing w:after="0" w:line="268" w:lineRule="auto"/>
        <w:tabs>
          <w:tab w:leader="none" w:pos="292"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define paid members as the average number of users (employees, contractors, volunteers, team members, etc.) who are billed on Collect or Control plans (as described under "Management's discussion and analysis of financial condition and results of operations") during any particular quarter.</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65" w:lineRule="exact"/>
        <w:rPr>
          <w:sz w:val="20"/>
          <w:szCs w:val="20"/>
          <w:color w:val="auto"/>
        </w:rPr>
      </w:pPr>
    </w:p>
    <w:p>
      <w:pPr>
        <w:ind w:left="2" w:right="300"/>
        <w:spacing w:after="0" w:line="268" w:lineRule="auto"/>
        <w:rPr>
          <w:sz w:val="20"/>
          <w:szCs w:val="20"/>
          <w:color w:val="auto"/>
        </w:rPr>
      </w:pPr>
      <w:r>
        <w:rPr>
          <w:rFonts w:ascii="Arial" w:cs="Arial" w:eastAsia="Arial" w:hAnsi="Arial"/>
          <w:sz w:val="16"/>
          <w:szCs w:val="16"/>
          <w:color w:val="auto"/>
        </w:rPr>
        <w:t>The following table summarizes certain financial measures that are not calculated and presented in accordance with GAAP (“non-GAAP financial measures”), along with the most directly comparable GAAP measure, for each period presented below.</w:t>
      </w:r>
    </w:p>
    <w:p>
      <w:pPr>
        <w:spacing w:after="0" w:line="163" w:lineRule="exact"/>
        <w:rPr>
          <w:sz w:val="20"/>
          <w:szCs w:val="20"/>
          <w:color w:val="auto"/>
        </w:rPr>
      </w:pPr>
    </w:p>
    <w:tbl>
      <w:tblPr>
        <w:tblLayout w:type="fixed"/>
        <w:tblInd w:w="2" w:type="dxa"/>
        <w:tblCellMar>
          <w:top w:w="0" w:type="dxa"/>
          <w:left w:w="0" w:type="dxa"/>
          <w:bottom w:w="0" w:type="dxa"/>
          <w:right w:w="0" w:type="dxa"/>
        </w:tblCellMar>
      </w:tblPr>
      <w:tr>
        <w:trPr>
          <w:trHeight w:val="177"/>
        </w:trPr>
        <w:tc>
          <w:tcPr>
            <w:tcW w:w="3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5"/>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2680" w:type="dxa"/>
            <w:vAlign w:val="bottom"/>
            <w:gridSpan w:val="4"/>
          </w:tcPr>
          <w:p>
            <w:pPr>
              <w:jc w:val="right"/>
              <w:ind w:right="602"/>
              <w:spacing w:after="0"/>
              <w:rPr>
                <w:sz w:val="20"/>
                <w:szCs w:val="20"/>
                <w:color w:val="auto"/>
              </w:rPr>
            </w:pPr>
            <w:r>
              <w:rPr>
                <w:rFonts w:ascii="Arial" w:cs="Arial" w:eastAsia="Arial" w:hAnsi="Arial"/>
                <w:sz w:val="13"/>
                <w:szCs w:val="13"/>
                <w:b w:val="1"/>
                <w:bCs w:val="1"/>
                <w:color w:val="auto"/>
              </w:rPr>
              <w:t>Six months ended June 30,</w:t>
            </w:r>
          </w:p>
        </w:tc>
      </w:tr>
      <w:tr>
        <w:trPr>
          <w:trHeight w:val="187"/>
        </w:trPr>
        <w:tc>
          <w:tcPr>
            <w:tcW w:w="386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2021</w:t>
            </w:r>
          </w:p>
        </w:tc>
      </w:tr>
      <w:tr>
        <w:trPr>
          <w:trHeight w:val="187"/>
        </w:trPr>
        <w:tc>
          <w:tcPr>
            <w:tcW w:w="3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Arial" w:cs="Arial" w:eastAsia="Arial" w:hAnsi="Arial"/>
                <w:sz w:val="13"/>
                <w:szCs w:val="13"/>
                <w:b w:val="1"/>
                <w:bCs w:val="1"/>
                <w:color w:val="auto"/>
              </w:rPr>
              <w:t>(in thousands, except percentages)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(1,710)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3,486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14,674</w:t>
            </w:r>
          </w:p>
        </w:tc>
      </w:tr>
      <w:tr>
        <w:trPr>
          <w:trHeight w:val="207"/>
        </w:trPr>
        <w:tc>
          <w:tcPr>
            <w:tcW w:w="386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386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7,579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26,755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9,160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22,933</w:t>
            </w:r>
          </w:p>
        </w:tc>
      </w:tr>
      <w:tr>
        <w:trPr>
          <w:trHeight w:val="199"/>
        </w:trPr>
        <w:tc>
          <w:tcPr>
            <w:tcW w:w="3860" w:type="dxa"/>
            <w:vAlign w:val="bottom"/>
          </w:tcPr>
          <w:p>
            <w:pPr>
              <w:ind w:left="20"/>
              <w:spacing w:after="0" w:line="199"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3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02" w:right="720" w:hanging="302"/>
        <w:spacing w:after="0" w:line="268" w:lineRule="auto"/>
        <w:tabs>
          <w:tab w:leader="none" w:pos="292"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define Adjusted EBITDA as net income (loss) excluding provision for income taxes, interest and other expenses, net, depreciation and amortization and stock based compensation. We define Adjusted EBITDA margin as Adjusted EBITDA divided by total revenue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042"/>
          </w:cols>
          <w:pgMar w:left="918" w:top="1440" w:right="9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1219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1219200"/>
                    </a:xfrm>
                    <a:prstGeom prst="rect">
                      <a:avLst/>
                    </a:prstGeom>
                    <a:noFill/>
                  </pic:spPr>
                </pic:pic>
              </a:graphicData>
            </a:graphic>
          </wp:anchor>
        </w:drawing>
      </w:r>
    </w:p>
    <w:p>
      <w:pPr>
        <w:spacing w:after="0" w:line="39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For additional information about our key business metrics and non-GAAP financial measures, including a reconciliation to the most directly comparable GAAP measure,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920"/>
          </w:cols>
          <w:pgMar w:left="920" w:top="1440" w:right="1059" w:bottom="1440" w:gutter="0" w:footer="0" w:header="0"/>
        </w:sectPr>
      </w:pPr>
    </w:p>
    <w:bookmarkStart w:id="35" w:name="page36"/>
    <w:bookmarkEnd w:id="35"/>
    <w:p>
      <w:pPr>
        <w:ind w:left="3"/>
        <w:spacing w:after="0"/>
        <w:rPr>
          <w:sz w:val="20"/>
          <w:szCs w:val="20"/>
          <w:color w:val="auto"/>
        </w:rPr>
      </w:pPr>
      <w:r>
        <w:rPr>
          <w:rFonts w:ascii="Arial" w:cs="Arial" w:eastAsia="Arial" w:hAnsi="Arial"/>
          <w:sz w:val="26"/>
          <w:szCs w:val="26"/>
          <w:b w:val="1"/>
          <w:bCs w:val="1"/>
          <w:color w:val="auto"/>
        </w:rPr>
        <w:t>Risk factors</w:t>
      </w:r>
    </w:p>
    <w:p>
      <w:pPr>
        <w:spacing w:after="0" w:line="280"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Risks related to our business</w:t>
      </w:r>
    </w:p>
    <w:p>
      <w:pPr>
        <w:spacing w:after="0" w:line="132" w:lineRule="exact"/>
        <w:rPr>
          <w:sz w:val="20"/>
          <w:szCs w:val="20"/>
          <w:color w:val="auto"/>
        </w:rPr>
      </w:pPr>
    </w:p>
    <w:p>
      <w:pPr>
        <w:ind w:left="3" w:right="420"/>
        <w:spacing w:after="0" w:line="294" w:lineRule="auto"/>
        <w:rPr>
          <w:sz w:val="20"/>
          <w:szCs w:val="20"/>
          <w:color w:val="auto"/>
        </w:rPr>
      </w:pPr>
      <w:r>
        <w:rPr>
          <w:rFonts w:ascii="Arial" w:cs="Arial" w:eastAsia="Arial" w:hAnsi="Arial"/>
          <w:sz w:val="16"/>
          <w:szCs w:val="16"/>
          <w:b w:val="1"/>
          <w:bCs w:val="1"/>
          <w:i w:val="1"/>
          <w:iCs w:val="1"/>
          <w:color w:val="auto"/>
        </w:rPr>
        <w:t>Our quarterly and annual results of operations have fluctuated in the past and may fluctuate significantly in the future and may not meet our expectations or those of investors or securities analysts.</w:t>
      </w:r>
    </w:p>
    <w:p>
      <w:pPr>
        <w:spacing w:after="0" w:line="93" w:lineRule="exact"/>
        <w:rPr>
          <w:sz w:val="20"/>
          <w:szCs w:val="20"/>
          <w:color w:val="auto"/>
        </w:rPr>
      </w:pPr>
    </w:p>
    <w:p>
      <w:pPr>
        <w:ind w:left="3" w:right="180"/>
        <w:spacing w:after="0" w:line="258" w:lineRule="auto"/>
        <w:rPr>
          <w:sz w:val="20"/>
          <w:szCs w:val="20"/>
          <w:color w:val="auto"/>
        </w:rPr>
      </w:pPr>
      <w:r>
        <w:rPr>
          <w:rFonts w:ascii="Arial" w:cs="Arial" w:eastAsia="Arial" w:hAnsi="Arial"/>
          <w:sz w:val="16"/>
          <w:szCs w:val="16"/>
          <w:color w:val="auto"/>
        </w:rPr>
        <w:t>Our quarterly and annual results of operations, including the levels of our revenue, deferred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spacing w:after="0" w:line="122" w:lineRule="exact"/>
        <w:rPr>
          <w:sz w:val="20"/>
          <w:szCs w:val="20"/>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level of demand across our platform and for individual features within our platform;</w:t>
      </w:r>
    </w:p>
    <w:p>
      <w:pPr>
        <w:spacing w:after="0" w:line="132" w:lineRule="exact"/>
        <w:rPr>
          <w:rFonts w:ascii="Arial" w:cs="Arial" w:eastAsia="Arial" w:hAnsi="Arial"/>
          <w:sz w:val="16"/>
          <w:szCs w:val="16"/>
          <w:color w:val="auto"/>
        </w:rPr>
      </w:pPr>
    </w:p>
    <w:p>
      <w:pPr>
        <w:ind w:left="283" w:right="40" w:hanging="283"/>
        <w:spacing w:after="0" w:line="261" w:lineRule="auto"/>
        <w:tabs>
          <w:tab w:leader="none" w:pos="2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grow or maintain our gross logo retention rate and net seat retention rate (each as described under the section titled "Management's discussion and analysis of financial condition and results of operations—Key factors affecting our performance—Retaining existing customers"), expand usage within organizations, retain and increase sales to existing customers and attract new members and customers;</w:t>
      </w:r>
    </w:p>
    <w:p>
      <w:pPr>
        <w:spacing w:after="0" w:line="118"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convert individuals and organizations using our free features or trial subscriptions into paying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predictably generate revenue through marketing and sales efforts;</w:t>
      </w:r>
    </w:p>
    <w:p>
      <w:pPr>
        <w:spacing w:after="0" w:line="132"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and success of new features, integrations, capabilities and enhancements by us to our platform, or by our competitors to their products, or any other changes in the competitive landscape of our market;</w:t>
      </w:r>
    </w:p>
    <w:p>
      <w:pPr>
        <w:spacing w:after="0" w:line="112" w:lineRule="exact"/>
        <w:rPr>
          <w:rFonts w:ascii="Arial" w:cs="Arial" w:eastAsia="Arial" w:hAnsi="Arial"/>
          <w:sz w:val="16"/>
          <w:szCs w:val="16"/>
          <w:color w:val="auto"/>
        </w:rPr>
      </w:pPr>
    </w:p>
    <w:p>
      <w:pPr>
        <w:ind w:left="283" w:right="400" w:hanging="283"/>
        <w:spacing w:after="0" w:line="268" w:lineRule="auto"/>
        <w:tabs>
          <w:tab w:leader="none" w:pos="2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grow and maintain our relationships and/or integrations with our network of third-party partners, including integration partners, channel partners and professional service partners;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regulate members and member interactions on an increasingly collaborative platform;</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grow revenue share and customer referrals from our partner ecosystem;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attract new customers and retain existing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success of our customers’ businesses;</w:t>
      </w:r>
    </w:p>
    <w:p>
      <w:pPr>
        <w:spacing w:after="0" w:line="132" w:lineRule="exact"/>
        <w:rPr>
          <w:rFonts w:ascii="Arial" w:cs="Arial" w:eastAsia="Arial" w:hAnsi="Arial"/>
          <w:sz w:val="16"/>
          <w:szCs w:val="16"/>
          <w:color w:val="auto"/>
        </w:rPr>
      </w:pPr>
    </w:p>
    <w:p>
      <w:pPr>
        <w:ind w:left="283" w:right="700" w:hanging="283"/>
        <w:spacing w:after="0" w:line="268" w:lineRule="auto"/>
        <w:tabs>
          <w:tab w:leader="none" w:pos="2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achieve widespread acceptance and use of our platform and features, including the Expensify Card and any new features we may introduce;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retain customers on annual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3"/>
          </w:cols>
          <w:pgMar w:left="317" w:top="1407" w:right="359" w:bottom="1440" w:gutter="0" w:footer="0" w:header="0"/>
        </w:sectPr>
      </w:pPr>
    </w:p>
    <w:bookmarkStart w:id="36" w:name="page37"/>
    <w:bookmarkEnd w:id="36"/>
    <w:p>
      <w:pPr>
        <w:spacing w:after="0" w:line="2" w:lineRule="exact"/>
        <w:rPr>
          <w:sz w:val="20"/>
          <w:szCs w:val="20"/>
          <w:color w:val="auto"/>
        </w:rPr>
      </w:pPr>
    </w:p>
    <w:p>
      <w:pPr>
        <w:ind w:left="283"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maintain and improve employee efficiency, and our ability to manage third party, outsourced or open source workers to provide value-added services like receipt processing, customer support and engineering;</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errors in our forecasting of the demand for our platform and features, which would lead to lower revenue, increased costs, or both;</w:t>
      </w:r>
    </w:p>
    <w:p>
      <w:pPr>
        <w:spacing w:after="0" w:line="144" w:lineRule="exact"/>
        <w:rPr>
          <w:rFonts w:ascii="Arial" w:cs="Arial" w:eastAsia="Arial" w:hAnsi="Arial"/>
          <w:sz w:val="16"/>
          <w:szCs w:val="16"/>
          <w:color w:val="auto"/>
        </w:rPr>
      </w:pPr>
    </w:p>
    <w:p>
      <w:pPr>
        <w:ind w:left="283" w:right="40"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and timing of operating expenses and capital expenditures, as well as entry into operating leases, that we may incur to maintain and expand our business and operations and to remain competitive;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of expenses and recognition of revenue;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actual or perceived security breaches, technical difficulties, or interruptions to our platform and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ineffective pricing strategies that could limit customer base expansion, revenue growth and subscription renewals;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adverse litigation judgments, other dispute-related settlement payments, or other litigation-related costs;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number of new employees hired;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of the grant or vesting of equity awards to employees, directors, or consultants;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declines in the values of foreign currencies relative to the U.S. dollar;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and continuing uncertainty in relation to, the legislative or regulatory environment;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legal and regulatory compliance costs in new and existing markets;</w:t>
      </w:r>
    </w:p>
    <w:p>
      <w:pPr>
        <w:spacing w:after="0" w:line="132" w:lineRule="exact"/>
        <w:rPr>
          <w:rFonts w:ascii="Arial" w:cs="Arial" w:eastAsia="Arial" w:hAnsi="Arial"/>
          <w:sz w:val="16"/>
          <w:szCs w:val="16"/>
          <w:color w:val="auto"/>
        </w:rPr>
      </w:pPr>
    </w:p>
    <w:p>
      <w:pPr>
        <w:ind w:left="283" w:right="660"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costs and timing of expenses related to the potential acquisition of talent, technologies, businesses or intellectual property, and their integration, including potentially significant amortization costs and possible write-downs;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health epidemics, such as the COVID-19 pandemic, or other conditions that impact travel and business spending; and</w:t>
      </w:r>
    </w:p>
    <w:p>
      <w:pPr>
        <w:spacing w:after="0" w:line="144" w:lineRule="exact"/>
        <w:rPr>
          <w:rFonts w:ascii="Arial" w:cs="Arial" w:eastAsia="Arial" w:hAnsi="Arial"/>
          <w:sz w:val="16"/>
          <w:szCs w:val="16"/>
          <w:color w:val="auto"/>
        </w:rPr>
      </w:pPr>
    </w:p>
    <w:p>
      <w:pPr>
        <w:ind w:left="283" w:right="80"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economic and market conditions in either domestic or international markets, including geopolitical uncertainty and instability and their effects on software spending.</w:t>
      </w:r>
    </w:p>
    <w:p>
      <w:pPr>
        <w:spacing w:after="0" w:line="101"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spacing w:after="0" w:line="113"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90" w:lineRule="exact"/>
        <w:rPr>
          <w:sz w:val="20"/>
          <w:szCs w:val="20"/>
          <w:color w:val="auto"/>
        </w:rPr>
      </w:pPr>
    </w:p>
    <w:p>
      <w:pPr>
        <w:ind w:left="3" w:right="520"/>
        <w:spacing w:after="0" w:line="294" w:lineRule="auto"/>
        <w:rPr>
          <w:sz w:val="20"/>
          <w:szCs w:val="20"/>
          <w:color w:val="auto"/>
        </w:rPr>
      </w:pPr>
      <w:r>
        <w:rPr>
          <w:rFonts w:ascii="Arial" w:cs="Arial" w:eastAsia="Arial" w:hAnsi="Arial"/>
          <w:sz w:val="16"/>
          <w:szCs w:val="16"/>
          <w:b w:val="1"/>
          <w:bCs w:val="1"/>
          <w:i w:val="1"/>
          <w:iCs w:val="1"/>
          <w:color w:val="auto"/>
        </w:rPr>
        <w:t>We experienced rapid growth in recent periods prior to the COVID-19 pandemic, and those growth rates may not be indicative of our future growth, and we may not be able to maintain profitability.</w:t>
      </w:r>
    </w:p>
    <w:p>
      <w:pPr>
        <w:spacing w:after="0" w:line="93"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We experienced rapid growth in recent periods prior to the COVID-19 pandemic. Our business has been impacted by the COVID-19 pandemic, with declines in revenue and paid members due to government-imposed lock-downs, a decrease in business travel and other expense-generating activity, and SMBs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3"/>
          </w:cols>
          <w:pgMar w:left="317" w:top="1440" w:right="359" w:bottom="1440" w:gutter="0" w:footer="0" w:header="0"/>
        </w:sectPr>
      </w:pPr>
    </w:p>
    <w:bookmarkStart w:id="37" w:name="page38"/>
    <w:bookmarkEnd w:id="37"/>
    <w:p>
      <w:pPr>
        <w:spacing w:after="0" w:line="2"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downsizing or going out of business, among other things. While we have seen an increase in paid members and improvements in revenue since the low point of the pandemic, our growth rate may not return to pre-pandemic levels. Even if our revenue and paid members continue to increase in the near term, we expect that our growth rate will decline as a result of a variety of factors, including the maturation of our business. Further, as we operate in a new and rapidly changing category of preaccounting software, widespread acceptance and use of our platform and features, particularly our expense management feature, is critical to our future growth and success. We believe our growth depends on a number of factors, including, but not limited to, our ability to:</w:t>
      </w:r>
    </w:p>
    <w:p>
      <w:pPr>
        <w:spacing w:after="0" w:line="111" w:lineRule="exact"/>
        <w:rPr>
          <w:sz w:val="20"/>
          <w:szCs w:val="20"/>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attract new individuals and organizations to use our features, particularly our expense management feature;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convert individuals and organizations using our free features or trial subscriptions into paying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grow or maintain our gross logo retention rate and net seat retention rate, and expand usage within organizations;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price our subscription plans effectively and competitively;</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retain our existing individual and organizational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achieve widespread acceptance and use of our platform and features, including in markets outside of the United States;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continue to successfully advance our bottom-up sales strategy as well as strategic relationships with our channel partners;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continue to maintain and build a platform and brand that drives word of mouth exposure to new potential members;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grow or maintain our brand through marketing, advertising campaigns, partnerships and other methods;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gain member traction for and generate revenue from our new features and services;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grow or maintain current levels of consideration from a vendor and/or fees generated through transaction-based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expand the features and capabilities of our platform and features;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excellent customer experience and customer support;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 the security and reliability of our platform and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 the trust of our customers;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successfully compete against established companies and new market entrants, as well as existing software tools;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successfully respond to other competitive challenges in the United States and globally;</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attract, hire and retain highly skilled personnel;</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weather the impact of the COVID-19 pandemic and the end of the COVID-19 pandemic on our business;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expand, maintain, enforce and protect our intellectual property portfolio;</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42"/>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3"/>
          </w:cols>
          <w:pgMar w:left="317" w:top="1440" w:right="459" w:bottom="1440" w:gutter="0" w:footer="0" w:header="0"/>
        </w:sectPr>
      </w:pPr>
    </w:p>
    <w:bookmarkStart w:id="38" w:name="page39"/>
    <w:bookmarkEnd w:id="38"/>
    <w:p>
      <w:pPr>
        <w:spacing w:after="0" w:line="2" w:lineRule="exact"/>
        <w:rPr>
          <w:sz w:val="20"/>
          <w:szCs w:val="20"/>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grow our member and customer base in new countries and/or markets, and increase awareness of our brand on a global basis; and</w:t>
      </w:r>
    </w:p>
    <w:p>
      <w:pPr>
        <w:spacing w:after="0" w:line="132" w:lineRule="exact"/>
        <w:rPr>
          <w:rFonts w:ascii="Arial" w:cs="Arial" w:eastAsia="Arial" w:hAnsi="Arial"/>
          <w:sz w:val="16"/>
          <w:szCs w:val="16"/>
          <w:color w:val="auto"/>
        </w:rPr>
      </w:pPr>
    </w:p>
    <w:p>
      <w:pPr>
        <w:ind w:left="283" w:right="460" w:hanging="283"/>
        <w:spacing w:after="0" w:line="268" w:lineRule="auto"/>
        <w:tabs>
          <w:tab w:leader="none" w:pos="278"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obtain and maintain compliance and licenses material to our current and future businesses, and comply with existing and new applicable laws and regulations including in markets outside of the United States.</w:t>
      </w:r>
    </w:p>
    <w:p>
      <w:pPr>
        <w:spacing w:after="0" w:line="113"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If we are unable to accomplish these tasks, our growth, including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maintain profitability.</w:t>
      </w:r>
    </w:p>
    <w:p>
      <w:pPr>
        <w:spacing w:after="0" w:line="98" w:lineRule="exact"/>
        <w:rPr>
          <w:sz w:val="20"/>
          <w:szCs w:val="20"/>
          <w:color w:val="auto"/>
        </w:rPr>
      </w:pPr>
    </w:p>
    <w:p>
      <w:pPr>
        <w:ind w:left="3" w:right="80"/>
        <w:spacing w:after="0" w:line="274" w:lineRule="auto"/>
        <w:rPr>
          <w:sz w:val="20"/>
          <w:szCs w:val="20"/>
          <w:color w:val="auto"/>
        </w:rPr>
      </w:pPr>
      <w:r>
        <w:rPr>
          <w:rFonts w:ascii="Arial" w:cs="Arial" w:eastAsia="Arial" w:hAnsi="Arial"/>
          <w:sz w:val="16"/>
          <w:szCs w:val="16"/>
          <w:b w:val="1"/>
          <w:bCs w:val="1"/>
          <w:i w:val="1"/>
          <w:iCs w:val="1"/>
          <w:color w:val="auto"/>
        </w:rPr>
        <w:t>The COVID-19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financial condition and growth prospects.</w:t>
      </w:r>
    </w:p>
    <w:p>
      <w:pPr>
        <w:spacing w:after="0" w:line="96"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The COVID-19 pandemic and the measures attempting to contain and control its spread have significantly curtailed the movement of people, goods and services worldwide. The effects of the COVID-19 pandemic, including stay at home, business closure and other restrictive orders, and the resulting changes in business and consumer expenditures and other behaviors, have disrupted our business and impacted our employees, partners, third-party service providers and customers.</w:t>
      </w:r>
    </w:p>
    <w:p>
      <w:pPr>
        <w:spacing w:after="0" w:line="12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In particular, conditions caused by the COVID-19 pandemic such as economic instability, remote work and travel restrictions have negatively affected demand for our platform as employees incurred fewer work- and travel-related expenses and submitted fewer expense reimbursement requests to their employers, and as SMBs downsized or went out of business. As a result of the COVID-19 pandemic, we have experienced a decline in paid members and subscription revenue, with our revenue declining from approximately $21.9 million in the quarter ended March 31, 2020 to approximately $18.8 million in the quarter ended June 30, 2020, as well as reduced customer spend as customers have streamlined travel and other expenses, delayed expanding subscriptions and laid off or furloughed workers. After a steady increase in paid members over multiple years prior to the COVID-19 pandemic, the average number of paid members on our platform declined 15% from 742,000 in the quarter ended March 31, 2020 to 630,000 in the quarter ended June 30, 2020 and we have rebounded to 639,000 paid members in the quarter ended June 30, 2021. Our activity is still recovering from May 2020 as the United States and certain other parts of the world continue to rebound from the COVID-19 pandemic. The amount of expenses incurred by the paid members remaining on our platform has also declined. In 2019 and 2020, our annual gross logo retention was 88% and 86%, respectively. In 2019 and 2020, our net seat retention was 119% and 98%, respectively. The COVID-19 pandemic impacted both our annual gross logo retention and our net seat retention as many of our customers ceased (or paused) operations, and scaled back usage of our platform as their business travel and other expenses declined as a result of the factors stated above. In addition, we launched the Expensify Card shortly prior to the outbreak of the COVID-19 pandemic, and this product launch has been negatively impacted by the effects of this pandemic with the decline in volume of expenses and potential customers' reluctance to adopt a new card in this unusual environment. If conditions caused by the COVID-19 pandemic continue, our business, results of operations, financial condition and growth prospects will be materially adversely affected. In addition, to the extent the ongoing COVID-19 pandemic continues to adversely affect our business and our ability to grow, it may also heighten many of the other risks and uncertainties described in this “Risk factors” section.</w:t>
      </w:r>
    </w:p>
    <w:p>
      <w:pPr>
        <w:spacing w:after="0" w:line="123"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The COVID-19 pandemic has caused an economic downturn in many markets and heightened uncertainty in the global economy. Our business depends on the economic health of our current and prospective customers and the overall state of the economy. Declining levels of economic activity may lead to declines in business spending, declines in the number of paid monthly members of our platform and fewer transactions for which our platform may be used, which may result in decreased revenue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23"/>
          </w:cols>
          <w:pgMar w:left="317" w:top="1440" w:right="359" w:bottom="1440" w:gutter="0" w:footer="0" w:header="0"/>
        </w:sectPr>
      </w:pPr>
    </w:p>
    <w:bookmarkStart w:id="39" w:name="page40"/>
    <w:bookmarkEnd w:id="39"/>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us. Further, our customers may change their company policies to limit expense reimbursement in response to a deterioration or continued uncertainty in the economy. Uncertainty or continued economic impacts from the pandemic may also cause prospective or existing customers to defer investment or expansion in their businesses. As of December 31, 2020, businesses with fewer than 1,000 employees accounted for over 95% of our customers by revenue, and we focus our product, marketing and sales efforts on these businesses, including SMBs. Many very small businesses (“VSBs”) and SMBs experienced substantial revenue and cash liquidity declines in the early months of the pandemic, and there were high observed rates of small business failures. Uncertain and adverse economic conditions also have led to increased requests for, and may lead to, increased refunds and chargebacks. We expect the COVID-19 pandemic and related impacts on the global economy to continue to affect our results of operations in future periods, and our member base may not return to pre-pandemic levels.</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degree to which the COVID-19 pandemic will continue to affect our business will depend on future developments that are highly uncertain and cannot currently be predicted. These developments include, but are not limited to, the duration, extent and severity of the pandemic; actions taken to contain the COVID-19 pandemic, including the development, approval, production, distribution and administration of vaccines, and the public’s perception of the safety of vaccines and their willingness to receive them; rising infection rates and the emergence of new variants, including the Delta variant; the ultimate societal impact of the pandemic and any lasting changes in business and consumer behavior, including with respect to remote work, business travel and business expense spending and reimbursement; the duration and nature of pandemic-related restrictions on economic activity and domestic and international trade; and the extent of the impact of these and other factors on our employees, partners, third-party service providers and customers. We cannot predict whether, when and to what extent pre-pandemic business SaaS spending, employee business expense spending and submission, and pre-pandemic ways of working will return, including whether demand for expense management products will return to pre-pandemic levels.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 response to the COVID-19 pandemic, we have taken a number of actions that have impacted and continue to impact our business and which could negatively impact our culture, our marketing initiatives, our expansion efforts and our ability to retain and recruit employees across the organization. For example, we reduced our 2020 marketing spend in response to the COVID-19 pandemic. Travel is an important part of our business and our culture, and prior to the COVID-19 pandemic, we hosted global conferences and an annual “Offshore” trip for our employees. We have a distributed workforce, and many of our employees were accustomed to traveling frequently prior to the pandemic to establish and maintain relationships with each other and with our customers, members, business partners, vendors and others. Prior to the pandemic, we began to transition our offices to co-working spaces, which we call lounges, with the goal of creating flexible workspaces that can be shared by Expensify employees and certain Expensify members. This initiative has been disrupted by the pandemic, and it is unclear when, and if, members will have access to these co-working spaces and whether they will be successful in the post-pandemic business climate. While we expect to return to offering our employees, and possibly others, the option to work from our lounges, we expect there to be an increase in sustained remote work as a result of the COVID-19 pandemic. If we must continue to limit or suspend travel, use of our lounges, and in-person business on a long-term basis, our culture, marketing initiatives, expansion efforts and ability to recruit and retain employees could be negatively affected.</w:t>
      </w:r>
    </w:p>
    <w:p>
      <w:pPr>
        <w:spacing w:after="0" w:line="3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To the extent there is a sustained general economic downturn, whether or not related to the COVID-19 pandemic, our customers may become more price-sensitive, our platform may be perceived by customers and potential customers as too costly, and our revenue may be disproportionately affected by delays or reductions in general business spending. Our VSB and SMB customers may be more susceptible to general economic conditions than larger businesses, which may have greater liquidity and access to capital.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whether or not related to the COVID-19 pandemic. As a result, our larger competitors may be better positioned than we are to increase their market share with businesses of all sizes. In addition, the increased pace of consolidation in certain industries may result in reduced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86" w:lineRule="exact"/>
        <w:rPr>
          <w:sz w:val="20"/>
          <w:szCs w:val="20"/>
          <w:color w:val="auto"/>
        </w:rPr>
      </w:pPr>
    </w:p>
    <w:p>
      <w:pPr>
        <w:jc w:val="both"/>
        <w:ind w:right="480"/>
        <w:spacing w:after="0" w:line="294" w:lineRule="auto"/>
        <w:rPr>
          <w:sz w:val="20"/>
          <w:szCs w:val="20"/>
          <w:color w:val="auto"/>
        </w:rPr>
      </w:pPr>
      <w:r>
        <w:rPr>
          <w:rFonts w:ascii="Arial" w:cs="Arial" w:eastAsia="Arial" w:hAnsi="Arial"/>
          <w:sz w:val="16"/>
          <w:szCs w:val="16"/>
          <w:b w:val="1"/>
          <w:bCs w:val="1"/>
          <w:i w:val="1"/>
          <w:iCs w:val="1"/>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recently increased our subscription prices, and we do not know if these price increases will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spacing w:after="0" w:line="107" w:lineRule="exact"/>
        <w:rPr>
          <w:sz w:val="20"/>
          <w:szCs w:val="20"/>
          <w:color w:val="auto"/>
        </w:rPr>
      </w:pPr>
    </w:p>
    <w:p>
      <w:pPr>
        <w:ind w:right="780"/>
        <w:spacing w:after="0" w:line="294" w:lineRule="auto"/>
        <w:rPr>
          <w:sz w:val="20"/>
          <w:szCs w:val="20"/>
          <w:color w:val="auto"/>
        </w:rPr>
      </w:pPr>
      <w:r>
        <w:rPr>
          <w:rFonts w:ascii="Arial" w:cs="Arial" w:eastAsia="Arial" w:hAnsi="Arial"/>
          <w:sz w:val="16"/>
          <w:szCs w:val="16"/>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w:t>
      </w:r>
    </w:p>
    <w:p>
      <w:pPr>
        <w:spacing w:after="0" w:line="121"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spacing w:after="0" w:line="103" w:lineRule="exact"/>
        <w:rPr>
          <w:sz w:val="20"/>
          <w:szCs w:val="20"/>
          <w:color w:val="auto"/>
        </w:rPr>
      </w:pPr>
    </w:p>
    <w:p>
      <w:pPr>
        <w:ind w:right="600"/>
        <w:spacing w:after="0" w:line="274" w:lineRule="auto"/>
        <w:rPr>
          <w:sz w:val="20"/>
          <w:szCs w:val="20"/>
          <w:color w:val="auto"/>
        </w:rPr>
      </w:pPr>
      <w:r>
        <w:rPr>
          <w:rFonts w:ascii="Arial" w:cs="Arial" w:eastAsia="Arial" w:hAnsi="Arial"/>
          <w:sz w:val="16"/>
          <w:szCs w:val="16"/>
          <w:b w:val="1"/>
          <w:bCs w:val="1"/>
          <w:i w:val="1"/>
          <w:iCs w:val="1"/>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96"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auto"/>
        </w:rPr>
        <w:t>To increase our revenue, we must increase our customer base through various methods, including but not limited to, retaining existing customers, adding new customers, converting individuals and organizations using our free basic expense management feature and trial subscriptions into paying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expanding usage within organizations. Our business is subscription-based, with monthly and annual subscriptions, and customers are not obligated to and may not renew their subscriptions after their existing subscriptions expire.</w:t>
      </w:r>
    </w:p>
    <w:p>
      <w:pPr>
        <w:spacing w:after="0" w:line="10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While we experienced significant growth in the number of our customers prior to the COVID-19 pandemic, we do not know whether we will continue to achieve similar customer growth rates in the future. The COVID-19 pandemic significantly impacted the number of our paid members, and our member base has not recovered and may never recover. 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the continuing impacts of the COVID-19 pandemic;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our pricing or structure, such as the pricing change implemented in May 2020;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20"/>
          </w:cols>
          <w:pgMar w:left="320" w:top="1440" w:right="359" w:bottom="1440" w:gutter="0" w:footer="0" w:header="0"/>
        </w:sectPr>
      </w:pPr>
    </w:p>
    <w:bookmarkStart w:id="42" w:name="page43"/>
    <w:bookmarkEnd w:id="42"/>
    <w:p>
      <w:pPr>
        <w:ind w:right="360"/>
        <w:spacing w:after="0" w:line="294" w:lineRule="auto"/>
        <w:rPr>
          <w:sz w:val="20"/>
          <w:szCs w:val="20"/>
          <w:color w:val="auto"/>
        </w:rPr>
      </w:pPr>
      <w:r>
        <w:rPr>
          <w:rFonts w:ascii="Arial" w:cs="Arial" w:eastAsia="Arial" w:hAnsi="Arial"/>
          <w:sz w:val="16"/>
          <w:szCs w:val="16"/>
          <w:b w:val="1"/>
          <w:bCs w:val="1"/>
          <w:i w:val="1"/>
          <w:iCs w:val="1"/>
          <w:color w:val="auto"/>
        </w:rPr>
        <w:t>We may fail to accurately predict the optimal pricing strategies necessary to attract new customers, retain existing customers and respond to changing market conditions.</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spacing w:after="0" w:line="10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For example, growth from Expensify Card, which we introduced in 2020, has taken longer than anticipated due to the impact of the COVID-19 pandemic, and there can be no assurance that it will reach the level of customer adoption that it was designed to achieve. We may not be able to develop new features successfully or to introduce and gain market acceptance of new features in a timely manner, or at all.</w:t>
      </w:r>
    </w:p>
    <w:p>
      <w:pPr>
        <w:spacing w:after="0" w:line="116"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Although we see this direction as a natural next step in our long-term product vision, we have not developed an open-source financial group chat (or similar feature) before, and it may not meet customer needs, gain member traction or generate revenue sufficient to offset the costs of development, which could harm our business.</w:t>
      </w:r>
    </w:p>
    <w:p>
      <w:pPr>
        <w:spacing w:after="0" w:line="103" w:lineRule="exact"/>
        <w:rPr>
          <w:sz w:val="20"/>
          <w:szCs w:val="20"/>
          <w:color w:val="auto"/>
        </w:rPr>
      </w:pPr>
    </w:p>
    <w:p>
      <w:pPr>
        <w:ind w:right="880"/>
        <w:spacing w:after="0" w:line="294" w:lineRule="auto"/>
        <w:rPr>
          <w:sz w:val="20"/>
          <w:szCs w:val="20"/>
          <w:color w:val="auto"/>
        </w:rPr>
      </w:pPr>
      <w:r>
        <w:rPr>
          <w:rFonts w:ascii="Arial" w:cs="Arial" w:eastAsia="Arial" w:hAnsi="Arial"/>
          <w:sz w:val="16"/>
          <w:szCs w:val="16"/>
          <w:b w:val="1"/>
          <w:bCs w:val="1"/>
          <w:i w:val="1"/>
          <w:iCs w:val="1"/>
          <w:color w:val="auto"/>
        </w:rPr>
        <w:t>We face significant competition, the market in which we operate is rapidly evolving, and if we do not compete effectively, our results of operations and financial condition could be harmed.</w:t>
      </w:r>
    </w:p>
    <w:p>
      <w:pPr>
        <w:spacing w:after="0" w:line="81"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We face significant competitive challenges from do-it-yourself approaches as well as companies that provide traditional horizontal platform solutions with expense management features, corporate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60"/>
          </w:cols>
          <w:pgMar w:left="320" w:top="1422" w:right="319" w:bottom="1440" w:gutter="0" w:footer="0" w:header="0"/>
        </w:sectPr>
      </w:pPr>
    </w:p>
    <w:bookmarkStart w:id="43" w:name="page44"/>
    <w:bookmarkEnd w:id="43"/>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 result in decreased revenue, and our business, results of operations and financial condition would be adversely affected.</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In addition, there are a number of competing companies that provide traditional horizontal platform solutions with expense management features, some of which have substantially greater revenue, personnel and other resources than we do, such as Intuit, Oracle Corporation (NetSuite), SAP AG (Concur) and Workday.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including Bento, Brex, Divvy, Emburse (Certify, Abacus and Nexonia), Expensya, Fyle, Happay, Pleo, Ramp, Spendesk, TravelBank, Webexpenses and Zoho Expense.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 up” adoption features. 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successfully and effectively compete with current or future competitors could cause us to lose business and harm our revenue growth, business, results of operations and financial condition.</w:t>
      </w:r>
    </w:p>
    <w:p>
      <w:pPr>
        <w:spacing w:after="0" w:line="81"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Market opportunity estimates and growth forecasts included in this prospectus, including those we have generated ourselves, are subject to significant uncertainty and are based on assumptions and estimates that may not prove to be accurate. Our addressable market depends on a number of factors, including businesses’ desire to differentiate themselves, integration and channel partnership opportunities, changes in the competitive landscape, technological changes, data security or privacy concerns, customer budgetary constraints, changes in business practices, changes in the regulatory environment, our ability to develop and introduce new features, enhancements, integrations, capabilities and versions of our existing features and changes in economic conditions. Our estimates and forecasts relating to the size and expected growth of our market may prove to be inaccurate, and our ability to produce accurate estimates and forecasts may be further impacted by the impacts and uncertainties associated with the COVID-19 pandemic. Our competitors may develop and offer features that our customers want and that our platform does not provide. The variables that go into the calculation of our market opportunity are subject to change over time, and there is no guarantee that any particular number or percentage of customers covered by our market opportunity estimates will become paying members of our platform at all or generate any particular level of revenue for us. Even if the market in which we compete meets the size estimates and growth forecasted in this prospectus, our business could fail to grow for a variety of reasons, including competition in our industry.</w:t>
      </w:r>
    </w:p>
    <w:p>
      <w:pPr>
        <w:spacing w:after="0" w:line="10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Payments and other financial services-related laws and regulations and government oversight are material to our business. Our failure to comply with such laws and regulations could materially harm our business and can subject us to criminal and civil liability.</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 designed to ensure that all companies that process, store, or transmit payment card information maintain a secure environment to protect cardholder data. 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 organizations, and numerous state and local governmental and regulatory authorities.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w:t>
      </w:r>
    </w:p>
    <w:p>
      <w:pPr>
        <w:spacing w:after="0" w:line="32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Expensify Payments LLC (“Expensify Payments”) is a licensed money transmitter (or its equivalent) in various U.S. states and territories and is in the process of obtaining money transmission licenses in a number of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of certain statutory and regulatory requirements, and we have been subject to fines and other penalties by state regulatory authorities due to their interpretation and application of their respective state money transmitter regime to our activities. In the future, as a result of the laws and regulations applicable to us and our business, we could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spacing w:after="0" w:line="111" w:lineRule="exact"/>
        <w:rPr>
          <w:sz w:val="20"/>
          <w:szCs w:val="20"/>
          <w:color w:val="auto"/>
        </w:rPr>
      </w:pPr>
    </w:p>
    <w:p>
      <w:pPr>
        <w:ind w:left="3" w:right="380"/>
        <w:spacing w:after="0" w:line="268" w:lineRule="auto"/>
        <w:rPr>
          <w:sz w:val="20"/>
          <w:szCs w:val="20"/>
          <w:color w:val="auto"/>
        </w:rPr>
      </w:pPr>
      <w:r>
        <w:rPr>
          <w:rFonts w:ascii="Arial" w:cs="Arial" w:eastAsia="Arial" w:hAnsi="Arial"/>
          <w:sz w:val="16"/>
          <w:szCs w:val="16"/>
          <w:color w:val="auto"/>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spacing w:after="0" w:line="113" w:lineRule="exact"/>
        <w:rPr>
          <w:sz w:val="20"/>
          <w:szCs w:val="20"/>
          <w:color w:val="auto"/>
        </w:rPr>
      </w:pPr>
    </w:p>
    <w:p>
      <w:pPr>
        <w:ind w:left="283" w:right="840" w:hanging="283"/>
        <w:spacing w:after="0" w:line="268" w:lineRule="auto"/>
        <w:tabs>
          <w:tab w:leader="none" w:pos="2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prohibit, restrict, and/or impose taxes or fees on money transmission transactions in, to or from certain countries or with certain governments, individuals, or entities;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impose additional customer identification and customer due diligence requirements;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impose additional reporting or recordkeeping requirements, or require enhanced transaction monitoring;</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 the types of entities capable of providing money transmission services, or impose additional licensing or registration requirements;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impose minimum capital or other financial requirements;</w:t>
      </w:r>
    </w:p>
    <w:p>
      <w:pPr>
        <w:spacing w:after="0" w:line="13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 or restrict the revenue that may be generated from money transmission, including revenue from interest earned on customer funds, transaction fees, and revenue derived from foreign exchange;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 enhanced disclosures to our money transmission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 the principal amount of money transmission originated in a country to be invested in that country or held in trust until paid;</w:t>
      </w:r>
    </w:p>
    <w:p>
      <w:pPr>
        <w:spacing w:after="0" w:line="13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 the number or principal amount of money transmission transactions that may be sent to or from a jurisdiction, whether by an individual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3"/>
          </w:cols>
          <w:pgMar w:left="317" w:top="1440" w:right="339" w:bottom="1440" w:gutter="0" w:footer="0" w:header="0"/>
        </w:sectPr>
      </w:pPr>
    </w:p>
    <w:bookmarkStart w:id="46" w:name="page47"/>
    <w:bookmarkEnd w:id="46"/>
    <w:p>
      <w:pPr>
        <w:spacing w:after="0" w:line="2" w:lineRule="exact"/>
        <w:rPr>
          <w:sz w:val="20"/>
          <w:szCs w:val="20"/>
          <w:color w:val="auto"/>
        </w:rPr>
      </w:pPr>
    </w:p>
    <w:p>
      <w:pPr>
        <w:ind w:left="283" w:right="20" w:hanging="283"/>
        <w:spacing w:after="0" w:line="268" w:lineRule="auto"/>
        <w:tabs>
          <w:tab w:leader="none" w:pos="2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restrict or limit our ability to process transactions using centralized databases, for example, by requiring that transactions be processed using a database maintained in a particular country or region; or</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impose other requirements in furtherance of their missions.</w:t>
      </w:r>
    </w:p>
    <w:p>
      <w:pPr>
        <w:spacing w:after="0" w:line="125" w:lineRule="exact"/>
        <w:rPr>
          <w:sz w:val="20"/>
          <w:szCs w:val="20"/>
          <w:color w:val="auto"/>
        </w:rPr>
      </w:pPr>
    </w:p>
    <w:p>
      <w:pPr>
        <w:ind w:left="3" w:right="240"/>
        <w:spacing w:after="0" w:line="294" w:lineRule="auto"/>
        <w:rPr>
          <w:sz w:val="20"/>
          <w:szCs w:val="20"/>
          <w:color w:val="auto"/>
        </w:rPr>
      </w:pPr>
      <w:r>
        <w:rPr>
          <w:rFonts w:ascii="Arial" w:cs="Arial" w:eastAsia="Arial" w:hAnsi="Arial"/>
          <w:sz w:val="16"/>
          <w:szCs w:val="16"/>
          <w:b w:val="1"/>
          <w:bCs w:val="1"/>
          <w:i w:val="1"/>
          <w:iCs w:val="1"/>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9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109"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In addition, we depend on a single professional services firm for a significant portion of our finance function. If we lose the services of this outsourced finance team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spacing w:after="0" w:line="103" w:lineRule="exact"/>
        <w:rPr>
          <w:sz w:val="20"/>
          <w:szCs w:val="20"/>
          <w:color w:val="auto"/>
        </w:rPr>
      </w:pPr>
    </w:p>
    <w:p>
      <w:pPr>
        <w:ind w:left="3" w:right="80"/>
        <w:spacing w:after="0" w:line="294" w:lineRule="auto"/>
        <w:rPr>
          <w:sz w:val="20"/>
          <w:szCs w:val="20"/>
          <w:color w:val="auto"/>
        </w:rPr>
      </w:pPr>
      <w:r>
        <w:rPr>
          <w:rFonts w:ascii="Arial" w:cs="Arial" w:eastAsia="Arial" w:hAnsi="Arial"/>
          <w:sz w:val="16"/>
          <w:szCs w:val="16"/>
          <w:b w:val="1"/>
          <w:bCs w:val="1"/>
          <w:i w:val="1"/>
          <w:iCs w:val="1"/>
          <w:color w:val="auto"/>
        </w:rPr>
        <w:t>We rely on a single third-party vendor, issuing bank and card network for our Expensify Card, and if we lose any of these services, our business, results of operations, financial condition and growth prospects could be harmed.</w:t>
      </w:r>
    </w:p>
    <w:p>
      <w:pPr>
        <w:spacing w:after="0" w:line="9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The Expensify Card is an important element of our growth strategy, and we believe that, over time, the Expensify Card will be a prominent corporate card solution for SMBs in our core markets. We rely on a single third-party vendor, Marqeta, Inc. ("Marqeta"), for the Expensify Card, who also manages the relationship with the card's issuing bank, Sutton Bank, and the card network, Visa. In the year ended December 31, 2020 and the six months ended June 30, 2021, consideration from this vendor representing monetized Expensify Card activities reduced our cost of revenue by $1.0 million and $1.1 million, respectively. Our agreement with Marqeta has a three year term, expiring in June 2022 and automatically renews annually thereafter unless either party provides 90 days' notice prior to renewal. 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3"/>
          </w:cols>
          <w:pgMar w:left="317" w:top="1440" w:right="339" w:bottom="1440" w:gutter="0" w:footer="0" w:header="0"/>
        </w:sectPr>
      </w:pPr>
    </w:p>
    <w:bookmarkStart w:id="47" w:name="page48"/>
    <w:bookmarkEnd w:id="47"/>
    <w:p>
      <w:pPr>
        <w:ind w:right="160"/>
        <w:spacing w:after="0" w:line="274" w:lineRule="auto"/>
        <w:rPr>
          <w:sz w:val="20"/>
          <w:szCs w:val="20"/>
          <w:color w:val="auto"/>
        </w:rPr>
      </w:pPr>
      <w:r>
        <w:rPr>
          <w:rFonts w:ascii="Arial" w:cs="Arial" w:eastAsia="Arial" w:hAnsi="Arial"/>
          <w:sz w:val="16"/>
          <w:szCs w:val="16"/>
          <w:b w:val="1"/>
          <w:bCs w:val="1"/>
          <w:i w:val="1"/>
          <w:iCs w:val="1"/>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Breaches of our security measures or those of our customers, partners or third-party service providers, or other cyber security incidents, could result in intentional or accidental unauthorized access to our or our customers’ or partners’ sites, networks, systems and accounts; unauthorized access to, and misappropriation or disclosure of, individuals’ personal information or other confidential or proprietary information of ourselves, our customers or partners, or other third parties;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intentional or accidental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many of our employees and our service providers work remotely and during the COVID-19 pandemic, most of our employees and service providers have worked and are continuing to work remotely. As a result, we may be more vulnerable to cybersecurity-related events such as phishing attacks and other security challenges. Many companies that provide cloud based services have reported a significant increase in cyberattack activity since the beginning of the COVID-19 pandemic.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be subject to vulnerabilities or experience security breaches or incidents that may remain undetected for an extended period. These events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w:t>
      </w:r>
    </w:p>
    <w:p>
      <w:pPr>
        <w:spacing w:after="0" w:line="137"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Our customers provide us with information that our systems store, some of which is confidential information about them or their financial transactions. In addition, we store personal information about our employees and, to a lesser extent, those who purchase products or services from our customers. Even though we have security systems and information technology infrastructure designed to protect against unauthorized access to such information, our efforts to address these threats may not always be successful. Any actual or perceived compromise or breach of our security measures, or those of our customers, partners or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the insurance we maintain may be insufficient to cover our losses resulting from disasters, cyber-attacks, or other business interruptions, and any incidents may result in loss of, or increased costs of, such insurance. Our disaster recovery plan may not be sufficient to address all aspects or any unanticipated consequence or incident. We continue to devote significant resources to protect against security breaches, and we may need to devote significant resources in the future to address problems caused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422" w:right="339" w:bottom="1440" w:gutter="0" w:footer="0" w:header="0"/>
        </w:sectPr>
      </w:pPr>
    </w:p>
    <w:bookmarkStart w:id="48" w:name="page49"/>
    <w:bookmarkEnd w:id="48"/>
    <w:p>
      <w:pPr>
        <w:spacing w:after="0" w:line="2" w:lineRule="exact"/>
        <w:rPr>
          <w:sz w:val="20"/>
          <w:szCs w:val="20"/>
          <w:color w:val="auto"/>
        </w:rPr>
      </w:pPr>
    </w:p>
    <w:p>
      <w:pPr>
        <w:ind w:left="3" w:right="80"/>
        <w:spacing w:after="0" w:line="268" w:lineRule="auto"/>
        <w:rPr>
          <w:sz w:val="20"/>
          <w:szCs w:val="20"/>
          <w:color w:val="auto"/>
        </w:rPr>
      </w:pPr>
      <w:r>
        <w:rPr>
          <w:rFonts w:ascii="Arial" w:cs="Arial" w:eastAsia="Arial" w:hAnsi="Arial"/>
          <w:sz w:val="16"/>
          <w:szCs w:val="16"/>
          <w:color w:val="auto"/>
        </w:rPr>
        <w:t>breaches, including notifying affected subscribers and responding to any resulting litigation, which in turn, diverts resources from the growth and expansion of our business.</w:t>
      </w:r>
    </w:p>
    <w:p>
      <w:pPr>
        <w:spacing w:after="0" w:line="81" w:lineRule="exact"/>
        <w:rPr>
          <w:sz w:val="20"/>
          <w:szCs w:val="20"/>
          <w:color w:val="auto"/>
        </w:rPr>
      </w:pPr>
    </w:p>
    <w:p>
      <w:pPr>
        <w:ind w:left="3" w:right="60"/>
        <w:spacing w:after="0" w:line="294" w:lineRule="auto"/>
        <w:rPr>
          <w:sz w:val="20"/>
          <w:szCs w:val="20"/>
          <w:color w:val="auto"/>
        </w:rPr>
      </w:pPr>
      <w:r>
        <w:rPr>
          <w:rFonts w:ascii="Arial" w:cs="Arial" w:eastAsia="Arial" w:hAnsi="Arial"/>
          <w:sz w:val="16"/>
          <w:szCs w:val="16"/>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9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travel concierge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expect to continue to make substantial investments and expenditures related to the growth of our business.</w:t>
      </w:r>
    </w:p>
    <w:p>
      <w:pPr>
        <w:spacing w:after="0" w:line="153" w:lineRule="exact"/>
        <w:rPr>
          <w:sz w:val="20"/>
          <w:szCs w:val="20"/>
          <w:color w:val="auto"/>
        </w:rPr>
      </w:pPr>
    </w:p>
    <w:p>
      <w:pPr>
        <w:ind w:left="3" w:right="220"/>
        <w:spacing w:after="0" w:line="258" w:lineRule="auto"/>
        <w:rPr>
          <w:sz w:val="20"/>
          <w:szCs w:val="20"/>
          <w:color w:val="auto"/>
        </w:rPr>
      </w:pPr>
      <w:r>
        <w:rPr>
          <w:rFonts w:ascii="Arial" w:cs="Arial" w:eastAsia="Arial" w:hAnsi="Arial"/>
          <w:sz w:val="16"/>
          <w:szCs w:val="16"/>
          <w:color w:val="auto"/>
        </w:rPr>
        <w:t>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will need to continue to make substantial investments and expenditures to, among other things:</w:t>
      </w:r>
    </w:p>
    <w:p>
      <w:pPr>
        <w:spacing w:after="0" w:line="122" w:lineRule="exact"/>
        <w:rPr>
          <w:sz w:val="20"/>
          <w:szCs w:val="20"/>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hire new and retain existing employees;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maintain, expand, update and improve our infrastructure;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expand our sales and marketing activities, including to obtain channel partners and to expand our SMB and consumer advertising;</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expand our operations across multiple geographies;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operate as a public company;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pay for increasing costs associated with our general and administrative organization.</w:t>
      </w:r>
    </w:p>
    <w:p>
      <w:pPr>
        <w:spacing w:after="0" w:line="14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We may also review or revise our software architecture as we grow, which may require significant resources and investments. 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2"/>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83"/>
          </w:cols>
          <w:pgMar w:left="317" w:top="1440" w:right="399" w:bottom="1440" w:gutter="0" w:footer="0" w:header="0"/>
        </w:sectPr>
      </w:pPr>
    </w:p>
    <w:bookmarkStart w:id="49" w:name="page50"/>
    <w:bookmarkEnd w:id="49"/>
    <w:p>
      <w:pPr>
        <w:spacing w:after="0" w:line="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Android, web and desktop. There can be no assurance that this direction will achieve customer acceptance or that we will realize the anticipated return on our investment.</w:t>
      </w:r>
    </w:p>
    <w:p>
      <w:pPr>
        <w:spacing w:after="0" w:line="10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substantially dependent upon the continued development of the market for, and acceptance of, cloud based software features.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a high-quality customer experience, our business and reputation will suffer.</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 up” business model is highly dependent on our business reputation and on word-of-mouth positive recommendations from existing individuals and organizations using our platform and features.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28" w:lineRule="exact"/>
        <w:rPr>
          <w:sz w:val="20"/>
          <w:szCs w:val="20"/>
          <w:color w:val="auto"/>
        </w:rPr>
      </w:pPr>
    </w:p>
    <w:p>
      <w:pPr>
        <w:jc w:val="both"/>
        <w:ind w:right="260"/>
        <w:spacing w:after="0" w:line="261"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and member base, we need to be able to provide efficient customer support that meets the needs of organizations using our platform and features globally at scale. The number of organizations using our platform and features has grown significantly, which puts additional pressure on our support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20"/>
          </w:cols>
          <w:pgMar w:left="320" w:top="1440" w:right="359" w:bottom="1440" w:gutter="0" w:footer="0" w:header="0"/>
        </w:sectPr>
      </w:pPr>
    </w:p>
    <w:bookmarkStart w:id="50" w:name="page51"/>
    <w:bookmarkEnd w:id="50"/>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spacing w:after="0" w:line="281" w:lineRule="exact"/>
        <w:rPr>
          <w:sz w:val="20"/>
          <w:szCs w:val="20"/>
          <w:color w:val="auto"/>
        </w:rPr>
      </w:pPr>
    </w:p>
    <w:p>
      <w:pPr>
        <w:ind w:right="500"/>
        <w:spacing w:after="0" w:line="294" w:lineRule="auto"/>
        <w:rPr>
          <w:sz w:val="20"/>
          <w:szCs w:val="20"/>
          <w:color w:val="auto"/>
        </w:rPr>
      </w:pPr>
      <w:r>
        <w:rPr>
          <w:rFonts w:ascii="Arial" w:cs="Arial" w:eastAsia="Arial" w:hAnsi="Arial"/>
          <w:sz w:val="16"/>
          <w:szCs w:val="16"/>
          <w:b w:val="1"/>
          <w:bCs w:val="1"/>
          <w:i w:val="1"/>
          <w:iCs w:val="1"/>
          <w:color w:val="auto"/>
        </w:rPr>
        <w:t>We must continue to attract and retain highly qualified personnel, including an on-demand workforce in certain jurisdictions and for certain aspects of our business, to continue to execute on our business strategy and growth plans.</w:t>
      </w:r>
    </w:p>
    <w:p>
      <w:pPr>
        <w:spacing w:after="0" w:line="9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Expensify.com member. We also intend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spacing w:after="0" w:line="112"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spacing w:after="0" w:line="118" w:lineRule="exact"/>
        <w:rPr>
          <w:sz w:val="20"/>
          <w:szCs w:val="20"/>
          <w:color w:val="auto"/>
        </w:rPr>
      </w:pPr>
    </w:p>
    <w:p>
      <w:pPr>
        <w:jc w:val="both"/>
        <w:ind w:right="180"/>
        <w:spacing w:after="0" w:line="261"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spacing w:after="0" w:line="11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86"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 diverse and memorable experiences for our employees, including employee travel to company-wide meetings in the U.S. and abroad. As we continue to grow and develop the infrastructure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being a public company, we will need to maintain our culture among a larger number of employees dispersed in various geographic regions. Any failure to preserve our culture could negatively affect our future success, including our ability to retain and recruit personnel.</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effectively manage our growth, our business and results of operations could be harmed.</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experienced rapid growth and increased demand for our platform prior to the COVID-19 pandemic. Our revenue has grown from $53.9 million in 2018 to $80.5 million in 2019 to $88.1 million in 2020, but our headcount has remained consistent, with 131 employees as of December 31, 2018, 127 employees as of December 31, 2019 and 133 employees as of December 31, 2020. For the six months ended June 30, 2020 and June 30, 2021, our revenue has grown from $40.6 million to $ 65.0 million, respectively, but our headcount has remained consistent, with 134 employees as of June 30, 2020 and 140 employees as of June 30, 2021. The growth and expansion of our business and platform may place a significant strain on our management and our administrative, operational and financial reporting resources. Our ability to accurately plan for and model future growth is limited and subject to a number of uncertainties, due in part to our global operations, customer preferences and mix of products and features. We have encountered, and will continue to encounter, risks and uncertainties frequently experienced by growing companies in rapidly changing industries.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and reporting systems and manage our employee base. In addition, as we seek to continue to expand internationally, we will likely encounter unexpected challenges and expenses due to unfamiliarity with local regulations, requirements, practices and markets.</w:t>
      </w:r>
    </w:p>
    <w:p>
      <w:pPr>
        <w:spacing w:after="0" w:line="104"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i w:val="1"/>
          <w:iCs w:val="1"/>
          <w:color w:val="auto"/>
        </w:rPr>
        <w:t>Our payments services and our Expensify Card are targets for illegal or improper uses, and our risk management efforts may not be effective, which could expose us to losses and liability and otherwise harm our business.</w:t>
      </w:r>
    </w:p>
    <w:p>
      <w:pPr>
        <w:spacing w:after="0" w:line="8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1440" w:right="359" w:bottom="1440" w:gutter="0" w:footer="0" w:header="0"/>
        </w:sectPr>
      </w:pPr>
    </w:p>
    <w:bookmarkStart w:id="52" w:name="page53"/>
    <w:bookmarkEnd w:id="52"/>
    <w:p>
      <w:pPr>
        <w:spacing w:after="0" w:line="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spacing w:after="0" w:line="96" w:lineRule="exact"/>
        <w:rPr>
          <w:sz w:val="20"/>
          <w:szCs w:val="20"/>
          <w:color w:val="auto"/>
        </w:rPr>
      </w:pPr>
    </w:p>
    <w:p>
      <w:pPr>
        <w:ind w:left="3" w:right="20"/>
        <w:spacing w:after="0" w:line="294" w:lineRule="auto"/>
        <w:rPr>
          <w:sz w:val="20"/>
          <w:szCs w:val="20"/>
          <w:color w:val="auto"/>
        </w:rPr>
      </w:pPr>
      <w:r>
        <w:rPr>
          <w:rFonts w:ascii="Arial" w:cs="Arial" w:eastAsia="Arial" w:hAnsi="Arial"/>
          <w:sz w:val="16"/>
          <w:szCs w:val="16"/>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93" w:lineRule="exact"/>
        <w:rPr>
          <w:sz w:val="20"/>
          <w:szCs w:val="20"/>
          <w:color w:val="auto"/>
        </w:rPr>
      </w:pPr>
    </w:p>
    <w:p>
      <w:pPr>
        <w:ind w:left="3" w:right="40"/>
        <w:spacing w:after="0" w:line="255" w:lineRule="auto"/>
        <w:rPr>
          <w:sz w:val="20"/>
          <w:szCs w:val="20"/>
          <w:color w:val="auto"/>
        </w:rPr>
      </w:pPr>
      <w:r>
        <w:rPr>
          <w:rFonts w:ascii="Arial" w:cs="Arial" w:eastAsia="Arial" w:hAnsi="Arial"/>
          <w:sz w:val="16"/>
          <w:szCs w:val="16"/>
          <w:color w:val="auto"/>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Sales to customers outside the United States and our international operations expose us to risks inherent in international sales and operations.</w:t>
      </w:r>
    </w:p>
    <w:p>
      <w:pPr>
        <w:spacing w:after="0" w:line="15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Our revenue generated from customers outside the United States was $7.6 million (9% of our revenue), $9.0 million (10% of our revenue), $ 4.1 million (10% of our revenue), and $7.1 million (11% of our revenue) for the year ended December 31, 2019, the year ended December 31, 2020, and the six months ended June 30, 2020 and 2021, respectively. Our core geographies are the United States, the United Kingdom, Canada and Australia. We intend to pursue expansion of our international operations. 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spacing w:after="0" w:line="121" w:lineRule="exact"/>
        <w:rPr>
          <w:sz w:val="20"/>
          <w:szCs w:val="20"/>
          <w:color w:val="auto"/>
        </w:rPr>
      </w:pPr>
    </w:p>
    <w:p>
      <w:pPr>
        <w:ind w:left="283" w:right="220" w:hanging="283"/>
        <w:spacing w:after="0" w:line="268" w:lineRule="auto"/>
        <w:tabs>
          <w:tab w:leader="none" w:pos="27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need to localize and adapt our platform and features for specific countries, including translation into foreign languages, tax and regulatory updates and associated expenses;</w:t>
      </w:r>
    </w:p>
    <w:p>
      <w:pPr>
        <w:spacing w:after="0" w:line="112"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36"/>
        </w:numPr>
        <w:rPr>
          <w:rFonts w:ascii="Arial" w:cs="Arial" w:eastAsia="Arial" w:hAnsi="Arial"/>
          <w:sz w:val="16"/>
          <w:szCs w:val="16"/>
          <w:color w:val="auto"/>
        </w:rPr>
      </w:pPr>
      <w:r>
        <w:rPr>
          <w:rFonts w:ascii="Arial" w:cs="Arial" w:eastAsia="Arial" w:hAnsi="Arial"/>
          <w:sz w:val="16"/>
          <w:szCs w:val="16"/>
          <w:color w:val="auto"/>
        </w:rPr>
        <w:t>data privacy laws that impose different and potentially conflicting obligations with respect to how personal data is processed or require that customer data be stored in a designated territory;</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more fragmented partner market which proves to be harder for our platform to integrate with;</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difficulties in staffing and managing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3"/>
          </w:cols>
          <w:pgMar w:left="317" w:top="1440" w:right="339" w:bottom="1440" w:gutter="0" w:footer="0" w:header="0"/>
        </w:sectPr>
      </w:pPr>
    </w:p>
    <w:bookmarkStart w:id="53" w:name="page54"/>
    <w:bookmarkEnd w:id="53"/>
    <w:p>
      <w:pPr>
        <w:spacing w:after="0" w:line="2" w:lineRule="exact"/>
        <w:rPr>
          <w:sz w:val="20"/>
          <w:szCs w:val="20"/>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regulatory and other delays and difficulties in setting up foreign operations;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different pricing environments, longer accounts receivable payment cycles and collections issues;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new and different sources of competition;</w:t>
      </w:r>
    </w:p>
    <w:p>
      <w:pPr>
        <w:spacing w:after="0" w:line="144" w:lineRule="exact"/>
        <w:rPr>
          <w:rFonts w:ascii="Arial" w:cs="Arial" w:eastAsia="Arial" w:hAnsi="Arial"/>
          <w:sz w:val="16"/>
          <w:szCs w:val="16"/>
          <w:color w:val="auto"/>
        </w:rPr>
      </w:pPr>
    </w:p>
    <w:p>
      <w:pPr>
        <w:ind w:left="283" w:right="220" w:hanging="283"/>
        <w:spacing w:after="0" w:line="268" w:lineRule="auto"/>
        <w:tabs>
          <w:tab w:leader="none" w:pos="2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weaker protection for intellectual property and other legal rights than in the United States and practical difficulties in enforcing intellectual property and other rights outside of the United States;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laws and business practices favoring local competitors;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compliance challenges related to the complexity of multiple, conflicting and changing governmental laws and regulations;</w:t>
      </w:r>
    </w:p>
    <w:p>
      <w:pPr>
        <w:spacing w:after="0" w:line="144"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exposure to liabilities under anti-corruption and anti-money laundering laws, including the U.S. Foreign Corrupt Practices Act (FCPA), U.S. bribery laws, the UK Bribery Act and similar laws and regulations in other jurisdictions;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increased financial accounting and reporting burdens and complexities;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declines in the values of foreign currencies relative to the U.S. dollar;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restrictions on the transfer of funds;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potentially adverse tax consequences;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cost of and potential outcomes of any claims or litigation;</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future accounting pronouncements and changes in accounting policies;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tax laws or tax regulations;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health or similar issues, such as a pandemic or epidemic;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regional and local economic and political conditions.</w:t>
      </w:r>
    </w:p>
    <w:p>
      <w:pPr>
        <w:spacing w:after="0" w:line="133"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29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face exposure to foreign currency exchange rate fluctuations.</w:t>
      </w:r>
    </w:p>
    <w:p>
      <w:pPr>
        <w:spacing w:after="0" w:line="153" w:lineRule="exact"/>
        <w:rPr>
          <w:sz w:val="20"/>
          <w:szCs w:val="20"/>
          <w:color w:val="auto"/>
        </w:rPr>
      </w:pPr>
    </w:p>
    <w:p>
      <w:pPr>
        <w:ind w:left="3" w:right="80"/>
        <w:spacing w:after="0" w:line="257" w:lineRule="auto"/>
        <w:rPr>
          <w:sz w:val="20"/>
          <w:szCs w:val="20"/>
          <w:color w:val="auto"/>
        </w:rPr>
      </w:pPr>
      <w:r>
        <w:rPr>
          <w:rFonts w:ascii="Arial" w:cs="Arial" w:eastAsia="Arial" w:hAnsi="Arial"/>
          <w:sz w:val="16"/>
          <w:szCs w:val="16"/>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spacing w:after="0" w:line="103" w:lineRule="exact"/>
        <w:rPr>
          <w:sz w:val="20"/>
          <w:szCs w:val="20"/>
          <w:color w:val="auto"/>
        </w:rPr>
      </w:pPr>
    </w:p>
    <w:p>
      <w:pPr>
        <w:ind w:left="3" w:right="20"/>
        <w:spacing w:after="0" w:line="294"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93" w:lineRule="exact"/>
        <w:rPr>
          <w:sz w:val="20"/>
          <w:szCs w:val="20"/>
          <w:color w:val="auto"/>
        </w:rPr>
      </w:pPr>
    </w:p>
    <w:p>
      <w:pPr>
        <w:ind w:left="3" w:right="260"/>
        <w:spacing w:after="0" w:line="261" w:lineRule="auto"/>
        <w:rPr>
          <w:sz w:val="20"/>
          <w:szCs w:val="20"/>
          <w:color w:val="auto"/>
        </w:rPr>
      </w:pPr>
      <w:r>
        <w:rPr>
          <w:rFonts w:ascii="Arial" w:cs="Arial" w:eastAsia="Arial" w:hAnsi="Arial"/>
          <w:sz w:val="16"/>
          <w:szCs w:val="16"/>
          <w:color w:val="auto"/>
        </w:rPr>
        <w:t>We must comply with anti-corruption laws and regulations imposed by governments around the world with jurisdiction over our operations, which may include the U.S. Foreign Corrupt Practices Act of 1977 (the “FCPA”) and the U.K. Bribery Act 2010 (the “Bribery Act”), as well as the laws of the countries where we do business. These laws and regulations apply to companies, individual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3"/>
          </w:cols>
          <w:pgMar w:left="317" w:top="1440" w:right="339" w:bottom="1440" w:gutter="0" w:footer="0" w:header="0"/>
        </w:sectPr>
      </w:pPr>
    </w:p>
    <w:bookmarkStart w:id="54" w:name="page55"/>
    <w:bookmarkEnd w:id="54"/>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(the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spacing w:after="0" w:line="12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such violation could materially adversely affect our reputation, business, financial condition and results of operations.</w:t>
      </w:r>
    </w:p>
    <w:p>
      <w:pPr>
        <w:spacing w:after="0" w:line="113" w:lineRule="exact"/>
        <w:rPr>
          <w:sz w:val="20"/>
          <w:szCs w:val="20"/>
          <w:color w:val="auto"/>
        </w:rPr>
      </w:pPr>
    </w:p>
    <w:p>
      <w:pPr>
        <w:jc w:val="both"/>
        <w:ind w:right="40"/>
        <w:spacing w:after="0" w:line="274" w:lineRule="auto"/>
        <w:rPr>
          <w:sz w:val="20"/>
          <w:szCs w:val="20"/>
          <w:color w:val="auto"/>
        </w:rPr>
      </w:pPr>
      <w:r>
        <w:rPr>
          <w:rFonts w:ascii="Arial" w:cs="Arial" w:eastAsia="Arial" w:hAnsi="Arial"/>
          <w:sz w:val="16"/>
          <w:szCs w:val="16"/>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receive, process, store and use business and personal information belonging to our members and customers. There are numerous federal, state, local and foreign laws, regulations and standards regarding data protection and the storing, sharing, use, processing, disclosure and protection of business and personal information, and we may be subject to these laws in certain circumstances. Most states have also adopted data security breach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our practices designed to achieve such compliance. However, it is possible that these obligations may be interpreted and applied in a manner that is inconsistent from one jurisdiction to another and may conflict with other rules or our practices. A failure on our part to safeguard consumer data adequately or to destroy data securely or otherwise comply with legal obligations may subject us, depending on the personal information in question, to costs associated with notice and remediation, as well as potential regulatory investigations or enforcement actions, and possibly to civil liability, under federal, state, or foreign laws or regulation, industry standards, our internal privacy policies and procedures, or our contracts governing our processing of personal information claims by third parties, and damage to our reputation, any of which could have an adverse effect on our operations, financial performance and business. We could also incur significant costs investigating and defending such claims and, if we are found liable, significant damages.</w:t>
      </w:r>
    </w:p>
    <w:p>
      <w:pPr>
        <w:spacing w:after="0" w:line="12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Data protection regulation is an area of increased focus and changing requirements. Any significant change in applicable laws, regulations, or industry practices regarding the use or disclosure of our members’ or customers’ data, or regarding the manner in which the express or implied consent of members or customers for the use and disclosure of such data is obtained, could require us to modify our platform, possibly in a material manner, and may limit our ability to develop new services and features that make use of the data that our members and customers voluntarily share.</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For example, the EU General Data Protection Regulation (the "GDPR") imposes stringent data protection requirements for processing the personal data of individuals within the European Economic Area (the "EEA"). The GDPR enhances data protection obligations for processors and controllers of personal information, including, for example, expanded disclosure requirements, limitations on retention of personal information, mandatory data breach notification requirements and additional obligations. Non-compliance with the GDPR can trigger fines of up to the greater of € 20 million or 4% of our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information out of the EEA,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At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20"/>
          </w:cols>
          <w:pgMar w:left="320" w:top="1440" w:right="359" w:bottom="1440" w:gutter="0" w:footer="0" w:header="0"/>
        </w:sectPr>
      </w:pPr>
    </w:p>
    <w:bookmarkStart w:id="56" w:name="page57"/>
    <w:bookmarkEnd w:id="56"/>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there are few if any viable alternatives to the Standard Contractual Clauses and, therefore, there is uncertainty regarding how to ensure that transfers of personal information from Europe to the United States comply with the GDPR. As such, any transfers by us of personal information from Europe may not comply with European data protection laws and may increase our exposure to the GDPR’s heightened sanctions for violations of its cross-border data transfer restrictions. Loss of our ability to transfer personal information from Europe may also require us to increase our data processing capabilities in those jurisdictions at significant expense.</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Further, following the United Kingdom’s withdrawal from the E.U. and the end of the related transition period, as of January 1, 2021, companies may be subject to both GDPR and the United Kingdom GDPR, or UK GDPR, which, together with the amended UK Data Protection Act 2018, retains the GDPR in UK national law. The UK GDPR mirrors the fines under the GDPR, imposing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while the parties discuss an adequacy decision. The European Commission published a draft adequacy decision on February 19, 2021. If adopted, the decision will enable data transfers from E.U. member states to the United Kingdom for a four-year period, subject to subsequent extensions. While we have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addition to the E.U.,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members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 in a way that would be currently considered a “sale” under the CCPA, some observers have noted that the CCPA could mark the beginning of a trend toward more stringent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legislation in the United States, which means that despite our efforts, an expansive reading of the CCPA could increase our potential liability and adversely affect our business.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proposed, and likely will be proposed, in other states and at the federal level, and if passed, such laws may have potentially conflicting requirements that would make compliance challenging. For example, on March 2, 2021, the Virginia Consumer Data Protection Act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Furthermore, the Federal Trade Commission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spacing w:after="0" w:line="101" w:lineRule="exact"/>
        <w:rPr>
          <w:sz w:val="20"/>
          <w:szCs w:val="20"/>
          <w:color w:val="auto"/>
        </w:rPr>
      </w:pPr>
    </w:p>
    <w:p>
      <w:pPr>
        <w:ind w:right="860"/>
        <w:spacing w:after="0" w:line="294" w:lineRule="auto"/>
        <w:rPr>
          <w:sz w:val="20"/>
          <w:szCs w:val="20"/>
          <w:color w:val="auto"/>
        </w:rPr>
      </w:pPr>
      <w:r>
        <w:rPr>
          <w:rFonts w:ascii="Arial" w:cs="Arial" w:eastAsia="Arial" w:hAnsi="Arial"/>
          <w:sz w:val="16"/>
          <w:szCs w:val="16"/>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spacing w:after="0" w:line="121" w:lineRule="exact"/>
        <w:rPr>
          <w:sz w:val="20"/>
          <w:szCs w:val="20"/>
          <w:color w:val="auto"/>
        </w:rPr>
      </w:pPr>
    </w:p>
    <w:p>
      <w:pPr>
        <w:ind w:right="420"/>
        <w:spacing w:after="0" w:line="268" w:lineRule="auto"/>
        <w:rPr>
          <w:sz w:val="20"/>
          <w:szCs w:val="20"/>
          <w:color w:val="auto"/>
        </w:rPr>
      </w:pPr>
      <w:r>
        <w:rPr>
          <w:rFonts w:ascii="Arial" w:cs="Arial" w:eastAsia="Arial" w:hAnsi="Arial"/>
          <w:sz w:val="16"/>
          <w:szCs w:val="16"/>
          <w:color w:val="auto"/>
        </w:rPr>
        <w:t>In addition, the use of the Internet as a means of conducting business could be adversely affected due to delays in the development or adoption of new standards and protocols to handle increased demands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86" w:lineRule="exact"/>
        <w:rPr>
          <w:sz w:val="20"/>
          <w:szCs w:val="20"/>
          <w:color w:val="auto"/>
        </w:rPr>
      </w:pPr>
    </w:p>
    <w:p>
      <w:pPr>
        <w:ind w:left="3" w:right="440"/>
        <w:spacing w:after="0" w:line="294" w:lineRule="auto"/>
        <w:rPr>
          <w:sz w:val="20"/>
          <w:szCs w:val="20"/>
          <w:color w:val="auto"/>
        </w:rPr>
      </w:pPr>
      <w:r>
        <w:rPr>
          <w:rFonts w:ascii="Arial" w:cs="Arial" w:eastAsia="Arial" w:hAnsi="Arial"/>
          <w:sz w:val="16"/>
          <w:szCs w:val="16"/>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9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spacing w:after="0" w:line="121" w:lineRule="exact"/>
        <w:rPr>
          <w:sz w:val="20"/>
          <w:szCs w:val="20"/>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human error;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security breaches;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telecommunications failures or outages from third-party providers;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computer viruses, malware, vulnerability exploits, or cyber-attacks;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software errors, failures, vulnerabilities or bugs in our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acts of terrorism, sabotage or other intentional acts of vandalism;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unforeseen interruption or damages;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pandemics and epidemics;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tornados, fires, earthquakes, floods and other natural disasters;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power loss.</w:t>
      </w:r>
    </w:p>
    <w:p>
      <w:pPr>
        <w:spacing w:after="0" w:line="133"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23"/>
          </w:cols>
          <w:pgMar w:left="317" w:top="1440" w:right="359" w:bottom="1440" w:gutter="0" w:footer="0" w:header="0"/>
        </w:sectPr>
      </w:pPr>
    </w:p>
    <w:bookmarkStart w:id="59" w:name="page60"/>
    <w:bookmarkEnd w:id="59"/>
    <w:p>
      <w:pPr>
        <w:spacing w:after="0" w:line="2"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recovery plan may not be sufficient to address all aspects or any unanticipated consequence or incidents, and our insurance may not be sufficient to compensate us for the losses that could occur.</w:t>
      </w:r>
    </w:p>
    <w:p>
      <w:pPr>
        <w:spacing w:after="0" w:line="101"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spacing w:after="0" w:line="96" w:lineRule="exact"/>
        <w:rPr>
          <w:sz w:val="20"/>
          <w:szCs w:val="20"/>
          <w:color w:val="auto"/>
        </w:rPr>
      </w:pPr>
    </w:p>
    <w:p>
      <w:pPr>
        <w:ind w:right="900"/>
        <w:spacing w:after="0" w:line="294" w:lineRule="auto"/>
        <w:rPr>
          <w:sz w:val="20"/>
          <w:szCs w:val="20"/>
          <w:color w:val="auto"/>
        </w:rPr>
      </w:pPr>
      <w:r>
        <w:rPr>
          <w:rFonts w:ascii="Arial" w:cs="Arial" w:eastAsia="Arial" w:hAnsi="Arial"/>
          <w:sz w:val="16"/>
          <w:szCs w:val="16"/>
          <w:b w:val="1"/>
          <w:bCs w:val="1"/>
          <w:i w:val="1"/>
          <w:iCs w:val="1"/>
          <w:color w:val="auto"/>
        </w:rPr>
        <w:t>We rely upon data centers and other systems and technologies provided by third parties to operate our business, and interruptions or performance problems with these centers, systems and technologies may adversely affect our business and operating results.</w:t>
      </w:r>
    </w:p>
    <w:p>
      <w:pPr>
        <w:spacing w:after="0" w:line="93" w:lineRule="exact"/>
        <w:rPr>
          <w:sz w:val="20"/>
          <w:szCs w:val="20"/>
          <w:color w:val="auto"/>
        </w:rPr>
      </w:pPr>
    </w:p>
    <w:p>
      <w:pPr>
        <w:jc w:val="both"/>
        <w:ind w:right="320"/>
        <w:spacing w:after="0" w:line="268" w:lineRule="auto"/>
        <w:rPr>
          <w:sz w:val="20"/>
          <w:szCs w:val="20"/>
          <w:color w:val="auto"/>
        </w:rPr>
      </w:pPr>
      <w:r>
        <w:rPr>
          <w:rFonts w:ascii="Arial" w:cs="Arial" w:eastAsia="Arial" w:hAnsi="Arial"/>
          <w:sz w:val="16"/>
          <w:szCs w:val="16"/>
          <w:color w:val="auto"/>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spacing w:after="0" w:line="30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spacing w:after="0" w:line="86" w:lineRule="exact"/>
        <w:rPr>
          <w:sz w:val="20"/>
          <w:szCs w:val="20"/>
          <w:color w:val="auto"/>
        </w:rPr>
      </w:pPr>
    </w:p>
    <w:p>
      <w:pPr>
        <w:ind w:left="3" w:right="480"/>
        <w:spacing w:after="0" w:line="294" w:lineRule="auto"/>
        <w:rPr>
          <w:sz w:val="20"/>
          <w:szCs w:val="20"/>
          <w:color w:val="auto"/>
        </w:rPr>
      </w:pPr>
      <w:r>
        <w:rPr>
          <w:rFonts w:ascii="Arial" w:cs="Arial" w:eastAsia="Arial" w:hAnsi="Arial"/>
          <w:sz w:val="16"/>
          <w:szCs w:val="16"/>
          <w:b w:val="1"/>
          <w:bCs w:val="1"/>
          <w:i w:val="1"/>
          <w:iCs w:val="1"/>
          <w:color w:val="auto"/>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spacing w:after="0" w:line="9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21" w:lineRule="exact"/>
        <w:rPr>
          <w:sz w:val="20"/>
          <w:szCs w:val="20"/>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discontinues or limits our access to its software or APIs;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modifies its terms of service or other policies, including fees charged to, or other restrictions on us, or other application developers;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how information is accessed by us or our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establishes more favorable relationships with one or more of our competitors; or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develops or otherwise favors its own competitive offerings over our platform.</w:t>
      </w:r>
    </w:p>
    <w:p>
      <w:pPr>
        <w:spacing w:after="0" w:line="145" w:lineRule="exact"/>
        <w:rPr>
          <w:sz w:val="20"/>
          <w:szCs w:val="20"/>
          <w:color w:val="auto"/>
        </w:rPr>
      </w:pPr>
    </w:p>
    <w:p>
      <w:pPr>
        <w:ind w:left="3" w:right="100"/>
        <w:spacing w:after="0" w:line="256"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24"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3"/>
          </w:cols>
          <w:pgMar w:left="317" w:top="1440" w:right="339" w:bottom="1440" w:gutter="0" w:footer="0" w:header="0"/>
        </w:sectPr>
      </w:pPr>
    </w:p>
    <w:bookmarkStart w:id="61" w:name="page62"/>
    <w:bookmarkEnd w:id="61"/>
    <w:p>
      <w:pPr>
        <w:ind w:right="120"/>
        <w:spacing w:after="0" w:line="294" w:lineRule="auto"/>
        <w:rPr>
          <w:sz w:val="20"/>
          <w:szCs w:val="20"/>
          <w:color w:val="auto"/>
        </w:rPr>
      </w:pPr>
      <w:r>
        <w:rPr>
          <w:rFonts w:ascii="Arial" w:cs="Arial" w:eastAsia="Arial" w:hAnsi="Arial"/>
          <w:sz w:val="16"/>
          <w:szCs w:val="16"/>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8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spacing w:after="0" w:line="122"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98"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i w:val="1"/>
          <w:iCs w:val="1"/>
          <w:color w:val="auto"/>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spacing w:after="0" w:line="104"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422" w:right="339" w:bottom="1440" w:gutter="0" w:footer="0" w:header="0"/>
        </w:sectPr>
      </w:pPr>
    </w:p>
    <w:bookmarkStart w:id="62" w:name="page63"/>
    <w:bookmarkEnd w:id="62"/>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third-party patent once that patent is issued. Any litigation may also involve non-practicing entities or other adverse patent owners that have no relevant solution revenue, and therefore, our patent portfolio may provide little or no deterrence as we would not be able to assert our patents against such entities or individuals.</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04" w:lineRule="exact"/>
        <w:rPr>
          <w:sz w:val="20"/>
          <w:szCs w:val="20"/>
          <w:color w:val="auto"/>
        </w:rPr>
      </w:pPr>
    </w:p>
    <w:p>
      <w:pPr>
        <w:ind w:right="700"/>
        <w:spacing w:after="0" w:line="294" w:lineRule="auto"/>
        <w:rPr>
          <w:sz w:val="20"/>
          <w:szCs w:val="20"/>
          <w:color w:val="auto"/>
        </w:rPr>
      </w:pPr>
      <w:r>
        <w:rPr>
          <w:rFonts w:ascii="Arial" w:cs="Arial" w:eastAsia="Arial" w:hAnsi="Arial"/>
          <w:sz w:val="16"/>
          <w:szCs w:val="16"/>
          <w:b w:val="1"/>
          <w:bCs w:val="1"/>
          <w:i w:val="1"/>
          <w:iCs w:val="1"/>
          <w:color w:val="auto"/>
        </w:rPr>
        <w:t>If we are unable to protect our intellectual property rights, the value of our brand and other intangible assets may be diminished, and our business may be adversely affected.</w:t>
      </w:r>
    </w:p>
    <w:p>
      <w:pPr>
        <w:spacing w:after="0" w:line="8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steps we have taken and may take in the future may not prevent misappropriation of our proprietary features or technologies, particularly with respect to officers and employees who are no longer employed by us.</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04"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platform without compensating us and negatively affect our business.</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spacing w:after="0" w:line="11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2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320" w:top="1440" w:right="359" w:bottom="1440" w:gutter="0" w:footer="0" w:header="0"/>
        </w:sectPr>
      </w:pPr>
    </w:p>
    <w:bookmarkStart w:id="64" w:name="page65"/>
    <w:bookmarkEnd w:id="64"/>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 trademarks, we could be forced to rebrand our platform, which would result in loss of brand recognition and would require us to devote resources to advertising and marketing new brands.</w:t>
      </w:r>
    </w:p>
    <w:p>
      <w:pPr>
        <w:spacing w:after="0" w:line="32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1440" w:right="339" w:bottom="1440" w:gutter="0" w:footer="0" w:header="0"/>
        </w:sectPr>
      </w:pPr>
    </w:p>
    <w:bookmarkStart w:id="65" w:name="page66"/>
    <w:bookmarkEnd w:id="65"/>
    <w:p>
      <w:pPr>
        <w:ind w:right="420"/>
        <w:spacing w:after="0" w:line="294" w:lineRule="auto"/>
        <w:rPr>
          <w:sz w:val="20"/>
          <w:szCs w:val="20"/>
          <w:color w:val="auto"/>
        </w:rPr>
      </w:pPr>
      <w:r>
        <w:rPr>
          <w:rFonts w:ascii="Arial" w:cs="Arial" w:eastAsia="Arial" w:hAnsi="Arial"/>
          <w:sz w:val="16"/>
          <w:szCs w:val="16"/>
          <w:b w:val="1"/>
          <w:bCs w:val="1"/>
          <w:i w:val="1"/>
          <w:iCs w:val="1"/>
          <w:color w:val="auto"/>
        </w:rPr>
        <w:t>Our use of “open source” and third-party software could impose unanticipated conditions or restrictions on our ability to commercialize our features and could subject us to possible litigation.</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 portion of the technologies we use in our platform, database infrastructure (Bedrock), Expensify.com, Expensify.cash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allegations, be subject to significant damages, or be enjoined from the sale of our platform that contained the open source software.</w:t>
      </w:r>
    </w:p>
    <w:p>
      <w:pPr>
        <w:spacing w:after="0" w:line="12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license technology from third parties, and our inability to maintain those licenses could harm our business.</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1422" w:right="339" w:bottom="1440" w:gutter="0" w:footer="0" w:header="0"/>
        </w:sectPr>
      </w:pPr>
    </w:p>
    <w:bookmarkStart w:id="66" w:name="page67"/>
    <w:bookmarkEnd w:id="66"/>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would disrupt the distribution and sale of subscriptions to our platform and harm our business, results of operations and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future litigation against us could be costly and time-consuming to defend.</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and have not received a decision from the FEC on the matter. We cannot assure you that this matter will not result in further complaints, regulatory inquiries or future proceedings.</w:t>
      </w:r>
    </w:p>
    <w:p>
      <w:pPr>
        <w:spacing w:after="0" w:line="128" w:lineRule="exact"/>
        <w:rPr>
          <w:sz w:val="20"/>
          <w:szCs w:val="20"/>
          <w:color w:val="auto"/>
        </w:rPr>
      </w:pPr>
    </w:p>
    <w:p>
      <w:pPr>
        <w:jc w:val="both"/>
        <w:ind w:right="480"/>
        <w:spacing w:after="0" w:line="261" w:lineRule="auto"/>
        <w:rPr>
          <w:sz w:val="20"/>
          <w:szCs w:val="20"/>
          <w:color w:val="auto"/>
        </w:rPr>
      </w:pPr>
      <w:r>
        <w:rPr>
          <w:rFonts w:ascii="Arial" w:cs="Arial" w:eastAsia="Arial" w:hAnsi="Arial"/>
          <w:sz w:val="16"/>
          <w:szCs w:val="16"/>
          <w:color w:val="auto"/>
        </w:rPr>
        <w:t>The number and significance of our legal disputes and inquiries have increased as we have grown larger, as our business has expanded in scope and geographic reach, and as our features and services have increased in complexity, and we expect the potential for future legal proceedings, claims and disputes will continue to increase. Becoming a public company will raise our public profile, which may result in increased litigation.</w:t>
      </w:r>
    </w:p>
    <w:p>
      <w:pPr>
        <w:spacing w:after="0" w:line="10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1440" w:right="339" w:bottom="1440" w:gutter="0" w:footer="0" w:header="0"/>
        </w:sectPr>
      </w:pPr>
    </w:p>
    <w:bookmarkStart w:id="67" w:name="page68"/>
    <w:bookmarkEnd w:id="67"/>
    <w:p>
      <w:pPr>
        <w:ind w:right="680"/>
        <w:spacing w:after="0" w:line="294" w:lineRule="auto"/>
        <w:rPr>
          <w:sz w:val="20"/>
          <w:szCs w:val="20"/>
          <w:color w:val="auto"/>
        </w:rPr>
      </w:pPr>
      <w:r>
        <w:rPr>
          <w:rFonts w:ascii="Arial" w:cs="Arial" w:eastAsia="Arial" w:hAnsi="Arial"/>
          <w:sz w:val="16"/>
          <w:szCs w:val="16"/>
          <w:b w:val="1"/>
          <w:bCs w:val="1"/>
          <w:i w:val="1"/>
          <w:iCs w:val="1"/>
          <w:color w:val="auto"/>
        </w:rPr>
        <w:t>Our employees, commercial partners and vendors may engage in misconduct or other improper activities, including noncompliance with regulatory standards and requirements.</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additional capital, and we cannot be sure that additional financing will be available.</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loan and security agreement with Canadian Imperial Bank of Commerce ("CIBC”)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95"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existing loan and security agreement and/or future indebtedness, and we may be required to repay the outstanding indebtedness in an event of default, which would have an adverse effect on our business.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loan and security agreement with CIBC, as amended and restated in September 2021, includes a term loan of up to $75.0 million, which matures in September 2026, and a $25.0 million revolving line of credit, which matures in September 2024. The loan and security agreement subjects us, and any future indebtedness would likely subject us, to various customary covenants, including requirements as to financial reporting, insurance and certain liquidity thresholds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422" w:right="339" w:bottom="1440" w:gutter="0" w:footer="0" w:header="0"/>
        </w:sectPr>
      </w:pPr>
    </w:p>
    <w:bookmarkStart w:id="68" w:name="page69"/>
    <w:bookmarkEnd w:id="68"/>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stock, to redeem capital stock, to engage in transactions with affiliates, to encumber our intellectual property and certain other restrictions on our activities.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Our business may be adversely affected by these restrictions on our ability to operate our business.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Additionally, our ability to meet our debt obligations and other expenses will depend on our future performance, which will be affected by financial, business, economic, regulatory and other factors, many of which we are unable to control. We may be required to repay the outstanding indebtedness under the loan facility if an event of default occurs under the loan and security agreement. Under the loan and security agreement and a credit agreement with CIBC that provides for a $8.25 million amortizing term mortgage, an event of default will occur if, among other things, we fail to make payments under such agreements; we breach certain of our covenants under such agreements, subject to specified 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term loans,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spacing w:after="0" w:line="30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For fiscal 2019 and 2020, we identified a material weakness in our internal controls, that we had insufficient technical skills to address complex issues combined with insufficient accounting staff to implement the process and reviews necessary to ensure material misstatements did not occur. Our remediation efforts are still ongoing and there can be no assurance that we will not experience this or other material weaknesses in the future.</w:t>
      </w:r>
    </w:p>
    <w:p>
      <w:pPr>
        <w:spacing w:after="0" w:line="114"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31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103"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and stock-based compensation expense, as well as those used to allocate our employee and employee related expense, which consist of contractor costs, employee salary and wages, stock-based compensation and travel and other employee-related costs, to their appropriate financial statement line items due to our generalist model and organizational structure.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Our business and financial performance may differ from any projections that we disclose or any information that may be attributed to us by third parties.</w:t>
      </w:r>
    </w:p>
    <w:p>
      <w:pPr>
        <w:spacing w:after="0" w:line="9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us. Moreover, we may choose not to provide guidance regarding our projected business or financial performance, which may have an adverse impact on our stock price.</w:t>
      </w:r>
    </w:p>
    <w:p>
      <w:pPr>
        <w:spacing w:after="0" w:line="81" w:lineRule="exact"/>
        <w:rPr>
          <w:sz w:val="20"/>
          <w:szCs w:val="20"/>
          <w:color w:val="auto"/>
        </w:rPr>
      </w:pPr>
    </w:p>
    <w:p>
      <w:pPr>
        <w:ind w:right="560"/>
        <w:spacing w:after="0" w:line="294" w:lineRule="auto"/>
        <w:rPr>
          <w:sz w:val="20"/>
          <w:szCs w:val="20"/>
          <w:color w:val="auto"/>
        </w:rPr>
      </w:pPr>
      <w:r>
        <w:rPr>
          <w:rFonts w:ascii="Arial" w:cs="Arial" w:eastAsia="Arial" w:hAnsi="Arial"/>
          <w:sz w:val="16"/>
          <w:szCs w:val="16"/>
          <w:b w:val="1"/>
          <w:bCs w:val="1"/>
          <w:i w:val="1"/>
          <w:iCs w:val="1"/>
          <w:color w:val="auto"/>
        </w:rPr>
        <w:t>Our ability to use our net operating loss carryforwards and certain other tax attributes to offset taxable income or reduce our taxes may be limited.</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As of December 31, 2020, we had accumulated $0.1 million and $3.7 million of federal and state net operating loss carryforwards, or NOLs, respectively, available to reduce future taxable income, portions of which will begin to expire in 2037 for federal and 2031 for state tax purposes. As of December 31, 2020, we also had federal and state research and development tax credit carryforwards of $0.2 million and $0.6 million, respectively. The federal tax credits will expire at various dates beginning in the year 2029, unless previously utilized. The state tax credits do not expire and will carry forward indefinitely until utilized. It is possible that we will not generate taxable income in time to use certain of our NOLs before their expiration, or at all. Net operating losses incurred in taxable years beginning after December 31, 2017 may be carried forward indefinitely, but the deductibility of such federal net operating losses in taxable years beginning after December 31, 2020 is limited to 80% of current year taxable income. Under Section 382 and Section 383 of the Internal Revenue Code of 1986, as amended, or the Code, if a corporation undergoes an “ownership change,” the corporation’s ability to use its pre-change NOLs and certain other tax attributes, including R&amp;D tax credits, to offset its post-change income or taxes may be limited. In general, an “ownership change” occurs if there is a cumulative change in our ownership by “5-percent shareholders”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this offering. In addition, for state income tax purposes, the extent to which states will conform to the federal laws is uncertain and there may be periods during which the use of net operating loss carryforwards is suspended or otherwise limited, which could accelerate or permanently increase state taxes owed. For example, California imposed limits on the usability of California state net operating losses and tax credits in tax years beginning after 2019 and before 2023.</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subject us to potentially adverse tax consequences.</w:t>
      </w:r>
    </w:p>
    <w:p>
      <w:pPr>
        <w:spacing w:after="0" w:line="15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03" w:lineRule="exact"/>
        <w:rPr>
          <w:sz w:val="20"/>
          <w:szCs w:val="20"/>
          <w:color w:val="auto"/>
        </w:rPr>
      </w:pPr>
    </w:p>
    <w:p>
      <w:pPr>
        <w:ind w:right="720"/>
        <w:spacing w:after="0" w:line="294" w:lineRule="auto"/>
        <w:rPr>
          <w:sz w:val="20"/>
          <w:szCs w:val="20"/>
          <w:color w:val="auto"/>
        </w:rPr>
      </w:pPr>
      <w:r>
        <w:rPr>
          <w:rFonts w:ascii="Arial" w:cs="Arial" w:eastAsia="Arial" w:hAnsi="Arial"/>
          <w:sz w:val="16"/>
          <w:szCs w:val="16"/>
          <w:b w:val="1"/>
          <w:bCs w:val="1"/>
          <w:i w:val="1"/>
          <w:iCs w:val="1"/>
          <w:color w:val="auto"/>
        </w:rPr>
        <w:t>We could be required to collect additional sales, use, value-added and other indirect taxes, or be subject to other tax liabilities in various jurisdictions, which could adversely affect our results of operations.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business were determined to be deficient, our business and results of operations could be adversely impacted. A successful assertion by a taxing authority that we should collect additional sales, use or other taxes or remit such taxes directly to states could result in substantial tax liabilities for past sales and additional administrative expenses, which could seriously harm our business.</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Changes in our effective tax rate or tax liability may adversely affect our operating results.</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145" w:lineRule="exact"/>
        <w:rPr>
          <w:sz w:val="20"/>
          <w:szCs w:val="20"/>
          <w:color w:val="auto"/>
        </w:rPr>
      </w:pPr>
    </w:p>
    <w:p>
      <w:pPr>
        <w:ind w:left="283" w:right="400" w:hanging="283"/>
        <w:spacing w:after="0" w:line="268" w:lineRule="auto"/>
        <w:tabs>
          <w:tab w:leader="none" w:pos="278"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due to differing statutory tax rates in various jurisdictions;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w:t>
      </w:r>
    </w:p>
    <w:p>
      <w:pPr>
        <w:spacing w:after="0" w:line="144" w:lineRule="exact"/>
        <w:rPr>
          <w:rFonts w:ascii="Arial" w:cs="Arial" w:eastAsia="Arial" w:hAnsi="Arial"/>
          <w:sz w:val="16"/>
          <w:szCs w:val="16"/>
          <w:color w:val="auto"/>
        </w:rPr>
      </w:pPr>
    </w:p>
    <w:p>
      <w:pPr>
        <w:ind w:left="283" w:right="520" w:hanging="283"/>
        <w:spacing w:after="0" w:line="268" w:lineRule="auto"/>
        <w:tabs>
          <w:tab w:leader="none" w:pos="278"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outcome of future tax audits, examinations, or administrative appeals;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limitations or adverse findings regarding our ability to do business in some jurisdictions.</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Any of these developments could adversely affect our operating results.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Risks relating to the multiple class structure of our common stock and the Voting Trust Agreement</w:t>
      </w:r>
    </w:p>
    <w:p>
      <w:pPr>
        <w:spacing w:after="0" w:line="132" w:lineRule="exact"/>
        <w:rPr>
          <w:sz w:val="20"/>
          <w:szCs w:val="20"/>
          <w:color w:val="auto"/>
        </w:rPr>
      </w:pPr>
    </w:p>
    <w:p>
      <w:pPr>
        <w:ind w:left="3" w:right="240"/>
        <w:spacing w:after="0" w:line="267" w:lineRule="auto"/>
        <w:rPr>
          <w:sz w:val="20"/>
          <w:szCs w:val="20"/>
          <w:color w:val="auto"/>
        </w:rPr>
      </w:pPr>
      <w:r>
        <w:rPr>
          <w:rFonts w:ascii="Arial" w:cs="Arial" w:eastAsia="Arial" w:hAnsi="Arial"/>
          <w:sz w:val="16"/>
          <w:szCs w:val="16"/>
          <w:b w:val="1"/>
          <w:bCs w:val="1"/>
          <w:i w:val="1"/>
          <w:iCs w:val="1"/>
          <w:color w:val="auto"/>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15" w:lineRule="exact"/>
        <w:rPr>
          <w:sz w:val="20"/>
          <w:szCs w:val="20"/>
          <w:color w:val="auto"/>
        </w:rPr>
      </w:pPr>
    </w:p>
    <w:p>
      <w:pPr>
        <w:ind w:left="3" w:right="100"/>
        <w:spacing w:after="0" w:line="254" w:lineRule="auto"/>
        <w:rPr>
          <w:sz w:val="20"/>
          <w:szCs w:val="20"/>
          <w:color w:val="auto"/>
        </w:rPr>
      </w:pPr>
      <w:r>
        <w:rPr>
          <w:rFonts w:ascii="Arial" w:cs="Arial" w:eastAsia="Arial" w:hAnsi="Arial"/>
          <w:sz w:val="16"/>
          <w:szCs w:val="16"/>
          <w:color w:val="auto"/>
        </w:rPr>
        <w:t>Each share of our LT10 and LT50 common stock is entitled to 10 and 50 votes per share, respectively, and each share of our Class A common stock, which is the stock offered in this offering, is entitled to one vote per share. Upon the completion of this offering, the Voting Trust is expected to hold approximately</w:t>
      </w:r>
    </w:p>
    <w:p>
      <w:pPr>
        <w:ind w:left="3" w:firstLine="722"/>
        <w:spacing w:after="0" w:line="255" w:lineRule="auto"/>
        <w:rPr>
          <w:sz w:val="20"/>
          <w:szCs w:val="20"/>
          <w:color w:val="auto"/>
        </w:rPr>
      </w:pPr>
      <w:r>
        <w:rPr>
          <w:rFonts w:ascii="Arial" w:cs="Arial" w:eastAsia="Arial" w:hAnsi="Arial"/>
          <w:sz w:val="16"/>
          <w:szCs w:val="16"/>
          <w:color w:val="auto"/>
        </w:rPr>
        <w:t>and shares of LT10 and LT50 common stock, respectively, representing approximately % of the economic interest and % of the voting power of outstanding capital stock following the completion of this offering. All decisions with respect to the voting (but not the disposition) of shares held in the Voting Trust from time to time will be made by the Trustees in their sole and absolute discretion, and with no responsibility under the Voting Trust Agreement as stockholder, trustee or otherwise, except for his or her own individual malfeasance. The Voting Trust and its Trustees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3"/>
          </w:cols>
          <w:pgMar w:left="317" w:top="1440" w:right="339" w:bottom="1440" w:gutter="0" w:footer="0" w:header="0"/>
        </w:sectPr>
      </w:pPr>
    </w:p>
    <w:bookmarkStart w:id="72" w:name="page73"/>
    <w:bookmarkEnd w:id="72"/>
    <w:p>
      <w:pPr>
        <w:spacing w:after="0" w:line="2" w:lineRule="exact"/>
        <w:rPr>
          <w:sz w:val="20"/>
          <w:szCs w:val="20"/>
          <w:color w:val="auto"/>
        </w:rPr>
      </w:pPr>
    </w:p>
    <w:p>
      <w:pPr>
        <w:ind w:right="420"/>
        <w:spacing w:after="0" w:line="268" w:lineRule="auto"/>
        <w:rPr>
          <w:sz w:val="20"/>
          <w:szCs w:val="20"/>
          <w:color w:val="auto"/>
        </w:rPr>
      </w:pPr>
      <w:r>
        <w:rPr>
          <w:rFonts w:ascii="Arial" w:cs="Arial" w:eastAsia="Arial" w:hAnsi="Arial"/>
          <w:sz w:val="16"/>
          <w:szCs w:val="16"/>
          <w:color w:val="auto"/>
        </w:rPr>
        <w:t>indebtedness, or take other actions. Additionally, the Voting Trust and the holders of our LT10 and LT50 common stock may cause us to make strategic decisions or pursue acquisitions that could involve risks to you or may not be aligned with your interests.</w:t>
      </w:r>
    </w:p>
    <w:p>
      <w:pPr>
        <w:spacing w:after="0" w:line="10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The members of the Executive Committee are expected to be directors who</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may also be our employees, and the Executive Committee will initially consist of , , , and . See “Management —Committees of our board of directors”.</w:t>
      </w:r>
    </w:p>
    <w:p>
      <w:pPr>
        <w:spacing w:after="0" w:line="329"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The concentrated control is also likely to have the effect of limiting the likelihood of an unsolicited merger proposal, unsolicited tender offer, or proxy contest for the removal of directors. As a result, our governance structure and the Voting Trust may have the effect of depriving our stockholders of an opportunity to sell their shares at a premium over prevailing market prices and make it more difficult to replace our directors and management.</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spacing w:after="0" w:line="91" w:lineRule="exact"/>
        <w:rPr>
          <w:sz w:val="20"/>
          <w:szCs w:val="20"/>
          <w:color w:val="auto"/>
        </w:rPr>
      </w:pPr>
    </w:p>
    <w:p>
      <w:pPr>
        <w:jc w:val="both"/>
        <w:ind w:right="60"/>
        <w:spacing w:after="0" w:line="274" w:lineRule="auto"/>
        <w:rPr>
          <w:sz w:val="20"/>
          <w:szCs w:val="20"/>
          <w:color w:val="auto"/>
        </w:rPr>
      </w:pPr>
      <w:r>
        <w:rPr>
          <w:rFonts w:ascii="Arial" w:cs="Arial" w:eastAsia="Arial" w:hAnsi="Arial"/>
          <w:sz w:val="16"/>
          <w:szCs w:val="16"/>
          <w:b w:val="1"/>
          <w:bCs w:val="1"/>
          <w:i w:val="1"/>
          <w:iCs w:val="1"/>
          <w:color w:val="auto"/>
        </w:rPr>
        <w:t>We are a “controlled company” within the meaning of Nasdaq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After this offering, the Voting Trust will control a majority of the voting power of our outstanding common stock. As a result, we will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spacing w:after="0" w:line="121"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Following this offering, we intend to rely on some or all of these exceptions. As a result, we will not have a majority of independent directors and we will not have a compensation and nominating and corporate governance committee. Accordingly, you will not have the same protections afforded to stockholders of companies that are subject to all of the corporate governance requirements of Nasdaq .</w:t>
      </w:r>
    </w:p>
    <w:p>
      <w:pPr>
        <w:spacing w:after="0" w:line="86" w:lineRule="exact"/>
        <w:rPr>
          <w:sz w:val="20"/>
          <w:szCs w:val="20"/>
          <w:color w:val="auto"/>
        </w:rPr>
      </w:pPr>
    </w:p>
    <w:p>
      <w:pPr>
        <w:ind w:right="600"/>
        <w:spacing w:after="0" w:line="294" w:lineRule="auto"/>
        <w:rPr>
          <w:sz w:val="20"/>
          <w:szCs w:val="20"/>
          <w:color w:val="auto"/>
        </w:rPr>
      </w:pPr>
      <w:r>
        <w:rPr>
          <w:rFonts w:ascii="Arial" w:cs="Arial" w:eastAsia="Arial" w:hAnsi="Arial"/>
          <w:sz w:val="16"/>
          <w:szCs w:val="16"/>
          <w:b w:val="1"/>
          <w:bCs w:val="1"/>
          <w:i w:val="1"/>
          <w:iCs w:val="1"/>
          <w:color w:val="auto"/>
        </w:rPr>
        <w:t>The multiple class structure of our common stock features certain provisions that are novel or uncommon among other corporations with multiple class structures.</w:t>
      </w:r>
    </w:p>
    <w:p>
      <w:pPr>
        <w:spacing w:after="0" w:line="93"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A number of provisions relating to the multiple class structure of our common stock are novel or uncommon among other corporations with multiple class structures. For example, whenever a holder of LT10 or LT50 common stock desires to transfer or convert shares of his or her LT10 or LT50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common stock, and such shares of LT10 or LT50 common stock will only convert into shares of Class A common stock if no such Class A stockholder is identified. As a result, shares of our LT10 and LT50 common stock may convert into shares of Class A common stock at a slower rate.</w:t>
      </w:r>
    </w:p>
    <w:p>
      <w:pPr>
        <w:spacing w:after="0" w:line="90" w:lineRule="exact"/>
        <w:rPr>
          <w:sz w:val="20"/>
          <w:szCs w:val="20"/>
          <w:color w:val="auto"/>
        </w:rPr>
      </w:pPr>
    </w:p>
    <w:p>
      <w:pPr>
        <w:ind w:left="3" w:right="440"/>
        <w:spacing w:after="0" w:line="294" w:lineRule="auto"/>
        <w:rPr>
          <w:sz w:val="20"/>
          <w:szCs w:val="20"/>
          <w:color w:val="auto"/>
        </w:rPr>
      </w:pPr>
      <w:r>
        <w:rPr>
          <w:rFonts w:ascii="Arial" w:cs="Arial" w:eastAsia="Arial" w:hAnsi="Arial"/>
          <w:sz w:val="16"/>
          <w:szCs w:val="16"/>
          <w:b w:val="1"/>
          <w:bCs w:val="1"/>
          <w:i w:val="1"/>
          <w:iCs w:val="1"/>
          <w:color w:val="auto"/>
        </w:rPr>
        <w:t>We cannot predict the impact our capital structure, governance structure, and the concentrated control by the Voting Trust may have on our stock price or business.</w:t>
      </w:r>
    </w:p>
    <w:p>
      <w:pPr>
        <w:spacing w:after="0" w:line="93" w:lineRule="exact"/>
        <w:rPr>
          <w:sz w:val="20"/>
          <w:szCs w:val="20"/>
          <w:color w:val="auto"/>
        </w:rPr>
      </w:pPr>
    </w:p>
    <w:p>
      <w:pPr>
        <w:ind w:left="3" w:right="80"/>
        <w:spacing w:after="0" w:line="255" w:lineRule="auto"/>
        <w:rPr>
          <w:sz w:val="20"/>
          <w:szCs w:val="20"/>
          <w:color w:val="auto"/>
        </w:rPr>
      </w:pPr>
      <w:r>
        <w:rPr>
          <w:rFonts w:ascii="Arial" w:cs="Arial" w:eastAsia="Arial" w:hAnsi="Arial"/>
          <w:sz w:val="16"/>
          <w:szCs w:val="16"/>
          <w:color w:val="auto"/>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 its indexes to have at least five percent of their voting rights in the hands of public stockholders. In addition, 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Risks related to this offering and ownership of our Class A common stock</w:t>
      </w:r>
    </w:p>
    <w:p>
      <w:pPr>
        <w:spacing w:after="0" w:line="132" w:lineRule="exact"/>
        <w:rPr>
          <w:sz w:val="20"/>
          <w:szCs w:val="20"/>
          <w:color w:val="auto"/>
        </w:rPr>
      </w:pPr>
    </w:p>
    <w:p>
      <w:pPr>
        <w:ind w:left="3" w:right="320"/>
        <w:spacing w:after="0" w:line="294" w:lineRule="auto"/>
        <w:rPr>
          <w:sz w:val="20"/>
          <w:szCs w:val="20"/>
          <w:color w:val="auto"/>
        </w:rPr>
      </w:pPr>
      <w:r>
        <w:rPr>
          <w:rFonts w:ascii="Arial" w:cs="Arial" w:eastAsia="Arial" w:hAnsi="Arial"/>
          <w:sz w:val="16"/>
          <w:szCs w:val="16"/>
          <w:b w:val="1"/>
          <w:bCs w:val="1"/>
          <w:i w:val="1"/>
          <w:iCs w:val="1"/>
          <w:color w:val="auto"/>
        </w:rPr>
        <w:t>No public market for our Class A common stock currently exists, and an active trading market may not develop or be sustained following this offering.</w:t>
      </w:r>
    </w:p>
    <w:p>
      <w:pPr>
        <w:spacing w:after="0" w:line="93" w:lineRule="exact"/>
        <w:rPr>
          <w:sz w:val="20"/>
          <w:szCs w:val="20"/>
          <w:color w:val="auto"/>
        </w:rPr>
      </w:pPr>
    </w:p>
    <w:p>
      <w:pPr>
        <w:ind w:left="3" w:right="60"/>
        <w:spacing w:after="0" w:line="257" w:lineRule="auto"/>
        <w:rPr>
          <w:sz w:val="20"/>
          <w:szCs w:val="20"/>
          <w:color w:val="auto"/>
        </w:rPr>
      </w:pPr>
      <w:r>
        <w:rPr>
          <w:rFonts w:ascii="Arial" w:cs="Arial" w:eastAsia="Arial" w:hAnsi="Arial"/>
          <w:sz w:val="16"/>
          <w:szCs w:val="16"/>
          <w:color w:val="auto"/>
        </w:rPr>
        <w:t>Prior to this offering, there has been no public market for our Class A common stock. Although we have applied to have our Class A common stock listed on Nasdaq,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share price may be volatile, and you may be unable to sell your shares at or above the offering price.</w:t>
      </w:r>
    </w:p>
    <w:p>
      <w:pPr>
        <w:spacing w:after="0" w:line="153"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The market price of our Class A common stock is likely to be volatile and could be subject to wide fluctuations in response to the risk factors described in this prospectus, and others beyond our control, including:</w:t>
      </w:r>
    </w:p>
    <w:p>
      <w:pPr>
        <w:spacing w:after="0" w:line="113" w:lineRule="exact"/>
        <w:rPr>
          <w:sz w:val="20"/>
          <w:szCs w:val="20"/>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impact of the COVID-19 pandemic and the end of the COVID-19 pandemic;</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actual or anticipated fluctuations in our results of operations;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actual or anticipated operating performance and the operating performance of our competitors;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the financial projections we provide to the public or our failure to meet these projections;</w:t>
      </w:r>
    </w:p>
    <w:p>
      <w:pPr>
        <w:spacing w:after="0" w:line="144" w:lineRule="exact"/>
        <w:rPr>
          <w:rFonts w:ascii="Arial" w:cs="Arial" w:eastAsia="Arial" w:hAnsi="Arial"/>
          <w:sz w:val="16"/>
          <w:szCs w:val="16"/>
          <w:color w:val="auto"/>
        </w:rPr>
      </w:pPr>
    </w:p>
    <w:p>
      <w:pPr>
        <w:ind w:left="283" w:right="140" w:hanging="283"/>
        <w:spacing w:after="0" w:line="268" w:lineRule="auto"/>
        <w:tabs>
          <w:tab w:leader="none" w:pos="2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3"/>
          </w:cols>
          <w:pgMar w:left="317" w:top="1440" w:right="339" w:bottom="1440" w:gutter="0" w:footer="0" w:header="0"/>
        </w:sectPr>
      </w:pPr>
    </w:p>
    <w:bookmarkStart w:id="74" w:name="page75"/>
    <w:bookmarkEnd w:id="74"/>
    <w:p>
      <w:pPr>
        <w:spacing w:after="0" w:line="2" w:lineRule="exact"/>
        <w:rPr>
          <w:sz w:val="20"/>
          <w:szCs w:val="20"/>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major change in our board of directors, management, or key personnel;</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economy as a whole in the United States and internationally, and market conditions in our industry;</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132"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innovations, new products, services, features, integrations, or capabilities, acquisitions, strategic investments, partnerships, joint ventures, or capital commitments;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legal and regulatory landscape and changes in the application of existing laws or adoption of new laws that impact our business;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legal and regulatory claims, litigation, or pre-litigation disputes and other proceedings;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in our capital structure;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sales or expected sales of our Class A common stock by us, our officers, directors, principal stockholders and employees.</w:t>
      </w:r>
    </w:p>
    <w:p>
      <w:pPr>
        <w:spacing w:after="0" w:line="133"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If the market price of our Class A common stock after this offering does not exceed the initial public offering price, you will not realize any return on your investment in us and will lose some or all of your investment. Stock prices of many companies, including technology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0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Future sales of our Class A common stock in the public market could cause our share price to fall.</w:t>
      </w:r>
    </w:p>
    <w:p>
      <w:pPr>
        <w:spacing w:after="0" w:line="165" w:lineRule="exact"/>
        <w:rPr>
          <w:sz w:val="20"/>
          <w:szCs w:val="20"/>
          <w:color w:val="auto"/>
        </w:rPr>
      </w:pPr>
    </w:p>
    <w:p>
      <w:pPr>
        <w:ind w:left="3" w:right="140"/>
        <w:spacing w:after="0" w:line="254" w:lineRule="auto"/>
        <w:rPr>
          <w:sz w:val="20"/>
          <w:szCs w:val="20"/>
          <w:color w:val="auto"/>
        </w:rPr>
      </w:pPr>
      <w:r>
        <w:rPr>
          <w:rFonts w:ascii="Arial" w:cs="Arial" w:eastAsia="Arial" w:hAnsi="Arial"/>
          <w:sz w:val="16"/>
          <w:szCs w:val="16"/>
          <w:color w:val="auto"/>
        </w:rPr>
        <w:t>Sales of a substantial number of shares of our Class A common stock in the public market after this offering, or the perception that these sales might occur in large quantities, could cause the market price of our Class A common stock to decline and could impair our ability to raise capital through the sale of</w:t>
      </w:r>
    </w:p>
    <w:p>
      <w:pPr>
        <w:ind w:left="723" w:right="600" w:hanging="721"/>
        <w:spacing w:after="0" w:line="268" w:lineRule="auto"/>
        <w:rPr>
          <w:sz w:val="20"/>
          <w:szCs w:val="20"/>
          <w:color w:val="auto"/>
        </w:rPr>
      </w:pPr>
      <w:r>
        <w:rPr>
          <w:rFonts w:ascii="Arial" w:cs="Arial" w:eastAsia="Arial" w:hAnsi="Arial"/>
          <w:sz w:val="16"/>
          <w:szCs w:val="16"/>
          <w:color w:val="auto"/>
        </w:rPr>
        <w:t>additional equity securities. Upon the completion of this offering, we will have</w:t>
      </w:r>
      <w:r>
        <w:rPr>
          <w:sz w:val="20"/>
          <w:szCs w:val="20"/>
          <w:color w:val="auto"/>
        </w:rPr>
        <w:t xml:space="preserve"> </w:t>
      </w:r>
      <w:r>
        <w:rPr>
          <w:rFonts w:ascii="Arial" w:cs="Arial" w:eastAsia="Arial" w:hAnsi="Arial"/>
          <w:sz w:val="16"/>
          <w:szCs w:val="16"/>
          <w:color w:val="auto"/>
        </w:rPr>
        <w:t>shares of Class A common stock outstanding, approximately shares of LT10 common stock outstanding and approximately shares of LT50 common stock outstanding.</w:t>
      </w:r>
    </w:p>
    <w:p>
      <w:pPr>
        <w:spacing w:after="0" w:line="101" w:lineRule="exact"/>
        <w:rPr>
          <w:sz w:val="20"/>
          <w:szCs w:val="20"/>
          <w:color w:val="auto"/>
        </w:rPr>
      </w:pPr>
    </w:p>
    <w:p>
      <w:pPr>
        <w:ind w:left="3"/>
        <w:spacing w:after="0"/>
        <w:tabs>
          <w:tab w:leader="none" w:pos="4062" w:val="left"/>
        </w:tabs>
        <w:rPr>
          <w:sz w:val="20"/>
          <w:szCs w:val="20"/>
          <w:color w:val="auto"/>
        </w:rPr>
      </w:pPr>
      <w:r>
        <w:rPr>
          <w:rFonts w:ascii="Arial" w:cs="Arial" w:eastAsia="Arial" w:hAnsi="Arial"/>
          <w:sz w:val="16"/>
          <w:szCs w:val="16"/>
          <w:color w:val="auto"/>
        </w:rPr>
        <w:t>All of our directors and officers and the holders of</w:t>
      </w:r>
      <w:r>
        <w:rPr>
          <w:sz w:val="20"/>
          <w:szCs w:val="20"/>
          <w:color w:val="auto"/>
        </w:rPr>
        <w:tab/>
      </w:r>
      <w:r>
        <w:rPr>
          <w:rFonts w:ascii="Arial" w:cs="Arial" w:eastAsia="Arial" w:hAnsi="Arial"/>
          <w:sz w:val="16"/>
          <w:szCs w:val="16"/>
          <w:color w:val="auto"/>
        </w:rPr>
        <w:t>of our capital stock and securities convertible into our capital stock are subject to lock-up</w:t>
      </w:r>
    </w:p>
    <w:p>
      <w:pPr>
        <w:spacing w:after="0" w:line="11" w:lineRule="exact"/>
        <w:rPr>
          <w:sz w:val="20"/>
          <w:szCs w:val="20"/>
          <w:color w:val="auto"/>
        </w:rPr>
      </w:pPr>
    </w:p>
    <w:p>
      <w:pPr>
        <w:ind w:left="3" w:right="80"/>
        <w:spacing w:after="0" w:line="254" w:lineRule="auto"/>
        <w:rPr>
          <w:sz w:val="20"/>
          <w:szCs w:val="20"/>
          <w:color w:val="auto"/>
        </w:rPr>
      </w:pPr>
      <w:r>
        <w:rPr>
          <w:rFonts w:ascii="Arial" w:cs="Arial" w:eastAsia="Arial" w:hAnsi="Arial"/>
          <w:sz w:val="16"/>
          <w:szCs w:val="16"/>
          <w:color w:val="auto"/>
        </w:rPr>
        <w:t>agreements that restrict their ability to transfer shares of our capital stock for 180 days from the date of this prospectus, subject to earlier termination as described under "Shares eligible for future sale—Lock-up agreements and other transfer restrictions". These lock-up agreements limit the number of shares</w:t>
      </w:r>
    </w:p>
    <w:p>
      <w:pPr>
        <w:ind w:left="3" w:right="100"/>
        <w:spacing w:after="0" w:line="258" w:lineRule="auto"/>
        <w:rPr>
          <w:sz w:val="20"/>
          <w:szCs w:val="20"/>
          <w:color w:val="auto"/>
        </w:rPr>
      </w:pPr>
      <w:r>
        <w:rPr>
          <w:rFonts w:ascii="Arial" w:cs="Arial" w:eastAsia="Arial" w:hAnsi="Arial"/>
          <w:sz w:val="16"/>
          <w:szCs w:val="16"/>
          <w:color w:val="auto"/>
        </w:rPr>
        <w:t>of capital stock that may be sold immediately following this offering. Subject to certain limitations, approximately shares of Class A common stock will become eligible for sale upon expiration of the 180-day lock-up period, or earlier, subject to earlier termination as described above. J.P. Morgan Securities LLC may, in their sole discretion, permit our stockholders who are subject to these lock-up agreements to sell shares prior to the expiration of the lock-up agreements. Our amended and restated certificate of incorporation imposes additional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23"/>
          </w:cols>
          <w:pgMar w:left="317" w:top="1440" w:right="359" w:bottom="1440" w:gutter="0" w:footer="0" w:header="0"/>
        </w:sectPr>
      </w:pPr>
    </w:p>
    <w:bookmarkStart w:id="75" w:name="page76"/>
    <w:bookmarkEnd w:id="75"/>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restrictions on shares of our LT10 and LT50 common stock, as described under "Description of capital stock."</w:t>
      </w:r>
    </w:p>
    <w:p>
      <w:pPr>
        <w:spacing w:after="0" w:line="133"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(“Rule 144”).</w:t>
      </w:r>
    </w:p>
    <w:p>
      <w:pPr>
        <w:spacing w:after="0" w:line="113"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In addition, there were 856,523 shares of Class A common stock issuable upon the exercise of options outstanding as of June 30, 2021. We intend to register all of the shares of Class A common stock issuable upon exercise of outstanding options, RSUs or other equity incentives we may grant in the future, for public resale under the Securities Act. The shares of Class A common stock will become eligible for sale in the public market to the extent such options, RSUs or other equity awards are exercised, subject to the lock-up agreements described above and compliance with applicable securities laws.</w:t>
      </w:r>
    </w:p>
    <w:p>
      <w:pPr>
        <w:spacing w:after="0" w:line="122"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interest rates may cause the market price of our Class A common stock to decline.</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Interest rates are at or near record lows. Increases in interest rates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spacing w:after="0" w:line="98" w:lineRule="exact"/>
        <w:rPr>
          <w:sz w:val="20"/>
          <w:szCs w:val="20"/>
          <w:color w:val="auto"/>
        </w:rPr>
      </w:pPr>
    </w:p>
    <w:p>
      <w:pPr>
        <w:ind w:right="700"/>
        <w:spacing w:after="0" w:line="294" w:lineRule="auto"/>
        <w:rPr>
          <w:sz w:val="20"/>
          <w:szCs w:val="20"/>
          <w:color w:val="auto"/>
        </w:rPr>
      </w:pPr>
      <w:r>
        <w:rPr>
          <w:rFonts w:ascii="Arial" w:cs="Arial" w:eastAsia="Arial" w:hAnsi="Arial"/>
          <w:sz w:val="16"/>
          <w:szCs w:val="16"/>
          <w:b w:val="1"/>
          <w:bCs w:val="1"/>
          <w:i w:val="1"/>
          <w:iCs w:val="1"/>
          <w:color w:val="auto"/>
        </w:rPr>
        <w:t>Our management has broad discretion in the use of the net proceeds received by us from this offering and may not use the net proceeds effectively.</w:t>
      </w:r>
    </w:p>
    <w:p>
      <w:pPr>
        <w:spacing w:after="0" w:line="8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Our management will have broad discretion in the application of the net proceeds received by the Company in connection with this offering, which may include working capital, operating expenses and capital expenditures. We cannot specify with certainty the uses to which we will apply these net proceeds. The failure by our management to apply these funds effectively could adversely affect our ability to pursue our growth strategies and expand our business.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shares of our Class A common stock in this offering, you will incur immediate and substantial dilution.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offering price of our Class A common stock is substantially higher than the net tangible book value per share of our Class A common stock, which was</w:t>
      </w:r>
    </w:p>
    <w:p>
      <w:pPr>
        <w:spacing w:after="0" w:line="11"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 per share of our Class A common stock as of ,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common stock that are outstanding or that we may issue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future are exercised or converted or we issue additional shares of our common stock at prices lower than our net tangible book value at such time. See “Dilution.”</w:t>
      </w:r>
    </w:p>
    <w:p>
      <w:pPr>
        <w:spacing w:after="0" w:line="81" w:lineRule="exact"/>
        <w:rPr>
          <w:sz w:val="20"/>
          <w:szCs w:val="20"/>
          <w:color w:val="auto"/>
        </w:rPr>
      </w:pPr>
    </w:p>
    <w:p>
      <w:pPr>
        <w:ind w:left="3" w:right="400"/>
        <w:spacing w:after="0" w:line="274" w:lineRule="auto"/>
        <w:rPr>
          <w:sz w:val="20"/>
          <w:szCs w:val="20"/>
          <w:color w:val="auto"/>
        </w:rPr>
      </w:pPr>
      <w:r>
        <w:rPr>
          <w:rFonts w:ascii="Arial" w:cs="Arial" w:eastAsia="Arial" w:hAnsi="Arial"/>
          <w:sz w:val="16"/>
          <w:szCs w:val="16"/>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08"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We may issue additional securities following the completion of this offering. 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 subsequent transactions could gain rights, preferences and privileges senior to those of holders of our Class A common stock.</w:t>
      </w:r>
    </w:p>
    <w:p>
      <w:pPr>
        <w:spacing w:after="0" w:line="101" w:lineRule="exact"/>
        <w:rPr>
          <w:sz w:val="20"/>
          <w:szCs w:val="20"/>
          <w:color w:val="auto"/>
        </w:rPr>
      </w:pPr>
    </w:p>
    <w:p>
      <w:pPr>
        <w:ind w:left="3" w:right="620"/>
        <w:spacing w:after="0" w:line="294" w:lineRule="auto"/>
        <w:rPr>
          <w:sz w:val="20"/>
          <w:szCs w:val="20"/>
          <w:color w:val="auto"/>
        </w:rPr>
      </w:pPr>
      <w:r>
        <w:rPr>
          <w:rFonts w:ascii="Arial" w:cs="Arial" w:eastAsia="Arial" w:hAnsi="Arial"/>
          <w:sz w:val="16"/>
          <w:szCs w:val="16"/>
          <w:b w:val="1"/>
          <w:bCs w:val="1"/>
          <w:i w:val="1"/>
          <w:iCs w:val="1"/>
          <w:color w:val="auto"/>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spacing w:after="0" w:line="81" w:lineRule="exact"/>
        <w:rPr>
          <w:sz w:val="20"/>
          <w:szCs w:val="20"/>
          <w:color w:val="auto"/>
        </w:rPr>
      </w:pPr>
    </w:p>
    <w:p>
      <w:pPr>
        <w:ind w:left="3" w:right="80"/>
        <w:spacing w:after="0" w:line="261" w:lineRule="auto"/>
        <w:rPr>
          <w:sz w:val="20"/>
          <w:szCs w:val="20"/>
          <w:color w:val="auto"/>
        </w:rPr>
      </w:pPr>
      <w:r>
        <w:rPr>
          <w:rFonts w:ascii="Arial" w:cs="Arial" w:eastAsia="Arial" w:hAnsi="Arial"/>
          <w:sz w:val="16"/>
          <w:szCs w:val="16"/>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Our corporate governance documents include provisions:</w:t>
      </w:r>
    </w:p>
    <w:p>
      <w:pPr>
        <w:spacing w:after="0" w:line="118" w:lineRule="exact"/>
        <w:rPr>
          <w:sz w:val="20"/>
          <w:szCs w:val="20"/>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authorizing blank check preferred stock, which could be issued with voting, liquidation, dividend and other rights superior to our common stock;</w:t>
      </w:r>
    </w:p>
    <w:p>
      <w:pPr>
        <w:spacing w:after="0" w:line="144" w:lineRule="exact"/>
        <w:rPr>
          <w:rFonts w:ascii="Arial" w:cs="Arial" w:eastAsia="Arial" w:hAnsi="Arial"/>
          <w:sz w:val="16"/>
          <w:szCs w:val="16"/>
          <w:color w:val="auto"/>
        </w:rPr>
      </w:pPr>
    </w:p>
    <w:p>
      <w:pPr>
        <w:ind w:left="283" w:right="340" w:hanging="283"/>
        <w:spacing w:after="0" w:line="268" w:lineRule="auto"/>
        <w:tabs>
          <w:tab w:leader="none" w:pos="278" w:val="left"/>
        </w:tabs>
        <w:numPr>
          <w:ilvl w:val="0"/>
          <w:numId w:val="43"/>
        </w:numPr>
        <w:rPr>
          <w:rFonts w:ascii="Arial" w:cs="Arial" w:eastAsia="Arial" w:hAnsi="Arial"/>
          <w:sz w:val="16"/>
          <w:szCs w:val="16"/>
          <w:color w:val="auto"/>
        </w:rPr>
      </w:pPr>
      <w:r>
        <w:rPr>
          <w:rFonts w:ascii="Arial" w:cs="Arial" w:eastAsia="Arial" w:hAnsi="Arial"/>
          <w:sz w:val="16"/>
          <w:szCs w:val="16"/>
          <w:color w:val="auto"/>
        </w:rPr>
        <w:t>eliminating the ability of our stockholders to take action by consent in lieu of a meeting following the date on which the Voting Trust holds less than a majority of the voting power of our outstanding capital stock;</w:t>
      </w:r>
    </w:p>
    <w:p>
      <w:pPr>
        <w:spacing w:after="0" w:line="100" w:lineRule="exact"/>
        <w:rPr>
          <w:rFonts w:ascii="Arial" w:cs="Arial" w:eastAsia="Arial" w:hAnsi="Arial"/>
          <w:sz w:val="16"/>
          <w:szCs w:val="16"/>
          <w:color w:val="auto"/>
        </w:rPr>
      </w:pPr>
    </w:p>
    <w:p>
      <w:pPr>
        <w:ind w:left="283" w:right="240" w:hanging="283"/>
        <w:spacing w:after="0" w:line="268" w:lineRule="auto"/>
        <w:tabs>
          <w:tab w:leader="none" w:pos="278"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requiring advance notice of stockholder proposals for business to be conducted at meetings of our stockholders and for nominations of candidates for election to our board of directors;</w:t>
      </w:r>
    </w:p>
    <w:p>
      <w:pPr>
        <w:spacing w:after="0" w:line="112"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maintaining our current multi-class structure;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limiting the liability of, and providing indemnification to, our directors and officers.</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w:t>
      </w:r>
    </w:p>
    <w:p>
      <w:pPr>
        <w:spacing w:after="0" w:line="145" w:lineRule="exact"/>
        <w:rPr>
          <w:sz w:val="20"/>
          <w:szCs w:val="20"/>
          <w:color w:val="auto"/>
        </w:rPr>
      </w:pPr>
    </w:p>
    <w:p>
      <w:pPr>
        <w:ind w:left="3" w:right="380"/>
        <w:spacing w:after="0" w:line="26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06"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3"/>
          </w:cols>
          <w:pgMar w:left="317" w:top="1440" w:right="339" w:bottom="1440" w:gutter="0" w:footer="0" w:header="0"/>
        </w:sectPr>
      </w:pPr>
    </w:p>
    <w:bookmarkStart w:id="77" w:name="page78"/>
    <w:bookmarkEnd w:id="77"/>
    <w:p>
      <w:pPr>
        <w:spacing w:after="0" w:line="2" w:lineRule="exact"/>
        <w:rPr>
          <w:sz w:val="20"/>
          <w:szCs w:val="20"/>
          <w:color w:val="auto"/>
        </w:rPr>
      </w:pPr>
    </w:p>
    <w:p>
      <w:pPr>
        <w:ind w:left="3" w:right="280"/>
        <w:spacing w:after="0" w:line="268" w:lineRule="auto"/>
        <w:rPr>
          <w:sz w:val="20"/>
          <w:szCs w:val="20"/>
          <w:color w:val="auto"/>
        </w:rPr>
      </w:pPr>
      <w:r>
        <w:rPr>
          <w:rFonts w:ascii="Arial" w:cs="Arial" w:eastAsia="Arial" w:hAnsi="Arial"/>
          <w:sz w:val="16"/>
          <w:szCs w:val="16"/>
          <w:color w:val="auto"/>
        </w:rPr>
        <w:t>price that some investors are willing to pay for our Class A common stock. For more information, see the section titled "Description of capital stock—Anti-takeover provisions."</w:t>
      </w:r>
    </w:p>
    <w:p>
      <w:pPr>
        <w:spacing w:after="0" w:line="81" w:lineRule="exact"/>
        <w:rPr>
          <w:sz w:val="20"/>
          <w:szCs w:val="20"/>
          <w:color w:val="auto"/>
        </w:rPr>
      </w:pPr>
    </w:p>
    <w:p>
      <w:pPr>
        <w:ind w:left="3" w:right="260"/>
        <w:spacing w:after="0" w:line="294" w:lineRule="auto"/>
        <w:rPr>
          <w:sz w:val="20"/>
          <w:szCs w:val="20"/>
          <w:color w:val="auto"/>
        </w:rPr>
      </w:pPr>
      <w:r>
        <w:rPr>
          <w:rFonts w:ascii="Arial" w:cs="Arial" w:eastAsia="Arial" w:hAnsi="Arial"/>
          <w:sz w:val="16"/>
          <w:szCs w:val="16"/>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93"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Our amended and restated certificate of incorporation and amended and restated bylaws, which will become effective immediately prior to the effectiveness of the registration statement on Form S-1, of which this prospectus is a part, provide that we will indemnify our directors and officers, in each case to the fullest extent permitted by Delaware law.</w:t>
      </w:r>
    </w:p>
    <w:p>
      <w:pPr>
        <w:spacing w:after="0" w:line="118"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01" w:lineRule="exact"/>
        <w:rPr>
          <w:sz w:val="20"/>
          <w:szCs w:val="20"/>
          <w:color w:val="auto"/>
        </w:rPr>
      </w:pPr>
    </w:p>
    <w:p>
      <w:pPr>
        <w:ind w:left="283" w:right="60" w:hanging="283"/>
        <w:spacing w:after="0" w:line="258"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2" w:lineRule="exact"/>
        <w:rPr>
          <w:rFonts w:ascii="Arial" w:cs="Arial" w:eastAsia="Arial" w:hAnsi="Arial"/>
          <w:sz w:val="16"/>
          <w:szCs w:val="16"/>
          <w:color w:val="auto"/>
        </w:rPr>
      </w:pPr>
    </w:p>
    <w:p>
      <w:pPr>
        <w:ind w:left="283" w:hanging="283"/>
        <w:spacing w:after="0"/>
        <w:tabs>
          <w:tab w:leader="none" w:pos="2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4"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00"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2" w:lineRule="exact"/>
        <w:rPr>
          <w:rFonts w:ascii="Arial" w:cs="Arial" w:eastAsia="Arial" w:hAnsi="Arial"/>
          <w:sz w:val="16"/>
          <w:szCs w:val="16"/>
          <w:color w:val="auto"/>
        </w:rPr>
      </w:pPr>
    </w:p>
    <w:p>
      <w:pPr>
        <w:ind w:left="283" w:right="200" w:hanging="283"/>
        <w:spacing w:after="0" w:line="268"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not retroactively amend our amended and restated bylaw provisions to reduce our indemnification obligations to directors, officers, employees and agents.</w:t>
      </w:r>
    </w:p>
    <w:p>
      <w:pPr>
        <w:spacing w:after="0" w:line="113"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81" w:lineRule="exact"/>
        <w:rPr>
          <w:sz w:val="20"/>
          <w:szCs w:val="20"/>
          <w:color w:val="auto"/>
        </w:rPr>
      </w:pPr>
    </w:p>
    <w:p>
      <w:pPr>
        <w:ind w:left="3" w:right="100"/>
        <w:spacing w:after="0" w:line="267"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15"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(or, if such court does not have subject matter jurisdiction thereof, the federal district court of the State of Delaware) is the 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43"/>
          </w:cols>
          <w:pgMar w:left="317" w:top="1440" w:right="339" w:bottom="1440" w:gutter="0" w:footer="0" w:header="0"/>
        </w:sectPr>
      </w:pPr>
    </w:p>
    <w:bookmarkStart w:id="78" w:name="page79"/>
    <w:bookmarkEnd w:id="78"/>
    <w:p>
      <w:pPr>
        <w:spacing w:after="0" w:line="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 incorporation will also provide that the federal district courts of the United States of America will be the exclusive forum for the resolution of any complaint asserting a cause of action against us or any of our directors, officers, or employees arising under the Securities Act.</w:t>
      </w:r>
    </w:p>
    <w:p>
      <w:pPr>
        <w:spacing w:after="0" w:line="11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risk factors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accounting principles generally accepted in the United States.</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("FASB"), the American Institute of Certified Public Accountants, the Securities and Exchange Commission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02"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which could be as long as five years following the completion of our listing on Nasdaq, we may choose to take advantage of certain exemptions from various reporting requirements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8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9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As a public company, we are subject to the reporting requirements of the Exchange Act, the listing standards of Nasdaq and other applicable securities rules and regulations. We expect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30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unfavorable research about our business, our stock price and trading volume could decline.</w:t>
      </w:r>
    </w:p>
    <w:p>
      <w:pPr>
        <w:spacing w:after="0" w:line="9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1440" w:right="339" w:bottom="1440" w:gutter="0" w:footer="0" w:header="0"/>
        </w:sectPr>
      </w:pPr>
    </w:p>
    <w:bookmarkStart w:id="80" w:name="page81"/>
    <w:bookmarkEnd w:id="80"/>
    <w:p>
      <w:pPr>
        <w:ind w:left="3"/>
        <w:spacing w:after="0"/>
        <w:rPr>
          <w:sz w:val="20"/>
          <w:szCs w:val="20"/>
          <w:color w:val="auto"/>
        </w:rPr>
      </w:pPr>
      <w:r>
        <w:rPr>
          <w:rFonts w:ascii="Arial" w:cs="Arial" w:eastAsia="Arial" w:hAnsi="Arial"/>
          <w:sz w:val="26"/>
          <w:szCs w:val="26"/>
          <w:b w:val="1"/>
          <w:bCs w:val="1"/>
          <w:color w:val="auto"/>
        </w:rPr>
        <w:t>Cautionary note regarding forward-looking statements</w:t>
      </w:r>
    </w:p>
    <w:p>
      <w:pPr>
        <w:spacing w:after="0" w:line="296"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24" w:lineRule="exact"/>
        <w:rPr>
          <w:sz w:val="20"/>
          <w:szCs w:val="20"/>
          <w:color w:val="auto"/>
        </w:rPr>
      </w:pPr>
    </w:p>
    <w:p>
      <w:pPr>
        <w:ind w:left="283" w:right="26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effects of the COVID-19 pandemic and the end of the COVID-19 pandemic on our business, results of operations and financial condition, and the global economy generally;</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expectations regarding our financial performance and future operating performance;</w:t>
      </w:r>
    </w:p>
    <w:p>
      <w:pPr>
        <w:spacing w:after="0" w:line="144"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attract and retain members, expand usage of our platform, sell subscriptions to our platform and convert individuals and organizations into paying customers;</w:t>
      </w:r>
    </w:p>
    <w:p>
      <w:pPr>
        <w:spacing w:after="0" w:line="112"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timing and success of new features, integrations, capabilities and enhancements by us, or by competitors to their products, or any other changes in the competitive landscape of our market;</w:t>
      </w:r>
    </w:p>
    <w:p>
      <w:pPr>
        <w:spacing w:after="0" w:line="100"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 and timing of operating expenses and capital expenditures that we may incur to maintain and expand our business and operations to remain competitive;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sufficiency of our cash, cash equivalents and investments to meet our liquidity needs;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make required payments under and to comply with the various requirements of our current and future indebtedness;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effectively manage our exposure to fluctuations in foreign currency exchange rates;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increased expenses associated with being a public company;</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size of our addressable markets, market share and market trends;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anticipated trends, developments and challenges in our industry, business and the highly competitive markets in which we operate;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expectations regarding our income tax liabilities and the adequacy of our reserves;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effectively manage our growth and expand our infrastructure and maintain our corporate culture;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identify, recruit and retain skilled personnel, including key members of senior management;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safety, affordability and convenience of our platform and our offerings;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successfully defend litigation brought against us;</w:t>
      </w:r>
    </w:p>
    <w:p>
      <w:pPr>
        <w:spacing w:after="0" w:line="144" w:lineRule="exact"/>
        <w:rPr>
          <w:rFonts w:ascii="Arial" w:cs="Arial" w:eastAsia="Arial" w:hAnsi="Arial"/>
          <w:sz w:val="16"/>
          <w:szCs w:val="16"/>
          <w:color w:val="auto"/>
        </w:rPr>
      </w:pPr>
    </w:p>
    <w:p>
      <w:pPr>
        <w:ind w:left="283" w:right="60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successfully identify, manage and integrate any existing and potential acquisitions of businesses, talent, technologies or intellectual property;</w:t>
      </w:r>
    </w:p>
    <w:p>
      <w:pPr>
        <w:spacing w:after="0" w:line="112" w:lineRule="exact"/>
        <w:rPr>
          <w:rFonts w:ascii="Arial" w:cs="Arial" w:eastAsia="Arial" w:hAnsi="Arial"/>
          <w:sz w:val="16"/>
          <w:szCs w:val="16"/>
          <w:color w:val="auto"/>
        </w:rPr>
      </w:pPr>
    </w:p>
    <w:p>
      <w:pPr>
        <w:ind w:left="283" w:right="26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general economic conditions in either domestic or international markets, including the societal and economic impact of the COVID-19 pandemic, and geopolitical uncertainty and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03"/>
          </w:cols>
          <w:pgMar w:left="317" w:top="1407" w:right="379" w:bottom="1440" w:gutter="0" w:footer="0" w:header="0"/>
        </w:sectPr>
      </w:pPr>
    </w:p>
    <w:bookmarkStart w:id="81" w:name="page82"/>
    <w:bookmarkEnd w:id="81"/>
    <w:p>
      <w:pPr>
        <w:spacing w:after="0" w:line="2" w:lineRule="exact"/>
        <w:rPr>
          <w:sz w:val="20"/>
          <w:szCs w:val="20"/>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protections against security breaches, technical difficulties, or interruptions to our platform;</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intended use of the net proceeds from this offering.</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caution you that the foregoing list does not contain all of the forward-looking statements made in this prospectus.</w:t>
      </w:r>
    </w:p>
    <w:p>
      <w:pPr>
        <w:spacing w:after="0" w:line="13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32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23"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0"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3"/>
          </w:cols>
          <w:pgMar w:left="317" w:top="1440" w:right="339" w:bottom="1440" w:gutter="0" w:footer="0" w:header="0"/>
        </w:sectPr>
      </w:pPr>
    </w:p>
    <w:bookmarkStart w:id="82" w:name="page83"/>
    <w:bookmarkEnd w:id="82"/>
    <w:p>
      <w:pPr>
        <w:spacing w:after="0"/>
        <w:rPr>
          <w:sz w:val="20"/>
          <w:szCs w:val="20"/>
          <w:color w:val="auto"/>
        </w:rPr>
      </w:pPr>
      <w:r>
        <w:rPr>
          <w:rFonts w:ascii="Arial" w:cs="Arial" w:eastAsia="Arial" w:hAnsi="Arial"/>
          <w:sz w:val="26"/>
          <w:szCs w:val="26"/>
          <w:b w:val="1"/>
          <w:bCs w:val="1"/>
          <w:color w:val="auto"/>
        </w:rPr>
        <w:t>Market and industry data</w:t>
      </w:r>
    </w:p>
    <w:p>
      <w:pPr>
        <w:spacing w:after="0" w:line="29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1407" w:right="339" w:bottom="1440" w:gutter="0" w:footer="0" w:header="0"/>
        </w:sectPr>
      </w:pPr>
    </w:p>
    <w:bookmarkStart w:id="83" w:name="page84"/>
    <w:bookmarkEnd w:id="83"/>
    <w:p>
      <w:pPr>
        <w:spacing w:after="0"/>
        <w:rPr>
          <w:sz w:val="20"/>
          <w:szCs w:val="20"/>
          <w:color w:val="auto"/>
        </w:rPr>
      </w:pPr>
      <w:r>
        <w:rPr>
          <w:rFonts w:ascii="Arial" w:cs="Arial" w:eastAsia="Arial" w:hAnsi="Arial"/>
          <w:sz w:val="26"/>
          <w:szCs w:val="26"/>
          <w:b w:val="1"/>
          <w:bCs w:val="1"/>
          <w:color w:val="auto"/>
        </w:rPr>
        <w:t>Use of proceeds</w:t>
      </w:r>
    </w:p>
    <w:p>
      <w:pPr>
        <w:spacing w:after="0" w:line="296"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color w:val="auto"/>
        </w:rPr>
        <w:t>We estimate that the net proceeds to us from this offering will be approximately $ , or $ if the underwriters exercise their option to purchase additional shares of Class A common stock in full, based upon an assumed initial public offering price of $ per share, which is the midpoint of the</w:t>
      </w:r>
    </w:p>
    <w:p>
      <w:pPr>
        <w:ind w:right="300"/>
        <w:spacing w:after="0" w:line="268" w:lineRule="auto"/>
        <w:rPr>
          <w:sz w:val="20"/>
          <w:szCs w:val="20"/>
          <w:color w:val="auto"/>
        </w:rPr>
      </w:pPr>
      <w:r>
        <w:rPr>
          <w:rFonts w:ascii="Arial" w:cs="Arial" w:eastAsia="Arial" w:hAnsi="Arial"/>
          <w:sz w:val="16"/>
          <w:szCs w:val="16"/>
          <w:color w:val="auto"/>
        </w:rPr>
        <w:t>price range set forth on the cover page of this prospectus, and after deducting underwriting discounts and commissions and estimated offering expenses payable by us. We will not receive proceeds from the sale of Class A common stock sold by the selling stockholders in this offering.</w:t>
      </w:r>
    </w:p>
    <w:p>
      <w:pPr>
        <w:spacing w:after="0" w:line="113"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Each $1.00 increase or decrease in the assumed initial public offering price per share of $ , which is the midpoint of the price range set forth on the cover page of this prospectus, would increase or decrease, as applicable, the net proceeds to us from this offering by approximately $ million,</w:t>
      </w:r>
    </w:p>
    <w:p>
      <w:pPr>
        <w:ind w:right="180"/>
        <w:spacing w:after="0" w:line="254" w:lineRule="auto"/>
        <w:rPr>
          <w:sz w:val="20"/>
          <w:szCs w:val="20"/>
          <w:color w:val="auto"/>
        </w:rPr>
      </w:pPr>
      <w:r>
        <w:rPr>
          <w:rFonts w:ascii="Arial" w:cs="Arial" w:eastAsia="Arial" w:hAnsi="Arial"/>
          <w:sz w:val="16"/>
          <w:szCs w:val="16"/>
          <w:color w:val="auto"/>
        </w:rPr>
        <w:t>assuming the number of shares of Class A common stock offered by us, as set forth on the cover page of this prospectus, remains the same and after deducting underwriting discounts and commissions and estimated offering expenses payable by us. Similarly, each 1.0 million share increase or decrease, as applicable, in the number of shares of Class A common stock offered by us in this offering would increase or decrease the net proceeds to us from this</w:t>
      </w:r>
    </w:p>
    <w:p>
      <w:pPr>
        <w:ind w:right="100"/>
        <w:spacing w:after="0" w:line="268" w:lineRule="auto"/>
        <w:rPr>
          <w:sz w:val="20"/>
          <w:szCs w:val="20"/>
          <w:color w:val="auto"/>
        </w:rPr>
      </w:pPr>
      <w:r>
        <w:rPr>
          <w:rFonts w:ascii="Arial" w:cs="Arial" w:eastAsia="Arial" w:hAnsi="Arial"/>
          <w:sz w:val="16"/>
          <w:szCs w:val="16"/>
          <w:color w:val="auto"/>
        </w:rPr>
        <w:t>offering by approximately $ 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The principal purposes of this offering are to increase our capitalization and financial flexibility and to create a public market for our common stock.</w:t>
      </w:r>
    </w:p>
    <w:p>
      <w:pPr>
        <w:spacing w:after="0" w:line="145"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We currently intend to use the net proceeds from this offering for general corporate purposes, including working capital, operating expenses and capital expenditures.</w:t>
      </w:r>
    </w:p>
    <w:p>
      <w:pPr>
        <w:spacing w:after="0" w:line="113"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We also intend on using a portion of the net proceeds we receive from this offering to pay discretionary cash bonuses to our employees during the fourth quarter of the year ended December 31, 2021, in an amount currently estimated to range from $ 30.8 million to $35.5 million (as described under "Management's discussion and analysis of financial condition and results of operations—Critical accounting policies and estimates—Cash bonuses").</w:t>
      </w:r>
    </w:p>
    <w:p>
      <w:pPr>
        <w:spacing w:after="0" w:line="10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w:t>
      </w:r>
    </w:p>
    <w:p>
      <w:pPr>
        <w:spacing w:after="0" w:line="12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1407" w:right="339" w:bottom="1440" w:gutter="0" w:footer="0" w:header="0"/>
        </w:sectPr>
      </w:pPr>
    </w:p>
    <w:bookmarkStart w:id="84" w:name="page85"/>
    <w:bookmarkEnd w:id="84"/>
    <w:p>
      <w:pPr>
        <w:ind w:left="3"/>
        <w:spacing w:after="0"/>
        <w:rPr>
          <w:sz w:val="20"/>
          <w:szCs w:val="20"/>
          <w:color w:val="auto"/>
        </w:rPr>
      </w:pPr>
      <w:r>
        <w:rPr>
          <w:rFonts w:ascii="Arial" w:cs="Arial" w:eastAsia="Arial" w:hAnsi="Arial"/>
          <w:sz w:val="26"/>
          <w:szCs w:val="26"/>
          <w:b w:val="1"/>
          <w:bCs w:val="1"/>
          <w:color w:val="auto"/>
        </w:rPr>
        <w:t>Capitalization</w:t>
      </w:r>
    </w:p>
    <w:p>
      <w:pPr>
        <w:spacing w:after="0" w:line="29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our cash and cash equivalents and capitalization as of June 30, 2021:</w:t>
      </w:r>
    </w:p>
    <w:p>
      <w:pPr>
        <w:spacing w:after="0" w:line="145" w:lineRule="exact"/>
        <w:rPr>
          <w:sz w:val="20"/>
          <w:szCs w:val="20"/>
          <w:color w:val="auto"/>
        </w:rPr>
      </w:pPr>
    </w:p>
    <w:p>
      <w:pPr>
        <w:ind w:left="283" w:hanging="283"/>
        <w:spacing w:after="0"/>
        <w:tabs>
          <w:tab w:leader="none" w:pos="283"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32" w:lineRule="exact"/>
        <w:rPr>
          <w:rFonts w:ascii="Arial" w:cs="Arial" w:eastAsia="Arial" w:hAnsi="Arial"/>
          <w:sz w:val="16"/>
          <w:szCs w:val="16"/>
          <w:color w:val="auto"/>
        </w:rPr>
      </w:pPr>
    </w:p>
    <w:p>
      <w:pPr>
        <w:ind w:left="283" w:right="20" w:hanging="283"/>
        <w:spacing w:after="0" w:line="254" w:lineRule="auto"/>
        <w:tabs>
          <w:tab w:leader="none" w:pos="278"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a pro forma basis, giving effect to (i) the automatic conversion of all outstanding shares of our convertible preferred stock into an aggregate of 4,203,139 shares of our Class A common stock immediately prior to the completion of this offering; (ii) the reclassification of all outstanding shares of our common stock into an equivalent number of shares of Class A common stock, which will occur in connection with the filing and effectiveness of an amendment to our current amended and restated certificate of incorporation immediately prior to the effectiveness of the registration statement on Form</w:t>
      </w:r>
    </w:p>
    <w:p>
      <w:pPr>
        <w:sectPr>
          <w:pgSz w:w="11900" w:h="16838" w:orient="portrait"/>
          <w:cols w:equalWidth="0" w:num="1">
            <w:col w:w="11263"/>
          </w:cols>
          <w:pgMar w:left="317" w:top="1407" w:right="319" w:bottom="1440" w:gutter="0" w:footer="0" w:header="0"/>
        </w:sectPr>
      </w:pPr>
    </w:p>
    <w:p>
      <w:pPr>
        <w:spacing w:after="0" w:line="1" w:lineRule="exact"/>
        <w:rPr>
          <w:sz w:val="20"/>
          <w:szCs w:val="20"/>
          <w:color w:val="auto"/>
        </w:rPr>
      </w:pPr>
    </w:p>
    <w:p>
      <w:pPr>
        <w:ind w:left="283" w:right="140"/>
        <w:spacing w:after="0" w:line="258" w:lineRule="auto"/>
        <w:rPr>
          <w:sz w:val="20"/>
          <w:szCs w:val="20"/>
          <w:color w:val="auto"/>
        </w:rPr>
      </w:pPr>
      <w:r>
        <w:rPr>
          <w:rFonts w:ascii="Arial" w:cs="Arial" w:eastAsia="Arial" w:hAnsi="Arial"/>
          <w:sz w:val="16"/>
          <w:szCs w:val="16"/>
          <w:color w:val="auto"/>
        </w:rPr>
        <w:t>S-1, of which this prospectus is a part; (iii) the completion of the Exchange Offer, pursuant to which an aggregate of shares of our Class A common stock will be exchanged for and newly issued shares of our LT10 and LT50 common stock, respectively; (iv) the exercise of outstanding stock options pursuant to the Option Exercise, which will occur prior to the completion of the Exchange Offer; and (v) the filing and effectiveness of our amended and restated certificate of incorporation immediately prior to the completion of this offering; and</w:t>
      </w:r>
    </w:p>
    <w:p>
      <w:pPr>
        <w:sectPr>
          <w:pgSz w:w="11900" w:h="16838" w:orient="portrait"/>
          <w:cols w:equalWidth="0" w:num="1">
            <w:col w:w="11263"/>
          </w:cols>
          <w:pgMar w:left="317" w:top="1407" w:right="319" w:bottom="1440" w:gutter="0" w:footer="0" w:header="0"/>
          <w:type w:val="continuous"/>
        </w:sectPr>
      </w:pPr>
    </w:p>
    <w:p>
      <w:pPr>
        <w:spacing w:after="0" w:line="122"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20" w:hanging="3"/>
        <w:spacing w:after="0" w:line="254" w:lineRule="auto"/>
        <w:rPr>
          <w:sz w:val="20"/>
          <w:szCs w:val="20"/>
          <w:color w:val="auto"/>
        </w:rPr>
      </w:pPr>
      <w:r>
        <w:rPr>
          <w:rFonts w:ascii="Arial" w:cs="Arial" w:eastAsia="Arial" w:hAnsi="Arial"/>
          <w:sz w:val="16"/>
          <w:szCs w:val="16"/>
          <w:color w:val="auto"/>
        </w:rPr>
        <w:t>on a pro forma as adjusted basis, giving effect to (i) the pro forma adjustments described above and (ii) the issuance and sale by us of</w:t>
      </w:r>
      <w:r>
        <w:rPr>
          <w:sz w:val="20"/>
          <w:szCs w:val="20"/>
          <w:color w:val="auto"/>
        </w:rPr>
        <w:t xml:space="preserve"> </w:t>
      </w:r>
      <w:r>
        <w:rPr>
          <w:rFonts w:ascii="Arial" w:cs="Arial" w:eastAsia="Arial" w:hAnsi="Arial"/>
          <w:sz w:val="16"/>
          <w:szCs w:val="16"/>
          <w:color w:val="auto"/>
        </w:rPr>
        <w:t>shares of Class A common stock in this offering at an assumed initial public offering price of $ per share, which is the midpoint of the price range set forth on</w:t>
      </w:r>
    </w:p>
    <w:p>
      <w:pPr>
        <w:spacing w:after="0" w:line="1" w:lineRule="exact"/>
        <w:rPr>
          <w:sz w:val="20"/>
          <w:szCs w:val="20"/>
          <w:color w:val="auto"/>
        </w:rPr>
      </w:pPr>
    </w:p>
    <w:p>
      <w:pPr>
        <w:sectPr>
          <w:pgSz w:w="11900" w:h="16838" w:orient="portrait"/>
          <w:cols w:equalWidth="0" w:num="2">
            <w:col w:w="63" w:space="220"/>
            <w:col w:w="10980"/>
          </w:cols>
          <w:pgMar w:left="317" w:top="1407" w:right="319" w:bottom="1440" w:gutter="0" w:footer="0" w:header="0"/>
          <w:type w:val="continuous"/>
        </w:sectPr>
      </w:pPr>
    </w:p>
    <w:p>
      <w:pPr>
        <w:ind w:left="283"/>
        <w:spacing w:after="0"/>
        <w:rPr>
          <w:sz w:val="20"/>
          <w:szCs w:val="20"/>
          <w:color w:val="auto"/>
        </w:rPr>
      </w:pPr>
      <w:r>
        <w:rPr>
          <w:rFonts w:ascii="Arial" w:cs="Arial" w:eastAsia="Arial" w:hAnsi="Arial"/>
          <w:sz w:val="16"/>
          <w:szCs w:val="16"/>
          <w:color w:val="auto"/>
        </w:rPr>
        <w:t>the cover page of this prospectus, after deducting the underwriting discounts and commissions and estimated offering expenses payable by us.</w:t>
      </w:r>
    </w:p>
    <w:p>
      <w:pPr>
        <w:spacing w:after="0" w:line="145"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You should read this information in conjunction with our audited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111"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1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9"/>
              </w:rPr>
              <w:t>As of June 30, 2021</w:t>
            </w:r>
          </w:p>
        </w:tc>
        <w:tc>
          <w:tcPr>
            <w:tcW w:w="16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Actual</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Pro forma</w:t>
            </w:r>
          </w:p>
        </w:tc>
        <w:tc>
          <w:tcPr>
            <w:tcW w:w="16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58"/>
        </w:trPr>
        <w:tc>
          <w:tcPr>
            <w:tcW w:w="38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rPr>
              <w:t>adjusted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87"/>
        </w:trPr>
        <w:tc>
          <w:tcPr>
            <w:tcW w:w="3840" w:type="dxa"/>
            <w:vAlign w:val="bottom"/>
            <w:gridSpan w:val="3"/>
            <w:vMerge w:val="continue"/>
          </w:tcPr>
          <w:p>
            <w:pPr>
              <w:spacing w:after="0"/>
              <w:rPr>
                <w:sz w:val="16"/>
                <w:szCs w:val="16"/>
                <w:color w:val="auto"/>
              </w:rPr>
            </w:pPr>
          </w:p>
        </w:tc>
        <w:tc>
          <w:tcPr>
            <w:tcW w:w="22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740" w:type="dxa"/>
            <w:vAlign w:val="bottom"/>
            <w:shd w:val="clear" w:color="auto" w:fill="CCEEFF"/>
          </w:tcPr>
          <w:p>
            <w:pPr>
              <w:spacing w:after="0"/>
              <w:rPr>
                <w:sz w:val="19"/>
                <w:szCs w:val="19"/>
                <w:color w:val="auto"/>
              </w:rPr>
            </w:pPr>
          </w:p>
        </w:tc>
        <w:tc>
          <w:tcPr>
            <w:tcW w:w="3320" w:type="dxa"/>
            <w:vAlign w:val="bottom"/>
            <w:gridSpan w:val="2"/>
            <w:shd w:val="clear" w:color="auto" w:fill="CCEEFF"/>
          </w:tcPr>
          <w:p>
            <w:pPr>
              <w:jc w:val="right"/>
              <w:ind w:right="875"/>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Long-term debt</w:t>
            </w:r>
          </w:p>
        </w:tc>
        <w:tc>
          <w:tcPr>
            <w:tcW w:w="9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320" w:type="dxa"/>
            <w:vAlign w:val="bottom"/>
            <w:gridSpan w:val="2"/>
          </w:tcPr>
          <w:p>
            <w:pPr>
              <w:jc w:val="right"/>
              <w:ind w:right="875"/>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ind w:right="1490"/>
              <w:spacing w:after="0" w:line="176"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70"/>
        </w:trPr>
        <w:tc>
          <w:tcPr>
            <w:tcW w:w="7160" w:type="dxa"/>
            <w:vAlign w:val="bottom"/>
            <w:gridSpan w:val="5"/>
            <w:shd w:val="clear" w:color="auto" w:fill="CCEEFF"/>
          </w:tcPr>
          <w:p>
            <w:pPr>
              <w:ind w:left="20"/>
              <w:spacing w:after="0" w:line="170" w:lineRule="exact"/>
              <w:rPr>
                <w:sz w:val="20"/>
                <w:szCs w:val="20"/>
                <w:color w:val="auto"/>
              </w:rPr>
            </w:pPr>
            <w:r>
              <w:rPr>
                <w:rFonts w:ascii="Arial" w:cs="Arial" w:eastAsia="Arial" w:hAnsi="Arial"/>
                <w:sz w:val="16"/>
                <w:szCs w:val="16"/>
                <w:color w:val="auto"/>
              </w:rPr>
              <w:t>Convertible preferred stock, $0.0001 par value; 4,203,139 shares authorized,</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160" w:type="dxa"/>
            <w:vAlign w:val="bottom"/>
            <w:gridSpan w:val="5"/>
            <w:shd w:val="clear" w:color="auto" w:fill="CCEEFF"/>
          </w:tcPr>
          <w:p>
            <w:pPr>
              <w:ind w:left="160"/>
              <w:spacing w:after="0" w:line="158" w:lineRule="exact"/>
              <w:rPr>
                <w:sz w:val="20"/>
                <w:szCs w:val="20"/>
                <w:color w:val="auto"/>
              </w:rPr>
            </w:pPr>
            <w:r>
              <w:rPr>
                <w:rFonts w:ascii="Arial" w:cs="Arial" w:eastAsia="Arial" w:hAnsi="Arial"/>
                <w:sz w:val="16"/>
                <w:szCs w:val="16"/>
                <w:color w:val="auto"/>
              </w:rPr>
              <w:t>4,203,139 shares issued and outstanding, actual; no shares authorized, issued,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16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and outstanding, pro forma and pro forma as adjusted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Stockholders’ equity (deficit):</w:t>
            </w:r>
          </w:p>
        </w:tc>
        <w:tc>
          <w:tcPr>
            <w:tcW w:w="1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160" w:type="dxa"/>
            <w:vAlign w:val="bottom"/>
            <w:gridSpan w:val="5"/>
            <w:shd w:val="clear" w:color="auto" w:fill="CCEEFF"/>
          </w:tcPr>
          <w:p>
            <w:pPr>
              <w:ind w:left="20"/>
              <w:spacing w:after="0" w:line="170" w:lineRule="exact"/>
              <w:rPr>
                <w:sz w:val="20"/>
                <w:szCs w:val="20"/>
                <w:color w:val="auto"/>
              </w:rPr>
            </w:pPr>
            <w:r>
              <w:rPr>
                <w:rFonts w:ascii="Arial" w:cs="Arial" w:eastAsia="Arial" w:hAnsi="Arial"/>
                <w:sz w:val="16"/>
                <w:szCs w:val="16"/>
                <w:color w:val="auto"/>
              </w:rPr>
              <w:t>Preferred stock, $0.0001 par value; no shares authorized, issued and outstanding,</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14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actual;</w:t>
            </w:r>
          </w:p>
        </w:tc>
        <w:tc>
          <w:tcPr>
            <w:tcW w:w="6020" w:type="dxa"/>
            <w:vAlign w:val="bottom"/>
            <w:gridSpan w:val="4"/>
            <w:shd w:val="clear" w:color="auto" w:fill="CCEEFF"/>
          </w:tcPr>
          <w:p>
            <w:pPr>
              <w:jc w:val="right"/>
              <w:ind w:right="1015"/>
              <w:spacing w:after="0" w:line="158" w:lineRule="exact"/>
              <w:rPr>
                <w:sz w:val="20"/>
                <w:szCs w:val="20"/>
                <w:color w:val="auto"/>
              </w:rPr>
            </w:pPr>
            <w:r>
              <w:rPr>
                <w:rFonts w:ascii="Arial" w:cs="Arial" w:eastAsia="Arial" w:hAnsi="Arial"/>
                <w:sz w:val="16"/>
                <w:szCs w:val="16"/>
                <w:color w:val="auto"/>
              </w:rPr>
              <w:t>shares authorized, no shares issued and outstanding, pro forma and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pro forma as adjusted</w:t>
            </w:r>
          </w:p>
        </w:tc>
        <w:tc>
          <w:tcPr>
            <w:tcW w:w="17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160" w:type="dxa"/>
            <w:vAlign w:val="bottom"/>
            <w:gridSpan w:val="5"/>
          </w:tcPr>
          <w:p>
            <w:pPr>
              <w:ind w:left="20"/>
              <w:spacing w:after="0" w:line="170" w:lineRule="exact"/>
              <w:rPr>
                <w:sz w:val="20"/>
                <w:szCs w:val="20"/>
                <w:color w:val="auto"/>
              </w:rPr>
            </w:pPr>
            <w:r>
              <w:rPr>
                <w:rFonts w:ascii="Arial" w:cs="Arial" w:eastAsia="Arial" w:hAnsi="Arial"/>
                <w:sz w:val="16"/>
                <w:szCs w:val="16"/>
                <w:color w:val="auto"/>
              </w:rPr>
              <w:t>Common stock, $0.0001 par value; 9,500,000 shares authorized, 3,478,052 shares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160" w:type="dxa"/>
            <w:vAlign w:val="bottom"/>
            <w:gridSpan w:val="5"/>
          </w:tcPr>
          <w:p>
            <w:pPr>
              <w:ind w:left="160"/>
              <w:spacing w:after="0" w:line="158" w:lineRule="exact"/>
              <w:rPr>
                <w:sz w:val="20"/>
                <w:szCs w:val="20"/>
                <w:color w:val="auto"/>
              </w:rPr>
            </w:pPr>
            <w:r>
              <w:rPr>
                <w:rFonts w:ascii="Arial" w:cs="Arial" w:eastAsia="Arial" w:hAnsi="Arial"/>
                <w:sz w:val="16"/>
                <w:szCs w:val="16"/>
                <w:color w:val="auto"/>
              </w:rPr>
              <w:t>issued and outstanding, actual; no shares authorized, issued, and outstanding, pro</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40" w:type="dxa"/>
            <w:vAlign w:val="bottom"/>
            <w:gridSpan w:val="3"/>
          </w:tcPr>
          <w:p>
            <w:pPr>
              <w:ind w:left="160"/>
              <w:spacing w:after="0"/>
              <w:rPr>
                <w:sz w:val="20"/>
                <w:szCs w:val="20"/>
                <w:color w:val="auto"/>
              </w:rPr>
            </w:pPr>
            <w:r>
              <w:rPr>
                <w:rFonts w:ascii="Arial" w:cs="Arial" w:eastAsia="Arial" w:hAnsi="Arial"/>
                <w:sz w:val="16"/>
                <w:szCs w:val="16"/>
                <w:color w:val="auto"/>
              </w:rPr>
              <w:t>forma and pro forma as adjusted</w:t>
            </w:r>
          </w:p>
        </w:tc>
        <w:tc>
          <w:tcPr>
            <w:tcW w:w="2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160" w:type="dxa"/>
            <w:vAlign w:val="bottom"/>
            <w:gridSpan w:val="5"/>
          </w:tcPr>
          <w:p>
            <w:pPr>
              <w:ind w:left="20"/>
              <w:spacing w:after="0" w:line="171" w:lineRule="exact"/>
              <w:rPr>
                <w:sz w:val="20"/>
                <w:szCs w:val="20"/>
                <w:color w:val="auto"/>
              </w:rPr>
            </w:pPr>
            <w:r>
              <w:rPr>
                <w:rFonts w:ascii="Arial" w:cs="Arial" w:eastAsia="Arial" w:hAnsi="Arial"/>
                <w:sz w:val="16"/>
                <w:szCs w:val="16"/>
                <w:color w:val="auto"/>
              </w:rPr>
              <w:t>Class A common stock, $0.0001 par value; no shares authorized, issued and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100" w:type="dxa"/>
            <w:vAlign w:val="bottom"/>
            <w:gridSpan w:val="2"/>
          </w:tcPr>
          <w:p>
            <w:pPr>
              <w:ind w:left="160"/>
              <w:spacing w:after="0" w:line="158" w:lineRule="exact"/>
              <w:rPr>
                <w:sz w:val="20"/>
                <w:szCs w:val="20"/>
                <w:color w:val="auto"/>
              </w:rPr>
            </w:pPr>
            <w:r>
              <w:rPr>
                <w:rFonts w:ascii="Arial" w:cs="Arial" w:eastAsia="Arial" w:hAnsi="Arial"/>
                <w:sz w:val="16"/>
                <w:szCs w:val="16"/>
                <w:color w:val="auto"/>
              </w:rPr>
              <w:t>outstanding, actual;</w:t>
            </w:r>
          </w:p>
        </w:tc>
        <w:tc>
          <w:tcPr>
            <w:tcW w:w="1740" w:type="dxa"/>
            <w:vAlign w:val="bottom"/>
          </w:tcPr>
          <w:p>
            <w:pPr>
              <w:spacing w:after="0" w:line="158" w:lineRule="exact"/>
              <w:rPr>
                <w:sz w:val="20"/>
                <w:szCs w:val="20"/>
                <w:color w:val="auto"/>
              </w:rPr>
            </w:pPr>
            <w:r>
              <w:rPr>
                <w:rFonts w:ascii="Arial" w:cs="Arial" w:eastAsia="Arial" w:hAnsi="Arial"/>
                <w:sz w:val="16"/>
                <w:szCs w:val="16"/>
                <w:color w:val="auto"/>
              </w:rPr>
              <w:t>shares authorized,</w:t>
            </w:r>
          </w:p>
        </w:tc>
        <w:tc>
          <w:tcPr>
            <w:tcW w:w="3320" w:type="dxa"/>
            <w:vAlign w:val="bottom"/>
            <w:gridSpan w:val="2"/>
          </w:tcPr>
          <w:p>
            <w:pPr>
              <w:jc w:val="right"/>
              <w:ind w:right="1795"/>
              <w:spacing w:after="0" w:line="158" w:lineRule="exact"/>
              <w:rPr>
                <w:sz w:val="20"/>
                <w:szCs w:val="20"/>
                <w:color w:val="auto"/>
              </w:rPr>
            </w:pPr>
            <w:r>
              <w:rPr>
                <w:rFonts w:ascii="Arial" w:cs="Arial" w:eastAsia="Arial" w:hAnsi="Arial"/>
                <w:sz w:val="16"/>
                <w:szCs w:val="16"/>
                <w:color w:val="auto"/>
              </w:rPr>
              <w:t>shares issued and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00" w:type="dxa"/>
            <w:vAlign w:val="bottom"/>
            <w:gridSpan w:val="2"/>
          </w:tcPr>
          <w:p>
            <w:pPr>
              <w:ind w:left="160"/>
              <w:spacing w:after="0" w:line="158" w:lineRule="exact"/>
              <w:rPr>
                <w:sz w:val="20"/>
                <w:szCs w:val="20"/>
                <w:color w:val="auto"/>
              </w:rPr>
            </w:pPr>
            <w:r>
              <w:rPr>
                <w:rFonts w:ascii="Arial" w:cs="Arial" w:eastAsia="Arial" w:hAnsi="Arial"/>
                <w:sz w:val="16"/>
                <w:szCs w:val="16"/>
                <w:color w:val="auto"/>
              </w:rPr>
              <w:t>outstanding, pro forma;</w:t>
            </w:r>
          </w:p>
        </w:tc>
        <w:tc>
          <w:tcPr>
            <w:tcW w:w="1740" w:type="dxa"/>
            <w:vAlign w:val="bottom"/>
          </w:tcPr>
          <w:p>
            <w:pPr>
              <w:ind w:left="260"/>
              <w:spacing w:after="0" w:line="158" w:lineRule="exact"/>
              <w:rPr>
                <w:sz w:val="20"/>
                <w:szCs w:val="20"/>
                <w:color w:val="auto"/>
              </w:rPr>
            </w:pPr>
            <w:r>
              <w:rPr>
                <w:rFonts w:ascii="Arial" w:cs="Arial" w:eastAsia="Arial" w:hAnsi="Arial"/>
                <w:sz w:val="16"/>
                <w:szCs w:val="16"/>
                <w:color w:val="auto"/>
              </w:rPr>
              <w:t>shares authorized,</w:t>
            </w:r>
          </w:p>
        </w:tc>
        <w:tc>
          <w:tcPr>
            <w:tcW w:w="3320" w:type="dxa"/>
            <w:vAlign w:val="bottom"/>
            <w:gridSpan w:val="2"/>
          </w:tcPr>
          <w:p>
            <w:pPr>
              <w:jc w:val="right"/>
              <w:ind w:right="1535"/>
              <w:spacing w:after="0" w:line="158" w:lineRule="exact"/>
              <w:rPr>
                <w:sz w:val="20"/>
                <w:szCs w:val="20"/>
                <w:color w:val="auto"/>
              </w:rPr>
            </w:pPr>
            <w:r>
              <w:rPr>
                <w:rFonts w:ascii="Arial" w:cs="Arial" w:eastAsia="Arial" w:hAnsi="Arial"/>
                <w:sz w:val="16"/>
                <w:szCs w:val="16"/>
                <w:color w:val="auto"/>
              </w:rPr>
              <w:t>shares issued and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-307975</wp:posOffset>
            </wp:positionV>
            <wp:extent cx="7145655" cy="4330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5655" cy="433070"/>
                    </a:xfrm>
                    <a:prstGeom prst="rect">
                      <a:avLst/>
                    </a:prstGeom>
                    <a:noFill/>
                  </pic:spPr>
                </pic:pic>
              </a:graphicData>
            </a:graphic>
          </wp:anchor>
        </w:drawing>
      </w:r>
    </w:p>
    <w:p>
      <w:pPr>
        <w:ind w:left="163"/>
        <w:spacing w:after="0"/>
        <w:rPr>
          <w:sz w:val="20"/>
          <w:szCs w:val="20"/>
          <w:color w:val="auto"/>
        </w:rPr>
      </w:pPr>
      <w:r>
        <w:rPr>
          <w:rFonts w:ascii="Arial" w:cs="Arial" w:eastAsia="Arial" w:hAnsi="Arial"/>
          <w:sz w:val="16"/>
          <w:szCs w:val="16"/>
          <w:color w:val="auto"/>
        </w:rPr>
        <w:t>outstanding, pro forma as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63"/>
          </w:cols>
          <w:pgMar w:left="317" w:top="1407" w:right="319" w:bottom="1440" w:gutter="0" w:footer="0" w:header="0"/>
          <w:type w:val="continuous"/>
        </w:sectPr>
      </w:pPr>
    </w:p>
    <w:bookmarkStart w:id="85" w:name="page86"/>
    <w:bookmarkEnd w:id="85"/>
    <w:p>
      <w:pPr>
        <w:spacing w:after="0" w:line="13"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6680" w:type="dxa"/>
            <w:vAlign w:val="bottom"/>
            <w:gridSpan w:val="4"/>
          </w:tcPr>
          <w:p>
            <w:pPr>
              <w:ind w:left="20"/>
              <w:spacing w:after="0"/>
              <w:rPr>
                <w:sz w:val="20"/>
                <w:szCs w:val="20"/>
                <w:color w:val="auto"/>
              </w:rPr>
            </w:pPr>
            <w:r>
              <w:rPr>
                <w:rFonts w:ascii="Arial" w:cs="Arial" w:eastAsia="Arial" w:hAnsi="Arial"/>
                <w:sz w:val="16"/>
                <w:szCs w:val="16"/>
                <w:color w:val="auto"/>
              </w:rPr>
              <w:t>LT10 common stock, $0.0001 par value; no shares authorized, issued and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58"/>
        </w:trPr>
        <w:tc>
          <w:tcPr>
            <w:tcW w:w="1960" w:type="dxa"/>
            <w:vAlign w:val="bottom"/>
          </w:tcPr>
          <w:p>
            <w:pPr>
              <w:ind w:left="160"/>
              <w:spacing w:after="0" w:line="158" w:lineRule="exact"/>
              <w:rPr>
                <w:sz w:val="20"/>
                <w:szCs w:val="20"/>
                <w:color w:val="auto"/>
              </w:rPr>
            </w:pPr>
            <w:r>
              <w:rPr>
                <w:rFonts w:ascii="Arial" w:cs="Arial" w:eastAsia="Arial" w:hAnsi="Arial"/>
                <w:sz w:val="16"/>
                <w:szCs w:val="16"/>
                <w:color w:val="auto"/>
              </w:rPr>
              <w:t>outstanding, actual;</w:t>
            </w:r>
          </w:p>
        </w:tc>
        <w:tc>
          <w:tcPr>
            <w:tcW w:w="1900" w:type="dxa"/>
            <w:vAlign w:val="bottom"/>
          </w:tcPr>
          <w:p>
            <w:pPr>
              <w:ind w:left="140"/>
              <w:spacing w:after="0" w:line="158" w:lineRule="exact"/>
              <w:rPr>
                <w:sz w:val="20"/>
                <w:szCs w:val="20"/>
                <w:color w:val="auto"/>
              </w:rPr>
            </w:pPr>
            <w:r>
              <w:rPr>
                <w:rFonts w:ascii="Arial" w:cs="Arial" w:eastAsia="Arial" w:hAnsi="Arial"/>
                <w:sz w:val="16"/>
                <w:szCs w:val="16"/>
                <w:color w:val="auto"/>
              </w:rPr>
              <w:t>shares authorized,</w:t>
            </w:r>
          </w:p>
        </w:tc>
        <w:tc>
          <w:tcPr>
            <w:tcW w:w="2820" w:type="dxa"/>
            <w:vAlign w:val="bottom"/>
            <w:gridSpan w:val="2"/>
          </w:tcPr>
          <w:p>
            <w:pPr>
              <w:ind w:left="120"/>
              <w:spacing w:after="0" w:line="158" w:lineRule="exact"/>
              <w:rPr>
                <w:sz w:val="20"/>
                <w:szCs w:val="20"/>
                <w:color w:val="auto"/>
              </w:rPr>
            </w:pPr>
            <w:r>
              <w:rPr>
                <w:rFonts w:ascii="Arial" w:cs="Arial" w:eastAsia="Arial" w:hAnsi="Arial"/>
                <w:sz w:val="16"/>
                <w:szCs w:val="16"/>
                <w:color w:val="auto"/>
              </w:rPr>
              <w:t>shares issued and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8"/>
        </w:trPr>
        <w:tc>
          <w:tcPr>
            <w:tcW w:w="1960" w:type="dxa"/>
            <w:vAlign w:val="bottom"/>
          </w:tcPr>
          <w:p>
            <w:pPr>
              <w:ind w:left="160"/>
              <w:spacing w:after="0" w:line="158" w:lineRule="exact"/>
              <w:rPr>
                <w:sz w:val="20"/>
                <w:szCs w:val="20"/>
                <w:color w:val="auto"/>
              </w:rPr>
            </w:pPr>
            <w:r>
              <w:rPr>
                <w:rFonts w:ascii="Arial" w:cs="Arial" w:eastAsia="Arial" w:hAnsi="Arial"/>
                <w:sz w:val="16"/>
                <w:szCs w:val="16"/>
                <w:color w:val="auto"/>
              </w:rPr>
              <w:t>outstanding, pro forma;</w:t>
            </w:r>
          </w:p>
        </w:tc>
        <w:tc>
          <w:tcPr>
            <w:tcW w:w="1900" w:type="dxa"/>
            <w:vAlign w:val="bottom"/>
          </w:tcPr>
          <w:p>
            <w:pPr>
              <w:ind w:left="400"/>
              <w:spacing w:after="0" w:line="158" w:lineRule="exact"/>
              <w:rPr>
                <w:sz w:val="20"/>
                <w:szCs w:val="20"/>
                <w:color w:val="auto"/>
              </w:rPr>
            </w:pPr>
            <w:r>
              <w:rPr>
                <w:rFonts w:ascii="Arial" w:cs="Arial" w:eastAsia="Arial" w:hAnsi="Arial"/>
                <w:sz w:val="16"/>
                <w:szCs w:val="16"/>
                <w:color w:val="auto"/>
              </w:rPr>
              <w:t>shares authorized,</w:t>
            </w:r>
          </w:p>
        </w:tc>
        <w:tc>
          <w:tcPr>
            <w:tcW w:w="2820" w:type="dxa"/>
            <w:vAlign w:val="bottom"/>
            <w:gridSpan w:val="2"/>
          </w:tcPr>
          <w:p>
            <w:pPr>
              <w:ind w:left="380"/>
              <w:spacing w:after="0" w:line="158" w:lineRule="exact"/>
              <w:rPr>
                <w:sz w:val="20"/>
                <w:szCs w:val="20"/>
                <w:color w:val="auto"/>
              </w:rPr>
            </w:pPr>
            <w:r>
              <w:rPr>
                <w:rFonts w:ascii="Arial" w:cs="Arial" w:eastAsia="Arial" w:hAnsi="Arial"/>
                <w:sz w:val="16"/>
                <w:szCs w:val="16"/>
                <w:color w:val="auto"/>
              </w:rPr>
              <w:t>shares issued and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95"/>
        </w:trPr>
        <w:tc>
          <w:tcPr>
            <w:tcW w:w="3860" w:type="dxa"/>
            <w:vAlign w:val="bottom"/>
            <w:gridSpan w:val="2"/>
          </w:tcPr>
          <w:p>
            <w:pPr>
              <w:ind w:left="160"/>
              <w:spacing w:after="0"/>
              <w:rPr>
                <w:sz w:val="20"/>
                <w:szCs w:val="20"/>
                <w:color w:val="auto"/>
              </w:rPr>
            </w:pPr>
            <w:r>
              <w:rPr>
                <w:rFonts w:ascii="Arial" w:cs="Arial" w:eastAsia="Arial" w:hAnsi="Arial"/>
                <w:sz w:val="16"/>
                <w:szCs w:val="16"/>
                <w:color w:val="auto"/>
              </w:rPr>
              <w:t>outstanding, pro forma as adjusted</w:t>
            </w:r>
          </w:p>
        </w:tc>
        <w:tc>
          <w:tcPr>
            <w:tcW w:w="2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70"/>
        </w:trPr>
        <w:tc>
          <w:tcPr>
            <w:tcW w:w="6680" w:type="dxa"/>
            <w:vAlign w:val="bottom"/>
            <w:gridSpan w:val="4"/>
            <w:shd w:val="clear" w:color="auto" w:fill="CCEEFF"/>
          </w:tcPr>
          <w:p>
            <w:pPr>
              <w:ind w:left="20"/>
              <w:spacing w:after="0" w:line="170" w:lineRule="exact"/>
              <w:rPr>
                <w:sz w:val="20"/>
                <w:szCs w:val="20"/>
                <w:color w:val="auto"/>
              </w:rPr>
            </w:pPr>
            <w:r>
              <w:rPr>
                <w:rFonts w:ascii="Arial" w:cs="Arial" w:eastAsia="Arial" w:hAnsi="Arial"/>
                <w:sz w:val="16"/>
                <w:szCs w:val="16"/>
                <w:color w:val="auto"/>
              </w:rPr>
              <w:t>LT50 common stock, $0.0001 par value; no shares authorized, issued and</w:t>
            </w: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58"/>
        </w:trPr>
        <w:tc>
          <w:tcPr>
            <w:tcW w:w="19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outstanding, actual;</w:t>
            </w:r>
          </w:p>
        </w:tc>
        <w:tc>
          <w:tcPr>
            <w:tcW w:w="1900" w:type="dxa"/>
            <w:vAlign w:val="bottom"/>
            <w:shd w:val="clear" w:color="auto" w:fill="CCEEFF"/>
          </w:tcPr>
          <w:p>
            <w:pPr>
              <w:ind w:left="140"/>
              <w:spacing w:after="0" w:line="158" w:lineRule="exact"/>
              <w:rPr>
                <w:sz w:val="20"/>
                <w:szCs w:val="20"/>
                <w:color w:val="auto"/>
              </w:rPr>
            </w:pPr>
            <w:r>
              <w:rPr>
                <w:rFonts w:ascii="Arial" w:cs="Arial" w:eastAsia="Arial" w:hAnsi="Arial"/>
                <w:sz w:val="16"/>
                <w:szCs w:val="16"/>
                <w:color w:val="auto"/>
              </w:rPr>
              <w:t>shares authorized,</w:t>
            </w:r>
          </w:p>
        </w:tc>
        <w:tc>
          <w:tcPr>
            <w:tcW w:w="2820" w:type="dxa"/>
            <w:vAlign w:val="bottom"/>
            <w:gridSpan w:val="2"/>
            <w:shd w:val="clear" w:color="auto" w:fill="CCEEFF"/>
          </w:tcPr>
          <w:p>
            <w:pPr>
              <w:ind w:left="120"/>
              <w:spacing w:after="0" w:line="158" w:lineRule="exact"/>
              <w:rPr>
                <w:sz w:val="20"/>
                <w:szCs w:val="20"/>
                <w:color w:val="auto"/>
              </w:rPr>
            </w:pPr>
            <w:r>
              <w:rPr>
                <w:rFonts w:ascii="Arial" w:cs="Arial" w:eastAsia="Arial" w:hAnsi="Arial"/>
                <w:sz w:val="16"/>
                <w:szCs w:val="16"/>
                <w:color w:val="auto"/>
              </w:rPr>
              <w:t>shares issued and</w:t>
            </w: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58"/>
        </w:trPr>
        <w:tc>
          <w:tcPr>
            <w:tcW w:w="19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outstanding, pro forma;</w:t>
            </w:r>
          </w:p>
        </w:tc>
        <w:tc>
          <w:tcPr>
            <w:tcW w:w="1900" w:type="dxa"/>
            <w:vAlign w:val="bottom"/>
            <w:shd w:val="clear" w:color="auto" w:fill="CCEEFF"/>
          </w:tcPr>
          <w:p>
            <w:pPr>
              <w:ind w:left="460"/>
              <w:spacing w:after="0" w:line="158" w:lineRule="exact"/>
              <w:rPr>
                <w:sz w:val="20"/>
                <w:szCs w:val="20"/>
                <w:color w:val="auto"/>
              </w:rPr>
            </w:pPr>
            <w:r>
              <w:rPr>
                <w:rFonts w:ascii="Arial" w:cs="Arial" w:eastAsia="Arial" w:hAnsi="Arial"/>
                <w:sz w:val="16"/>
                <w:szCs w:val="16"/>
                <w:color w:val="auto"/>
              </w:rPr>
              <w:t>shares authorized,</w:t>
            </w:r>
          </w:p>
        </w:tc>
        <w:tc>
          <w:tcPr>
            <w:tcW w:w="2820" w:type="dxa"/>
            <w:vAlign w:val="bottom"/>
            <w:gridSpan w:val="2"/>
            <w:shd w:val="clear" w:color="auto" w:fill="CCEEFF"/>
          </w:tcPr>
          <w:p>
            <w:pPr>
              <w:ind w:left="440"/>
              <w:spacing w:after="0" w:line="158" w:lineRule="exact"/>
              <w:rPr>
                <w:sz w:val="20"/>
                <w:szCs w:val="20"/>
                <w:color w:val="auto"/>
              </w:rPr>
            </w:pPr>
            <w:r>
              <w:rPr>
                <w:rFonts w:ascii="Arial" w:cs="Arial" w:eastAsia="Arial" w:hAnsi="Arial"/>
                <w:sz w:val="16"/>
                <w:szCs w:val="16"/>
                <w:color w:val="auto"/>
              </w:rPr>
              <w:t>shares issued and</w:t>
            </w: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96"/>
        </w:trPr>
        <w:tc>
          <w:tcPr>
            <w:tcW w:w="38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outstanding, pro forma as adjusted</w:t>
            </w:r>
          </w:p>
        </w:tc>
        <w:tc>
          <w:tcPr>
            <w:tcW w:w="2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7"/>
        </w:trPr>
        <w:tc>
          <w:tcPr>
            <w:tcW w:w="19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25,641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70,745</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Subscriptions receivable</w:t>
            </w:r>
          </w:p>
        </w:tc>
        <w:tc>
          <w:tcPr>
            <w:tcW w:w="19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7"/>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190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(37,674)</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(37,674)</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r>
      <w:tr>
        <w:trPr>
          <w:trHeight w:val="20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 (deficit)</w:t>
            </w:r>
          </w:p>
        </w:tc>
        <w:tc>
          <w:tcPr>
            <w:tcW w:w="22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(13,793)</w:t>
            </w:r>
          </w:p>
        </w:tc>
        <w:tc>
          <w:tcPr>
            <w:tcW w:w="100" w:type="dxa"/>
            <w:vAlign w:val="bottom"/>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31,312</w:t>
            </w:r>
          </w:p>
        </w:tc>
        <w:tc>
          <w:tcPr>
            <w:tcW w:w="10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r>
      <w:tr>
        <w:trPr>
          <w:trHeight w:val="199"/>
        </w:trPr>
        <w:tc>
          <w:tcPr>
            <w:tcW w:w="1960" w:type="dxa"/>
            <w:vAlign w:val="bottom"/>
          </w:tcPr>
          <w:p>
            <w:pPr>
              <w:ind w:left="20"/>
              <w:spacing w:after="0"/>
              <w:rPr>
                <w:sz w:val="20"/>
                <w:szCs w:val="20"/>
                <w:color w:val="auto"/>
              </w:rPr>
            </w:pPr>
            <w:r>
              <w:rPr>
                <w:rFonts w:ascii="Arial" w:cs="Arial" w:eastAsia="Arial" w:hAnsi="Arial"/>
                <w:sz w:val="16"/>
                <w:szCs w:val="16"/>
                <w:color w:val="auto"/>
              </w:rPr>
              <w:t>Total capitalization</w:t>
            </w:r>
          </w:p>
        </w:tc>
        <w:tc>
          <w:tcPr>
            <w:tcW w:w="1900" w:type="dxa"/>
            <w:vAlign w:val="bottom"/>
          </w:tcPr>
          <w:p>
            <w:pPr>
              <w:spacing w:after="0"/>
              <w:rPr>
                <w:sz w:val="17"/>
                <w:szCs w:val="17"/>
                <w:color w:val="auto"/>
              </w:rPr>
            </w:pPr>
          </w:p>
        </w:tc>
        <w:tc>
          <w:tcPr>
            <w:tcW w:w="2820" w:type="dxa"/>
            <w:vAlign w:val="bottom"/>
            <w:gridSpan w:val="2"/>
          </w:tcPr>
          <w:p>
            <w:pPr>
              <w:ind w:left="22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76,741</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76,741</w:t>
            </w:r>
          </w:p>
        </w:tc>
        <w:tc>
          <w:tcPr>
            <w:tcW w:w="100" w:type="dxa"/>
            <w:vAlign w:val="bottom"/>
          </w:tcPr>
          <w:p>
            <w:pPr>
              <w:spacing w:after="0"/>
              <w:rPr>
                <w:sz w:val="17"/>
                <w:szCs w:val="17"/>
                <w:color w:val="auto"/>
              </w:rPr>
            </w:pPr>
          </w:p>
        </w:tc>
        <w:tc>
          <w:tcPr>
            <w:tcW w:w="1660" w:type="dxa"/>
            <w:vAlign w:val="bottom"/>
          </w:tcPr>
          <w:p>
            <w:pPr>
              <w:jc w:val="right"/>
              <w:ind w:right="1479"/>
              <w:spacing w:after="0"/>
              <w:rPr>
                <w:sz w:val="20"/>
                <w:szCs w:val="20"/>
                <w:color w:val="auto"/>
              </w:rPr>
            </w:pPr>
            <w:r>
              <w:rPr>
                <w:rFonts w:ascii="Arial" w:cs="Arial" w:eastAsia="Arial" w:hAnsi="Arial"/>
                <w:sz w:val="16"/>
                <w:szCs w:val="16"/>
                <w:color w:val="auto"/>
                <w:w w:val="89"/>
              </w:rPr>
              <w:t>$</w:t>
            </w:r>
          </w:p>
        </w:tc>
      </w:tr>
      <w:tr>
        <w:trPr>
          <w:trHeight w:val="29"/>
        </w:trPr>
        <w:tc>
          <w:tcPr>
            <w:tcW w:w="1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r>
    </w:tbl>
    <w:p>
      <w:pPr>
        <w:spacing w:after="0" w:line="72" w:lineRule="exact"/>
        <w:rPr>
          <w:sz w:val="20"/>
          <w:szCs w:val="20"/>
          <w:color w:val="auto"/>
        </w:rPr>
      </w:pPr>
    </w:p>
    <w:p>
      <w:pPr>
        <w:ind w:left="283" w:right="40" w:hanging="291"/>
        <w:spacing w:after="0" w:line="254" w:lineRule="auto"/>
        <w:tabs>
          <w:tab w:leader="none" w:pos="262" w:val="left"/>
        </w:tabs>
        <w:rPr>
          <w:sz w:val="20"/>
          <w:szCs w:val="20"/>
          <w:color w:val="auto"/>
        </w:rPr>
      </w:pPr>
      <w:r>
        <w:rPr>
          <w:rFonts w:ascii="Arial" w:cs="Arial" w:eastAsia="Arial" w:hAnsi="Arial"/>
          <w:sz w:val="12"/>
          <w:szCs w:val="12"/>
          <w:color w:val="auto"/>
        </w:rPr>
        <w:t>(1)</w:t>
        <w:tab/>
        <w:t>Each $1.00 increase or decrease in the assumed initial public offering price per share of $ , which is the midpoint of the price range set forth on the cover page of this prospectus, would increase or decrease, as applicable, each of cash and cash equivalents, additional paid-in capital, total stockholders’ equity (deficit) and total capitalization on a pro forma as adjusted basis by approximately $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in this offering would increase or decrease, as applicable, each of cash and cash</w:t>
      </w:r>
    </w:p>
    <w:p>
      <w:pPr>
        <w:ind w:left="283" w:right="200"/>
        <w:spacing w:after="0" w:line="261" w:lineRule="auto"/>
        <w:rPr>
          <w:sz w:val="20"/>
          <w:szCs w:val="20"/>
          <w:color w:val="auto"/>
        </w:rPr>
      </w:pPr>
      <w:r>
        <w:rPr>
          <w:rFonts w:ascii="Arial" w:cs="Arial" w:eastAsia="Arial" w:hAnsi="Arial"/>
          <w:sz w:val="12"/>
          <w:szCs w:val="12"/>
          <w:color w:val="auto"/>
        </w:rPr>
        <w:t>equivalents, additional paid-in capital, total stockholders’ equity (deficit) and total capitalization on a pro forma as adjusted basis by approximately $ 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122" w:lineRule="exact"/>
        <w:rPr>
          <w:sz w:val="20"/>
          <w:szCs w:val="20"/>
          <w:color w:val="auto"/>
        </w:rPr>
      </w:pPr>
    </w:p>
    <w:p>
      <w:pPr>
        <w:jc w:val="both"/>
        <w:ind w:left="3" w:right="120"/>
        <w:spacing w:after="0" w:line="268" w:lineRule="auto"/>
        <w:rPr>
          <w:sz w:val="20"/>
          <w:szCs w:val="20"/>
          <w:color w:val="auto"/>
        </w:rPr>
      </w:pPr>
      <w:r>
        <w:rPr>
          <w:rFonts w:ascii="Arial" w:cs="Arial" w:eastAsia="Arial" w:hAnsi="Arial"/>
          <w:sz w:val="16"/>
          <w:szCs w:val="16"/>
          <w:color w:val="auto"/>
        </w:rPr>
        <w:t>The number of shares of our common stock issued and outstanding, pro forma and pro forma as adjusted in the table above, is based on 7,681,191 shares of Class A Common Stock (including all shares of our convertible preferred stock on an as-converted basis) outstanding as of June 30, 2021, and excludes:</w:t>
      </w:r>
    </w:p>
    <w:p>
      <w:pPr>
        <w:spacing w:after="0" w:line="113" w:lineRule="exact"/>
        <w:rPr>
          <w:sz w:val="20"/>
          <w:szCs w:val="20"/>
          <w:color w:val="auto"/>
        </w:rPr>
      </w:pPr>
    </w:p>
    <w:p>
      <w:pPr>
        <w:ind w:left="283" w:right="120" w:hanging="283"/>
        <w:spacing w:after="0" w:line="261" w:lineRule="auto"/>
        <w:tabs>
          <w:tab w:leader="none" w:pos="2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06" w:lineRule="exact"/>
        <w:rPr>
          <w:rFonts w:ascii="Arial" w:cs="Arial" w:eastAsia="Arial" w:hAnsi="Arial"/>
          <w:sz w:val="16"/>
          <w:szCs w:val="16"/>
          <w:color w:val="auto"/>
        </w:rPr>
      </w:pPr>
    </w:p>
    <w:p>
      <w:pPr>
        <w:ind w:left="283" w:right="740" w:hanging="283"/>
        <w:spacing w:after="0" w:line="268" w:lineRule="auto"/>
        <w:tabs>
          <w:tab w:leader="none" w:pos="2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266,247 shares of common stock issuable upon exercise of outstanding stock options as of June 30, 2021 granted under our 2009 Plan, with a weighted-average exercise price of $2.74 per share;</w:t>
      </w:r>
    </w:p>
    <w:p>
      <w:pPr>
        <w:spacing w:after="0" w:line="112" w:lineRule="exact"/>
        <w:rPr>
          <w:rFonts w:ascii="Arial" w:cs="Arial" w:eastAsia="Arial" w:hAnsi="Arial"/>
          <w:sz w:val="16"/>
          <w:szCs w:val="16"/>
          <w:color w:val="auto"/>
        </w:rPr>
      </w:pPr>
    </w:p>
    <w:p>
      <w:pPr>
        <w:ind w:left="283" w:right="740" w:hanging="283"/>
        <w:spacing w:after="0" w:line="268" w:lineRule="auto"/>
        <w:tabs>
          <w:tab w:leader="none" w:pos="2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590,276 shares of common stock issuable upon exercise of outstanding stock options as of June 30, 2021 granted under our 2019 Plan, with a weighted-average exercise price of $17.12 per share;</w:t>
      </w:r>
    </w:p>
    <w:p>
      <w:pPr>
        <w:sectPr>
          <w:pgSz w:w="11900" w:h="16838" w:orient="portrait"/>
          <w:cols w:equalWidth="0" w:num="1">
            <w:col w:w="11263"/>
          </w:cols>
          <w:pgMar w:left="317" w:top="1440" w:right="319" w:bottom="1440" w:gutter="0" w:footer="0" w:header="0"/>
        </w:sectPr>
      </w:pP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960" w:firstLine="537"/>
        <w:spacing w:after="0" w:line="268" w:lineRule="auto"/>
        <w:rPr>
          <w:sz w:val="20"/>
          <w:szCs w:val="20"/>
          <w:color w:val="auto"/>
        </w:rPr>
      </w:pPr>
      <w:r>
        <w:rPr>
          <w:rFonts w:ascii="Arial" w:cs="Arial" w:eastAsia="Arial" w:hAnsi="Arial"/>
          <w:sz w:val="16"/>
          <w:szCs w:val="16"/>
          <w:color w:val="auto"/>
        </w:rPr>
        <w:t>shares of common stock issuable upon exercise of outstanding stock options granted subsequent to June 30, 2021 under our Plan, with a weighted-average exercise price of $ per share;</w:t>
      </w:r>
    </w:p>
    <w:p>
      <w:pPr>
        <w:spacing w:after="0" w:line="101" w:lineRule="exact"/>
        <w:rPr>
          <w:sz w:val="20"/>
          <w:szCs w:val="20"/>
          <w:color w:val="auto"/>
        </w:rPr>
      </w:pPr>
    </w:p>
    <w:p>
      <w:pPr>
        <w:sectPr>
          <w:pgSz w:w="11900" w:h="16838" w:orient="portrait"/>
          <w:cols w:equalWidth="0" w:num="2">
            <w:col w:w="63" w:space="220"/>
            <w:col w:w="10980"/>
          </w:cols>
          <w:pgMar w:left="317" w:top="1440" w:right="319" w:bottom="1440" w:gutter="0" w:footer="0" w:header="0"/>
          <w:type w:val="continuous"/>
        </w:sect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Plan; and</w:t>
      </w:r>
    </w:p>
    <w:p>
      <w:pPr>
        <w:spacing w:after="0" w:line="145" w:lineRule="exact"/>
        <w:rPr>
          <w:sz w:val="20"/>
          <w:szCs w:val="20"/>
          <w:color w:val="auto"/>
        </w:rPr>
      </w:pPr>
    </w:p>
    <w:p>
      <w:pPr>
        <w:sectPr>
          <w:pgSz w:w="11900" w:h="16838" w:orient="portrait"/>
          <w:cols w:equalWidth="0" w:num="3">
            <w:col w:w="103" w:space="720"/>
            <w:col w:w="5160" w:space="640"/>
            <w:col w:w="4640"/>
          </w:cols>
          <w:pgMar w:left="317" w:top="1440" w:right="319" w:bottom="1440" w:gutter="0" w:footer="0" w:header="0"/>
          <w:type w:val="continuous"/>
        </w:sectPr>
      </w:pPr>
    </w:p>
    <w:p>
      <w:pPr>
        <w:ind w:left="283" w:right="100" w:hanging="283"/>
        <w:spacing w:after="0" w:line="261" w:lineRule="auto"/>
        <w:tabs>
          <w:tab w:leader="none" w:pos="2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433,969 and 433,969 shares of Class A and LT50 common stock, respectively, issuable upon the vesting of RSUs granted by our board of directors subsequent to June 30, 2021 under our 2019 Plan which will be effective immediately prior to the effectiveness of the registration on Form S-1,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63"/>
          </w:cols>
          <w:pgMar w:left="317" w:top="1440" w:right="31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26"/>
          <w:szCs w:val="26"/>
          <w:b w:val="1"/>
          <w:bCs w:val="1"/>
          <w:color w:val="auto"/>
        </w:rPr>
        <w:t>Dividend policy</w:t>
      </w:r>
    </w:p>
    <w:p>
      <w:pPr>
        <w:spacing w:after="0" w:line="29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Canadian Imperial Bank of Commerce. Any such determination will also depend upon our business prospects, results of operations, financial condition, cash requirements and availability, and other factors that our Executive Committee or our board of directors may deem relevant. The holders of our Class A, LT10 and LT50 common stock are entitled to receive dividends if, as and when declared from time to time by our board of directors out of legally available funds.</w:t>
      </w:r>
    </w:p>
    <w:p>
      <w:pPr>
        <w:spacing w:after="0" w:line="123" w:lineRule="exact"/>
        <w:rPr>
          <w:sz w:val="20"/>
          <w:szCs w:val="20"/>
          <w:color w:val="auto"/>
        </w:rPr>
      </w:pPr>
    </w:p>
    <w:p>
      <w:pPr>
        <w:jc w:val="both"/>
        <w:ind w:right="280"/>
        <w:spacing w:after="0" w:line="261" w:lineRule="auto"/>
        <w:rPr>
          <w:sz w:val="20"/>
          <w:szCs w:val="20"/>
          <w:color w:val="auto"/>
        </w:rPr>
      </w:pPr>
      <w:r>
        <w:rPr>
          <w:rFonts w:ascii="Arial" w:cs="Arial" w:eastAsia="Arial" w:hAnsi="Arial"/>
          <w:sz w:val="16"/>
          <w:szCs w:val="16"/>
          <w:color w:val="auto"/>
        </w:rPr>
        <w:t>Accordingly, you may need to sell your shares of our Class A common stock to realize a return on your investment, and you may not be able to sell your shares at or above the price you paid for them. See “Risk factors—Risks relating to the multiple class structure of our common stock and the Voting Trust Agreement — We do not intend to pay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1407" w:right="339" w:bottom="1440" w:gutter="0" w:footer="0" w:header="0"/>
        </w:sectPr>
      </w:pPr>
    </w:p>
    <w:bookmarkStart w:id="87" w:name="page88"/>
    <w:bookmarkEnd w:id="87"/>
    <w:p>
      <w:pPr>
        <w:spacing w:after="0"/>
        <w:rPr>
          <w:sz w:val="20"/>
          <w:szCs w:val="20"/>
          <w:color w:val="auto"/>
        </w:rPr>
      </w:pPr>
      <w:r>
        <w:rPr>
          <w:rFonts w:ascii="Arial" w:cs="Arial" w:eastAsia="Arial" w:hAnsi="Arial"/>
          <w:sz w:val="26"/>
          <w:szCs w:val="26"/>
          <w:b w:val="1"/>
          <w:bCs w:val="1"/>
          <w:color w:val="auto"/>
        </w:rPr>
        <w:t>Dilution</w:t>
      </w:r>
    </w:p>
    <w:p>
      <w:pPr>
        <w:spacing w:after="0" w:line="296"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per share of our Class A, LT10 and LT50 common stock immediately after this offering.</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Our historical net tangible book value as of June 30, 2021 was $ , or $ per share. Net tangible book value per share is determined by dividing our total tangible assets less our total liabilities by the number of shares of common stock outstanding.</w:t>
      </w:r>
    </w:p>
    <w:p>
      <w:pPr>
        <w:spacing w:after="0" w:line="101" w:lineRule="exact"/>
        <w:rPr>
          <w:sz w:val="20"/>
          <w:szCs w:val="20"/>
          <w:color w:val="auto"/>
        </w:rPr>
      </w:pPr>
    </w:p>
    <w:p>
      <w:pPr>
        <w:spacing w:after="0"/>
        <w:tabs>
          <w:tab w:leader="none" w:pos="5040" w:val="left"/>
          <w:tab w:leader="none" w:pos="6320" w:val="left"/>
        </w:tabs>
        <w:rPr>
          <w:sz w:val="20"/>
          <w:szCs w:val="20"/>
          <w:color w:val="auto"/>
        </w:rPr>
      </w:pPr>
      <w:r>
        <w:rPr>
          <w:rFonts w:ascii="Arial" w:cs="Arial" w:eastAsia="Arial" w:hAnsi="Arial"/>
          <w:sz w:val="16"/>
          <w:szCs w:val="16"/>
          <w:color w:val="auto"/>
        </w:rPr>
        <w:t>Our pro forma net tangible book value as of June 30, 2021 was $</w:t>
      </w:r>
      <w:r>
        <w:rPr>
          <w:sz w:val="20"/>
          <w:szCs w:val="20"/>
          <w:color w:val="auto"/>
        </w:rPr>
        <w:tab/>
      </w:r>
      <w:r>
        <w:rPr>
          <w:rFonts w:ascii="Arial" w:cs="Arial" w:eastAsia="Arial" w:hAnsi="Arial"/>
          <w:sz w:val="16"/>
          <w:szCs w:val="16"/>
          <w:color w:val="auto"/>
        </w:rPr>
        <w:t>million, or $</w:t>
      </w:r>
      <w:r>
        <w:rPr>
          <w:sz w:val="20"/>
          <w:szCs w:val="20"/>
          <w:color w:val="auto"/>
        </w:rPr>
        <w:tab/>
      </w:r>
      <w:r>
        <w:rPr>
          <w:rFonts w:ascii="Arial" w:cs="Arial" w:eastAsia="Arial" w:hAnsi="Arial"/>
          <w:sz w:val="16"/>
          <w:szCs w:val="16"/>
          <w:color w:val="auto"/>
        </w:rPr>
        <w:t>per share. Pro forma net tangible book value per share is</w:t>
      </w:r>
    </w:p>
    <w:p>
      <w:pPr>
        <w:spacing w:after="0" w:line="1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determined by subtracting our total liabilities from the total book value of our tangible assets and dividing the difference by the number of shares of common stock deemed to be outstanding, after giving effect to (i) the automatic conversion of all outstanding shares of our preferred stock into shares of Class A common stock immediately prior to the completion of this offering, and (ii) the reclassification of all outstanding shares of our common stock into an equivalent number of shares of our Class A common stock immediately followed by the completion of the Exchange Offer, which will occur immediately prior to the effectiveness of the registration statement on Form S-1, of which this prospectus is a part.</w:t>
      </w:r>
    </w:p>
    <w:p>
      <w:pPr>
        <w:spacing w:after="0" w:line="12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Our pro forma as adjusted net tangible book value as of June 30, 2021, after giving effect to this offering would have been $ million, or $ per share of common stock. This amount represents an immediate increase in pro forma as adjusted net tangible book value of $ per share to our existing stockholders and an immediate dilution in pro forma as adjusted net tangible book value of $ per share to new investors purchasing shares of Class A</w:t>
      </w:r>
    </w:p>
    <w:p>
      <w:pPr>
        <w:ind w:right="220"/>
        <w:spacing w:after="0" w:line="268" w:lineRule="auto"/>
        <w:rPr>
          <w:sz w:val="20"/>
          <w:szCs w:val="20"/>
          <w:color w:val="auto"/>
        </w:rPr>
      </w:pPr>
      <w:r>
        <w:rPr>
          <w:rFonts w:ascii="Arial" w:cs="Arial" w:eastAsia="Arial" w:hAnsi="Arial"/>
          <w:sz w:val="16"/>
          <w:szCs w:val="16"/>
          <w:color w:val="auto"/>
        </w:rPr>
        <w:t>common stock 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Assumed initial public offering price per share of Class A common stock</w:t>
            </w:r>
          </w:p>
        </w:tc>
        <w:tc>
          <w:tcPr>
            <w:tcW w:w="3340" w:type="dxa"/>
            <w:vAlign w:val="bottom"/>
            <w:tcBorders>
              <w:top w:val="single" w:sz="8" w:color="auto"/>
            </w:tcBorders>
            <w:gridSpan w:val="2"/>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r>
      <w:tr>
        <w:trPr>
          <w:trHeight w:val="207"/>
        </w:trPr>
        <w:tc>
          <w:tcPr>
            <w:tcW w:w="7920" w:type="dxa"/>
            <w:vAlign w:val="bottom"/>
          </w:tcPr>
          <w:p>
            <w:pPr>
              <w:ind w:left="300"/>
              <w:spacing w:after="0"/>
              <w:rPr>
                <w:sz w:val="20"/>
                <w:szCs w:val="20"/>
                <w:color w:val="auto"/>
              </w:rPr>
            </w:pPr>
            <w:r>
              <w:rPr>
                <w:rFonts w:ascii="Arial" w:cs="Arial" w:eastAsia="Arial" w:hAnsi="Arial"/>
                <w:sz w:val="16"/>
                <w:szCs w:val="16"/>
                <w:color w:val="auto"/>
              </w:rPr>
              <w:t>Historical net tangible book value per share as of June 30, 2021</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7"/>
                <w:szCs w:val="17"/>
                <w:color w:val="auto"/>
              </w:rPr>
            </w:pPr>
          </w:p>
        </w:tc>
      </w:tr>
      <w:tr>
        <w:trPr>
          <w:trHeight w:val="207"/>
        </w:trPr>
        <w:tc>
          <w:tcPr>
            <w:tcW w:w="7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Increase per share attributable to the pro forma adjustments described above</w:t>
            </w:r>
          </w:p>
        </w:tc>
        <w:tc>
          <w:tcPr>
            <w:tcW w:w="1660" w:type="dxa"/>
            <w:vAlign w:val="bottom"/>
            <w:tcBorders>
              <w:bottom w:val="single" w:sz="8" w:color="auto"/>
            </w:tcBorders>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187"/>
        </w:trPr>
        <w:tc>
          <w:tcPr>
            <w:tcW w:w="7920" w:type="dxa"/>
            <w:vAlign w:val="bottom"/>
          </w:tcPr>
          <w:p>
            <w:pPr>
              <w:ind w:left="300"/>
              <w:spacing w:after="0"/>
              <w:rPr>
                <w:sz w:val="20"/>
                <w:szCs w:val="20"/>
                <w:color w:val="auto"/>
              </w:rPr>
            </w:pPr>
            <w:r>
              <w:rPr>
                <w:rFonts w:ascii="Arial" w:cs="Arial" w:eastAsia="Arial" w:hAnsi="Arial"/>
                <w:sz w:val="16"/>
                <w:szCs w:val="16"/>
                <w:color w:val="auto"/>
              </w:rPr>
              <w:t>Pro forma net tangible book value per share of June 30, 2021</w:t>
            </w:r>
          </w:p>
        </w:tc>
        <w:tc>
          <w:tcPr>
            <w:tcW w:w="16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70"/>
        </w:trPr>
        <w:tc>
          <w:tcPr>
            <w:tcW w:w="7920" w:type="dxa"/>
            <w:vAlign w:val="bottom"/>
            <w:shd w:val="clear" w:color="auto" w:fill="CCEEFF"/>
          </w:tcPr>
          <w:p>
            <w:pPr>
              <w:ind w:left="300"/>
              <w:spacing w:after="0" w:line="170" w:lineRule="exact"/>
              <w:rPr>
                <w:sz w:val="20"/>
                <w:szCs w:val="20"/>
                <w:color w:val="auto"/>
              </w:rPr>
            </w:pPr>
            <w:r>
              <w:rPr>
                <w:rFonts w:ascii="Arial" w:cs="Arial" w:eastAsia="Arial" w:hAnsi="Arial"/>
                <w:sz w:val="16"/>
                <w:szCs w:val="16"/>
                <w:color w:val="auto"/>
              </w:rPr>
              <w:t>Increase in pro forma net tangible book value per share attributable to investors purchasing shares of</w:t>
            </w:r>
          </w:p>
        </w:tc>
        <w:tc>
          <w:tcPr>
            <w:tcW w:w="16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95"/>
        </w:trPr>
        <w:tc>
          <w:tcPr>
            <w:tcW w:w="79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Class A common stock in this offering</w:t>
            </w:r>
          </w:p>
        </w:tc>
        <w:tc>
          <w:tcPr>
            <w:tcW w:w="1660" w:type="dxa"/>
            <w:vAlign w:val="bottom"/>
            <w:tcBorders>
              <w:bottom w:val="single" w:sz="8" w:color="auto"/>
            </w:tcBorders>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11"/>
        </w:trPr>
        <w:tc>
          <w:tcPr>
            <w:tcW w:w="79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Pro forma as adjusted net tangible book value per share</w:t>
            </w:r>
          </w:p>
        </w:tc>
        <w:tc>
          <w:tcPr>
            <w:tcW w:w="16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499"/>
              <w:spacing w:after="0"/>
              <w:rPr>
                <w:sz w:val="20"/>
                <w:szCs w:val="20"/>
                <w:color w:val="auto"/>
              </w:rPr>
            </w:pPr>
            <w:r>
              <w:rPr>
                <w:rFonts w:ascii="Arial" w:cs="Arial" w:eastAsia="Arial" w:hAnsi="Arial"/>
                <w:sz w:val="16"/>
                <w:szCs w:val="16"/>
                <w:color w:val="auto"/>
                <w:w w:val="89"/>
              </w:rPr>
              <w:t>$</w:t>
            </w:r>
          </w:p>
        </w:tc>
      </w:tr>
      <w:tr>
        <w:trPr>
          <w:trHeight w:val="200"/>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Dilution per share to new investors participating in this offering</w:t>
            </w:r>
          </w:p>
        </w:tc>
        <w:tc>
          <w:tcPr>
            <w:tcW w:w="3340" w:type="dxa"/>
            <w:vAlign w:val="bottom"/>
            <w:gridSpan w:val="2"/>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r>
      <w:tr>
        <w:trPr>
          <w:trHeight w:val="49"/>
        </w:trPr>
        <w:tc>
          <w:tcPr>
            <w:tcW w:w="79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 $1.00 increase or decrease in the assumed initial public offering price of $ per share, which is the midpoint of the price range listed on the cover page of this prospectus, would increase or decrease, as applicable, the pro forma as adjusted net tangible book value per share after this offering by approximately $ , and dilution in pro forma as adjusted net tangible book value per share to new investors by approximately $ , assuming that the</w:t>
      </w:r>
    </w:p>
    <w:p>
      <w:pPr>
        <w:ind w:right="180"/>
        <w:spacing w:after="0" w:line="254" w:lineRule="auto"/>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underwriting discounts and commissions and estimated offering expenses payable by us. Each increase or decrease of 1.0 million shares in the number of shares of Class A common stock offered by us would increase or decrease, as applicable, the pro forma as adjusted net tangible book value per share after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approximately $ per share and decrease or increase the dilution to investors participating in this offering by approximately $ per share, assuming that the assumed initial public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60"/>
          </w:cols>
          <w:pgMar w:left="320" w:top="1407" w:right="319" w:bottom="1440" w:gutter="0" w:footer="0" w:header="0"/>
        </w:sectPr>
      </w:pPr>
    </w:p>
    <w:bookmarkStart w:id="88" w:name="page89"/>
    <w:bookmarkEnd w:id="88"/>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remains the same, and after deducting underwriting discounts and commissions and estimated offering expenses payable by us.</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6"/>
          <w:szCs w:val="16"/>
          <w:color w:val="auto"/>
        </w:rPr>
        <w:t>If the underwriters exercise in full their option to purchase additional shares of our Class A common stock, the pro forma as adjusted net tangible book value</w:t>
      </w:r>
    </w:p>
    <w:p>
      <w:pPr>
        <w:spacing w:after="0" w:line="11" w:lineRule="exact"/>
        <w:rPr>
          <w:sz w:val="20"/>
          <w:szCs w:val="20"/>
          <w:color w:val="auto"/>
        </w:rPr>
      </w:pPr>
    </w:p>
    <w:p>
      <w:pPr>
        <w:ind w:left="3"/>
        <w:spacing w:after="0"/>
        <w:tabs>
          <w:tab w:leader="none" w:pos="2442" w:val="left"/>
        </w:tabs>
        <w:rPr>
          <w:sz w:val="20"/>
          <w:szCs w:val="20"/>
          <w:color w:val="auto"/>
        </w:rPr>
      </w:pPr>
      <w:r>
        <w:rPr>
          <w:rFonts w:ascii="Arial" w:cs="Arial" w:eastAsia="Arial" w:hAnsi="Arial"/>
          <w:sz w:val="16"/>
          <w:szCs w:val="16"/>
          <w:color w:val="auto"/>
        </w:rPr>
        <w:t>after the offering would be $</w:t>
      </w:r>
      <w:r>
        <w:rPr>
          <w:sz w:val="20"/>
          <w:szCs w:val="20"/>
          <w:color w:val="auto"/>
        </w:rPr>
        <w:tab/>
      </w:r>
      <w:r>
        <w:rPr>
          <w:rFonts w:ascii="Arial" w:cs="Arial" w:eastAsia="Arial" w:hAnsi="Arial"/>
          <w:sz w:val="16"/>
          <w:szCs w:val="16"/>
          <w:color w:val="auto"/>
        </w:rPr>
        <w:t>per share, the increase in pro forma as adjusted net tangible book value per share to existing stockholders would be $</w:t>
      </w:r>
    </w:p>
    <w:p>
      <w:pPr>
        <w:spacing w:after="0" w:line="11" w:lineRule="exact"/>
        <w:rPr>
          <w:sz w:val="20"/>
          <w:szCs w:val="20"/>
          <w:color w:val="auto"/>
        </w:rPr>
      </w:pPr>
    </w:p>
    <w:p>
      <w:pPr>
        <w:ind w:left="43"/>
        <w:spacing w:after="0"/>
        <w:tabs>
          <w:tab w:leader="none" w:pos="7862" w:val="left"/>
        </w:tabs>
        <w:rPr>
          <w:sz w:val="20"/>
          <w:szCs w:val="20"/>
          <w:color w:val="auto"/>
        </w:rPr>
      </w:pPr>
      <w:r>
        <w:rPr>
          <w:rFonts w:ascii="Arial" w:cs="Arial" w:eastAsia="Arial" w:hAnsi="Arial"/>
          <w:sz w:val="16"/>
          <w:szCs w:val="16"/>
          <w:color w:val="auto"/>
        </w:rPr>
        <w:t>per share and the dilution in pro forma as adjusted net tangible book value to new investors would be $</w:t>
      </w:r>
      <w:r>
        <w:rPr>
          <w:sz w:val="20"/>
          <w:szCs w:val="20"/>
          <w:color w:val="auto"/>
        </w:rPr>
        <w:tab/>
      </w:r>
      <w:r>
        <w:rPr>
          <w:rFonts w:ascii="Arial" w:cs="Arial" w:eastAsia="Arial" w:hAnsi="Arial"/>
          <w:sz w:val="16"/>
          <w:szCs w:val="16"/>
          <w:color w:val="auto"/>
        </w:rPr>
        <w:t>per share, in each case assuming an initial</w:t>
      </w:r>
    </w:p>
    <w:p>
      <w:pPr>
        <w:spacing w:after="0" w:line="11" w:lineRule="exact"/>
        <w:rPr>
          <w:sz w:val="20"/>
          <w:szCs w:val="20"/>
          <w:color w:val="auto"/>
        </w:rPr>
      </w:pPr>
    </w:p>
    <w:p>
      <w:pPr>
        <w:ind w:left="3"/>
        <w:spacing w:after="0"/>
        <w:tabs>
          <w:tab w:leader="none" w:pos="2142" w:val="left"/>
        </w:tabs>
        <w:rPr>
          <w:sz w:val="20"/>
          <w:szCs w:val="20"/>
          <w:color w:val="auto"/>
        </w:rPr>
      </w:pPr>
      <w:r>
        <w:rPr>
          <w:rFonts w:ascii="Arial" w:cs="Arial" w:eastAsia="Arial" w:hAnsi="Arial"/>
          <w:sz w:val="16"/>
          <w:szCs w:val="16"/>
          <w:color w:val="auto"/>
        </w:rPr>
        <w:t>public offering price of $</w:t>
      </w:r>
      <w:r>
        <w:rPr>
          <w:sz w:val="20"/>
          <w:szCs w:val="20"/>
          <w:color w:val="auto"/>
        </w:rPr>
        <w:tab/>
      </w:r>
      <w:r>
        <w:rPr>
          <w:rFonts w:ascii="Arial" w:cs="Arial" w:eastAsia="Arial" w:hAnsi="Arial"/>
          <w:sz w:val="16"/>
          <w:szCs w:val="16"/>
          <w:color w:val="auto"/>
        </w:rPr>
        <w:t>per share, which is the midpoint of the price range listed on the cover page of this prospectus.</w:t>
      </w:r>
    </w:p>
    <w:p>
      <w:pPr>
        <w:spacing w:after="0" w:line="145" w:lineRule="exact"/>
        <w:rPr>
          <w:sz w:val="20"/>
          <w:szCs w:val="20"/>
          <w:color w:val="auto"/>
        </w:rPr>
      </w:pPr>
    </w:p>
    <w:p>
      <w:pPr>
        <w:ind w:left="3" w:right="220"/>
        <w:spacing w:after="0" w:line="254" w:lineRule="auto"/>
        <w:rPr>
          <w:sz w:val="20"/>
          <w:szCs w:val="20"/>
          <w:color w:val="auto"/>
        </w:rPr>
      </w:pPr>
      <w:r>
        <w:rPr>
          <w:rFonts w:ascii="Arial" w:cs="Arial" w:eastAsia="Arial" w:hAnsi="Arial"/>
          <w:sz w:val="16"/>
          <w:szCs w:val="16"/>
          <w:color w:val="auto"/>
        </w:rPr>
        <w:t>The following table presents, as of June 30, 2021,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our common stock, cash received from the exercise of stock options and the average price per share paid or to be</w:t>
      </w:r>
    </w:p>
    <w:p>
      <w:pPr>
        <w:ind w:left="3" w:right="60"/>
        <w:spacing w:after="0" w:line="268" w:lineRule="auto"/>
        <w:rPr>
          <w:sz w:val="20"/>
          <w:szCs w:val="20"/>
          <w:color w:val="auto"/>
        </w:rPr>
      </w:pPr>
      <w:r>
        <w:rPr>
          <w:rFonts w:ascii="Arial" w:cs="Arial" w:eastAsia="Arial" w:hAnsi="Arial"/>
          <w:sz w:val="16"/>
          <w:szCs w:val="16"/>
          <w:color w:val="auto"/>
        </w:rPr>
        <w:t>paid to us at the assumed initial public offering price of $ per share, which is the midpoint of the price range listed on the cover page of this prospectus, before deducting the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14565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3" w:right="240" w:hanging="145"/>
        <w:spacing w:after="0" w:line="206" w:lineRule="auto"/>
        <w:rPr>
          <w:sz w:val="20"/>
          <w:szCs w:val="20"/>
          <w:color w:val="auto"/>
        </w:rPr>
      </w:pPr>
      <w:r>
        <w:rPr>
          <w:rFonts w:ascii="Arial" w:cs="Arial" w:eastAsia="Arial" w:hAnsi="Arial"/>
          <w:sz w:val="16"/>
          <w:szCs w:val="16"/>
          <w:color w:val="auto"/>
        </w:rPr>
        <w:t>Existing stockholders before this offering</w:t>
      </w:r>
      <w:r>
        <w:rPr>
          <w:rFonts w:ascii="Arial" w:cs="Arial" w:eastAsia="Arial" w:hAnsi="Arial"/>
          <w:sz w:val="21"/>
          <w:szCs w:val="21"/>
          <w:color w:val="auto"/>
          <w:vertAlign w:val="superscript"/>
        </w:rPr>
        <w:t>(1)</w:t>
      </w:r>
    </w:p>
    <w:p>
      <w:pPr>
        <w:ind w:left="163" w:hanging="145"/>
        <w:spacing w:after="0" w:line="230" w:lineRule="auto"/>
        <w:rPr>
          <w:sz w:val="20"/>
          <w:szCs w:val="20"/>
          <w:color w:val="auto"/>
        </w:rPr>
      </w:pPr>
      <w:r>
        <w:rPr>
          <w:rFonts w:ascii="Arial" w:cs="Arial" w:eastAsia="Arial" w:hAnsi="Arial"/>
          <w:sz w:val="16"/>
          <w:szCs w:val="16"/>
          <w:color w:val="auto"/>
        </w:rPr>
        <w:t>New investors purchasing shares in this offering</w:t>
      </w:r>
    </w:p>
    <w:p>
      <w:pPr>
        <w:spacing w:after="0" w:line="29" w:lineRule="exact"/>
        <w:rPr>
          <w:sz w:val="20"/>
          <w:szCs w:val="20"/>
          <w:color w:val="auto"/>
        </w:rPr>
      </w:pPr>
    </w:p>
    <w:p>
      <w:pPr>
        <w:ind w:left="23"/>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967"/>
              <w:spacing w:after="0"/>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927"/>
              <w:spacing w:after="0"/>
              <w:rPr>
                <w:sz w:val="20"/>
                <w:szCs w:val="20"/>
                <w:color w:val="auto"/>
              </w:rPr>
            </w:pPr>
            <w:r>
              <w:rPr>
                <w:rFonts w:ascii="Arial" w:cs="Arial" w:eastAsia="Arial" w:hAnsi="Arial"/>
                <w:sz w:val="13"/>
                <w:szCs w:val="13"/>
                <w:b w:val="1"/>
                <w:bCs w:val="1"/>
                <w:color w:val="auto"/>
              </w:rPr>
              <w:t>Total consideration</w:t>
            </w:r>
          </w:p>
        </w:tc>
        <w:tc>
          <w:tcPr>
            <w:tcW w:w="10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0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Number</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vMerge w:val="restart"/>
          </w:tcPr>
          <w:p>
            <w:pPr>
              <w:jc w:val="right"/>
              <w:ind w:right="527"/>
              <w:spacing w:after="0"/>
              <w:rPr>
                <w:sz w:val="20"/>
                <w:szCs w:val="20"/>
                <w:color w:val="auto"/>
              </w:rPr>
            </w:pPr>
            <w:r>
              <w:rPr>
                <w:rFonts w:ascii="Arial" w:cs="Arial" w:eastAsia="Arial" w:hAnsi="Arial"/>
                <w:sz w:val="13"/>
                <w:szCs w:val="13"/>
                <w:b w:val="1"/>
                <w:bCs w:val="1"/>
                <w:color w:val="auto"/>
              </w:rPr>
              <w:t>Percent</w:t>
            </w:r>
          </w:p>
        </w:tc>
        <w:tc>
          <w:tcPr>
            <w:tcW w:w="1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97"/>
              </w:rPr>
              <w:t>Amount</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vMerge w:val="restart"/>
          </w:tcPr>
          <w:p>
            <w:pPr>
              <w:jc w:val="right"/>
              <w:ind w:right="527"/>
              <w:spacing w:after="0"/>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Weighted-average price per</w:t>
            </w:r>
          </w:p>
        </w:tc>
        <w:tc>
          <w:tcPr>
            <w:tcW w:w="0" w:type="dxa"/>
            <w:vAlign w:val="bottom"/>
          </w:tcPr>
          <w:p>
            <w:pPr>
              <w:spacing w:after="0"/>
              <w:rPr>
                <w:sz w:val="1"/>
                <w:szCs w:val="1"/>
                <w:color w:val="auto"/>
              </w:rPr>
            </w:pPr>
          </w:p>
        </w:tc>
      </w:tr>
      <w:tr>
        <w:trPr>
          <w:trHeight w:val="158"/>
        </w:trPr>
        <w:tc>
          <w:tcPr>
            <w:tcW w:w="100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share</w:t>
            </w: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spacing w:after="0"/>
              <w:rPr>
                <w:sz w:val="24"/>
                <w:szCs w:val="24"/>
                <w:color w:val="auto"/>
              </w:rPr>
            </w:pPr>
          </w:p>
        </w:tc>
        <w:tc>
          <w:tcPr>
            <w:tcW w:w="2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16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6"/>
        </w:trPr>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00" w:type="dxa"/>
            <w:vAlign w:val="bottom"/>
            <w:gridSpan w:val="2"/>
          </w:tcPr>
          <w:p>
            <w:pPr>
              <w:jc w:val="right"/>
              <w:ind w:right="16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0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-633730</wp:posOffset>
            </wp:positionV>
            <wp:extent cx="7145655" cy="231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5655" cy="231775"/>
                    </a:xfrm>
                    <a:prstGeom prst="rect">
                      <a:avLst/>
                    </a:prstGeom>
                    <a:noFill/>
                  </pic:spPr>
                </pic:pic>
              </a:graphicData>
            </a:graphic>
          </wp:anchor>
        </w:drawing>
        <w:drawing>
          <wp:anchor simplePos="0" relativeHeight="251657728" behindDoc="1" locked="0" layoutInCell="0" allowOverlap="1">
            <wp:simplePos x="0" y="0"/>
            <wp:positionH relativeFrom="column">
              <wp:posOffset>-1817370</wp:posOffset>
            </wp:positionH>
            <wp:positionV relativeFrom="paragraph">
              <wp:posOffset>-169545</wp:posOffset>
            </wp:positionV>
            <wp:extent cx="7145655" cy="154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5655" cy="154940"/>
                    </a:xfrm>
                    <a:prstGeom prst="rect">
                      <a:avLst/>
                    </a:prstGeom>
                    <a:noFill/>
                  </pic:spPr>
                </pic:pic>
              </a:graphicData>
            </a:graphic>
          </wp:anchor>
        </w:drawing>
        <w:drawing>
          <wp:anchor simplePos="0" relativeHeight="251657728" behindDoc="1" locked="0" layoutInCell="0" allowOverlap="1">
            <wp:simplePos x="0" y="0"/>
            <wp:positionH relativeFrom="column">
              <wp:posOffset>-1817370</wp:posOffset>
            </wp:positionH>
            <wp:positionV relativeFrom="paragraph">
              <wp:posOffset>15240</wp:posOffset>
            </wp:positionV>
            <wp:extent cx="71456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2583" w:space="280"/>
            <w:col w:w="8400"/>
          </w:cols>
          <w:pgMar w:left="317" w:top="1440" w:right="319" w:bottom="1440" w:gutter="0" w:footer="0" w:header="0"/>
          <w:type w:val="continuous"/>
        </w:sectPr>
      </w:pPr>
    </w:p>
    <w:p>
      <w:pPr>
        <w:ind w:left="283" w:hanging="283"/>
        <w:spacing w:after="0"/>
        <w:tabs>
          <w:tab w:leader="none" w:pos="283"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presentation in this table regarding ownership by existing stockholders does not give effect to any purchases that existing stockholders may make in this offering.</w:t>
      </w:r>
    </w:p>
    <w:p>
      <w:pPr>
        <w:spacing w:after="0" w:line="142" w:lineRule="exact"/>
        <w:rPr>
          <w:sz w:val="20"/>
          <w:szCs w:val="20"/>
          <w:color w:val="auto"/>
        </w:rPr>
      </w:pPr>
    </w:p>
    <w:p>
      <w:pPr>
        <w:ind w:left="3"/>
        <w:spacing w:after="0"/>
        <w:tabs>
          <w:tab w:leader="none" w:pos="6142" w:val="left"/>
        </w:tabs>
        <w:rPr>
          <w:sz w:val="20"/>
          <w:szCs w:val="20"/>
          <w:color w:val="auto"/>
        </w:rPr>
      </w:pPr>
      <w:r>
        <w:rPr>
          <w:rFonts w:ascii="Arial" w:cs="Arial" w:eastAsia="Arial" w:hAnsi="Arial"/>
          <w:sz w:val="16"/>
          <w:szCs w:val="16"/>
          <w:color w:val="auto"/>
        </w:rPr>
        <w:t>Each $1.00 increase or decrease in the assumed initial public offering price of $</w:t>
      </w:r>
      <w:r>
        <w:rPr>
          <w:sz w:val="20"/>
          <w:szCs w:val="20"/>
          <w:color w:val="auto"/>
        </w:rPr>
        <w:tab/>
      </w:r>
      <w:r>
        <w:rPr>
          <w:rFonts w:ascii="Arial" w:cs="Arial" w:eastAsia="Arial" w:hAnsi="Arial"/>
          <w:sz w:val="16"/>
          <w:szCs w:val="16"/>
          <w:color w:val="auto"/>
        </w:rPr>
        <w:t>per share would increase or decrease, as applicable, the total</w:t>
      </w:r>
    </w:p>
    <w:p>
      <w:pPr>
        <w:spacing w:after="0" w:line="11" w:lineRule="exact"/>
        <w:rPr>
          <w:sz w:val="20"/>
          <w:szCs w:val="20"/>
          <w:color w:val="auto"/>
        </w:rPr>
      </w:pPr>
    </w:p>
    <w:p>
      <w:pPr>
        <w:ind w:left="3"/>
        <w:spacing w:after="0"/>
        <w:tabs>
          <w:tab w:leader="none" w:pos="7082" w:val="left"/>
        </w:tabs>
        <w:rPr>
          <w:sz w:val="20"/>
          <w:szCs w:val="20"/>
          <w:color w:val="auto"/>
        </w:rPr>
      </w:pPr>
      <w:r>
        <w:rPr>
          <w:rFonts w:ascii="Arial" w:cs="Arial" w:eastAsia="Arial" w:hAnsi="Arial"/>
          <w:sz w:val="16"/>
          <w:szCs w:val="16"/>
          <w:color w:val="auto"/>
        </w:rPr>
        <w:t>consideration paid by new investors and the total consideration paid by all stockholders by $</w:t>
      </w:r>
      <w:r>
        <w:rPr>
          <w:sz w:val="20"/>
          <w:szCs w:val="20"/>
          <w:color w:val="auto"/>
        </w:rPr>
        <w:tab/>
      </w:r>
      <w:r>
        <w:rPr>
          <w:rFonts w:ascii="Arial" w:cs="Arial" w:eastAsia="Arial" w:hAnsi="Arial"/>
          <w:sz w:val="16"/>
          <w:szCs w:val="16"/>
          <w:color w:val="auto"/>
        </w:rPr>
        <w:t>million, assuming the number of shares offered by us</w:t>
      </w:r>
    </w:p>
    <w:p>
      <w:pPr>
        <w:spacing w:after="0" w:line="11" w:lineRule="exact"/>
        <w:rPr>
          <w:sz w:val="20"/>
          <w:szCs w:val="20"/>
          <w:color w:val="auto"/>
        </w:rPr>
      </w:pPr>
    </w:p>
    <w:p>
      <w:pPr>
        <w:ind w:left="3" w:right="260"/>
        <w:spacing w:after="0" w:line="254" w:lineRule="auto"/>
        <w:rPr>
          <w:sz w:val="20"/>
          <w:szCs w:val="20"/>
          <w:color w:val="auto"/>
        </w:rPr>
      </w:pPr>
      <w:r>
        <w:rPr>
          <w:rFonts w:ascii="Arial" w:cs="Arial" w:eastAsia="Arial" w:hAnsi="Arial"/>
          <w:sz w:val="16"/>
          <w:szCs w:val="16"/>
          <w:color w:val="auto"/>
        </w:rPr>
        <w:t>remains the same and after deducting underwriting discounts and commissions but before estimated offering expenses. Each increase or decrease of 1.0 million shares in the number of shares of Class A common stock offered by us would increase or decrease, as applicable, the pro forma as adjusted net</w:t>
      </w:r>
    </w:p>
    <w:p>
      <w:pPr>
        <w:ind w:left="3"/>
        <w:spacing w:after="0"/>
        <w:tabs>
          <w:tab w:leader="none" w:pos="5222" w:val="left"/>
        </w:tabs>
        <w:rPr>
          <w:sz w:val="20"/>
          <w:szCs w:val="20"/>
          <w:color w:val="auto"/>
        </w:rPr>
      </w:pPr>
      <w:r>
        <w:rPr>
          <w:rFonts w:ascii="Arial" w:cs="Arial" w:eastAsia="Arial" w:hAnsi="Arial"/>
          <w:sz w:val="16"/>
          <w:szCs w:val="16"/>
          <w:color w:val="auto"/>
        </w:rPr>
        <w:t>tangible book value per share after this offering by approximately $</w:t>
      </w:r>
      <w:r>
        <w:rPr>
          <w:sz w:val="20"/>
          <w:szCs w:val="20"/>
          <w:color w:val="auto"/>
        </w:rPr>
        <w:tab/>
      </w:r>
      <w:r>
        <w:rPr>
          <w:rFonts w:ascii="Arial" w:cs="Arial" w:eastAsia="Arial" w:hAnsi="Arial"/>
          <w:sz w:val="16"/>
          <w:szCs w:val="16"/>
          <w:color w:val="auto"/>
        </w:rPr>
        <w:t>per share and decrease or increase the dilution to investors participating in this</w:t>
      </w:r>
    </w:p>
    <w:p>
      <w:pPr>
        <w:spacing w:after="0" w:line="11" w:lineRule="exact"/>
        <w:rPr>
          <w:sz w:val="20"/>
          <w:szCs w:val="20"/>
          <w:color w:val="auto"/>
        </w:rPr>
      </w:pPr>
    </w:p>
    <w:p>
      <w:pPr>
        <w:ind w:left="3" w:right="500"/>
        <w:spacing w:after="0" w:line="268" w:lineRule="auto"/>
        <w:rPr>
          <w:sz w:val="20"/>
          <w:szCs w:val="20"/>
          <w:color w:val="auto"/>
        </w:rPr>
      </w:pPr>
      <w:r>
        <w:rPr>
          <w:rFonts w:ascii="Arial" w:cs="Arial" w:eastAsia="Arial" w:hAnsi="Arial"/>
          <w:sz w:val="16"/>
          <w:szCs w:val="16"/>
          <w:color w:val="auto"/>
        </w:rPr>
        <w:t>offering by approximately $ per share, assuming that the assumed initial public offering price remains the same, and after deducting underwriting discounts and commissions and estimated offering expenses payable by us.</w:t>
      </w:r>
    </w:p>
    <w:p>
      <w:pPr>
        <w:spacing w:after="0" w:line="113"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Except as otherwise indicated, the discussion and the tables above assume no exercise of the underwriters’ option to purchase additional shares of our Class A common stock.</w:t>
      </w:r>
    </w:p>
    <w:p>
      <w:pPr>
        <w:spacing w:after="0" w:line="101"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The foregoing tables and calculations (other than the historical net tangible book value calculation) are based on 7,681,191 shares of Class A common stock (including all shares of our convertible preferred stock on an as-converted basis) outstanding as of June 30, 2021 and excludes:</w:t>
      </w:r>
    </w:p>
    <w:p>
      <w:pPr>
        <w:spacing w:after="0" w:line="113" w:lineRule="exact"/>
        <w:rPr>
          <w:sz w:val="20"/>
          <w:szCs w:val="20"/>
          <w:color w:val="auto"/>
        </w:rPr>
      </w:pPr>
    </w:p>
    <w:p>
      <w:pPr>
        <w:ind w:left="283" w:right="120" w:hanging="283"/>
        <w:spacing w:after="0" w:line="261" w:lineRule="auto"/>
        <w:tabs>
          <w:tab w:leader="none" w:pos="278" w:val="left"/>
        </w:tabs>
        <w:numPr>
          <w:ilvl w:val="0"/>
          <w:numId w:val="51"/>
        </w:numPr>
        <w:rPr>
          <w:rFonts w:ascii="Arial" w:cs="Arial" w:eastAsia="Arial" w:hAnsi="Arial"/>
          <w:sz w:val="16"/>
          <w:szCs w:val="16"/>
          <w:color w:val="auto"/>
        </w:rPr>
      </w:pPr>
      <w:r>
        <w:rPr>
          <w:rFonts w:ascii="Arial" w:cs="Arial" w:eastAsia="Arial" w:hAnsi="Arial"/>
          <w:sz w:val="16"/>
          <w:szCs w:val="16"/>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18" w:lineRule="exact"/>
        <w:rPr>
          <w:rFonts w:ascii="Arial" w:cs="Arial" w:eastAsia="Arial" w:hAnsi="Arial"/>
          <w:sz w:val="16"/>
          <w:szCs w:val="16"/>
          <w:color w:val="auto"/>
        </w:rPr>
      </w:pPr>
    </w:p>
    <w:p>
      <w:pPr>
        <w:ind w:left="283" w:right="740" w:hanging="283"/>
        <w:spacing w:after="0" w:line="268" w:lineRule="auto"/>
        <w:tabs>
          <w:tab w:leader="none" w:pos="278" w:val="left"/>
        </w:tabs>
        <w:numPr>
          <w:ilvl w:val="0"/>
          <w:numId w:val="51"/>
        </w:numPr>
        <w:rPr>
          <w:rFonts w:ascii="Arial" w:cs="Arial" w:eastAsia="Arial" w:hAnsi="Arial"/>
          <w:sz w:val="16"/>
          <w:szCs w:val="16"/>
          <w:color w:val="auto"/>
        </w:rPr>
      </w:pPr>
      <w:r>
        <w:rPr>
          <w:rFonts w:ascii="Arial" w:cs="Arial" w:eastAsia="Arial" w:hAnsi="Arial"/>
          <w:sz w:val="16"/>
          <w:szCs w:val="16"/>
          <w:color w:val="auto"/>
        </w:rPr>
        <w:t>266,247 shares of common stock issuable upon exercise of outstanding stock options as of June 30, 2021 granted under our 2009 Plan, with a weighted-average exercise price of $2.74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7"/>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63"/>
          </w:cols>
          <w:pgMar w:left="317" w:top="1440" w:right="319" w:bottom="1440" w:gutter="0" w:footer="0" w:header="0"/>
          <w:type w:val="continuous"/>
        </w:sectPr>
      </w:pPr>
    </w:p>
    <w:bookmarkStart w:id="89" w:name="page90"/>
    <w:bookmarkEnd w:id="89"/>
    <w:p>
      <w:pPr>
        <w:spacing w:after="0" w:line="2" w:lineRule="exact"/>
        <w:rPr>
          <w:sz w:val="20"/>
          <w:szCs w:val="20"/>
          <w:color w:val="auto"/>
        </w:rPr>
      </w:pPr>
    </w:p>
    <w:p>
      <w:pPr>
        <w:ind w:left="283" w:right="620" w:hanging="283"/>
        <w:spacing w:after="0" w:line="268" w:lineRule="auto"/>
        <w:tabs>
          <w:tab w:leader="none" w:pos="278" w:val="left"/>
        </w:tabs>
        <w:numPr>
          <w:ilvl w:val="0"/>
          <w:numId w:val="52"/>
        </w:numPr>
        <w:rPr>
          <w:rFonts w:ascii="Arial" w:cs="Arial" w:eastAsia="Arial" w:hAnsi="Arial"/>
          <w:sz w:val="16"/>
          <w:szCs w:val="16"/>
          <w:color w:val="auto"/>
        </w:rPr>
      </w:pPr>
      <w:r>
        <w:rPr>
          <w:rFonts w:ascii="Arial" w:cs="Arial" w:eastAsia="Arial" w:hAnsi="Arial"/>
          <w:sz w:val="16"/>
          <w:szCs w:val="16"/>
          <w:color w:val="auto"/>
        </w:rPr>
        <w:t>590,276 shares of common stock issuable upon exercise of outstanding stock options as of June 30, 2021 granted under our 2019 Plan, with a weighted-average exercise price of $17.12 per share;</w:t>
      </w:r>
    </w:p>
    <w:p>
      <w:pPr>
        <w:sectPr>
          <w:pgSz w:w="11900" w:h="16838" w:orient="portrait"/>
          <w:cols w:equalWidth="0" w:num="1">
            <w:col w:w="11143"/>
          </w:cols>
          <w:pgMar w:left="317" w:top="1440" w:right="439" w:bottom="1440" w:gutter="0" w:footer="0" w:header="0"/>
        </w:sectPr>
      </w:pP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firstLine="446"/>
        <w:spacing w:after="0" w:line="268" w:lineRule="auto"/>
        <w:rPr>
          <w:sz w:val="20"/>
          <w:szCs w:val="20"/>
          <w:color w:val="auto"/>
        </w:rPr>
      </w:pPr>
      <w:r>
        <w:rPr>
          <w:rFonts w:ascii="Arial" w:cs="Arial" w:eastAsia="Arial" w:hAnsi="Arial"/>
          <w:sz w:val="16"/>
          <w:szCs w:val="16"/>
          <w:color w:val="auto"/>
        </w:rPr>
        <w:t>shares of common stock issuable upon exercise of outstanding stock options granted subsequent to June 30, 2021 under our with a weighted-average exercise price of $ per share;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Plan,</w:t>
      </w:r>
    </w:p>
    <w:p>
      <w:pPr>
        <w:spacing w:after="0" w:line="339" w:lineRule="exact"/>
        <w:rPr>
          <w:sz w:val="20"/>
          <w:szCs w:val="20"/>
          <w:color w:val="auto"/>
        </w:rPr>
      </w:pPr>
    </w:p>
    <w:p>
      <w:pPr>
        <w:sectPr>
          <w:pgSz w:w="11900" w:h="16838" w:orient="portrait"/>
          <w:cols w:equalWidth="0" w:num="3">
            <w:col w:w="63" w:space="220"/>
            <w:col w:w="9840" w:space="640"/>
            <w:col w:w="380"/>
          </w:cols>
          <w:pgMar w:left="317" w:top="1440" w:right="439" w:bottom="1440" w:gutter="0" w:footer="0" w:header="0"/>
          <w:type w:val="continuous"/>
        </w:sect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Plan; and</w:t>
      </w:r>
    </w:p>
    <w:p>
      <w:pPr>
        <w:spacing w:after="0" w:line="145" w:lineRule="exact"/>
        <w:rPr>
          <w:sz w:val="20"/>
          <w:szCs w:val="20"/>
          <w:color w:val="auto"/>
        </w:rPr>
      </w:pPr>
    </w:p>
    <w:p>
      <w:pPr>
        <w:sectPr>
          <w:pgSz w:w="11900" w:h="16838" w:orient="portrait"/>
          <w:cols w:equalWidth="0" w:num="3">
            <w:col w:w="63" w:space="680"/>
            <w:col w:w="5160" w:space="620"/>
            <w:col w:w="4620"/>
          </w:cols>
          <w:pgMar w:left="317" w:top="1440" w:right="439" w:bottom="1440" w:gutter="0" w:footer="0" w:header="0"/>
          <w:type w:val="continuous"/>
        </w:sectPr>
      </w:pPr>
    </w:p>
    <w:p>
      <w:pPr>
        <w:ind w:left="283" w:right="120" w:hanging="283"/>
        <w:spacing w:after="0" w:line="261" w:lineRule="auto"/>
        <w:tabs>
          <w:tab w:leader="none" w:pos="278" w:val="left"/>
        </w:tabs>
        <w:numPr>
          <w:ilvl w:val="0"/>
          <w:numId w:val="53"/>
        </w:numPr>
        <w:rPr>
          <w:rFonts w:ascii="Arial" w:cs="Arial" w:eastAsia="Arial" w:hAnsi="Arial"/>
          <w:sz w:val="16"/>
          <w:szCs w:val="16"/>
          <w:color w:val="auto"/>
        </w:rPr>
      </w:pPr>
      <w:r>
        <w:rPr>
          <w:rFonts w:ascii="Arial" w:cs="Arial" w:eastAsia="Arial" w:hAnsi="Arial"/>
          <w:sz w:val="16"/>
          <w:szCs w:val="16"/>
          <w:color w:val="auto"/>
        </w:rPr>
        <w:t>433,969 and 433,969 shares of Class A and LT50 common stock, respectively, issuable upon the vesting of RSUs granted by our board of directors subsequent to June 30, 2021 under our 2019 Plan that will be effective immediately prior to the effectiveness of the registration on Form S-1, of which this prospectus is a part</w:t>
      </w:r>
    </w:p>
    <w:p>
      <w:pPr>
        <w:spacing w:after="0" w:line="106"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To the extent that any outstanding options are exercised or new options are issued under the equity benefit plans, or we issue additional shares of common stock or other securities convertible into or exercisable or exchangeable for shares of our capital stock in the future, there will be further dilution to investors purchasing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2"/>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43"/>
          </w:cols>
          <w:pgMar w:left="317" w:top="1440" w:right="4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26"/>
          <w:szCs w:val="26"/>
          <w:b w:val="1"/>
          <w:bCs w:val="1"/>
          <w:color w:val="auto"/>
        </w:rPr>
        <w:t>Selected consolidated financial and other data</w:t>
      </w:r>
    </w:p>
    <w:p>
      <w:pPr>
        <w:spacing w:after="0" w:line="29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following tables set forth our selected consolidated statements of income and consolidated balance sheet data for the periods and as of the dates indicated. The selected consolidated statements of operations data for the years ended December 31, 2019 and 2020 and the selected consolidated balance sheet data as of December 31, 2019 and 2020 have been derived from our audited consolidated financial statements elsewhere in this prospectus. The selected consolidated statements of operations for the six months ended June 30, 2020 and 2021 and the selected consolidated balance sheet data as of June 30, 2021 have been derived from our unaudited consolidated financial statements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that may be expected for any other period in the future, and the results of operations for the six months ended June 30, 2021 are not necessarily indicative of the results to be expected for the full year ending December 31, 2021, or any other future period. You should read the following selected consolidated financial data in conjunction with the section entitled “Management’s discussion and analysis of financial condition and results of operations” and our audited consolidated financial statements, related notes and other financial information included elsewhere in this prospectus. The selected consolidated financial data in this section is not intended to replace the consolidated financial statements and is qualified in its entirety by the consolidated financial statements, related notes and other financial information included elsewhere in this prospectus.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60"/>
          </w:cols>
          <w:pgMar w:left="320" w:top="1407" w:right="319" w:bottom="1440" w:gutter="0" w:footer="0" w:header="0"/>
        </w:sectPr>
      </w:pPr>
    </w:p>
    <w:bookmarkStart w:id="91" w:name="page92"/>
    <w:bookmarkEnd w:id="91"/>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60" w:type="dxa"/>
            <w:vAlign w:val="bottom"/>
            <w:tcBorders>
              <w:top w:val="single" w:sz="8" w:color="auto"/>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right"/>
              <w:ind w:right="719"/>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7"/>
        </w:trPr>
        <w:tc>
          <w:tcPr>
            <w:tcW w:w="47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5"/>
          </w:tcPr>
          <w:p>
            <w:pPr>
              <w:ind w:lef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8"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7"/>
        </w:trPr>
        <w:tc>
          <w:tcPr>
            <w:tcW w:w="470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199"/>
        </w:trPr>
        <w:tc>
          <w:tcPr>
            <w:tcW w:w="47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(1,710)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(0.62)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700" w:type="dxa"/>
            <w:vAlign w:val="bottom"/>
          </w:tcPr>
          <w:p>
            <w:pPr>
              <w:ind w:left="300"/>
              <w:spacing w:after="0" w:line="158" w:lineRule="exact"/>
              <w:rPr>
                <w:sz w:val="20"/>
                <w:szCs w:val="20"/>
                <w:color w:val="auto"/>
              </w:rPr>
            </w:pPr>
            <w:r>
              <w:rPr>
                <w:rFonts w:ascii="Arial" w:cs="Arial" w:eastAsia="Arial" w:hAnsi="Arial"/>
                <w:sz w:val="16"/>
                <w:szCs w:val="16"/>
                <w:color w:val="auto"/>
              </w:rPr>
              <w:t>income (loss) per share attributable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3,549,511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4,121,642</w:t>
            </w: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161"/>
        </w:trPr>
        <w:tc>
          <w:tcPr>
            <w:tcW w:w="47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Pro forma adjustment on undistributed income allocated to</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300"/>
              <w:spacing w:after="0" w:line="205" w:lineRule="exact"/>
              <w:rPr>
                <w:sz w:val="20"/>
                <w:szCs w:val="20"/>
                <w:color w:val="auto"/>
              </w:rPr>
            </w:pPr>
            <w:r>
              <w:rPr>
                <w:rFonts w:ascii="Arial" w:cs="Arial" w:eastAsia="Arial" w:hAnsi="Arial"/>
                <w:sz w:val="16"/>
                <w:szCs w:val="16"/>
                <w:color w:val="auto"/>
              </w:rPr>
              <w:t>participating securities</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50"/>
        </w:trPr>
        <w:tc>
          <w:tcPr>
            <w:tcW w:w="4700" w:type="dxa"/>
            <w:vAlign w:val="bottom"/>
          </w:tcPr>
          <w:p>
            <w:pPr>
              <w:ind w:left="20"/>
              <w:spacing w:after="0" w:line="150" w:lineRule="exact"/>
              <w:rPr>
                <w:sz w:val="20"/>
                <w:szCs w:val="20"/>
                <w:color w:val="auto"/>
              </w:rPr>
            </w:pPr>
            <w:r>
              <w:rPr>
                <w:rFonts w:ascii="Arial" w:cs="Arial" w:eastAsia="Arial" w:hAnsi="Arial"/>
                <w:sz w:val="16"/>
                <w:szCs w:val="16"/>
                <w:color w:val="auto"/>
              </w:rPr>
              <w:t>Pro forma net income (loss) attributable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176"/>
        </w:trPr>
        <w:tc>
          <w:tcPr>
            <w:tcW w:w="4700" w:type="dxa"/>
            <w:vAlign w:val="bottom"/>
          </w:tcPr>
          <w:p>
            <w:pPr>
              <w:ind w:left="300"/>
              <w:spacing w:after="0" w:line="171" w:lineRule="exact"/>
              <w:rPr>
                <w:sz w:val="20"/>
                <w:szCs w:val="20"/>
                <w:color w:val="auto"/>
              </w:rPr>
            </w:pPr>
            <w:r>
              <w:rPr>
                <w:rFonts w:ascii="Arial" w:cs="Arial" w:eastAsia="Arial" w:hAnsi="Arial"/>
                <w:sz w:val="16"/>
                <w:szCs w:val="16"/>
                <w:color w:val="auto"/>
              </w:rPr>
              <w:t>stockholders, basic and diluted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Pro forma net income (loss) per share attributable to common</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pro</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700" w:type="dxa"/>
            <w:vAlign w:val="bottom"/>
          </w:tcPr>
          <w:p>
            <w:pPr>
              <w:ind w:left="300"/>
              <w:spacing w:after="0" w:line="158" w:lineRule="exact"/>
              <w:rPr>
                <w:sz w:val="20"/>
                <w:szCs w:val="20"/>
                <w:color w:val="auto"/>
              </w:rPr>
            </w:pPr>
            <w:r>
              <w:rPr>
                <w:rFonts w:ascii="Arial" w:cs="Arial" w:eastAsia="Arial" w:hAnsi="Arial"/>
                <w:sz w:val="16"/>
                <w:szCs w:val="16"/>
                <w:color w:val="auto"/>
              </w:rPr>
              <w:t>forma net income (loss) per share attributable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6,945,587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7,171,161</w:t>
            </w:r>
          </w:p>
        </w:tc>
        <w:tc>
          <w:tcPr>
            <w:tcW w:w="0" w:type="dxa"/>
            <w:vAlign w:val="bottom"/>
          </w:tcPr>
          <w:p>
            <w:pPr>
              <w:spacing w:after="0"/>
              <w:rPr>
                <w:sz w:val="1"/>
                <w:szCs w:val="1"/>
                <w:color w:val="auto"/>
              </w:rPr>
            </w:pPr>
          </w:p>
        </w:tc>
      </w:tr>
      <w:tr>
        <w:trPr>
          <w:trHeight w:val="206"/>
        </w:trPr>
        <w:tc>
          <w:tcPr>
            <w:tcW w:w="4700" w:type="dxa"/>
            <w:vAlign w:val="bottom"/>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6,945,587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8,324,781</w:t>
            </w:r>
          </w:p>
        </w:tc>
        <w:tc>
          <w:tcPr>
            <w:tcW w:w="0" w:type="dxa"/>
            <w:vAlign w:val="bottom"/>
          </w:tcPr>
          <w:p>
            <w:pPr>
              <w:spacing w:after="0"/>
              <w:rPr>
                <w:sz w:val="1"/>
                <w:szCs w:val="1"/>
                <w:color w:val="auto"/>
              </w:rPr>
            </w:pPr>
          </w:p>
        </w:tc>
      </w:tr>
      <w:tr>
        <w:trPr>
          <w:trHeight w:val="49"/>
        </w:trPr>
        <w:tc>
          <w:tcPr>
            <w:tcW w:w="47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60"/>
          </w:cols>
          <w:pgMar w:left="320" w:top="1440" w:right="319" w:bottom="1440" w:gutter="0" w:footer="0" w:header="0"/>
        </w:sectPr>
      </w:pPr>
    </w:p>
    <w:bookmarkStart w:id="92" w:name="page93"/>
    <w:bookmarkEnd w:id="92"/>
    <w:p>
      <w:pPr>
        <w:spacing w:after="0" w:line="2" w:lineRule="exact"/>
        <w:rPr>
          <w:sz w:val="20"/>
          <w:szCs w:val="20"/>
          <w:color w:val="auto"/>
        </w:rPr>
      </w:pPr>
    </w:p>
    <w:p>
      <w:pPr>
        <w:ind w:left="283" w:hanging="283"/>
        <w:spacing w:after="0"/>
        <w:tabs>
          <w:tab w:leader="none" w:pos="283"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35" w:lineRule="exact"/>
        <w:rPr>
          <w:sz w:val="20"/>
          <w:szCs w:val="20"/>
          <w:color w:val="auto"/>
        </w:rPr>
      </w:pPr>
    </w:p>
    <w:tbl>
      <w:tblPr>
        <w:tblLayout w:type="fixed"/>
        <w:tblInd w:w="283" w:type="dxa"/>
        <w:tblCellMar>
          <w:top w:w="0" w:type="dxa"/>
          <w:left w:w="0" w:type="dxa"/>
          <w:bottom w:w="0" w:type="dxa"/>
          <w:right w:w="0" w:type="dxa"/>
        </w:tblCellMar>
      </w:tblPr>
      <w:tr>
        <w:trPr>
          <w:trHeight w:val="179"/>
        </w:trPr>
        <w:tc>
          <w:tcPr>
            <w:tcW w:w="368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Borders>
              <w:top w:val="single" w:sz="8" w:color="auto"/>
              <w:bottom w:val="single" w:sz="8" w:color="auto"/>
            </w:tcBorders>
          </w:tcPr>
          <w:p>
            <w:pPr>
              <w:spacing w:after="0"/>
              <w:rPr>
                <w:sz w:val="15"/>
                <w:szCs w:val="15"/>
                <w:color w:val="auto"/>
              </w:rPr>
            </w:pPr>
          </w:p>
        </w:tc>
      </w:tr>
      <w:tr>
        <w:trPr>
          <w:trHeight w:val="147"/>
        </w:trPr>
        <w:tc>
          <w:tcPr>
            <w:tcW w:w="3680" w:type="dxa"/>
            <w:vAlign w:val="bottom"/>
          </w:tcPr>
          <w:p>
            <w:pPr>
              <w:spacing w:after="0"/>
              <w:rPr>
                <w:sz w:val="12"/>
                <w:szCs w:val="12"/>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2019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54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right"/>
              <w:ind w:right="52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right"/>
              <w:ind w:right="523"/>
              <w:spacing w:after="0"/>
              <w:rPr>
                <w:sz w:val="20"/>
                <w:szCs w:val="20"/>
                <w:color w:val="auto"/>
              </w:rPr>
            </w:pPr>
            <w:r>
              <w:rPr>
                <w:rFonts w:ascii="Arial" w:cs="Arial" w:eastAsia="Arial" w:hAnsi="Arial"/>
                <w:sz w:val="11"/>
                <w:szCs w:val="11"/>
                <w:b w:val="1"/>
                <w:bCs w:val="1"/>
                <w:color w:val="auto"/>
              </w:rPr>
              <w:t>2021</w:t>
            </w:r>
          </w:p>
        </w:tc>
      </w:tr>
      <w:tr>
        <w:trPr>
          <w:trHeight w:val="158"/>
        </w:trPr>
        <w:tc>
          <w:tcPr>
            <w:tcW w:w="3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gridSpan w:val="3"/>
          </w:tcPr>
          <w:p>
            <w:pPr>
              <w:jc w:val="right"/>
              <w:ind w:right="143"/>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6"/>
        </w:trPr>
        <w:tc>
          <w:tcPr>
            <w:tcW w:w="3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Cost of revenue, net</w:t>
            </w:r>
          </w:p>
        </w:tc>
        <w:tc>
          <w:tcPr>
            <w:tcW w:w="1180" w:type="dxa"/>
            <w:vAlign w:val="bottom"/>
            <w:shd w:val="clear" w:color="auto" w:fill="CCEEFF"/>
          </w:tcPr>
          <w:p>
            <w:pPr>
              <w:jc w:val="right"/>
              <w:ind w:right="743"/>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324</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425</w:t>
            </w:r>
          </w:p>
        </w:tc>
      </w:tr>
      <w:tr>
        <w:trPr>
          <w:trHeight w:val="151"/>
        </w:trPr>
        <w:tc>
          <w:tcPr>
            <w:tcW w:w="3680" w:type="dxa"/>
            <w:vAlign w:val="bottom"/>
          </w:tcPr>
          <w:p>
            <w:pPr>
              <w:ind w:left="320"/>
              <w:spacing w:after="0"/>
              <w:rPr>
                <w:sz w:val="20"/>
                <w:szCs w:val="20"/>
                <w:color w:val="auto"/>
              </w:rPr>
            </w:pPr>
            <w:r>
              <w:rPr>
                <w:rFonts w:ascii="Arial" w:cs="Arial" w:eastAsia="Arial" w:hAnsi="Arial"/>
                <w:sz w:val="11"/>
                <w:szCs w:val="11"/>
                <w:color w:val="auto"/>
              </w:rPr>
              <w:t>Research and development</w:t>
            </w:r>
          </w:p>
        </w:tc>
        <w:tc>
          <w:tcPr>
            <w:tcW w:w="11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741</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2,469</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240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328</w:t>
            </w:r>
          </w:p>
        </w:tc>
      </w:tr>
      <w:tr>
        <w:trPr>
          <w:trHeight w:val="166"/>
        </w:trPr>
        <w:tc>
          <w:tcPr>
            <w:tcW w:w="3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General and administrative</w:t>
            </w:r>
          </w:p>
        </w:tc>
        <w:tc>
          <w:tcPr>
            <w:tcW w:w="11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12,648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708</w:t>
            </w:r>
          </w:p>
        </w:tc>
      </w:tr>
      <w:tr>
        <w:trPr>
          <w:trHeight w:val="151"/>
        </w:trPr>
        <w:tc>
          <w:tcPr>
            <w:tcW w:w="36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Sales and marketing</w:t>
            </w:r>
          </w:p>
        </w:tc>
        <w:tc>
          <w:tcPr>
            <w:tcW w:w="1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404</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448</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137</w:t>
            </w:r>
          </w:p>
        </w:tc>
      </w:tr>
      <w:tr>
        <w:trPr>
          <w:trHeight w:val="183"/>
        </w:trPr>
        <w:tc>
          <w:tcPr>
            <w:tcW w:w="3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stock-based compensation expense</w:t>
            </w:r>
          </w:p>
        </w:tc>
        <w:tc>
          <w:tcPr>
            <w:tcW w:w="11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3,487</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17,837</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1,186</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83" w:right="140" w:hanging="283"/>
        <w:spacing w:after="0" w:line="261" w:lineRule="auto"/>
        <w:tabs>
          <w:tab w:leader="none" w:pos="273"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 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15"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As of December 31,</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As of June 30,</w:t>
            </w:r>
          </w:p>
        </w:tc>
        <w:tc>
          <w:tcPr>
            <w:tcW w:w="0" w:type="dxa"/>
            <w:vAlign w:val="bottom"/>
          </w:tcPr>
          <w:p>
            <w:pPr>
              <w:spacing w:after="0"/>
              <w:rPr>
                <w:sz w:val="1"/>
                <w:szCs w:val="1"/>
                <w:color w:val="auto"/>
              </w:rPr>
            </w:pPr>
          </w:p>
        </w:tc>
      </w:tr>
      <w:tr>
        <w:trPr>
          <w:trHeight w:val="163"/>
        </w:trPr>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40" w:type="dxa"/>
            <w:vAlign w:val="bottom"/>
            <w:shd w:val="clear" w:color="auto" w:fill="CCEEFF"/>
          </w:tcPr>
          <w:p>
            <w:pPr>
              <w:jc w:val="right"/>
              <w:ind w:right="767"/>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9,990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34,401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45,429</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Working capital </w:t>
            </w:r>
            <w:r>
              <w:rPr>
                <w:rFonts w:ascii="Arial" w:cs="Arial" w:eastAsia="Arial" w:hAnsi="Arial"/>
                <w:sz w:val="21"/>
                <w:szCs w:val="21"/>
                <w:color w:val="auto"/>
                <w:vertAlign w:val="superscript"/>
              </w:rPr>
              <w:t>(1)</w:t>
            </w:r>
          </w:p>
        </w:tc>
        <w:tc>
          <w:tcPr>
            <w:tcW w:w="9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5,905</w:t>
            </w:r>
          </w:p>
        </w:tc>
        <w:tc>
          <w:tcPr>
            <w:tcW w:w="280" w:type="dxa"/>
            <w:vAlign w:val="bottom"/>
          </w:tcPr>
          <w:p>
            <w:pPr>
              <w:spacing w:after="0"/>
              <w:rPr>
                <w:sz w:val="18"/>
                <w:szCs w:val="18"/>
                <w:color w:val="auto"/>
              </w:rPr>
            </w:pPr>
          </w:p>
        </w:tc>
        <w:tc>
          <w:tcPr>
            <w:tcW w:w="1340" w:type="dxa"/>
            <w:vAlign w:val="bottom"/>
          </w:tcPr>
          <w:p>
            <w:pPr>
              <w:jc w:val="center"/>
              <w:ind w:left="642"/>
              <w:spacing w:after="0"/>
              <w:rPr>
                <w:sz w:val="20"/>
                <w:szCs w:val="20"/>
                <w:color w:val="auto"/>
              </w:rPr>
            </w:pPr>
            <w:r>
              <w:rPr>
                <w:rFonts w:ascii="Arial" w:cs="Arial" w:eastAsia="Arial" w:hAnsi="Arial"/>
                <w:sz w:val="16"/>
                <w:szCs w:val="16"/>
                <w:color w:val="auto"/>
              </w:rPr>
              <w:t>24,464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39,574</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50,510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63,664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92,112</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94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76,596</w:t>
            </w:r>
          </w:p>
        </w:tc>
        <w:tc>
          <w:tcPr>
            <w:tcW w:w="280" w:type="dxa"/>
            <w:vAlign w:val="bottom"/>
          </w:tcPr>
          <w:p>
            <w:pPr>
              <w:spacing w:after="0"/>
              <w:rPr>
                <w:sz w:val="17"/>
                <w:szCs w:val="17"/>
                <w:color w:val="auto"/>
              </w:rPr>
            </w:pPr>
          </w:p>
        </w:tc>
        <w:tc>
          <w:tcPr>
            <w:tcW w:w="1340" w:type="dxa"/>
            <w:vAlign w:val="bottom"/>
          </w:tcPr>
          <w:p>
            <w:pPr>
              <w:jc w:val="center"/>
              <w:ind w:left="642"/>
              <w:spacing w:after="0"/>
              <w:rPr>
                <w:sz w:val="20"/>
                <w:szCs w:val="20"/>
                <w:color w:val="auto"/>
              </w:rPr>
            </w:pPr>
            <w:r>
              <w:rPr>
                <w:rFonts w:ascii="Arial" w:cs="Arial" w:eastAsia="Arial" w:hAnsi="Arial"/>
                <w:sz w:val="16"/>
                <w:szCs w:val="16"/>
                <w:color w:val="auto"/>
              </w:rPr>
              <w:t>87,733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116,795</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44,605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52,538</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94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79,955</w:t>
            </w:r>
          </w:p>
        </w:tc>
        <w:tc>
          <w:tcPr>
            <w:tcW w:w="280" w:type="dxa"/>
            <w:vAlign w:val="bottom"/>
          </w:tcPr>
          <w:p>
            <w:pPr>
              <w:spacing w:after="0"/>
              <w:rPr>
                <w:sz w:val="17"/>
                <w:szCs w:val="17"/>
                <w:color w:val="auto"/>
              </w:rPr>
            </w:pPr>
          </w:p>
        </w:tc>
        <w:tc>
          <w:tcPr>
            <w:tcW w:w="1340" w:type="dxa"/>
            <w:vAlign w:val="bottom"/>
          </w:tcPr>
          <w:p>
            <w:pPr>
              <w:jc w:val="center"/>
              <w:ind w:left="642"/>
              <w:spacing w:after="0"/>
              <w:rPr>
                <w:sz w:val="20"/>
                <w:szCs w:val="20"/>
                <w:color w:val="auto"/>
              </w:rPr>
            </w:pPr>
            <w:r>
              <w:rPr>
                <w:rFonts w:ascii="Arial" w:cs="Arial" w:eastAsia="Arial" w:hAnsi="Arial"/>
                <w:sz w:val="16"/>
                <w:szCs w:val="16"/>
                <w:color w:val="auto"/>
              </w:rPr>
              <w:t>73,664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85,483</w:t>
            </w: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Convertible preferred stock, par value $0.0001; 4,203,139 shares authorized, issued</w:t>
            </w:r>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and outstanding at December 31, 2019, December 31, 2020 and June 30, 2021</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(unaudited) (aggregate liquidation preference of $24,929,457 at December 31, 2019,</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 2020 and June 30, 2021 (unaudited))</w:t>
            </w: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45,105</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45,105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9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7"/>
              </w:rPr>
              <w:t>(50,638)</w:t>
            </w:r>
          </w:p>
        </w:tc>
        <w:tc>
          <w:tcPr>
            <w:tcW w:w="280" w:type="dxa"/>
            <w:vAlign w:val="bottom"/>
          </w:tcPr>
          <w:p>
            <w:pPr>
              <w:spacing w:after="0"/>
              <w:rPr>
                <w:sz w:val="17"/>
                <w:szCs w:val="17"/>
                <w:color w:val="auto"/>
              </w:rPr>
            </w:pPr>
          </w:p>
        </w:tc>
        <w:tc>
          <w:tcPr>
            <w:tcW w:w="1340" w:type="dxa"/>
            <w:vAlign w:val="bottom"/>
          </w:tcPr>
          <w:p>
            <w:pPr>
              <w:jc w:val="center"/>
              <w:ind w:left="622"/>
              <w:spacing w:after="0"/>
              <w:rPr>
                <w:sz w:val="20"/>
                <w:szCs w:val="20"/>
                <w:color w:val="auto"/>
              </w:rPr>
            </w:pPr>
            <w:r>
              <w:rPr>
                <w:rFonts w:ascii="Arial" w:cs="Arial" w:eastAsia="Arial" w:hAnsi="Arial"/>
                <w:sz w:val="16"/>
                <w:szCs w:val="16"/>
                <w:color w:val="auto"/>
              </w:rPr>
              <w:t>(52,348)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(37,674)</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deficit</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(48,464)</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22"/>
              <w:spacing w:after="0"/>
              <w:rPr>
                <w:sz w:val="20"/>
                <w:szCs w:val="20"/>
                <w:color w:val="auto"/>
              </w:rPr>
            </w:pPr>
            <w:r>
              <w:rPr>
                <w:rFonts w:ascii="Arial" w:cs="Arial" w:eastAsia="Arial" w:hAnsi="Arial"/>
                <w:sz w:val="16"/>
                <w:szCs w:val="16"/>
                <w:color w:val="auto"/>
              </w:rPr>
              <w:t>(31,036)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(13,793)</w:t>
            </w:r>
          </w:p>
        </w:tc>
        <w:tc>
          <w:tcPr>
            <w:tcW w:w="0" w:type="dxa"/>
            <w:vAlign w:val="bottom"/>
          </w:tcPr>
          <w:p>
            <w:pPr>
              <w:spacing w:after="0"/>
              <w:rPr>
                <w:sz w:val="1"/>
                <w:szCs w:val="1"/>
                <w:color w:val="auto"/>
              </w:rPr>
            </w:pPr>
          </w:p>
        </w:tc>
      </w:tr>
      <w:tr>
        <w:trPr>
          <w:trHeight w:val="49"/>
        </w:trPr>
        <w:tc>
          <w:tcPr>
            <w:tcW w:w="63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83" w:right="200" w:hanging="283"/>
        <w:spacing w:after="0" w:line="268" w:lineRule="auto"/>
        <w:tabs>
          <w:tab w:leader="none" w:pos="273" w:val="left"/>
        </w:tabs>
        <w:numPr>
          <w:ilvl w:val="0"/>
          <w:numId w:val="56"/>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Key business metrics and non-GAAP financial measures</w:t>
      </w:r>
    </w:p>
    <w:p>
      <w:pPr>
        <w:spacing w:after="0" w:line="152" w:lineRule="exact"/>
        <w:rPr>
          <w:sz w:val="20"/>
          <w:szCs w:val="20"/>
          <w:color w:val="auto"/>
        </w:rPr>
      </w:pPr>
    </w:p>
    <w:p>
      <w:pPr>
        <w:ind w:left="3" w:right="140"/>
        <w:spacing w:after="0" w:line="257" w:lineRule="auto"/>
        <w:rPr>
          <w:sz w:val="20"/>
          <w:szCs w:val="20"/>
          <w:color w:val="auto"/>
        </w:rPr>
      </w:pPr>
      <w:r>
        <w:rPr>
          <w:rFonts w:ascii="Arial" w:cs="Arial" w:eastAsia="Arial" w:hAnsi="Arial"/>
          <w:sz w:val="16"/>
          <w:szCs w:val="16"/>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Paid members</w:t>
      </w:r>
    </w:p>
    <w:p>
      <w:pPr>
        <w:spacing w:after="0" w:line="16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or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plans during any particular quarter. For SMBs or sole proprietors with only one employee, the business owner may also be the only paid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63"/>
          </w:cols>
          <w:pgMar w:left="317" w:top="1440" w:right="319" w:bottom="1440" w:gutter="0" w:footer="0" w:header="0"/>
        </w:sectPr>
      </w:pPr>
    </w:p>
    <w:bookmarkStart w:id="93" w:name="page94"/>
    <w:bookmarkEnd w:id="93"/>
    <w:p>
      <w:pPr>
        <w:spacing w:after="0" w:line="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below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average number of paid members for the quarters ended March 31, 2018 through June 30,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580" w:type="dxa"/>
            <w:vAlign w:val="bottom"/>
            <w:tcBorders>
              <w:top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Paid members (in</w:t>
            </w:r>
          </w:p>
        </w:tc>
        <w:tc>
          <w:tcPr>
            <w:tcW w:w="0" w:type="dxa"/>
            <w:vAlign w:val="bottom"/>
          </w:tcPr>
          <w:p>
            <w:pPr>
              <w:spacing w:after="0"/>
              <w:rPr>
                <w:sz w:val="1"/>
                <w:szCs w:val="1"/>
                <w:color w:val="auto"/>
              </w:rPr>
            </w:pPr>
          </w:p>
        </w:tc>
      </w:tr>
      <w:tr>
        <w:trPr>
          <w:trHeight w:val="158"/>
        </w:trPr>
        <w:tc>
          <w:tcPr>
            <w:tcW w:w="968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199"/>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2018</w:t>
            </w:r>
          </w:p>
        </w:tc>
        <w:tc>
          <w:tcPr>
            <w:tcW w:w="158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158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2019</w:t>
            </w:r>
          </w:p>
        </w:tc>
        <w:tc>
          <w:tcPr>
            <w:tcW w:w="1580" w:type="dxa"/>
            <w:vAlign w:val="bottom"/>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58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6"/>
        </w:trPr>
        <w:tc>
          <w:tcPr>
            <w:tcW w:w="9680" w:type="dxa"/>
            <w:vAlign w:val="bottom"/>
          </w:tcPr>
          <w:p>
            <w:pPr>
              <w:ind w:left="20"/>
              <w:spacing w:after="0"/>
              <w:rPr>
                <w:sz w:val="20"/>
                <w:szCs w:val="20"/>
                <w:color w:val="auto"/>
              </w:rPr>
            </w:pPr>
            <w:r>
              <w:rPr>
                <w:rFonts w:ascii="Arial" w:cs="Arial" w:eastAsia="Arial" w:hAnsi="Arial"/>
                <w:sz w:val="16"/>
                <w:szCs w:val="16"/>
                <w:color w:val="auto"/>
              </w:rPr>
              <w:t>June 30, 2021</w:t>
            </w:r>
          </w:p>
        </w:tc>
        <w:tc>
          <w:tcPr>
            <w:tcW w:w="1580" w:type="dxa"/>
            <w:vAlign w:val="bottom"/>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49"/>
        </w:trPr>
        <w:tc>
          <w:tcPr>
            <w:tcW w:w="96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6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6"/>
          </w:tcPr>
          <w:p>
            <w:pPr>
              <w:ind w:left="90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4"/>
          </w:tcPr>
          <w:p>
            <w:pPr>
              <w:jc w:val="right"/>
              <w:ind w:right="784"/>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5"/>
          </w:tcPr>
          <w:p>
            <w:pPr>
              <w:ind w:left="260"/>
              <w:spacing w:after="0"/>
              <w:rPr>
                <w:sz w:val="20"/>
                <w:szCs w:val="20"/>
                <w:color w:val="auto"/>
              </w:rPr>
            </w:pPr>
            <w:r>
              <w:rPr>
                <w:rFonts w:ascii="Arial" w:cs="Arial" w:eastAsia="Arial" w:hAnsi="Arial"/>
                <w:sz w:val="13"/>
                <w:szCs w:val="13"/>
                <w:b w:val="1"/>
                <w:bCs w:val="1"/>
                <w:color w:val="auto"/>
              </w:rPr>
              <w:t>(in thousands, except percentages)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0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9"/>
              </w:rPr>
              <w:t>7,579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6"/>
                <w:szCs w:val="16"/>
                <w:color w:val="auto"/>
              </w:rPr>
              <w:t>26,755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9,160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22,933</w:t>
            </w:r>
          </w:p>
        </w:tc>
      </w:tr>
      <w:tr>
        <w:trPr>
          <w:trHeight w:val="200"/>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 -GAAP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60"/>
          </w:cols>
          <w:pgMar w:left="320" w:top="1440" w:right="319" w:bottom="1440" w:gutter="0" w:footer="0" w:header="0"/>
        </w:sectPr>
      </w:pPr>
    </w:p>
    <w:bookmarkStart w:id="94" w:name="page95"/>
    <w:bookmarkEnd w:id="94"/>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reconciles the most directly comparable GAAP financial measure to each of these non-GAAP financial measures:</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Adjusted EBITDA and adjusted EBITDA margin reconciliation</w:t>
      </w:r>
    </w:p>
    <w:p>
      <w:pPr>
        <w:spacing w:after="0" w:line="166"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4"/>
          </w:tcPr>
          <w:p>
            <w:pPr>
              <w:jc w:val="right"/>
              <w:ind w:right="781"/>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4"/>
          </w:tcPr>
          <w:p>
            <w:pPr>
              <w:jc w:val="right"/>
              <w:ind w:right="502"/>
              <w:spacing w:after="0"/>
              <w:rPr>
                <w:sz w:val="20"/>
                <w:szCs w:val="20"/>
                <w:color w:val="auto"/>
              </w:rPr>
            </w:pPr>
            <w:r>
              <w:rPr>
                <w:rFonts w:ascii="Arial" w:cs="Arial" w:eastAsia="Arial" w:hAnsi="Arial"/>
                <w:sz w:val="13"/>
                <w:szCs w:val="13"/>
                <w:b w:val="1"/>
                <w:bCs w:val="1"/>
                <w:color w:val="auto"/>
              </w:rPr>
              <w:t>(in thousands, except percentages)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3,486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14,674</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Pr>
          <w:p>
            <w:pPr>
              <w:spacing w:after="0"/>
              <w:rPr>
                <w:sz w:val="17"/>
                <w:szCs w:val="17"/>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(2,751)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1,365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2,861</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1,506</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7"/>
                <w:szCs w:val="17"/>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2,294</w:t>
            </w:r>
          </w:p>
        </w:tc>
      </w:tr>
      <w:tr>
        <w:trPr>
          <w:trHeight w:val="207"/>
        </w:trPr>
        <w:tc>
          <w:tcPr>
            <w:tcW w:w="440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17,837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1,598</w:t>
            </w:r>
          </w:p>
        </w:tc>
      </w:tr>
      <w:tr>
        <w:trPr>
          <w:trHeight w:val="199"/>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7,579</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26,755</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9,160</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22,933</w:t>
            </w:r>
          </w:p>
        </w:tc>
      </w:tr>
      <w:tr>
        <w:trPr>
          <w:trHeight w:val="225"/>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83" w:right="120" w:hanging="283"/>
        <w:spacing w:after="0" w:line="261" w:lineRule="auto"/>
        <w:tabs>
          <w:tab w:leader="none" w:pos="273" w:val="left"/>
        </w:tabs>
        <w:numPr>
          <w:ilvl w:val="0"/>
          <w:numId w:val="57"/>
        </w:numPr>
        <w:rPr>
          <w:rFonts w:ascii="Arial" w:cs="Arial" w:eastAsia="Arial" w:hAnsi="Arial"/>
          <w:sz w:val="12"/>
          <w:szCs w:val="12"/>
          <w:color w:val="auto"/>
        </w:rPr>
      </w:pPr>
      <w:r>
        <w:rPr>
          <w:rFonts w:ascii="Arial" w:cs="Arial" w:eastAsia="Arial" w:hAnsi="Arial"/>
          <w:sz w:val="12"/>
          <w:szCs w:val="12"/>
          <w:color w:val="auto"/>
        </w:rPr>
        <w:t>For the year ended December 31, 2019, we recorded stock based compensation of $3,487 thousand in the consolidated statement of income. Of this amount, $1,706 thousand was recorded through additional paid in capital and $1,781 thousand was not recorded within additional paid in capital as it represents the excess of the repurchase price over the fair value of shares repurchased. Please refer to Note 9 - Stock-based compensation in our notes to the consolidated financial statements for further detail.</w:t>
      </w:r>
    </w:p>
    <w:p>
      <w:pPr>
        <w:spacing w:after="0" w:line="122"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For additional information about our key business metrics and non-GAAP financial measures,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63"/>
          </w:cols>
          <w:pgMar w:left="317" w:top="1440" w:right="319" w:bottom="1440" w:gutter="0" w:footer="0" w:header="0"/>
        </w:sectPr>
      </w:pPr>
    </w:p>
    <w:bookmarkStart w:id="95" w:name="page96"/>
    <w:bookmarkEnd w:id="95"/>
    <w:p>
      <w:pPr>
        <w:spacing w:after="0"/>
        <w:rPr>
          <w:sz w:val="20"/>
          <w:szCs w:val="20"/>
          <w:color w:val="auto"/>
        </w:rPr>
      </w:pPr>
      <w:r>
        <w:rPr>
          <w:rFonts w:ascii="Arial" w:cs="Arial" w:eastAsia="Arial" w:hAnsi="Arial"/>
          <w:sz w:val="26"/>
          <w:szCs w:val="26"/>
          <w:b w:val="1"/>
          <w:bCs w:val="1"/>
          <w:color w:val="auto"/>
        </w:rPr>
        <w:t>Management's discussion and analysis of financial condition and results of operations</w:t>
      </w:r>
    </w:p>
    <w:p>
      <w:pPr>
        <w:spacing w:after="0" w:line="280"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consolidated financial and other data” and our audited consolidated financial statements and related notes included elsewhere in this prospectus.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prospectus.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5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 model</w:t>
      </w:r>
    </w:p>
    <w:p>
      <w:pPr>
        <w:spacing w:after="0" w:line="16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We believe our approach is effective because we enable a self-service, low-friction model that makes it simple for anyone to try and use our platform and then easily share it with others. Anyone can easily download our application or go to our website and sign up for free on their own, and later upgrade to a paid subscription for advanced features. The adoption of Expensify within an organization typically starts with the individual employee, who downloads our mobile application for free and uses it to easily submit expenses to their manager with a few taps. After the employee realizes the benefits of our platform, they become a champion of Expensify and spread it internally to other employees – as well as to their friends in other companies. With multiple employees using Expensify, and valuable features simplifying the manager’s job, the decision maker often purchases a subscription to Expensify and becomes a paying customer with a few members. Our usage within an organization expands further as the company adds members and adopts new features such as the Expensify Card or Bill Pay. For the six months ended June 30, 2021, 60% of our revenue can be attributed to an instance where an employee used our application before the purchaser, and recommended it to their manager. Most of the remaining 40% of our revenue is attributed to instances where the decision maker institutes Expensify within the organization after learning about it through word-of-mouth, brand recognition, or referral from their accountant – through our </w:t>
      </w:r>
      <w:r>
        <w:rPr>
          <w:rFonts w:ascii="Arial" w:cs="Arial" w:eastAsia="Arial" w:hAnsi="Arial"/>
          <w:sz w:val="16"/>
          <w:szCs w:val="16"/>
          <w:i w:val="1"/>
          <w:iCs w:val="1"/>
          <w:color w:val="auto"/>
        </w:rPr>
        <w:t>ExpensifyApproved!</w:t>
      </w:r>
      <w:r>
        <w:rPr>
          <w:rFonts w:ascii="Arial" w:cs="Arial" w:eastAsia="Arial" w:hAnsi="Arial"/>
          <w:sz w:val="16"/>
          <w:szCs w:val="16"/>
          <w:color w:val="auto"/>
        </w:rPr>
        <w:t xml:space="preserve"> Partner Program, we train and support accountants who then encourage their customers to use Expensify.</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Though we offer onboarding and ongoing support to everyone, our members and customers generally prefer to take advantage of our self-service options. We have developed Concierge, our customer support engine, to make handling customer support inquiries much more efficient. Concierge is powered by AI-assisted customer support agents, with different levels of skill and training, spread out across the world. Our product managers use the information we gather from Concierge to remain closely in tune with customer needs and guide our future platform roadmap.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1407" w:right="339" w:bottom="1440" w:gutter="0" w:footer="0" w:header="0"/>
        </w:sectPr>
      </w:pPr>
    </w:p>
    <w:bookmarkStart w:id="96" w:name="page97"/>
    <w:bookmarkEnd w:id="96"/>
    <w:p>
      <w:pPr>
        <w:spacing w:after="0" w:line="2" w:lineRule="exact"/>
        <w:rPr>
          <w:sz w:val="20"/>
          <w:szCs w:val="20"/>
          <w:color w:val="auto"/>
        </w:rPr>
      </w:pPr>
    </w:p>
    <w:p>
      <w:pPr>
        <w:ind w:left="3" w:right="180"/>
        <w:spacing w:after="0" w:line="257" w:lineRule="auto"/>
        <w:rPr>
          <w:sz w:val="20"/>
          <w:szCs w:val="20"/>
          <w:color w:val="auto"/>
        </w:rPr>
      </w:pPr>
      <w:r>
        <w:rPr>
          <w:rFonts w:ascii="Arial" w:cs="Arial" w:eastAsia="Arial" w:hAnsi="Arial"/>
          <w:sz w:val="16"/>
          <w:szCs w:val="16"/>
          <w:color w:val="auto"/>
        </w:rPr>
        <w:t>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Track or Submit plans.</w:t>
      </w:r>
    </w:p>
    <w:p>
      <w:pPr>
        <w:spacing w:after="0" w:line="95" w:lineRule="exact"/>
        <w:rPr>
          <w:sz w:val="20"/>
          <w:szCs w:val="20"/>
          <w:color w:val="auto"/>
        </w:rPr>
      </w:pPr>
    </w:p>
    <w:p>
      <w:pPr>
        <w:ind w:left="3" w:right="300"/>
        <w:spacing w:after="0" w:line="289" w:lineRule="auto"/>
        <w:rPr>
          <w:sz w:val="20"/>
          <w:szCs w:val="20"/>
          <w:color w:val="auto"/>
        </w:rPr>
      </w:pPr>
      <w:r>
        <w:rPr>
          <w:rFonts w:ascii="Arial" w:cs="Arial" w:eastAsia="Arial" w:hAnsi="Arial"/>
          <w:sz w:val="16"/>
          <w:szCs w:val="16"/>
          <w:color w:val="auto"/>
        </w:rPr>
        <w:t xml:space="preserve">Our individual subscriptions include our </w:t>
      </w:r>
      <w:r>
        <w:rPr>
          <w:rFonts w:ascii="Arial" w:cs="Arial" w:eastAsia="Arial" w:hAnsi="Arial"/>
          <w:sz w:val="16"/>
          <w:szCs w:val="16"/>
          <w:i w:val="1"/>
          <w:iCs w:val="1"/>
          <w:color w:val="auto"/>
        </w:rPr>
        <w:t>Track</w:t>
      </w:r>
      <w:r>
        <w:rPr>
          <w:rFonts w:ascii="Arial" w:cs="Arial" w:eastAsia="Arial" w:hAnsi="Arial"/>
          <w:sz w:val="16"/>
          <w:szCs w:val="16"/>
          <w:color w:val="auto"/>
        </w:rPr>
        <w:t xml:space="preserve"> and </w:t>
      </w:r>
      <w:r>
        <w:rPr>
          <w:rFonts w:ascii="Arial" w:cs="Arial" w:eastAsia="Arial" w:hAnsi="Arial"/>
          <w:sz w:val="16"/>
          <w:szCs w:val="16"/>
          <w:i w:val="1"/>
          <w:iCs w:val="1"/>
          <w:color w:val="auto"/>
        </w:rPr>
        <w:t>Submit</w:t>
      </w:r>
      <w:r>
        <w:rPr>
          <w:rFonts w:ascii="Arial" w:cs="Arial" w:eastAsia="Arial" w:hAnsi="Arial"/>
          <w:sz w:val="16"/>
          <w:szCs w:val="16"/>
          <w:color w:val="auto"/>
        </w:rPr>
        <w:t xml:space="preserve"> plans, which include an optional paid monthly upgrade for anyone wishing to SmartScan more than 25 receipts in a given month. These subscriptions are billed monthly, irrespective of activity:</w:t>
      </w:r>
    </w:p>
    <w:p>
      <w:pPr>
        <w:spacing w:after="0" w:line="77" w:lineRule="exact"/>
        <w:rPr>
          <w:sz w:val="20"/>
          <w:szCs w:val="20"/>
          <w:color w:val="auto"/>
        </w:rPr>
      </w:pPr>
    </w:p>
    <w:p>
      <w:pPr>
        <w:ind w:left="283" w:hanging="283"/>
        <w:spacing w:after="0"/>
        <w:tabs>
          <w:tab w:leader="none" w:pos="283"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Free Plans </w:t>
      </w:r>
      <w:r>
        <w:rPr>
          <w:rFonts w:ascii="Arial" w:cs="Arial" w:eastAsia="Arial" w:hAnsi="Arial"/>
          <w:sz w:val="16"/>
          <w:szCs w:val="16"/>
          <w:color w:val="auto"/>
        </w:rPr>
        <w:t>(Optional upgrade for unlimited SmartScan)</w:t>
      </w:r>
    </w:p>
    <w:p>
      <w:pPr>
        <w:spacing w:after="0" w:line="144" w:lineRule="exact"/>
        <w:rPr>
          <w:rFonts w:ascii="Arial" w:cs="Arial" w:eastAsia="Arial" w:hAnsi="Arial"/>
          <w:sz w:val="16"/>
          <w:szCs w:val="16"/>
          <w:b w:val="1"/>
          <w:bCs w:val="1"/>
          <w:color w:val="auto"/>
        </w:rPr>
      </w:pPr>
    </w:p>
    <w:p>
      <w:pPr>
        <w:ind w:left="583" w:right="400" w:hanging="290"/>
        <w:spacing w:after="0" w:line="294" w:lineRule="auto"/>
        <w:tabs>
          <w:tab w:leader="none" w:pos="579"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Track. </w:t>
      </w:r>
      <w:r>
        <w:rPr>
          <w:rFonts w:ascii="Arial" w:cs="Arial" w:eastAsia="Arial" w:hAnsi="Arial"/>
          <w:sz w:val="16"/>
          <w:szCs w:val="16"/>
          <w:color w:val="auto"/>
        </w:rPr>
        <w:t>Our free Track plan comes with our SmartScan receipt scanning functionality and is used primarily by individuals and sole-proprietors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streamline their receipt and mileage tracking.</w:t>
      </w:r>
    </w:p>
    <w:p>
      <w:pPr>
        <w:spacing w:after="0" w:line="60" w:lineRule="exact"/>
        <w:rPr>
          <w:rFonts w:ascii="Arial" w:cs="Arial" w:eastAsia="Arial" w:hAnsi="Arial"/>
          <w:sz w:val="16"/>
          <w:szCs w:val="16"/>
          <w:color w:val="auto"/>
        </w:rPr>
      </w:pPr>
    </w:p>
    <w:p>
      <w:pPr>
        <w:ind w:left="583" w:right="140" w:hanging="290"/>
        <w:spacing w:after="0" w:line="294" w:lineRule="auto"/>
        <w:tabs>
          <w:tab w:leader="none" w:pos="579"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Submit. </w:t>
      </w:r>
      <w:r>
        <w:rPr>
          <w:rFonts w:ascii="Arial" w:cs="Arial" w:eastAsia="Arial" w:hAnsi="Arial"/>
          <w:sz w:val="16"/>
          <w:szCs w:val="16"/>
          <w:color w:val="auto"/>
        </w:rPr>
        <w:t>Our free Submit plan includes the same functionality in Track, and also adds the ability to automatically submit expense reports to anyone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reimbursement.</w:t>
      </w:r>
    </w:p>
    <w:p>
      <w:pPr>
        <w:spacing w:after="0" w:line="77" w:lineRule="exact"/>
        <w:rPr>
          <w:sz w:val="20"/>
          <w:szCs w:val="20"/>
          <w:color w:val="auto"/>
        </w:rPr>
      </w:pPr>
    </w:p>
    <w:p>
      <w:pPr>
        <w:ind w:left="3" w:right="20"/>
        <w:spacing w:after="0" w:line="262" w:lineRule="auto"/>
        <w:rPr>
          <w:sz w:val="20"/>
          <w:szCs w:val="20"/>
          <w:color w:val="auto"/>
        </w:rPr>
      </w:pPr>
      <w:r>
        <w:rPr>
          <w:rFonts w:ascii="Arial" w:cs="Arial" w:eastAsia="Arial" w:hAnsi="Arial"/>
          <w:sz w:val="16"/>
          <w:szCs w:val="16"/>
          <w:color w:val="auto"/>
        </w:rPr>
        <w:t xml:space="preserve">Our business subscriptions can be used by teams, organizations and companies for free or upgraded to one of our paid plans, which include our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Control </w:t>
      </w:r>
      <w:r>
        <w:rPr>
          <w:rFonts w:ascii="Arial" w:cs="Arial" w:eastAsia="Arial" w:hAnsi="Arial"/>
          <w:sz w:val="16"/>
          <w:szCs w:val="16"/>
          <w:color w:val="auto"/>
        </w:rPr>
        <w:t>plans, following a free trial. We bill customers on</w:t>
      </w:r>
      <w:r>
        <w:rPr>
          <w:rFonts w:ascii="Arial" w:cs="Arial" w:eastAsia="Arial" w:hAnsi="Arial"/>
          <w:sz w:val="16"/>
          <w:szCs w:val="16"/>
          <w:i w:val="1"/>
          <w:iCs w:val="1"/>
          <w:color w:val="auto"/>
        </w:rPr>
        <w:t xml:space="preserve"> Collect </w:t>
      </w:r>
      <w:r>
        <w:rPr>
          <w:rFonts w:ascii="Arial" w:cs="Arial" w:eastAsia="Arial" w:hAnsi="Arial"/>
          <w:sz w:val="16"/>
          <w:szCs w:val="16"/>
          <w:color w:val="auto"/>
        </w:rPr>
        <w:t>and</w:t>
      </w:r>
      <w:r>
        <w:rPr>
          <w:rFonts w:ascii="Arial" w:cs="Arial" w:eastAsia="Arial" w:hAnsi="Arial"/>
          <w:sz w:val="16"/>
          <w:szCs w:val="16"/>
          <w:i w:val="1"/>
          <w:iCs w:val="1"/>
          <w:color w:val="auto"/>
        </w:rPr>
        <w:t xml:space="preserve"> Control </w:t>
      </w:r>
      <w:r>
        <w:rPr>
          <w:rFonts w:ascii="Arial" w:cs="Arial" w:eastAsia="Arial" w:hAnsi="Arial"/>
          <w:sz w:val="16"/>
          <w:szCs w:val="16"/>
          <w:color w:val="auto"/>
        </w:rPr>
        <w:t>plans at the start of each month based on the number of policy members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were active in the previous month. Each customer has either a "pay per use" plan in which they are billed a flat rate for each active member, or an "annual" plan where they commit to a minimum number of monthly seats in exchange for a lower subscription rate.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customers can access lower rates if they spend on the Expensify Card:</w:t>
      </w:r>
    </w:p>
    <w:p>
      <w:pPr>
        <w:spacing w:after="0" w:line="100" w:lineRule="exact"/>
        <w:rPr>
          <w:sz w:val="20"/>
          <w:szCs w:val="20"/>
          <w:color w:val="auto"/>
        </w:rPr>
      </w:pPr>
    </w:p>
    <w:p>
      <w:pPr>
        <w:ind w:left="283" w:hanging="283"/>
        <w:spacing w:after="0"/>
        <w:tabs>
          <w:tab w:leader="none" w:pos="283"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Free Plans</w:t>
      </w:r>
    </w:p>
    <w:p>
      <w:pPr>
        <w:spacing w:after="0" w:line="132" w:lineRule="exact"/>
        <w:rPr>
          <w:rFonts w:ascii="Arial" w:cs="Arial" w:eastAsia="Arial" w:hAnsi="Arial"/>
          <w:sz w:val="16"/>
          <w:szCs w:val="16"/>
          <w:b w:val="1"/>
          <w:bCs w:val="1"/>
          <w:color w:val="auto"/>
        </w:rPr>
      </w:pPr>
    </w:p>
    <w:p>
      <w:pPr>
        <w:ind w:left="583" w:right="140" w:hanging="290"/>
        <w:spacing w:after="0" w:line="294" w:lineRule="auto"/>
        <w:tabs>
          <w:tab w:leader="none" w:pos="579" w:val="left"/>
        </w:tabs>
        <w:numPr>
          <w:ilvl w:val="1"/>
          <w:numId w:val="5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t>
      </w:r>
      <w:r>
        <w:rPr>
          <w:rFonts w:ascii="Arial" w:cs="Arial" w:eastAsia="Arial" w:hAnsi="Arial"/>
          <w:sz w:val="16"/>
          <w:szCs w:val="16"/>
          <w:color w:val="auto"/>
        </w:rPr>
        <w:t>Our Free plan, introduced in September 2021, enables our members to roll out a corporate card program with the Expensify Card, reimburse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expenses for employees, send invoices to clients and set up bill payment for their team.</w:t>
      </w:r>
    </w:p>
    <w:p>
      <w:pPr>
        <w:spacing w:after="0" w:line="72" w:lineRule="exact"/>
        <w:rPr>
          <w:rFonts w:ascii="Arial" w:cs="Arial" w:eastAsia="Arial" w:hAnsi="Arial"/>
          <w:sz w:val="16"/>
          <w:szCs w:val="16"/>
          <w:b w:val="1"/>
          <w:bCs w:val="1"/>
          <w:color w:val="auto"/>
        </w:rPr>
      </w:pPr>
    </w:p>
    <w:p>
      <w:pPr>
        <w:ind w:left="283" w:hanging="283"/>
        <w:spacing w:after="0"/>
        <w:tabs>
          <w:tab w:leader="none" w:pos="283"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Paid Plans</w:t>
      </w:r>
    </w:p>
    <w:p>
      <w:pPr>
        <w:spacing w:after="0" w:line="144" w:lineRule="exact"/>
        <w:rPr>
          <w:rFonts w:ascii="Arial" w:cs="Arial" w:eastAsia="Arial" w:hAnsi="Arial"/>
          <w:sz w:val="16"/>
          <w:szCs w:val="16"/>
          <w:color w:val="auto"/>
        </w:rPr>
      </w:pPr>
    </w:p>
    <w:p>
      <w:pPr>
        <w:ind w:left="583" w:right="480" w:hanging="290"/>
        <w:spacing w:after="0" w:line="294" w:lineRule="auto"/>
        <w:tabs>
          <w:tab w:leader="none" w:pos="579"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Collect. </w:t>
      </w:r>
      <w:r>
        <w:rPr>
          <w:rFonts w:ascii="Arial" w:cs="Arial" w:eastAsia="Arial" w:hAnsi="Arial"/>
          <w:sz w:val="16"/>
          <w:szCs w:val="16"/>
          <w:color w:val="auto"/>
        </w:rPr>
        <w:t>Our Collect plan enables our members to integrate with popular small business accounting systems, configure simple expense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as well as reimburse employees, contractors and volunteers via Direct Deposit ACH.</w:t>
      </w:r>
    </w:p>
    <w:p>
      <w:pPr>
        <w:spacing w:after="0" w:line="60" w:lineRule="exact"/>
        <w:rPr>
          <w:rFonts w:ascii="Arial" w:cs="Arial" w:eastAsia="Arial" w:hAnsi="Arial"/>
          <w:sz w:val="16"/>
          <w:szCs w:val="16"/>
          <w:color w:val="auto"/>
        </w:rPr>
      </w:pPr>
    </w:p>
    <w:p>
      <w:pPr>
        <w:ind w:left="583" w:right="280" w:hanging="290"/>
        <w:spacing w:after="0" w:line="294" w:lineRule="auto"/>
        <w:tabs>
          <w:tab w:leader="none" w:pos="579"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Control. </w:t>
      </w:r>
      <w:r>
        <w:rPr>
          <w:rFonts w:ascii="Arial" w:cs="Arial" w:eastAsia="Arial" w:hAnsi="Arial"/>
          <w:sz w:val="16"/>
          <w:szCs w:val="16"/>
          <w:color w:val="auto"/>
        </w:rPr>
        <w:t>Our Control plan, which is by far our most popular plan, includes everything in Collect and adds the ability to configure rules-based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and integrate with financial, travel, HR and other internal systems commonly used by mid-market and enterprise companies.</w:t>
      </w:r>
    </w:p>
    <w:p>
      <w:pPr>
        <w:spacing w:after="0" w:line="93"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We fully launched the Expensify Card in 2020 and, despite pullback in corporate expenses with the COVID-19 pandemic, customers have begun to adopt the card. We monetize transactions from the Expensify Card by receiving a percentage of the interchange for all spend on the card. As we expand our platform, we intend to increase the number of integrations and to more actively promote the Expensify Card with complementary use cases beyond expense management to both new and existing customers to drive increased adoption.</w:t>
      </w:r>
    </w:p>
    <w:p>
      <w:pPr>
        <w:spacing w:after="0" w:line="122"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Through our pricing, we aim to encourage viral adoption of Expensify, make it easy for SMBs to become customers, and encourage customers to commit to annual subscriptions as well as adopt the Expensify Card. To encourage viral adoption, we offer viral features that are free and accessible without a paid subscription because using the feature has the secondary effect of promoting Expensify. For example, individual employees download the Expensify app, for free, and use it to submit their expenses to their bosses – turning every expense report into a highly targeted marketing message, straight to a decision maker. To lower the barrier for companies to adopt Expensify, we offer customers free trials, and lower subscription rates to customers who commit to an annual subscription and/or adopt the Expensify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23"/>
          </w:cols>
          <w:pgMar w:left="317" w:top="1440" w:right="359" w:bottom="1440" w:gutter="0" w:footer="0" w:header="0"/>
        </w:sectPr>
      </w:pPr>
    </w:p>
    <w:bookmarkStart w:id="97" w:name="page98"/>
    <w:bookmarkEnd w:id="97"/>
    <w:p>
      <w:pPr>
        <w:spacing w:after="0"/>
        <w:rPr>
          <w:sz w:val="20"/>
          <w:szCs w:val="20"/>
          <w:color w:val="auto"/>
        </w:rPr>
      </w:pPr>
      <w:r>
        <w:rPr>
          <w:rFonts w:ascii="Arial" w:cs="Arial" w:eastAsia="Arial" w:hAnsi="Arial"/>
          <w:sz w:val="19"/>
          <w:szCs w:val="19"/>
          <w:b w:val="1"/>
          <w:bCs w:val="1"/>
          <w:color w:val="auto"/>
        </w:rPr>
        <w:t>Key factors affecting our performance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Our future performance will depend on many factors, including the following: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in Product-Led Growth</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are focused on continuing to grow the number of paid members on our platform. Relative to other software companies, we invest more in product development and less in sales. This investment in product allows us to develop easy-to-use but powerful features that encourage adoption of our platform. Our ability to grow our paid members depends on our viral, “bottom-up” adoption cycle that starts with an individual employee. After downloading our free app to submit expenses and realizing the benefits of Expensify, our enthusiastic members champion our platform internally, spread it via word-of-mouth or invites to other employees and often convince decision makers to adopt Expensify company-wide. For the six months ended June 30, 2021, 60% of our revenue can be attributed to an instance where an employee used our application first and recommended it to their manager. While we had an average of 639,000 monthly paid members in the quarter ended June 30, 2021, we believe we have significant greenfield opportunities. In order to continue to grow, we believe we must continue prioritizing investments in our platform to delight our members and drive viral expansion.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Continuing to Convert Freemium to Paid Members</w:t>
      </w:r>
    </w:p>
    <w:p>
      <w:pPr>
        <w:spacing w:after="0" w:line="161"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Our success depends on converting users who try the free aspects of the Expensify platform into paid members. While our viral model means that employees or contractors often introduce Expensify into SMBs, companies subscribe and pay for the majority of our paid members.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to Maintain Market Consensus</w:t>
      </w:r>
    </w:p>
    <w:p>
      <w:pPr>
        <w:spacing w:after="0" w:line="149"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Our viral and word-of-mouth adoption model is effective in part because we have established ourselves as a recognized leader in expense management for SMBs. We deploy large scale brand advertising to promote our platform superiority and create market consensus that Expensify is the category leader for expense management software. We believe this enables us to focus on creating great viral features for our members rather than relying on low-margin, unscalable activities of traditional sales and marketing to drive customer acquisition.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Retaining Existing Customers</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 that often outperform enterprise retention rates. We believe an additional factor that drives our retention rates is that SMBs generally re-evaluate their technology solutions less frequently, and as such, there is rarely a conscious choice to choose to continue using Expensify for another year.</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Gross logo retention and net seat retention are important indicators of customer satisfaction and usage of our platform. We calculate our gross logo retention rate as of the end of a period by using (a) the number of distinct companies who have ever had 5 or more paid members paying for a subscription during the period ending one year prior as the denominator and (b) the number of those same companies that are still paying for at least 1 subscription during the more recent period as the numerator. In 2019 and 2020, our annual gross logo retention was 88% and 86%, respectively. We calculate our net seat retention rate as of the end of a period by using (a) the number of paid member seats from companies who have ever had 5 or more paid members paying for a subscription during the period ending one year prior as the denominator and (b) the number of paid member seats at those same companies during the more recent period as the numerator. In 2019 and 2020, our net seat retention was 119% and 98%, respectively. The COVID-19 pandemic impacted our retention as our customers ceased (or paused) operations, and scaled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1425" w:right="339" w:bottom="1440" w:gutter="0" w:footer="0" w:header="0"/>
        </w:sectPr>
      </w:pPr>
    </w:p>
    <w:bookmarkStart w:id="98" w:name="page99"/>
    <w:bookmarkEnd w:id="98"/>
    <w:p>
      <w:pPr>
        <w:spacing w:after="0" w:line="2"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back usage of our platform as their business travel and other expenses declined. Our growth will depend on our ability to continue to retain existing customers.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Introducing Features to Expand Our Relationship with Existing Customers</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fully launched the Expensify Card in 2020 and, despite pullback in corporate expenses with the COVID-19 pandemic, customers have begun to adopt the card. Going forward, we intend to more actively promote the Expensify Card to both new and existing customers to drive increased adoption. Outside of the Expensify Card, we have invested, and will continue to invest, in developing features complementary and adjacent to expense management. At most companies, not every employee generates expenses that would be submitted via an expense report on a monthly basis. As we add additional features that are used by all employers, we have the potential to monetize the segment of our customers’ employees that are not submitting expense reports.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COVID-19</w:t>
      </w:r>
    </w:p>
    <w:p>
      <w:pPr>
        <w:spacing w:after="0" w:line="14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As a result of the COVID-19 pandemic, we temporarily closed our offices, asked our employees to work remotely and implemented travel restrictions, all of which represent a disruption in how we operate our business. The operations of our customers, the majority of which are SMBs, have likewise been disrupted. The outsized impact of the pandemic on SMBs was evident in 2020 as an abnormal percentage of our customers stopped adding new members to our platform, ceased (or paused) operations and/or scaled back or terminated subscriptions to the Expensify platform.</w:t>
      </w:r>
    </w:p>
    <w:p>
      <w:pPr>
        <w:spacing w:after="0" w:line="122" w:lineRule="exact"/>
        <w:rPr>
          <w:sz w:val="20"/>
          <w:szCs w:val="20"/>
          <w:color w:val="auto"/>
        </w:rPr>
      </w:pPr>
    </w:p>
    <w:p>
      <w:pPr>
        <w:jc w:val="both"/>
        <w:ind w:right="100"/>
        <w:spacing w:after="0" w:line="254" w:lineRule="auto"/>
        <w:rPr>
          <w:sz w:val="20"/>
          <w:szCs w:val="20"/>
          <w:color w:val="auto"/>
        </w:rPr>
      </w:pPr>
      <w:r>
        <w:rPr>
          <w:rFonts w:ascii="Arial" w:cs="Arial" w:eastAsia="Arial" w:hAnsi="Arial"/>
          <w:sz w:val="16"/>
          <w:szCs w:val="16"/>
          <w:color w:val="auto"/>
        </w:rPr>
        <w:t>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w:t>
      </w:r>
    </w:p>
    <w:p>
      <w:pPr>
        <w:ind w:right="40"/>
        <w:spacing w:after="0" w:line="255" w:lineRule="auto"/>
        <w:rPr>
          <w:sz w:val="20"/>
          <w:szCs w:val="20"/>
          <w:color w:val="auto"/>
        </w:rPr>
      </w:pPr>
      <w:r>
        <w:rPr>
          <w:rFonts w:ascii="Arial" w:cs="Arial" w:eastAsia="Arial" w:hAnsi="Arial"/>
          <w:sz w:val="16"/>
          <w:szCs w:val="16"/>
          <w:color w:val="auto"/>
        </w:rPr>
        <w:t>After a steady increase in paid members over multiple years (see figure below), the average number of paid members on our platform declined 15% from 742,000 in the quarter ended March 31, 2020 to 630,000 in the quarter ended June 30, 2020 and we have rebounded to 639,000 paid members in the quarter ended June 30, 2021. Our activity is still recovering from May 2020 as the United States and certain other parts of the world continue to rebound from COVID-19. The amount of expenses incurred by the paid members remaining on our platform has also declined as a result of the factors stated above. While activity decreased and remains at lower levels than pre-pandemic, our revenue only declined until the quarter ended June 30, 2020. This initial adverse impact on revenue was mitigated by the prevalence of our annual contracts and minimum user requirements in those contracts as well as a price change that became effective in May 2020. We introduced the Expensify Card in 2020, immediately before the pandemic. Given the decline in the volume of expenses and potential customers’ reluctance to adopt a new card in this unusual environment, growth from monetizing the transactions from the Expensify Card has taken longer than anticipated, but the rate of adoption is increasing despite the COVID headwinds.</w:t>
      </w:r>
    </w:p>
    <w:p>
      <w:pPr>
        <w:spacing w:after="0" w:line="12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While the full lasting impact of the COVID-19 pandemic on the global economy and SMBs in particular remains uncertain, we believe that use of our platform will increase as economies reopen and business travel resumes.</w:t>
      </w:r>
    </w:p>
    <w:p>
      <w:pPr>
        <w:spacing w:after="0" w:line="10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While uncertainty remains on many fronts, we are confident that the pandemic has also had a positive impact on the way we operate our business. We have fully embraced the distributed workforce and reimagined how we use our existing office space. As demand for expense management slowed during the pandemic, we invested in building our platform outside of our core expense management features, which will result in a more diversified range of use cases that is better insulated against similar shocks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See the section titled “Risk factors”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20"/>
          </w:cols>
          <w:pgMar w:left="320" w:top="1440" w:right="359" w:bottom="1440" w:gutter="0" w:footer="0" w:header="0"/>
        </w:sectPr>
      </w:pPr>
    </w:p>
    <w:bookmarkStart w:id="99" w:name="page100"/>
    <w:bookmarkEnd w:id="99"/>
    <w:p>
      <w:pPr>
        <w:spacing w:after="0"/>
        <w:rPr>
          <w:sz w:val="20"/>
          <w:szCs w:val="20"/>
          <w:color w:val="auto"/>
        </w:rPr>
      </w:pPr>
      <w:r>
        <w:rPr>
          <w:rFonts w:ascii="Arial" w:cs="Arial" w:eastAsia="Arial" w:hAnsi="Arial"/>
          <w:sz w:val="19"/>
          <w:szCs w:val="19"/>
          <w:b w:val="1"/>
          <w:bCs w:val="1"/>
          <w:color w:val="auto"/>
        </w:rPr>
        <w:t>Key business metrics and non-GAAP financial measures</w:t>
      </w:r>
    </w:p>
    <w:p>
      <w:pPr>
        <w:spacing w:after="0" w:line="15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Paid members</w:t>
      </w:r>
    </w:p>
    <w:p>
      <w:pPr>
        <w:spacing w:after="0" w:line="15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or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plans during any particular quarter. For SMBs or sole proprietors with only one employee, the business owner may also be the only paid member.</w:t>
      </w:r>
    </w:p>
    <w:p>
      <w:pPr>
        <w:spacing w:after="0" w:line="12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above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average number of paid members for the quarters ended March 31, 2018 through June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580" w:type="dxa"/>
            <w:vAlign w:val="bottom"/>
            <w:tcBorders>
              <w:top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Paid members (in</w:t>
            </w:r>
          </w:p>
        </w:tc>
        <w:tc>
          <w:tcPr>
            <w:tcW w:w="0" w:type="dxa"/>
            <w:vAlign w:val="bottom"/>
          </w:tcPr>
          <w:p>
            <w:pPr>
              <w:spacing w:after="0"/>
              <w:rPr>
                <w:sz w:val="1"/>
                <w:szCs w:val="1"/>
                <w:color w:val="auto"/>
              </w:rPr>
            </w:pPr>
          </w:p>
        </w:tc>
      </w:tr>
      <w:tr>
        <w:trPr>
          <w:trHeight w:val="158"/>
        </w:trPr>
        <w:tc>
          <w:tcPr>
            <w:tcW w:w="968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199"/>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2018</w:t>
            </w:r>
          </w:p>
        </w:tc>
        <w:tc>
          <w:tcPr>
            <w:tcW w:w="158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158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2019</w:t>
            </w:r>
          </w:p>
        </w:tc>
        <w:tc>
          <w:tcPr>
            <w:tcW w:w="1580" w:type="dxa"/>
            <w:vAlign w:val="bottom"/>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58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6"/>
        </w:trPr>
        <w:tc>
          <w:tcPr>
            <w:tcW w:w="9680" w:type="dxa"/>
            <w:vAlign w:val="bottom"/>
          </w:tcPr>
          <w:p>
            <w:pPr>
              <w:ind w:left="20"/>
              <w:spacing w:after="0"/>
              <w:rPr>
                <w:sz w:val="20"/>
                <w:szCs w:val="20"/>
                <w:color w:val="auto"/>
              </w:rPr>
            </w:pPr>
            <w:r>
              <w:rPr>
                <w:rFonts w:ascii="Arial" w:cs="Arial" w:eastAsia="Arial" w:hAnsi="Arial"/>
                <w:sz w:val="16"/>
                <w:szCs w:val="16"/>
                <w:color w:val="auto"/>
              </w:rPr>
              <w:t>June 30, 2021</w:t>
            </w:r>
          </w:p>
        </w:tc>
        <w:tc>
          <w:tcPr>
            <w:tcW w:w="1580" w:type="dxa"/>
            <w:vAlign w:val="bottom"/>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49"/>
        </w:trPr>
        <w:tc>
          <w:tcPr>
            <w:tcW w:w="96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60"/>
          </w:cols>
          <w:pgMar w:left="320" w:top="1425" w:right="31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b w:val="1"/>
          <w:bCs w:val="1"/>
          <w:color w:val="auto"/>
        </w:rPr>
        <w:t>Components of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 number of monthly members. During 2019, annual subscription customers who wished to terminate their contracts before the end of the term were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23"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Our contracts with our customers include two performance obligations: access to the hosted software service, inclusive of all features available within the platform and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net</w:t>
      </w:r>
    </w:p>
    <w:p>
      <w:pPr>
        <w:spacing w:after="0" w:line="165"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minus the amount retained by the vendor (our remainder portion, the "Expensify Interchange Amount"). The vendor also charges us fees (the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a contra-expense in Cost of revenue, net. The following summarizes these various amounts for the periods presented: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60" w:type="dxa"/>
            <w:vAlign w:val="bottom"/>
            <w:tcBorders>
              <w:top w:val="single" w:sz="8" w:color="auto"/>
              <w:bottom w:val="single" w:sz="8" w:color="auto"/>
            </w:tcBorders>
            <w:gridSpan w:val="4"/>
          </w:tcPr>
          <w:p>
            <w:pPr>
              <w:jc w:val="right"/>
              <w:ind w:right="204"/>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ind w:right="723"/>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00" w:type="dxa"/>
            <w:vAlign w:val="bottom"/>
          </w:tcPr>
          <w:p>
            <w:pPr>
              <w:spacing w:after="0"/>
              <w:rPr>
                <w:sz w:val="14"/>
                <w:szCs w:val="14"/>
                <w:color w:val="auto"/>
              </w:rPr>
            </w:pPr>
          </w:p>
        </w:tc>
        <w:tc>
          <w:tcPr>
            <w:tcW w:w="112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Expensify Interchange Amount</w:t>
            </w:r>
          </w:p>
        </w:tc>
        <w:tc>
          <w:tcPr>
            <w:tcW w:w="1120" w:type="dxa"/>
            <w:vAlign w:val="bottom"/>
            <w:shd w:val="clear" w:color="auto" w:fill="CCEEFF"/>
          </w:tcPr>
          <w:p>
            <w:pPr>
              <w:jc w:val="right"/>
              <w:ind w:right="947"/>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1,195</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Vendor Fees</w:t>
            </w:r>
          </w:p>
        </w:tc>
        <w:tc>
          <w:tcPr>
            <w:tcW w:w="1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77</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Consideration from a Vendor</w:t>
            </w:r>
          </w:p>
        </w:tc>
        <w:tc>
          <w:tcPr>
            <w:tcW w:w="1120" w:type="dxa"/>
            <w:vAlign w:val="bottom"/>
            <w:tcBorders>
              <w:bottom w:val="single" w:sz="8" w:color="auto"/>
            </w:tcBorders>
            <w:shd w:val="clear" w:color="auto" w:fill="CCEEFF"/>
          </w:tcPr>
          <w:p>
            <w:pPr>
              <w:jc w:val="right"/>
              <w:ind w:right="947"/>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1,118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60"/>
          </w:cols>
          <w:pgMar w:left="320" w:top="1425" w:right="319" w:bottom="1440" w:gutter="0" w:footer="0" w:header="0"/>
        </w:sectPr>
      </w:pPr>
    </w:p>
    <w:bookmarkStart w:id="101" w:name="page102"/>
    <w:bookmarkEnd w:id="101"/>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anticipate an increase in Cost of revenue, net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1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anticipate an increase in Research and development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5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anticipate an increase in Sales and marketing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5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General and administrative expenses primarily consist of personnel-related expenses, including stock-based compensation, for executive management and any employee time allocated to administrative functions, including finance and accounting, legal and human resources. In addition to personnel-related expenses, general and administrative expenses consist of rent, utilities, depreciation on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equipment, amortization of finance lease right-of-use assets and external professional services, including accounting, audit, tax, finance, legal and compliance, human resources and information technology. We expect that general and administrative expenses will continue to increase as we scale our business and as we incur costs associated with being a publicly traded company, including legal, audit, business insurance and consulting fees.</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anticipate an increase in General and administrative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expenses, net</w:t>
      </w:r>
    </w:p>
    <w:p>
      <w:pPr>
        <w:spacing w:after="0" w:line="165"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165"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20"/>
          </w:cols>
          <w:pgMar w:left="320" w:top="1440" w:right="359" w:bottom="1440" w:gutter="0" w:footer="0" w:header="0"/>
        </w:sectPr>
      </w:pPr>
    </w:p>
    <w:bookmarkStart w:id="103" w:name="page104"/>
    <w:bookmarkEnd w:id="103"/>
    <w:p>
      <w:pPr>
        <w:ind w:left="3"/>
        <w:spacing w:after="0"/>
        <w:rPr>
          <w:sz w:val="20"/>
          <w:szCs w:val="20"/>
          <w:color w:val="auto"/>
        </w:rPr>
      </w:pPr>
      <w:r>
        <w:rPr>
          <w:rFonts w:ascii="Arial" w:cs="Arial" w:eastAsia="Arial" w:hAnsi="Arial"/>
          <w:sz w:val="19"/>
          <w:szCs w:val="19"/>
          <w:b w:val="1"/>
          <w:bCs w:val="1"/>
          <w:color w:val="auto"/>
        </w:rPr>
        <w:t>Results of operations</w:t>
      </w:r>
    </w:p>
    <w:p>
      <w:pPr>
        <w:spacing w:after="0" w:line="152" w:lineRule="exact"/>
        <w:rPr>
          <w:sz w:val="20"/>
          <w:szCs w:val="20"/>
          <w:color w:val="auto"/>
        </w:rPr>
      </w:pPr>
    </w:p>
    <w:p>
      <w:pPr>
        <w:ind w:left="3" w:right="60"/>
        <w:spacing w:after="0" w:line="268" w:lineRule="auto"/>
        <w:rPr>
          <w:sz w:val="20"/>
          <w:szCs w:val="20"/>
          <w:color w:val="auto"/>
        </w:rPr>
      </w:pPr>
      <w:r>
        <w:rPr>
          <w:rFonts w:ascii="Arial" w:cs="Arial" w:eastAsia="Arial" w:hAnsi="Arial"/>
          <w:sz w:val="16"/>
          <w:szCs w:val="16"/>
          <w:color w:val="auto"/>
        </w:rPr>
        <w:t>The results of operations presented below should be reviewed in conjunction with the consolidated financial statements and notes included elsewhere in this prospectus.</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our results of operations for the periods presented:</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5"/>
          </w:tcPr>
          <w:p>
            <w:pPr>
              <w:ind w:lef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8"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7"/>
        </w:trPr>
        <w:tc>
          <w:tcPr>
            <w:tcW w:w="470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199"/>
        </w:trPr>
        <w:tc>
          <w:tcPr>
            <w:tcW w:w="47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6"/>
                <w:szCs w:val="16"/>
                <w:color w:val="auto"/>
              </w:rPr>
              <w:t>income (loss) per share attributable to common stockholders: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3,549,511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4,121,642</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83" w:hanging="283"/>
        <w:spacing w:after="0"/>
        <w:tabs>
          <w:tab w:leader="none" w:pos="283"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47" w:lineRule="exact"/>
        <w:rPr>
          <w:sz w:val="20"/>
          <w:szCs w:val="20"/>
          <w:color w:val="auto"/>
        </w:rPr>
      </w:pPr>
    </w:p>
    <w:tbl>
      <w:tblPr>
        <w:tblLayout w:type="fixed"/>
        <w:tblInd w:w="283" w:type="dxa"/>
        <w:tblCellMar>
          <w:top w:w="0" w:type="dxa"/>
          <w:left w:w="0" w:type="dxa"/>
          <w:bottom w:w="0" w:type="dxa"/>
          <w:right w:w="0" w:type="dxa"/>
        </w:tblCellMar>
      </w:tblPr>
      <w:tr>
        <w:trPr>
          <w:trHeight w:val="179"/>
        </w:trPr>
        <w:tc>
          <w:tcPr>
            <w:tcW w:w="376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Borders>
              <w:top w:val="single" w:sz="8" w:color="auto"/>
              <w:bottom w:val="single" w:sz="8" w:color="auto"/>
            </w:tcBorders>
          </w:tcPr>
          <w:p>
            <w:pPr>
              <w:spacing w:after="0"/>
              <w:rPr>
                <w:sz w:val="15"/>
                <w:szCs w:val="15"/>
                <w:color w:val="auto"/>
              </w:rPr>
            </w:pPr>
          </w:p>
        </w:tc>
      </w:tr>
      <w:tr>
        <w:trPr>
          <w:trHeight w:val="147"/>
        </w:trPr>
        <w:tc>
          <w:tcPr>
            <w:tcW w:w="3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right"/>
              <w:ind w:right="52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right"/>
              <w:ind w:right="52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jc w:val="right"/>
              <w:ind w:right="523"/>
              <w:spacing w:after="0"/>
              <w:rPr>
                <w:sz w:val="20"/>
                <w:szCs w:val="20"/>
                <w:color w:val="auto"/>
              </w:rPr>
            </w:pPr>
            <w:r>
              <w:rPr>
                <w:rFonts w:ascii="Arial" w:cs="Arial" w:eastAsia="Arial" w:hAnsi="Arial"/>
                <w:sz w:val="11"/>
                <w:szCs w:val="11"/>
                <w:b w:val="1"/>
                <w:bCs w:val="1"/>
                <w:color w:val="auto"/>
              </w:rPr>
              <w:t>2021</w:t>
            </w:r>
          </w:p>
        </w:tc>
      </w:tr>
      <w:tr>
        <w:trPr>
          <w:trHeight w:val="158"/>
        </w:trPr>
        <w:tc>
          <w:tcPr>
            <w:tcW w:w="3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60" w:type="dxa"/>
            <w:vAlign w:val="bottom"/>
            <w:gridSpan w:val="3"/>
          </w:tcPr>
          <w:p>
            <w:pPr>
              <w:jc w:val="right"/>
              <w:ind w:right="123"/>
              <w:spacing w:after="0"/>
              <w:rPr>
                <w:sz w:val="20"/>
                <w:szCs w:val="20"/>
                <w:color w:val="auto"/>
              </w:rPr>
            </w:pPr>
            <w:r>
              <w:rPr>
                <w:rFonts w:ascii="Arial" w:cs="Arial" w:eastAsia="Arial" w:hAnsi="Arial"/>
                <w:sz w:val="11"/>
                <w:szCs w:val="11"/>
                <w:b w:val="1"/>
                <w:bCs w:val="1"/>
                <w:color w:val="auto"/>
              </w:rPr>
              <w:t>(in thousands)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8"/>
        </w:trPr>
        <w:tc>
          <w:tcPr>
            <w:tcW w:w="3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Cost of revenue, net</w:t>
            </w:r>
          </w:p>
        </w:tc>
        <w:tc>
          <w:tcPr>
            <w:tcW w:w="1160" w:type="dxa"/>
            <w:vAlign w:val="bottom"/>
            <w:shd w:val="clear" w:color="auto" w:fill="CCEEFF"/>
          </w:tcPr>
          <w:p>
            <w:pPr>
              <w:jc w:val="right"/>
              <w:ind w:right="72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425</w:t>
            </w:r>
          </w:p>
        </w:tc>
      </w:tr>
      <w:tr>
        <w:trPr>
          <w:trHeight w:val="164"/>
        </w:trPr>
        <w:tc>
          <w:tcPr>
            <w:tcW w:w="3760" w:type="dxa"/>
            <w:vAlign w:val="bottom"/>
          </w:tcPr>
          <w:p>
            <w:pPr>
              <w:ind w:left="320"/>
              <w:spacing w:after="0"/>
              <w:rPr>
                <w:sz w:val="20"/>
                <w:szCs w:val="20"/>
                <w:color w:val="auto"/>
              </w:rPr>
            </w:pPr>
            <w:r>
              <w:rPr>
                <w:rFonts w:ascii="Arial" w:cs="Arial" w:eastAsia="Arial" w:hAnsi="Arial"/>
                <w:sz w:val="12"/>
                <w:szCs w:val="12"/>
                <w:color w:val="auto"/>
              </w:rPr>
              <w:t>Research and development</w:t>
            </w:r>
          </w:p>
        </w:tc>
        <w:tc>
          <w:tcPr>
            <w:tcW w:w="1160" w:type="dxa"/>
            <w:vAlign w:val="bottom"/>
          </w:tcPr>
          <w:p>
            <w:pPr>
              <w:spacing w:after="0"/>
              <w:rPr>
                <w:sz w:val="14"/>
                <w:szCs w:val="14"/>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741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2,469</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328</w:t>
            </w:r>
          </w:p>
        </w:tc>
      </w:tr>
      <w:tr>
        <w:trPr>
          <w:trHeight w:val="177"/>
        </w:trPr>
        <w:tc>
          <w:tcPr>
            <w:tcW w:w="3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General and administrative</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12,648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516</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708</w:t>
            </w:r>
          </w:p>
        </w:tc>
      </w:tr>
      <w:tr>
        <w:trPr>
          <w:trHeight w:val="164"/>
        </w:trPr>
        <w:tc>
          <w:tcPr>
            <w:tcW w:w="376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Sales and marketing</w:t>
            </w: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404</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137</w:t>
            </w:r>
          </w:p>
        </w:tc>
      </w:tr>
      <w:tr>
        <w:trPr>
          <w:trHeight w:val="182"/>
        </w:trPr>
        <w:tc>
          <w:tcPr>
            <w:tcW w:w="3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stock-based compensation expense</w:t>
            </w:r>
          </w:p>
        </w:tc>
        <w:tc>
          <w:tcPr>
            <w:tcW w:w="116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3,487</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17,837</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1,186</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63"/>
          </w:cols>
          <w:pgMar w:left="317" w:top="1425" w:right="3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Comparison of the six months ended June 30, 2020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40,641</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65,024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610"/>
              <w:spacing w:after="0"/>
              <w:rPr>
                <w:sz w:val="20"/>
                <w:szCs w:val="20"/>
                <w:color w:val="auto"/>
              </w:rPr>
            </w:pPr>
            <w:r>
              <w:rPr>
                <w:rFonts w:ascii="Arial" w:cs="Arial" w:eastAsia="Arial" w:hAnsi="Arial"/>
                <w:sz w:val="16"/>
                <w:szCs w:val="16"/>
                <w:color w:val="auto"/>
              </w:rPr>
              <w:t>24,383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Revenue increased $24.4 million, or 60%, for the six months ended June 30, 2021 compared to the same period in 2020, primarily due to a pricing change implemented in May 2020, which led to a gradual increase in per member price for our paid members from existing customers not using the Expensify Card in connection with our expense management platform for 50% or more of their approved expenses and increased demand for business travel, which is a significant use case for our platform and drove an increase in the number of paid members, due to the lifting of travel restrictions within the United States and certain other countries and increased employers returning to the office as a result of the wide spread availability and distribution of COVID-19 vaccines. All new customers beginning on May 1, 2020, were subject to this pricing change. Our revenue for the six months ended June 30, 2020 was adversely affected by the COVID-19 pandemic, particularly due to the decrease in business travel.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net and Gross margin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40" w:type="dxa"/>
            <w:vAlign w:val="bottom"/>
            <w:tcBorders>
              <w:top w:val="single" w:sz="8" w:color="auto"/>
            </w:tcBorders>
          </w:tcPr>
          <w:p>
            <w:pPr>
              <w:spacing w:after="0"/>
              <w:rPr>
                <w:sz w:val="16"/>
                <w:szCs w:val="16"/>
                <w:color w:val="auto"/>
              </w:rPr>
            </w:pPr>
          </w:p>
        </w:tc>
      </w:tr>
      <w:tr>
        <w:trPr>
          <w:trHeight w:val="163"/>
        </w:trPr>
        <w:tc>
          <w:tcPr>
            <w:tcW w:w="44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1047"/>
              <w:spacing w:after="0"/>
              <w:rPr>
                <w:sz w:val="20"/>
                <w:szCs w:val="20"/>
                <w:color w:val="auto"/>
              </w:rPr>
            </w:pPr>
            <w:r>
              <w:rPr>
                <w:rFonts w:ascii="Arial" w:cs="Arial" w:eastAsia="Arial" w:hAnsi="Arial"/>
                <w:sz w:val="13"/>
                <w:szCs w:val="13"/>
                <w:b w:val="1"/>
                <w:bCs w:val="1"/>
                <w:color w:val="auto"/>
              </w:rPr>
              <w:t>Amount</w:t>
            </w:r>
          </w:p>
        </w:tc>
        <w:tc>
          <w:tcPr>
            <w:tcW w:w="114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w:t>
            </w:r>
          </w:p>
        </w:tc>
      </w:tr>
      <w:tr>
        <w:trPr>
          <w:trHeight w:val="163"/>
        </w:trPr>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gridSpan w:val="4"/>
          </w:tcPr>
          <w:p>
            <w:pPr>
              <w:jc w:val="right"/>
              <w:ind w:right="1107"/>
              <w:spacing w:after="0"/>
              <w:rPr>
                <w:sz w:val="20"/>
                <w:szCs w:val="20"/>
                <w:color w:val="auto"/>
              </w:rPr>
            </w:pPr>
            <w:r>
              <w:rPr>
                <w:rFonts w:ascii="Arial" w:cs="Arial" w:eastAsia="Arial" w:hAnsi="Arial"/>
                <w:sz w:val="13"/>
                <w:szCs w:val="13"/>
                <w:b w:val="1"/>
                <w:bCs w:val="1"/>
                <w:color w:val="auto"/>
              </w:rPr>
              <w:t>(in thousands, except percentages)</w:t>
            </w:r>
          </w:p>
        </w:tc>
        <w:tc>
          <w:tcPr>
            <w:tcW w:w="1140" w:type="dxa"/>
            <w:vAlign w:val="bottom"/>
          </w:tcPr>
          <w:p>
            <w:pPr>
              <w:spacing w:after="0"/>
              <w:rPr>
                <w:sz w:val="14"/>
                <w:szCs w:val="14"/>
                <w:color w:val="auto"/>
              </w:rPr>
            </w:pPr>
          </w:p>
        </w:tc>
      </w:tr>
      <w:tr>
        <w:trPr>
          <w:trHeight w:val="20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rPr>
              <w:t>15,438</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15,571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133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7"/>
        </w:trPr>
        <w:tc>
          <w:tcPr>
            <w:tcW w:w="446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400" w:type="dxa"/>
            <w:vAlign w:val="bottom"/>
          </w:tcPr>
          <w:p>
            <w:pPr>
              <w:spacing w:after="0"/>
              <w:rPr>
                <w:sz w:val="17"/>
                <w:szCs w:val="17"/>
                <w:color w:val="auto"/>
              </w:rPr>
            </w:pPr>
          </w:p>
        </w:tc>
        <w:tc>
          <w:tcPr>
            <w:tcW w:w="1320" w:type="dxa"/>
            <w:vAlign w:val="bottom"/>
          </w:tcPr>
          <w:p>
            <w:pPr>
              <w:jc w:val="right"/>
              <w:ind w:right="205"/>
              <w:spacing w:after="0"/>
              <w:rPr>
                <w:sz w:val="20"/>
                <w:szCs w:val="20"/>
                <w:color w:val="auto"/>
              </w:rPr>
            </w:pPr>
            <w:r>
              <w:rPr>
                <w:rFonts w:ascii="Arial" w:cs="Arial" w:eastAsia="Arial" w:hAnsi="Arial"/>
                <w:sz w:val="16"/>
                <w:szCs w:val="16"/>
                <w:color w:val="auto"/>
              </w:rPr>
              <w:t>25,203</w:t>
            </w:r>
          </w:p>
        </w:tc>
        <w:tc>
          <w:tcPr>
            <w:tcW w:w="360" w:type="dxa"/>
            <w:vAlign w:val="bottom"/>
          </w:tcPr>
          <w:p>
            <w:pPr>
              <w:spacing w:after="0"/>
              <w:rPr>
                <w:sz w:val="17"/>
                <w:szCs w:val="17"/>
                <w:color w:val="auto"/>
              </w:rPr>
            </w:pPr>
          </w:p>
        </w:tc>
        <w:tc>
          <w:tcPr>
            <w:tcW w:w="1340" w:type="dxa"/>
            <w:vAlign w:val="bottom"/>
          </w:tcPr>
          <w:p>
            <w:pPr>
              <w:jc w:val="right"/>
              <w:ind w:right="125"/>
              <w:spacing w:after="0"/>
              <w:rPr>
                <w:sz w:val="20"/>
                <w:szCs w:val="20"/>
                <w:color w:val="auto"/>
              </w:rPr>
            </w:pPr>
            <w:r>
              <w:rPr>
                <w:rFonts w:ascii="Arial" w:cs="Arial" w:eastAsia="Arial" w:hAnsi="Arial"/>
                <w:sz w:val="16"/>
                <w:szCs w:val="16"/>
                <w:color w:val="auto"/>
              </w:rPr>
              <w:t>49,453</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607"/>
              <w:spacing w:after="0"/>
              <w:rPr>
                <w:sz w:val="20"/>
                <w:szCs w:val="20"/>
                <w:color w:val="auto"/>
              </w:rPr>
            </w:pPr>
            <w:r>
              <w:rPr>
                <w:rFonts w:ascii="Arial" w:cs="Arial" w:eastAsia="Arial" w:hAnsi="Arial"/>
                <w:sz w:val="16"/>
                <w:szCs w:val="16"/>
                <w:color w:val="auto"/>
              </w:rPr>
              <w:t>24,250</w:t>
            </w:r>
          </w:p>
        </w:tc>
        <w:tc>
          <w:tcPr>
            <w:tcW w:w="114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20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 %</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62 %</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49"/>
        </w:trPr>
        <w:tc>
          <w:tcPr>
            <w:tcW w:w="44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Cost of revenue, net remained relatively flat with an increase of $0.1 million, or 1%, for the six months ended June 30, 2021 compared to the same period in 2020. Cost of revenue, net increased primarily due to a higher volume of payment processing fees directly related to the increase in reimbursement activity, amortization related to capitalized software as our research and development efforts continue to grow to develop new products and services, and increased outsourcing activities related to maintaining the platform. As a result of the increased outsourcing activities, we were able to refocus employee’s time on developing new products and services as part of our research and development efforts, which resulted in a decrease in employee costs that partially offset the aforementioned increases. In addition, consideration from a vendor, which represents monetizing Expensify Card activities, reduced Cost of revenue, net by $ 0.4 million and $1.1 million for the six months ended June 30, 2020 and June 30, 2021, respectively. This increase in reduction to Cost of revenue, net was driven primarily by increased adoption and spend captured from members on the Expensify Card.</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Gross margin increased to 76% for the six months ended June 30, 2021 compared to 62% in the same period in 2020. This increase was primarily driven by the 60% increase in revenue for the six months ended June 30, 2021 compared to the same period in 2020. Although revenue increased by 60% for the same period, Cost of revenue, net did not increase at the same rate due to the factors described in the preceding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60"/>
          </w:cols>
          <w:pgMar w:left="320" w:top="1422" w:right="31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Operating 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2,377</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5,971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3,594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Research and development expenses increased by $3.6 million, or 151%, for the six months ended June 30, 2021 compared to the same period in 2020, primarily driven by an increase in employee salaries and employee personnel directly engaged in the planning and preliminary project stage and post-implementation stage of new products and features that are crucial for the success of our company. We continue to believe that focused investments in research and development are critical to our future growth and competitive position in the marketplace, and to the development of new and updated features, products and services that are central to our core business strategy. Our research and development expenses for the six months ended June 30, 2020 were down as a result of the increased uncertainty in the marketplace at due to the COVID-19 pandemic.</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14565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160" w:type="dxa"/>
            <w:vAlign w:val="bottom"/>
          </w:tcPr>
          <w:p>
            <w:pPr>
              <w:spacing w:after="0"/>
              <w:rPr>
                <w:sz w:val="15"/>
                <w:szCs w:val="15"/>
                <w:color w:val="auto"/>
              </w:rPr>
            </w:pPr>
          </w:p>
        </w:tc>
        <w:tc>
          <w:tcPr>
            <w:tcW w:w="1000" w:type="dxa"/>
            <w:vAlign w:val="bottom"/>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Pr>
          <w:p>
            <w:pPr>
              <w:spacing w:after="0"/>
              <w:rPr>
                <w:sz w:val="15"/>
                <w:szCs w:val="15"/>
                <w:color w:val="auto"/>
              </w:rPr>
            </w:pPr>
          </w:p>
        </w:tc>
      </w:tr>
      <w:tr>
        <w:trPr>
          <w:trHeight w:val="187"/>
        </w:trPr>
        <w:tc>
          <w:tcPr>
            <w:tcW w:w="46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3"/>
                <w:szCs w:val="13"/>
                <w:b w:val="1"/>
                <w:bCs w:val="1"/>
                <w:color w:val="auto"/>
              </w:rPr>
              <w:t>Amount</w:t>
            </w:r>
          </w:p>
        </w:tc>
        <w:tc>
          <w:tcPr>
            <w:tcW w:w="10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82"/>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 except percentages)</w:t>
            </w: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6,323</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6,947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87"/>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624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Sales and marketing expenses remained relatively flat, increasing by only $0.6 million, or 10%, for the six months ended June 30, 2021 compared to the same period in 2020. The increase was predominantly driven by increased advertising spend to gain further brand awareness.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82"/>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5"/>
                <w:szCs w:val="15"/>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10,138</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17,494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7,356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General and administrative expenses increased $7.4 million, or 73%, for the six months ended June 30, 2021 compared to the same period in 2020, primarily due to increased employee compensation of our executive employees and higher professional service costs for accounting, auditing and legal services related to our annual financial statement audits and quarterly reviews.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expenses, net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3"/>
                <w:szCs w:val="13"/>
                <w:b w:val="1"/>
                <w:bCs w:val="1"/>
                <w:color w:val="auto"/>
              </w:rPr>
              <w:t>Amount</w:t>
            </w:r>
          </w:p>
        </w:tc>
        <w:tc>
          <w:tcPr>
            <w:tcW w:w="9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gridSpan w:val="3"/>
          </w:tcPr>
          <w:p>
            <w:pPr>
              <w:jc w:val="right"/>
              <w:ind w:right="67"/>
              <w:spacing w:after="0"/>
              <w:rPr>
                <w:sz w:val="20"/>
                <w:szCs w:val="20"/>
                <w:color w:val="auto"/>
              </w:rPr>
            </w:pPr>
            <w:r>
              <w:rPr>
                <w:rFonts w:ascii="Arial" w:cs="Arial" w:eastAsia="Arial" w:hAnsi="Arial"/>
                <w:sz w:val="13"/>
                <w:szCs w:val="13"/>
                <w:b w:val="1"/>
                <w:bCs w:val="1"/>
                <w:color w:val="auto"/>
              </w:rPr>
              <w:t>(in thousands, except percentages)</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(1,514)</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7"/>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Interest and other expenses, net remained relatively flat, decreasing by only $0.01 million, or 1%, for the six months ended June 30, 2021 compared to the same period in 2020. We had decreased interest expense in the six months ended June 30, 2021 as compared to the same period in 2020 due to the decrease in our outstanding principal balance for borrowings under our amortizing term loan with CIBC.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60"/>
          </w:cols>
          <w:pgMar w:left="320" w:top="1422" w:right="31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(1,365)</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6"/>
                <w:szCs w:val="16"/>
                <w:color w:val="auto"/>
              </w:rPr>
              <w:t>(1,496)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recorded a $2.9 million provision for income taxes in the six months ended June 30, 2021 compared to a $1.4 million provision for income taxes in the six months ended June 30, 2020.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1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Our effective tax rate was 28.1% and 16.4% for the six months ended June 30, 2020 and 2021, respectively. The tax rate differed from the statutory tax rate of 21.0% for both the six months ended June 30, 2020 and 2021, respectively, primarily as a result of a discrete benefit from our federal deduction for excess stock-based compensation during 2021, stock-based compensation resulting from ISOs, state taxes as well as state tax credits for 2020.</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Our tax provisions were affected primarily by federal and state taxes in the six months ended June 30, 2020 and 2021, respectively. In the six months ended June 30, 2020, we benefited from the utilization of our U.S. federal and state net operating loss and credit carryforwards.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the years ended December 31, 2019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80,460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88,072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7,612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Revenue increased $ 7.6 million, or 9%, in 2020 compared to 2019,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 Expensify Card in connection with our expense management platform for 50% or more of their approved expenses. All new customers beginning on May 1, 2020, were subject to this pricing change. Our revenue was adversely affected by the COVID-19 pandemic, particularly due to the decrease in business travel, which is a significant use case for our platform, but this adverse impact was mitigated by the prevalence of our annual contracts and minimum user requirements in those contracts.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net and Gross margin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Change</w:t>
            </w:r>
          </w:p>
        </w:tc>
        <w:tc>
          <w:tcPr>
            <w:tcW w:w="1140" w:type="dxa"/>
            <w:vAlign w:val="bottom"/>
            <w:tcBorders>
              <w:top w:val="single" w:sz="8" w:color="auto"/>
            </w:tcBorders>
          </w:tcPr>
          <w:p>
            <w:pPr>
              <w:spacing w:after="0"/>
              <w:rPr>
                <w:sz w:val="16"/>
                <w:szCs w:val="16"/>
                <w:color w:val="auto"/>
              </w:rPr>
            </w:pPr>
          </w:p>
        </w:tc>
      </w:tr>
      <w:tr>
        <w:trPr>
          <w:trHeight w:val="163"/>
        </w:trPr>
        <w:tc>
          <w:tcPr>
            <w:tcW w:w="44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w:t>
            </w:r>
          </w:p>
        </w:tc>
      </w:tr>
      <w:tr>
        <w:trPr>
          <w:trHeight w:val="163"/>
        </w:trPr>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 except percentages)</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31,985</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32,414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604"/>
              <w:spacing w:after="0"/>
              <w:rPr>
                <w:sz w:val="20"/>
                <w:szCs w:val="20"/>
                <w:color w:val="auto"/>
              </w:rPr>
            </w:pPr>
            <w:r>
              <w:rPr>
                <w:rFonts w:ascii="Arial" w:cs="Arial" w:eastAsia="Arial" w:hAnsi="Arial"/>
                <w:sz w:val="16"/>
                <w:szCs w:val="16"/>
                <w:color w:val="auto"/>
              </w:rPr>
              <w:t>429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7"/>
        </w:trPr>
        <w:tc>
          <w:tcPr>
            <w:tcW w:w="448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400" w:type="dxa"/>
            <w:vAlign w:val="bottom"/>
          </w:tcPr>
          <w:p>
            <w:pPr>
              <w:spacing w:after="0"/>
              <w:rPr>
                <w:sz w:val="17"/>
                <w:szCs w:val="17"/>
                <w:color w:val="auto"/>
              </w:rPr>
            </w:pPr>
          </w:p>
        </w:tc>
        <w:tc>
          <w:tcPr>
            <w:tcW w:w="1300" w:type="dxa"/>
            <w:vAlign w:val="bottom"/>
          </w:tcPr>
          <w:p>
            <w:pPr>
              <w:jc w:val="right"/>
              <w:ind w:right="185"/>
              <w:spacing w:after="0"/>
              <w:rPr>
                <w:sz w:val="20"/>
                <w:szCs w:val="20"/>
                <w:color w:val="auto"/>
              </w:rPr>
            </w:pPr>
            <w:r>
              <w:rPr>
                <w:rFonts w:ascii="Arial" w:cs="Arial" w:eastAsia="Arial" w:hAnsi="Arial"/>
                <w:sz w:val="16"/>
                <w:szCs w:val="16"/>
                <w:color w:val="auto"/>
              </w:rPr>
              <w:t>48,475</w:t>
            </w:r>
          </w:p>
        </w:tc>
        <w:tc>
          <w:tcPr>
            <w:tcW w:w="380" w:type="dxa"/>
            <w:vAlign w:val="bottom"/>
          </w:tcPr>
          <w:p>
            <w:pPr>
              <w:spacing w:after="0"/>
              <w:rPr>
                <w:sz w:val="17"/>
                <w:szCs w:val="17"/>
                <w:color w:val="auto"/>
              </w:rPr>
            </w:pPr>
          </w:p>
        </w:tc>
        <w:tc>
          <w:tcPr>
            <w:tcW w:w="1340" w:type="dxa"/>
            <w:vAlign w:val="bottom"/>
          </w:tcPr>
          <w:p>
            <w:pPr>
              <w:jc w:val="right"/>
              <w:ind w:right="145"/>
              <w:spacing w:after="0"/>
              <w:rPr>
                <w:sz w:val="20"/>
                <w:szCs w:val="20"/>
                <w:color w:val="auto"/>
              </w:rPr>
            </w:pPr>
            <w:r>
              <w:rPr>
                <w:rFonts w:ascii="Arial" w:cs="Arial" w:eastAsia="Arial" w:hAnsi="Arial"/>
                <w:sz w:val="16"/>
                <w:szCs w:val="16"/>
                <w:color w:val="auto"/>
              </w:rPr>
              <w:t>55,658</w:t>
            </w:r>
          </w:p>
        </w:tc>
        <w:tc>
          <w:tcPr>
            <w:tcW w:w="100" w:type="dxa"/>
            <w:vAlign w:val="bottom"/>
          </w:tcPr>
          <w:p>
            <w:pPr>
              <w:spacing w:after="0"/>
              <w:rPr>
                <w:sz w:val="17"/>
                <w:szCs w:val="17"/>
                <w:color w:val="auto"/>
              </w:rPr>
            </w:pP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4"/>
              <w:spacing w:after="0"/>
              <w:rPr>
                <w:sz w:val="20"/>
                <w:szCs w:val="20"/>
                <w:color w:val="auto"/>
              </w:rPr>
            </w:pPr>
            <w:r>
              <w:rPr>
                <w:rFonts w:ascii="Arial" w:cs="Arial" w:eastAsia="Arial" w:hAnsi="Arial"/>
                <w:sz w:val="16"/>
                <w:szCs w:val="16"/>
                <w:color w:val="auto"/>
                <w:w w:val="99"/>
              </w:rPr>
              <w:t>7,183</w:t>
            </w:r>
          </w:p>
        </w:tc>
        <w:tc>
          <w:tcPr>
            <w:tcW w:w="11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 %</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49"/>
        </w:trPr>
        <w:tc>
          <w:tcPr>
            <w:tcW w:w="44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60"/>
          </w:cols>
          <w:pgMar w:left="320" w:top="1422" w:right="319" w:bottom="1440" w:gutter="0" w:footer="0" w:header="0"/>
        </w:sectPr>
      </w:pPr>
    </w:p>
    <w:bookmarkStart w:id="107" w:name="page108"/>
    <w:bookmarkEnd w:id="107"/>
    <w:p>
      <w:pPr>
        <w:spacing w:after="0" w:line="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Cost of revenue, net remained relatively flat with an increase of $0.4 million, or 1%, in 2020 compared to 2019. The increase was primarily driven by increased compensation to employees and higher costs for outsourced support and onboarding agents as we ramped up these outsource teams to provide for faster and higher levels of customer support. We also began to use outsourced engineering resources to speed up our development cycles in 2020, unlike in prior periods. These increases were partially offset by a decrease in SmartScan costs primarily driven by a decrease in receipts scanned by members due to lower travel and business spending during the COVID-19 pandemic. In addition, consideration from a vendor, which represents monetizing Expensify Card activities, reduced Cost of revenue, net by $0.03 million and $1.0 million for the years ended December 31, 2019 and 2020, respectively.</w:t>
      </w:r>
    </w:p>
    <w:p>
      <w:pPr>
        <w:spacing w:after="0" w:line="109"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Gross margin increased to 63% in 2020 compared to 60% in the same period in 2019. This increase was primarily driven by the 9% increase in revenue in 2020 compared to the same period in 2019. Although revenue increased by 9% for the same period, Cost of revenue, net did not increase at the same rate due to the factors described in the preceding paragraph.</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4,110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2,618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Research and development expenses increased by $2.6 million, or 64%, in 2020 compared to 2019, primarily driven by an increase in employee salaries and employee personnel directly involved in the planning and preliminary project stage and post-implementation stage of new products and features that are crucial for the success of our company. We continue to believe that focused investments in research and development are critical to our future growth and competitive position in the marketplace, and to the development of new and updated features, products and services that are central to our core business strategy.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4565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2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bottom w:val="single" w:sz="8" w:color="auto"/>
            </w:tcBorders>
          </w:tcPr>
          <w:p>
            <w:pPr>
              <w:spacing w:after="0"/>
              <w:rPr>
                <w:sz w:val="15"/>
                <w:szCs w:val="15"/>
                <w:color w:val="auto"/>
              </w:rPr>
            </w:pPr>
          </w:p>
        </w:tc>
      </w:tr>
      <w:tr>
        <w:trPr>
          <w:trHeight w:val="192"/>
        </w:trPr>
        <w:tc>
          <w:tcPr>
            <w:tcW w:w="46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82"/>
        </w:trPr>
        <w:tc>
          <w:tcPr>
            <w:tcW w:w="4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80" w:type="dxa"/>
            <w:vAlign w:val="bottom"/>
            <w:gridSpan w:val="5"/>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5"/>
                <w:szCs w:val="15"/>
                <w:color w:val="auto"/>
              </w:rPr>
            </w:pPr>
          </w:p>
        </w:tc>
      </w:tr>
      <w:tr>
        <w:trPr>
          <w:trHeight w:val="24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27,188</w:t>
            </w:r>
          </w:p>
        </w:tc>
        <w:tc>
          <w:tcPr>
            <w:tcW w:w="1060" w:type="dxa"/>
            <w:vAlign w:val="bottom"/>
            <w:shd w:val="clear" w:color="auto" w:fill="CCEEFF"/>
          </w:tcPr>
          <w:p>
            <w:pPr>
              <w:jc w:val="right"/>
              <w:ind w:right="81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6"/>
                <w:szCs w:val="16"/>
                <w:color w:val="auto"/>
              </w:rPr>
              <w:t>(17,300)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49"/>
        </w:trPr>
        <w:tc>
          <w:tcPr>
            <w:tcW w:w="46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Sales and marketing expenses decreased $17.3 million, or 64%, in 2020 compared to 2019 primarily due to reduced advertising expenses. In 2019, we ran our first Super Bowl commercial, which we did not repeat in 2020. Following an Expensify Card launch advertising campaign during the first three months of 2020, we aggressively reduced our advertising and other sales and marketing expenses for the remainder of 2020 due to the impact of the COVID-19 pandemic.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15,930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33,372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610"/>
              <w:spacing w:after="0"/>
              <w:rPr>
                <w:sz w:val="20"/>
                <w:szCs w:val="20"/>
                <w:color w:val="auto"/>
              </w:rPr>
            </w:pPr>
            <w:r>
              <w:rPr>
                <w:rFonts w:ascii="Arial" w:cs="Arial" w:eastAsia="Arial" w:hAnsi="Arial"/>
                <w:sz w:val="16"/>
                <w:szCs w:val="16"/>
                <w:color w:val="auto"/>
              </w:rPr>
              <w:t>17,442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General and administrative expenses increased $17.4 million, or 109%, in 2020 compared to 2019, primarily due to increased employee compensation which was driven by the secondary market sale of equity by our executive employees facilitated by us, and higher professional service costs for accounting, auditing and legal services related to our initial public offering preparation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60"/>
          </w:cols>
          <w:pgMar w:left="320" w:top="1440" w:right="31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Interest and other expenses,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Amount</w:t>
            </w:r>
          </w:p>
        </w:tc>
        <w:tc>
          <w:tcPr>
            <w:tcW w:w="9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gridSpan w:val="3"/>
          </w:tcPr>
          <w:p>
            <w:pPr>
              <w:jc w:val="right"/>
              <w:ind w:right="27"/>
              <w:spacing w:after="0"/>
              <w:rPr>
                <w:sz w:val="20"/>
                <w:szCs w:val="20"/>
                <w:color w:val="auto"/>
              </w:rPr>
            </w:pPr>
            <w:r>
              <w:rPr>
                <w:rFonts w:ascii="Arial" w:cs="Arial" w:eastAsia="Arial" w:hAnsi="Arial"/>
                <w:sz w:val="13"/>
                <w:szCs w:val="13"/>
                <w:b w:val="1"/>
                <w:bCs w:val="1"/>
                <w:color w:val="auto"/>
              </w:rPr>
              <w:t>(in thousands, except percentages)</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(2,757)</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7"/>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39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Interest and other expenses, net decreased $0.04 million, or 1% in 2020 compared to 2019. We had increased interest expense due to a drawdown on our line of credit with CIBC as well as a full year of interest on the mortgage for our Portland facility compared to a partial year in 2019. These increases were offset by a decrease in the interest payable as a result of our decreased outstanding principal balance in 2020 for the borrowings under our amortizing term loan with CIBC.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2,751</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6"/>
                <w:szCs w:val="16"/>
                <w:color w:val="auto"/>
              </w:rPr>
              <w:t>(7,413)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recorded a $4.7 million provision for income taxes in 2020 compared to a benefit for income taxes of $2.8 million in 2019.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23"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Our effective tax rate was 181.9% and 157.9% for the years ended December 31, 2019 and 2020, respectively. The tax rate differed from the statutory tax rate of 21.0% primarily as a result of a valuation allowance release and state taxes for 2019 and stock-based compensation resulting from a secondary market sale and ISOs and state taxes for 2020.</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tax provision was affected in 2019 by the release of our valuation allowance. Prior to 2019, we recorded a valuation allowance that fully offset our deferred tax assets. In the fourth quarter of 2019, based on our evaluation of various factors, including our achievement of a cumulative three-year income position and forecasts of future operating results, we released all of our valuation allowance against our federal and state deferred tax assets, partially offset by our permanent items related to stock-based compensation and recorded a corresponding income tax benefit as described in “Note 10. Income Taxes” in the notes to our consolidated financial statements. Our release of the valuation allowance led to a $1.2 million net income in 2019.</w:t>
      </w:r>
    </w:p>
    <w:p>
      <w:pPr>
        <w:spacing w:after="0" w:line="11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2020, we had a $ 15.3 million stock-based compensation expense in the fourth quarter resulting primarily from a secondary market sale. There was no cash impact related to this secondary market sale expense. Because this expense was not tax deductible, it had the effect of increasing our effective tax rate in 2020.</w:t>
      </w:r>
    </w:p>
    <w:p>
      <w:pPr>
        <w:spacing w:after="0" w:line="118"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During 2020 and 2019, the amount of our unrecognized tax benefits increased by $0.1 million and $0.3 million respectively. The future impact of the unrecognized tax benefits of $1.3 million, if recognized, would affect the effective tax rate.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both 2019 and 2020, we benefited from the utilization of our U.S. federal and state net operating loss and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60"/>
          </w:cols>
          <w:pgMar w:left="320" w:top="1422" w:right="319" w:bottom="1440" w:gutter="0" w:footer="0" w:header="0"/>
        </w:sectPr>
      </w:pPr>
    </w:p>
    <w:bookmarkStart w:id="109" w:name="page110"/>
    <w:bookmarkEnd w:id="109"/>
    <w:p>
      <w:pPr>
        <w:ind w:left="3"/>
        <w:spacing w:after="0"/>
        <w:rPr>
          <w:sz w:val="20"/>
          <w:szCs w:val="20"/>
          <w:color w:val="auto"/>
        </w:rPr>
      </w:pPr>
      <w:r>
        <w:rPr>
          <w:rFonts w:ascii="Arial" w:cs="Arial" w:eastAsia="Arial" w:hAnsi="Arial"/>
          <w:sz w:val="19"/>
          <w:szCs w:val="19"/>
          <w:b w:val="1"/>
          <w:bCs w:val="1"/>
          <w:color w:val="auto"/>
        </w:rPr>
        <w:t>Quarterly results of operations</w:t>
      </w:r>
    </w:p>
    <w:p>
      <w:pPr>
        <w:spacing w:after="0" w:line="152" w:lineRule="exact"/>
        <w:rPr>
          <w:sz w:val="20"/>
          <w:szCs w:val="20"/>
          <w:color w:val="auto"/>
        </w:rPr>
      </w:pPr>
    </w:p>
    <w:p>
      <w:pPr>
        <w:ind w:left="3" w:right="240"/>
        <w:spacing w:after="0" w:line="257" w:lineRule="auto"/>
        <w:rPr>
          <w:sz w:val="20"/>
          <w:szCs w:val="20"/>
          <w:color w:val="auto"/>
        </w:rPr>
      </w:pPr>
      <w:r>
        <w:rPr>
          <w:rFonts w:ascii="Arial" w:cs="Arial" w:eastAsia="Arial" w:hAnsi="Arial"/>
          <w:sz w:val="16"/>
          <w:szCs w:val="16"/>
          <w:color w:val="auto"/>
        </w:rPr>
        <w:t>The following tables present our unaudited consolidated statements of operations for each of the last ten quarters through the period ended June 30, 2021. The unaudited consolidated statements of operations for each quarter have been prepared on the same basis as the annual consolidated financial statements included in the prospectus and reflect all normal and recurring adjustments that are, in our opinion, necessary for the fair presentation of the results of operations for the periods presented. Our historical results are not necessarily indicative of the results that may be expected in the future. The following quarterly financial data should be read in conjunction with our consolidated financial statements included elsewhere in the prospectus.</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Quarterly consolidated statements of income:</w:t>
      </w:r>
    </w:p>
    <w:p>
      <w:pPr>
        <w:spacing w:after="0" w:line="170" w:lineRule="exact"/>
        <w:rPr>
          <w:sz w:val="20"/>
          <w:szCs w:val="20"/>
          <w:color w:val="auto"/>
        </w:rPr>
      </w:pPr>
    </w:p>
    <w:tbl>
      <w:tblPr>
        <w:tblLayout w:type="fixed"/>
        <w:tblInd w:w="3" w:type="dxa"/>
        <w:tblCellMar>
          <w:top w:w="0" w:type="dxa"/>
          <w:left w:w="0" w:type="dxa"/>
          <w:bottom w:w="0" w:type="dxa"/>
          <w:right w:w="0" w:type="dxa"/>
        </w:tblCellMar>
      </w:tblPr>
      <w:tr>
        <w:trPr>
          <w:trHeight w:val="163"/>
        </w:trPr>
        <w:tc>
          <w:tcPr>
            <w:tcW w:w="15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gridSpan w:val="3"/>
          </w:tcPr>
          <w:p>
            <w:pPr>
              <w:jc w:val="right"/>
              <w:ind w:right="283"/>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r>
      <w:tr>
        <w:trPr>
          <w:trHeight w:val="138"/>
        </w:trPr>
        <w:tc>
          <w:tcPr>
            <w:tcW w:w="1500" w:type="dxa"/>
            <w:vAlign w:val="bottom"/>
          </w:tcPr>
          <w:p>
            <w:pPr>
              <w:spacing w:after="0"/>
              <w:rPr>
                <w:sz w:val="12"/>
                <w:szCs w:val="12"/>
                <w:color w:val="auto"/>
              </w:rPr>
            </w:pPr>
          </w:p>
        </w:tc>
        <w:tc>
          <w:tcPr>
            <w:tcW w:w="8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0"/>
                <w:szCs w:val="10"/>
                <w:b w:val="1"/>
                <w:bCs w:val="1"/>
                <w:color w:val="auto"/>
              </w:rPr>
              <w:t>March 31, 2019</w:t>
            </w:r>
          </w:p>
        </w:tc>
        <w:tc>
          <w:tcPr>
            <w:tcW w:w="8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0"/>
                <w:szCs w:val="10"/>
                <w:b w:val="1"/>
                <w:bCs w:val="1"/>
                <w:color w:val="auto"/>
              </w:rPr>
              <w:t>June 30, 2019</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w w:val="96"/>
              </w:rPr>
              <w:t>September 30, 2019</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w w:val="95"/>
              </w:rPr>
              <w:t>December 31, 2019</w:t>
            </w:r>
          </w:p>
        </w:tc>
        <w:tc>
          <w:tcPr>
            <w:tcW w:w="8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0"/>
                <w:szCs w:val="10"/>
                <w:b w:val="1"/>
                <w:bCs w:val="1"/>
                <w:color w:val="auto"/>
              </w:rPr>
              <w:t>March 31, 2020</w:t>
            </w:r>
          </w:p>
        </w:tc>
        <w:tc>
          <w:tcPr>
            <w:tcW w:w="8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0"/>
                <w:szCs w:val="10"/>
                <w:b w:val="1"/>
                <w:bCs w:val="1"/>
                <w:color w:val="auto"/>
              </w:rPr>
              <w:t>June 30, 2020</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w w:val="96"/>
              </w:rPr>
              <w:t>September 30, 2020</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w w:val="95"/>
              </w:rPr>
              <w:t>December 31, 2020</w:t>
            </w: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March 31, 2021</w:t>
            </w:r>
          </w:p>
        </w:tc>
        <w:tc>
          <w:tcPr>
            <w:tcW w:w="7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0"/>
                <w:szCs w:val="10"/>
                <w:b w:val="1"/>
                <w:bCs w:val="1"/>
                <w:color w:val="auto"/>
              </w:rPr>
              <w:t>June 30, 2021</w:t>
            </w:r>
          </w:p>
        </w:tc>
      </w:tr>
      <w:tr>
        <w:trPr>
          <w:trHeight w:val="155"/>
        </w:trPr>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ind w:right="363"/>
              <w:spacing w:after="0"/>
              <w:rPr>
                <w:sz w:val="20"/>
                <w:szCs w:val="20"/>
                <w:color w:val="auto"/>
              </w:rPr>
            </w:pPr>
            <w:r>
              <w:rPr>
                <w:rFonts w:ascii="Arial" w:cs="Arial" w:eastAsia="Arial" w:hAnsi="Arial"/>
                <w:sz w:val="11"/>
                <w:szCs w:val="11"/>
                <w:b w:val="1"/>
                <w:bCs w:val="1"/>
                <w:color w:val="auto"/>
              </w:rPr>
              <w:t>(in thousands)</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2"/>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18,097</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19,759</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20,531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22,073</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21,888</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18,753</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21,694</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25,737</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29,720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35,304</w:t>
            </w:r>
          </w:p>
        </w:tc>
      </w:tr>
      <w:tr>
        <w:trPr>
          <w:trHeight w:val="158"/>
        </w:trPr>
        <w:tc>
          <w:tcPr>
            <w:tcW w:w="150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1"/>
                <w:szCs w:val="11"/>
                <w:color w:val="auto"/>
              </w:rPr>
              <w:t>Cost of revenue, net</w:t>
            </w:r>
            <w:r>
              <w:rPr>
                <w:rFonts w:ascii="Arial" w:cs="Arial" w:eastAsia="Arial" w:hAnsi="Arial"/>
                <w:sz w:val="14"/>
                <w:szCs w:val="14"/>
                <w:color w:val="auto"/>
                <w:vertAlign w:val="superscript"/>
              </w:rPr>
              <w:t>(1)</w:t>
            </w: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7,560</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7,720</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8,019</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8,686</w:t>
            </w: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7,854</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7,584</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8,443</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8,533</w:t>
            </w: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7,637</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7,934</w:t>
            </w:r>
          </w:p>
        </w:tc>
      </w:tr>
      <w:tr>
        <w:trPr>
          <w:trHeight w:val="151"/>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margin</w:t>
            </w:r>
          </w:p>
        </w:tc>
        <w:tc>
          <w:tcPr>
            <w:tcW w:w="2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10,537</w:t>
            </w: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12,039</w:t>
            </w:r>
          </w:p>
        </w:tc>
        <w:tc>
          <w:tcPr>
            <w:tcW w:w="1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12,512</w:t>
            </w:r>
          </w:p>
        </w:tc>
        <w:tc>
          <w:tcPr>
            <w:tcW w:w="1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13,387</w:t>
            </w:r>
          </w:p>
        </w:tc>
        <w:tc>
          <w:tcPr>
            <w:tcW w:w="2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14,034</w:t>
            </w: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11,169</w:t>
            </w:r>
          </w:p>
        </w:tc>
        <w:tc>
          <w:tcPr>
            <w:tcW w:w="1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13,251</w:t>
            </w: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17,204</w:t>
            </w:r>
          </w:p>
        </w:tc>
        <w:tc>
          <w:tcPr>
            <w:tcW w:w="2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22,083</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27,370</w:t>
            </w:r>
          </w:p>
        </w:tc>
      </w:tr>
      <w:tr>
        <w:trPr>
          <w:trHeight w:val="131"/>
        </w:trPr>
        <w:tc>
          <w:tcPr>
            <w:tcW w:w="1500" w:type="dxa"/>
            <w:vAlign w:val="bottom"/>
          </w:tcPr>
          <w:p>
            <w:pPr>
              <w:ind w:left="20"/>
              <w:spacing w:after="0" w:line="124" w:lineRule="exact"/>
              <w:rPr>
                <w:sz w:val="20"/>
                <w:szCs w:val="20"/>
                <w:color w:val="auto"/>
              </w:rPr>
            </w:pPr>
            <w:r>
              <w:rPr>
                <w:rFonts w:ascii="Arial" w:cs="Arial" w:eastAsia="Arial" w:hAnsi="Arial"/>
                <w:sz w:val="11"/>
                <w:szCs w:val="11"/>
                <w:color w:val="auto"/>
              </w:rPr>
              <w:t>Operating expenses: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7"/>
        </w:trPr>
        <w:tc>
          <w:tcPr>
            <w:tcW w:w="150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color w:val="auto"/>
              </w:rPr>
              <w:t>Research and</w:t>
            </w: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58"/>
        </w:trPr>
        <w:tc>
          <w:tcPr>
            <w:tcW w:w="1500" w:type="dxa"/>
            <w:vAlign w:val="bottom"/>
            <w:shd w:val="clear" w:color="auto" w:fill="CCEEFF"/>
          </w:tcPr>
          <w:p>
            <w:pPr>
              <w:ind w:left="160"/>
              <w:spacing w:after="0" w:line="159" w:lineRule="exact"/>
              <w:rPr>
                <w:sz w:val="20"/>
                <w:szCs w:val="20"/>
                <w:color w:val="auto"/>
              </w:rPr>
            </w:pPr>
            <w:r>
              <w:rPr>
                <w:rFonts w:ascii="Arial" w:cs="Arial" w:eastAsia="Arial" w:hAnsi="Arial"/>
                <w:sz w:val="11"/>
                <w:szCs w:val="11"/>
                <w:color w:val="auto"/>
              </w:rPr>
              <w:t>development</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650</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783</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1,229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1,448</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928</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1,449</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2,268</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2,083</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4,874</w:t>
            </w:r>
          </w:p>
        </w:tc>
      </w:tr>
      <w:tr>
        <w:trPr>
          <w:trHeight w:val="158"/>
        </w:trPr>
        <w:tc>
          <w:tcPr>
            <w:tcW w:w="1500" w:type="dxa"/>
            <w:vAlign w:val="bottom"/>
          </w:tcPr>
          <w:p>
            <w:pPr>
              <w:ind w:left="20"/>
              <w:spacing w:after="0" w:line="159" w:lineRule="exact"/>
              <w:rPr>
                <w:sz w:val="20"/>
                <w:szCs w:val="20"/>
                <w:color w:val="auto"/>
              </w:rPr>
            </w:pPr>
            <w:r>
              <w:rPr>
                <w:rFonts w:ascii="Arial" w:cs="Arial" w:eastAsia="Arial" w:hAnsi="Arial"/>
                <w:sz w:val="11"/>
                <w:szCs w:val="11"/>
                <w:color w:val="auto"/>
              </w:rPr>
              <w:t>General and administrative</w:t>
            </w:r>
            <w:r>
              <w:rPr>
                <w:rFonts w:ascii="Arial" w:cs="Arial" w:eastAsia="Arial" w:hAnsi="Arial"/>
                <w:sz w:val="14"/>
                <w:szCs w:val="14"/>
                <w:color w:val="auto"/>
                <w:vertAlign w:val="superscript"/>
              </w:rPr>
              <w:t>(1)</w:t>
            </w:r>
          </w:p>
        </w:tc>
        <w:tc>
          <w:tcPr>
            <w:tcW w:w="22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2,984</w:t>
            </w:r>
          </w:p>
        </w:tc>
        <w:tc>
          <w:tcPr>
            <w:tcW w:w="260" w:type="dxa"/>
            <w:vAlign w:val="bottom"/>
          </w:tcPr>
          <w:p>
            <w:pPr>
              <w:spacing w:after="0"/>
              <w:rPr>
                <w:sz w:val="13"/>
                <w:szCs w:val="13"/>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auto"/>
              </w:rPr>
              <w:t>4,087</w:t>
            </w:r>
          </w:p>
        </w:tc>
        <w:tc>
          <w:tcPr>
            <w:tcW w:w="120" w:type="dxa"/>
            <w:vAlign w:val="bottom"/>
          </w:tcPr>
          <w:p>
            <w:pPr>
              <w:spacing w:after="0"/>
              <w:rPr>
                <w:sz w:val="13"/>
                <w:szCs w:val="13"/>
                <w:color w:val="auto"/>
              </w:rPr>
            </w:pPr>
          </w:p>
        </w:tc>
        <w:tc>
          <w:tcPr>
            <w:tcW w:w="1080" w:type="dxa"/>
            <w:vAlign w:val="bottom"/>
          </w:tcPr>
          <w:p>
            <w:pPr>
              <w:jc w:val="right"/>
              <w:ind w:right="44"/>
              <w:spacing w:after="0"/>
              <w:rPr>
                <w:sz w:val="20"/>
                <w:szCs w:val="20"/>
                <w:color w:val="auto"/>
              </w:rPr>
            </w:pPr>
            <w:r>
              <w:rPr>
                <w:rFonts w:ascii="Arial" w:cs="Arial" w:eastAsia="Arial" w:hAnsi="Arial"/>
                <w:sz w:val="11"/>
                <w:szCs w:val="11"/>
                <w:color w:val="auto"/>
              </w:rPr>
              <w:t>4,128</w:t>
            </w:r>
          </w:p>
        </w:tc>
        <w:tc>
          <w:tcPr>
            <w:tcW w:w="12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1"/>
                <w:szCs w:val="11"/>
                <w:color w:val="auto"/>
              </w:rPr>
              <w:t>4,731</w:t>
            </w:r>
          </w:p>
        </w:tc>
        <w:tc>
          <w:tcPr>
            <w:tcW w:w="260" w:type="dxa"/>
            <w:vAlign w:val="bottom"/>
          </w:tcPr>
          <w:p>
            <w:pPr>
              <w:spacing w:after="0"/>
              <w:rPr>
                <w:sz w:val="13"/>
                <w:szCs w:val="13"/>
                <w:color w:val="auto"/>
              </w:rPr>
            </w:pPr>
          </w:p>
        </w:tc>
        <w:tc>
          <w:tcPr>
            <w:tcW w:w="600" w:type="dxa"/>
            <w:vAlign w:val="bottom"/>
          </w:tcPr>
          <w:p>
            <w:pPr>
              <w:jc w:val="right"/>
              <w:ind w:right="44"/>
              <w:spacing w:after="0"/>
              <w:rPr>
                <w:sz w:val="20"/>
                <w:szCs w:val="20"/>
                <w:color w:val="auto"/>
              </w:rPr>
            </w:pPr>
            <w:r>
              <w:rPr>
                <w:rFonts w:ascii="Arial" w:cs="Arial" w:eastAsia="Arial" w:hAnsi="Arial"/>
                <w:sz w:val="11"/>
                <w:szCs w:val="11"/>
                <w:color w:val="auto"/>
              </w:rPr>
              <w:t>4,483</w:t>
            </w:r>
          </w:p>
        </w:tc>
        <w:tc>
          <w:tcPr>
            <w:tcW w:w="26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5,655</w:t>
            </w:r>
          </w:p>
        </w:tc>
        <w:tc>
          <w:tcPr>
            <w:tcW w:w="140" w:type="dxa"/>
            <w:vAlign w:val="bottom"/>
          </w:tcPr>
          <w:p>
            <w:pPr>
              <w:spacing w:after="0"/>
              <w:rPr>
                <w:sz w:val="13"/>
                <w:szCs w:val="13"/>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14,579</w:t>
            </w:r>
          </w:p>
        </w:tc>
        <w:tc>
          <w:tcPr>
            <w:tcW w:w="140" w:type="dxa"/>
            <w:vAlign w:val="bottom"/>
          </w:tcPr>
          <w:p>
            <w:pPr>
              <w:spacing w:after="0"/>
              <w:rPr>
                <w:sz w:val="13"/>
                <w:szCs w:val="13"/>
                <w:color w:val="auto"/>
              </w:rPr>
            </w:pPr>
          </w:p>
        </w:tc>
        <w:tc>
          <w:tcPr>
            <w:tcW w:w="1040" w:type="dxa"/>
            <w:vAlign w:val="bottom"/>
          </w:tcPr>
          <w:p>
            <w:pPr>
              <w:jc w:val="right"/>
              <w:ind w:right="64"/>
              <w:spacing w:after="0"/>
              <w:rPr>
                <w:sz w:val="20"/>
                <w:szCs w:val="20"/>
                <w:color w:val="auto"/>
              </w:rPr>
            </w:pPr>
            <w:r>
              <w:rPr>
                <w:rFonts w:ascii="Arial" w:cs="Arial" w:eastAsia="Arial" w:hAnsi="Arial"/>
                <w:sz w:val="11"/>
                <w:szCs w:val="11"/>
                <w:color w:val="auto"/>
              </w:rPr>
              <w:t>8,655</w:t>
            </w:r>
          </w:p>
        </w:tc>
        <w:tc>
          <w:tcPr>
            <w:tcW w:w="2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6,367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11,127</w:t>
            </w:r>
          </w:p>
        </w:tc>
      </w:tr>
      <w:tr>
        <w:trPr>
          <w:trHeight w:val="158"/>
        </w:trPr>
        <w:tc>
          <w:tcPr>
            <w:tcW w:w="1500" w:type="dxa"/>
            <w:vAlign w:val="bottom"/>
            <w:shd w:val="clear" w:color="auto" w:fill="CCEEFF"/>
          </w:tcPr>
          <w:p>
            <w:pPr>
              <w:ind w:left="20"/>
              <w:spacing w:after="0" w:line="159" w:lineRule="exact"/>
              <w:rPr>
                <w:sz w:val="20"/>
                <w:szCs w:val="20"/>
                <w:color w:val="auto"/>
              </w:rPr>
            </w:pPr>
            <w:r>
              <w:rPr>
                <w:rFonts w:ascii="Arial" w:cs="Arial" w:eastAsia="Arial" w:hAnsi="Arial"/>
                <w:sz w:val="11"/>
                <w:szCs w:val="11"/>
                <w:color w:val="auto"/>
              </w:rPr>
              <w:t>Sales and marketing</w:t>
            </w:r>
            <w:r>
              <w:rPr>
                <w:rFonts w:ascii="Arial" w:cs="Arial" w:eastAsia="Arial" w:hAnsi="Arial"/>
                <w:sz w:val="14"/>
                <w:szCs w:val="14"/>
                <w:color w:val="auto"/>
                <w:vertAlign w:val="superscript"/>
              </w:rPr>
              <w:t>(1)</w:t>
            </w:r>
          </w:p>
        </w:tc>
        <w:tc>
          <w:tcPr>
            <w:tcW w:w="2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14,662</w:t>
            </w: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6,809</w:t>
            </w:r>
          </w:p>
        </w:tc>
        <w:tc>
          <w:tcPr>
            <w:tcW w:w="1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2,586</w:t>
            </w:r>
          </w:p>
        </w:tc>
        <w:tc>
          <w:tcPr>
            <w:tcW w:w="1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3,131</w:t>
            </w:r>
          </w:p>
        </w:tc>
        <w:tc>
          <w:tcPr>
            <w:tcW w:w="2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3,349</w:t>
            </w: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2,974</w:t>
            </w:r>
          </w:p>
        </w:tc>
        <w:tc>
          <w:tcPr>
            <w:tcW w:w="1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1,491</w:t>
            </w: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2,074</w:t>
            </w:r>
          </w:p>
        </w:tc>
        <w:tc>
          <w:tcPr>
            <w:tcW w:w="2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3,077</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3,870</w:t>
            </w:r>
          </w:p>
        </w:tc>
      </w:tr>
      <w:tr>
        <w:trPr>
          <w:trHeight w:val="143"/>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operating expenses</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18,296</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11,679</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7,943</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9,310</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8,760</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10,078</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18,338</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12,812</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10,541</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19,871</w:t>
            </w:r>
          </w:p>
        </w:tc>
      </w:tr>
      <w:tr>
        <w:trPr>
          <w:trHeight w:val="158"/>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from operations</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(7,759)</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360</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4,569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4,077</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5,274</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1,091</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(5,087)</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4,392</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11,542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7,499</w:t>
            </w:r>
          </w:p>
        </w:tc>
      </w:tr>
      <w:tr>
        <w:trPr>
          <w:trHeight w:val="116"/>
        </w:trPr>
        <w:tc>
          <w:tcPr>
            <w:tcW w:w="1500" w:type="dxa"/>
            <w:vAlign w:val="bottom"/>
          </w:tcPr>
          <w:p>
            <w:pPr>
              <w:ind w:left="20"/>
              <w:spacing w:after="0" w:line="116" w:lineRule="exact"/>
              <w:rPr>
                <w:sz w:val="20"/>
                <w:szCs w:val="20"/>
                <w:color w:val="auto"/>
              </w:rPr>
            </w:pPr>
            <w:r>
              <w:rPr>
                <w:rFonts w:ascii="Arial" w:cs="Arial" w:eastAsia="Arial" w:hAnsi="Arial"/>
                <w:sz w:val="11"/>
                <w:szCs w:val="11"/>
                <w:color w:val="auto"/>
              </w:rPr>
              <w:t>Interest and other expenses,</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4"/>
        </w:trPr>
        <w:tc>
          <w:tcPr>
            <w:tcW w:w="150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net</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(618)</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(652)</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(674)</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(813)</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(764)</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(750)</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(646)</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(558)</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(737)</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(769)</w:t>
            </w:r>
          </w:p>
        </w:tc>
      </w:tr>
      <w:tr>
        <w:trPr>
          <w:trHeight w:val="104"/>
        </w:trPr>
        <w:tc>
          <w:tcPr>
            <w:tcW w:w="150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rPr>
              <w:t>(Loss) income before income</w:t>
            </w: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52"/>
        </w:trPr>
        <w:tc>
          <w:tcPr>
            <w:tcW w:w="15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taxes</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(8,377)</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(292)</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3,895</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3,264</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4,510</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341</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(5,733)</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3,834</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10,805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6,730</w:t>
            </w:r>
          </w:p>
        </w:tc>
      </w:tr>
      <w:tr>
        <w:trPr>
          <w:trHeight w:val="116"/>
        </w:trPr>
        <w:tc>
          <w:tcPr>
            <w:tcW w:w="1500" w:type="dxa"/>
            <w:vAlign w:val="bottom"/>
          </w:tcPr>
          <w:p>
            <w:pPr>
              <w:ind w:left="20"/>
              <w:spacing w:after="0" w:line="116" w:lineRule="exact"/>
              <w:rPr>
                <w:sz w:val="20"/>
                <w:szCs w:val="20"/>
                <w:color w:val="auto"/>
              </w:rPr>
            </w:pPr>
            <w:r>
              <w:rPr>
                <w:rFonts w:ascii="Arial" w:cs="Arial" w:eastAsia="Arial" w:hAnsi="Arial"/>
                <w:sz w:val="11"/>
                <w:szCs w:val="11"/>
                <w:color w:val="auto"/>
              </w:rPr>
              <w:t>Benefit (provision) for income</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4"/>
        </w:trPr>
        <w:tc>
          <w:tcPr>
            <w:tcW w:w="150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taxes</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2,795</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(1,224)</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(141)</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(1,205)</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(2,092)</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(2,762)</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w:t>
            </w:r>
          </w:p>
        </w:tc>
      </w:tr>
      <w:tr>
        <w:trPr>
          <w:trHeight w:val="183"/>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(8,402)</w:t>
            </w:r>
          </w:p>
        </w:tc>
        <w:tc>
          <w:tcPr>
            <w:tcW w:w="2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3,874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6,059</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3,286</w:t>
            </w:r>
          </w:p>
        </w:tc>
        <w:tc>
          <w:tcPr>
            <w:tcW w:w="2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(6,938)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1,742</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8,043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6,631</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83" w:hanging="283"/>
        <w:spacing w:after="0"/>
        <w:tabs>
          <w:tab w:leader="none" w:pos="283"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47" w:lineRule="exact"/>
        <w:rPr>
          <w:sz w:val="20"/>
          <w:szCs w:val="20"/>
          <w:color w:val="auto"/>
        </w:rPr>
      </w:pPr>
    </w:p>
    <w:tbl>
      <w:tblPr>
        <w:tblLayout w:type="fixed"/>
        <w:tblInd w:w="283" w:type="dxa"/>
        <w:tblCellMar>
          <w:top w:w="0" w:type="dxa"/>
          <w:left w:w="0" w:type="dxa"/>
          <w:bottom w:w="0" w:type="dxa"/>
          <w:right w:w="0" w:type="dxa"/>
        </w:tblCellMar>
      </w:tblPr>
      <w:tr>
        <w:trPr>
          <w:trHeight w:val="153"/>
        </w:trPr>
        <w:tc>
          <w:tcPr>
            <w:tcW w:w="90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4"/>
          </w:tcPr>
          <w:p>
            <w:pPr>
              <w:jc w:val="center"/>
              <w:ind w:left="327"/>
              <w:spacing w:after="0"/>
              <w:rPr>
                <w:sz w:val="20"/>
                <w:szCs w:val="20"/>
                <w:color w:val="auto"/>
              </w:rPr>
            </w:pPr>
            <w:r>
              <w:rPr>
                <w:rFonts w:ascii="Arial" w:cs="Arial" w:eastAsia="Arial" w:hAnsi="Arial"/>
                <w:sz w:val="9"/>
                <w:szCs w:val="9"/>
                <w:b w:val="1"/>
                <w:bCs w:val="1"/>
                <w:color w:val="auto"/>
                <w:w w:val="97"/>
              </w:rPr>
              <w:t>Three months ended</w:t>
            </w:r>
          </w:p>
        </w:tc>
        <w:tc>
          <w:tcPr>
            <w:tcW w:w="2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920" w:type="dxa"/>
            <w:vAlign w:val="bottom"/>
            <w:gridSpan w:val="3"/>
          </w:tcPr>
          <w:p>
            <w:pPr>
              <w:ind w:left="360"/>
              <w:spacing w:after="0" w:line="95" w:lineRule="exact"/>
              <w:rPr>
                <w:sz w:val="20"/>
                <w:szCs w:val="20"/>
                <w:color w:val="auto"/>
              </w:rPr>
            </w:pPr>
            <w:r>
              <w:rPr>
                <w:rFonts w:ascii="Arial" w:cs="Arial" w:eastAsia="Arial" w:hAnsi="Arial"/>
                <w:sz w:val="9"/>
                <w:szCs w:val="9"/>
                <w:b w:val="1"/>
                <w:bCs w:val="1"/>
                <w:color w:val="auto"/>
              </w:rPr>
              <w:t>March 31,</w:t>
            </w:r>
          </w:p>
        </w:tc>
        <w:tc>
          <w:tcPr>
            <w:tcW w:w="1000" w:type="dxa"/>
            <w:vAlign w:val="bottom"/>
            <w:gridSpan w:val="3"/>
            <w:vMerge w:val="restart"/>
          </w:tcPr>
          <w:p>
            <w:pPr>
              <w:ind w:left="320"/>
              <w:spacing w:after="0"/>
              <w:rPr>
                <w:sz w:val="20"/>
                <w:szCs w:val="20"/>
                <w:color w:val="auto"/>
              </w:rPr>
            </w:pPr>
            <w:r>
              <w:rPr>
                <w:rFonts w:ascii="Arial" w:cs="Arial" w:eastAsia="Arial" w:hAnsi="Arial"/>
                <w:sz w:val="9"/>
                <w:szCs w:val="9"/>
                <w:b w:val="1"/>
                <w:bCs w:val="1"/>
                <w:color w:val="auto"/>
              </w:rPr>
              <w:t>June 30, 2019</w:t>
            </w:r>
          </w:p>
        </w:tc>
        <w:tc>
          <w:tcPr>
            <w:tcW w:w="380" w:type="dxa"/>
            <w:vAlign w:val="bottom"/>
          </w:tcPr>
          <w:p>
            <w:pPr>
              <w:spacing w:after="0"/>
              <w:rPr>
                <w:sz w:val="8"/>
                <w:szCs w:val="8"/>
                <w:color w:val="auto"/>
              </w:rPr>
            </w:pPr>
          </w:p>
        </w:tc>
        <w:tc>
          <w:tcPr>
            <w:tcW w:w="62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September</w:t>
            </w:r>
          </w:p>
        </w:tc>
        <w:tc>
          <w:tcPr>
            <w:tcW w:w="1080" w:type="dxa"/>
            <w:vAlign w:val="bottom"/>
            <w:gridSpan w:val="3"/>
          </w:tcPr>
          <w:p>
            <w:pPr>
              <w:ind w:left="360"/>
              <w:spacing w:after="0" w:line="95" w:lineRule="exact"/>
              <w:rPr>
                <w:sz w:val="20"/>
                <w:szCs w:val="20"/>
                <w:color w:val="auto"/>
              </w:rPr>
            </w:pPr>
            <w:r>
              <w:rPr>
                <w:rFonts w:ascii="Arial" w:cs="Arial" w:eastAsia="Arial" w:hAnsi="Arial"/>
                <w:sz w:val="9"/>
                <w:szCs w:val="9"/>
                <w:b w:val="1"/>
                <w:bCs w:val="1"/>
                <w:color w:val="auto"/>
              </w:rPr>
              <w:t>December 31,</w:t>
            </w:r>
          </w:p>
        </w:tc>
        <w:tc>
          <w:tcPr>
            <w:tcW w:w="400" w:type="dxa"/>
            <w:vAlign w:val="bottom"/>
          </w:tcPr>
          <w:p>
            <w:pPr>
              <w:spacing w:after="0"/>
              <w:rPr>
                <w:sz w:val="8"/>
                <w:szCs w:val="8"/>
                <w:color w:val="auto"/>
              </w:rPr>
            </w:pPr>
          </w:p>
        </w:tc>
        <w:tc>
          <w:tcPr>
            <w:tcW w:w="500" w:type="dxa"/>
            <w:vAlign w:val="bottom"/>
          </w:tcPr>
          <w:p>
            <w:pPr>
              <w:jc w:val="right"/>
              <w:ind w:right="27"/>
              <w:spacing w:after="0" w:line="95" w:lineRule="exact"/>
              <w:rPr>
                <w:sz w:val="20"/>
                <w:szCs w:val="20"/>
                <w:color w:val="auto"/>
              </w:rPr>
            </w:pPr>
            <w:r>
              <w:rPr>
                <w:rFonts w:ascii="Arial" w:cs="Arial" w:eastAsia="Arial" w:hAnsi="Arial"/>
                <w:sz w:val="9"/>
                <w:szCs w:val="9"/>
                <w:b w:val="1"/>
                <w:bCs w:val="1"/>
                <w:color w:val="auto"/>
                <w:w w:val="96"/>
              </w:rPr>
              <w:t>March 31,</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3"/>
            <w:vMerge w:val="restart"/>
          </w:tcPr>
          <w:p>
            <w:pPr>
              <w:ind w:left="320"/>
              <w:spacing w:after="0"/>
              <w:rPr>
                <w:sz w:val="20"/>
                <w:szCs w:val="20"/>
                <w:color w:val="auto"/>
              </w:rPr>
            </w:pPr>
            <w:r>
              <w:rPr>
                <w:rFonts w:ascii="Arial" w:cs="Arial" w:eastAsia="Arial" w:hAnsi="Arial"/>
                <w:sz w:val="9"/>
                <w:szCs w:val="9"/>
                <w:b w:val="1"/>
                <w:bCs w:val="1"/>
                <w:color w:val="auto"/>
              </w:rPr>
              <w:t>June 30, 2020</w:t>
            </w:r>
          </w:p>
        </w:tc>
        <w:tc>
          <w:tcPr>
            <w:tcW w:w="380" w:type="dxa"/>
            <w:vAlign w:val="bottom"/>
          </w:tcPr>
          <w:p>
            <w:pPr>
              <w:spacing w:after="0"/>
              <w:rPr>
                <w:sz w:val="8"/>
                <w:szCs w:val="8"/>
                <w:color w:val="auto"/>
              </w:rPr>
            </w:pPr>
          </w:p>
        </w:tc>
        <w:tc>
          <w:tcPr>
            <w:tcW w:w="78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September 30,</w:t>
            </w:r>
          </w:p>
        </w:tc>
        <w:tc>
          <w:tcPr>
            <w:tcW w:w="1080" w:type="dxa"/>
            <w:vAlign w:val="bottom"/>
            <w:gridSpan w:val="3"/>
          </w:tcPr>
          <w:p>
            <w:pPr>
              <w:ind w:left="360"/>
              <w:spacing w:after="0" w:line="95" w:lineRule="exact"/>
              <w:rPr>
                <w:sz w:val="20"/>
                <w:szCs w:val="20"/>
                <w:color w:val="auto"/>
              </w:rPr>
            </w:pPr>
            <w:r>
              <w:rPr>
                <w:rFonts w:ascii="Arial" w:cs="Arial" w:eastAsia="Arial" w:hAnsi="Arial"/>
                <w:sz w:val="9"/>
                <w:szCs w:val="9"/>
                <w:b w:val="1"/>
                <w:bCs w:val="1"/>
                <w:color w:val="auto"/>
              </w:rPr>
              <w:t>December 31,</w:t>
            </w:r>
          </w:p>
        </w:tc>
        <w:tc>
          <w:tcPr>
            <w:tcW w:w="400" w:type="dxa"/>
            <w:vAlign w:val="bottom"/>
          </w:tcPr>
          <w:p>
            <w:pPr>
              <w:spacing w:after="0"/>
              <w:rPr>
                <w:sz w:val="8"/>
                <w:szCs w:val="8"/>
                <w:color w:val="auto"/>
              </w:rPr>
            </w:pPr>
          </w:p>
        </w:tc>
        <w:tc>
          <w:tcPr>
            <w:tcW w:w="60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March 31,</w:t>
            </w:r>
          </w:p>
        </w:tc>
        <w:tc>
          <w:tcPr>
            <w:tcW w:w="920" w:type="dxa"/>
            <w:vAlign w:val="bottom"/>
            <w:gridSpan w:val="2"/>
            <w:vMerge w:val="restart"/>
          </w:tcPr>
          <w:p>
            <w:pPr>
              <w:ind w:left="320"/>
              <w:spacing w:after="0"/>
              <w:rPr>
                <w:sz w:val="20"/>
                <w:szCs w:val="20"/>
                <w:color w:val="auto"/>
              </w:rPr>
            </w:pPr>
            <w:r>
              <w:rPr>
                <w:rFonts w:ascii="Arial" w:cs="Arial" w:eastAsia="Arial" w:hAnsi="Arial"/>
                <w:sz w:val="9"/>
                <w:szCs w:val="9"/>
                <w:b w:val="1"/>
                <w:bCs w:val="1"/>
                <w:color w:val="auto"/>
                <w:w w:val="98"/>
              </w:rPr>
              <w:t>June 30, 2021</w:t>
            </w:r>
          </w:p>
        </w:tc>
        <w:tc>
          <w:tcPr>
            <w:tcW w:w="0" w:type="dxa"/>
            <w:vAlign w:val="bottom"/>
          </w:tcPr>
          <w:p>
            <w:pPr>
              <w:spacing w:after="0"/>
              <w:rPr>
                <w:sz w:val="1"/>
                <w:szCs w:val="1"/>
                <w:color w:val="auto"/>
              </w:rPr>
            </w:pPr>
          </w:p>
        </w:tc>
      </w:tr>
      <w:tr>
        <w:trPr>
          <w:trHeight w:val="119"/>
        </w:trPr>
        <w:tc>
          <w:tcPr>
            <w:tcW w:w="900" w:type="dxa"/>
            <w:vAlign w:val="bottom"/>
          </w:tcPr>
          <w:p>
            <w:pPr>
              <w:spacing w:after="0"/>
              <w:rPr>
                <w:sz w:val="10"/>
                <w:szCs w:val="10"/>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9"/>
                <w:szCs w:val="9"/>
                <w:b w:val="1"/>
                <w:bCs w:val="1"/>
                <w:color w:val="auto"/>
              </w:rPr>
              <w:t>2019</w:t>
            </w: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9"/>
                <w:szCs w:val="9"/>
                <w:b w:val="1"/>
                <w:bCs w:val="1"/>
                <w:color w:val="auto"/>
              </w:rPr>
              <w:t>30, 2019</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65"/>
              <w:spacing w:after="0"/>
              <w:rPr>
                <w:sz w:val="20"/>
                <w:szCs w:val="20"/>
                <w:color w:val="auto"/>
              </w:rPr>
            </w:pPr>
            <w:r>
              <w:rPr>
                <w:rFonts w:ascii="Arial" w:cs="Arial" w:eastAsia="Arial" w:hAnsi="Arial"/>
                <w:sz w:val="9"/>
                <w:szCs w:val="9"/>
                <w:b w:val="1"/>
                <w:bCs w:val="1"/>
                <w:color w:val="auto"/>
                <w:w w:val="89"/>
              </w:rPr>
              <w:t>2019</w:t>
            </w: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9"/>
                <w:szCs w:val="9"/>
                <w:b w:val="1"/>
                <w:bCs w:val="1"/>
                <w:color w:val="auto"/>
              </w:rPr>
              <w:t>2020</w:t>
            </w: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87"/>
              <w:spacing w:after="0"/>
              <w:rPr>
                <w:sz w:val="20"/>
                <w:szCs w:val="20"/>
                <w:color w:val="auto"/>
              </w:rPr>
            </w:pPr>
            <w:r>
              <w:rPr>
                <w:rFonts w:ascii="Arial" w:cs="Arial" w:eastAsia="Arial" w:hAnsi="Arial"/>
                <w:sz w:val="9"/>
                <w:szCs w:val="9"/>
                <w:b w:val="1"/>
                <w:bCs w:val="1"/>
                <w:color w:val="auto"/>
              </w:rPr>
              <w:t>2020</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65"/>
              <w:spacing w:after="0"/>
              <w:rPr>
                <w:sz w:val="20"/>
                <w:szCs w:val="20"/>
                <w:color w:val="auto"/>
              </w:rPr>
            </w:pPr>
            <w:r>
              <w:rPr>
                <w:rFonts w:ascii="Arial" w:cs="Arial" w:eastAsia="Arial" w:hAnsi="Arial"/>
                <w:sz w:val="9"/>
                <w:szCs w:val="9"/>
                <w:b w:val="1"/>
                <w:bCs w:val="1"/>
                <w:color w:val="auto"/>
                <w:w w:val="99"/>
              </w:rPr>
              <w:t>2020</w:t>
            </w: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305"/>
              <w:spacing w:after="0"/>
              <w:rPr>
                <w:sz w:val="20"/>
                <w:szCs w:val="20"/>
                <w:color w:val="auto"/>
              </w:rPr>
            </w:pPr>
            <w:r>
              <w:rPr>
                <w:rFonts w:ascii="Arial" w:cs="Arial" w:eastAsia="Arial" w:hAnsi="Arial"/>
                <w:sz w:val="9"/>
                <w:szCs w:val="9"/>
                <w:b w:val="1"/>
                <w:bCs w:val="1"/>
                <w:color w:val="auto"/>
              </w:rPr>
              <w:t>2021</w:t>
            </w: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3"/>
          </w:tcPr>
          <w:p>
            <w:pPr>
              <w:jc w:val="center"/>
              <w:ind w:right="75"/>
              <w:spacing w:after="0"/>
              <w:rPr>
                <w:sz w:val="20"/>
                <w:szCs w:val="20"/>
                <w:color w:val="auto"/>
              </w:rPr>
            </w:pPr>
            <w:r>
              <w:rPr>
                <w:rFonts w:ascii="Arial" w:cs="Arial" w:eastAsia="Arial" w:hAnsi="Arial"/>
                <w:sz w:val="9"/>
                <w:szCs w:val="9"/>
                <w:b w:val="1"/>
                <w:bCs w:val="1"/>
                <w:color w:val="auto"/>
                <w:w w:val="99"/>
              </w:rPr>
              <w:t>(in thousands)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Cost of</w:t>
            </w: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 net</w:t>
            </w:r>
          </w:p>
        </w:tc>
        <w:tc>
          <w:tcPr>
            <w:tcW w:w="600" w:type="dxa"/>
            <w:vAlign w:val="bottom"/>
            <w:shd w:val="clear" w:color="auto" w:fill="CCEEFF"/>
          </w:tcPr>
          <w:p>
            <w:pPr>
              <w:jc w:val="right"/>
              <w:ind w:right="169"/>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513</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7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157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992</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16"/>
        </w:trPr>
        <w:tc>
          <w:tcPr>
            <w:tcW w:w="900" w:type="dxa"/>
            <w:vAlign w:val="bottom"/>
          </w:tcPr>
          <w:p>
            <w:pPr>
              <w:ind w:left="20"/>
              <w:spacing w:after="0" w:line="116" w:lineRule="exact"/>
              <w:rPr>
                <w:sz w:val="20"/>
                <w:szCs w:val="20"/>
                <w:color w:val="auto"/>
              </w:rPr>
            </w:pPr>
            <w:r>
              <w:rPr>
                <w:rFonts w:ascii="Arial" w:cs="Arial" w:eastAsia="Arial" w:hAnsi="Arial"/>
                <w:sz w:val="11"/>
                <w:szCs w:val="11"/>
                <w:color w:val="auto"/>
              </w:rPr>
              <w:t>Research and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00" w:type="dxa"/>
            <w:vAlign w:val="bottom"/>
          </w:tcPr>
          <w:p>
            <w:pPr>
              <w:ind w:left="180"/>
              <w:spacing w:after="0"/>
              <w:rPr>
                <w:sz w:val="20"/>
                <w:szCs w:val="20"/>
                <w:color w:val="auto"/>
              </w:rPr>
            </w:pPr>
            <w:r>
              <w:rPr>
                <w:rFonts w:ascii="Arial" w:cs="Arial" w:eastAsia="Arial" w:hAnsi="Arial"/>
                <w:sz w:val="11"/>
                <w:szCs w:val="11"/>
                <w:color w:val="auto"/>
              </w:rPr>
              <w:t>development</w:t>
            </w:r>
          </w:p>
        </w:tc>
        <w:tc>
          <w:tcPr>
            <w:tcW w:w="600" w:type="dxa"/>
            <w:vAlign w:val="bottom"/>
          </w:tcPr>
          <w:p>
            <w:pPr>
              <w:spacing w:after="0"/>
              <w:rPr>
                <w:sz w:val="12"/>
                <w:szCs w:val="12"/>
                <w:color w:val="auto"/>
              </w:rPr>
            </w:pPr>
          </w:p>
        </w:tc>
        <w:tc>
          <w:tcPr>
            <w:tcW w:w="260" w:type="dxa"/>
            <w:vAlign w:val="bottom"/>
          </w:tcPr>
          <w:p>
            <w:pPr>
              <w:jc w:val="right"/>
              <w:ind w:right="3"/>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78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540</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w w:val="97"/>
              </w:rPr>
              <w:t>143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1,062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1,167</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24"/>
        </w:trPr>
        <w:tc>
          <w:tcPr>
            <w:tcW w:w="9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General and</w:t>
            </w: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administrative</w:t>
            </w: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968</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238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9,689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2,443</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w:t>
            </w:r>
          </w:p>
        </w:tc>
        <w:tc>
          <w:tcPr>
            <w:tcW w:w="0" w:type="dxa"/>
            <w:vAlign w:val="bottom"/>
          </w:tcPr>
          <w:p>
            <w:pPr>
              <w:spacing w:after="0"/>
              <w:rPr>
                <w:sz w:val="1"/>
                <w:szCs w:val="1"/>
                <w:color w:val="auto"/>
              </w:rPr>
            </w:pPr>
          </w:p>
        </w:tc>
      </w:tr>
      <w:tr>
        <w:trPr>
          <w:trHeight w:val="116"/>
        </w:trPr>
        <w:tc>
          <w:tcPr>
            <w:tcW w:w="900" w:type="dxa"/>
            <w:vAlign w:val="bottom"/>
          </w:tcPr>
          <w:p>
            <w:pPr>
              <w:ind w:left="20"/>
              <w:spacing w:after="0" w:line="116" w:lineRule="exact"/>
              <w:rPr>
                <w:sz w:val="20"/>
                <w:szCs w:val="20"/>
                <w:color w:val="auto"/>
              </w:rPr>
            </w:pPr>
            <w:r>
              <w:rPr>
                <w:rFonts w:ascii="Arial" w:cs="Arial" w:eastAsia="Arial" w:hAnsi="Arial"/>
                <w:sz w:val="11"/>
                <w:szCs w:val="11"/>
                <w:color w:val="auto"/>
              </w:rPr>
              <w:t>Sales and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marketing</w:t>
            </w: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234</w:t>
            </w: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284</w:t>
            </w: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04"/>
        </w:trPr>
        <w:tc>
          <w:tcPr>
            <w:tcW w:w="90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rPr>
              <w:t>Total stock-</w:t>
            </w: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00" w:type="dxa"/>
            <w:vAlign w:val="bottom"/>
            <w:shd w:val="clear" w:color="auto" w:fill="CCEEFF"/>
          </w:tcPr>
          <w:p>
            <w:pPr>
              <w:ind w:left="180"/>
              <w:spacing w:after="0" w:line="110" w:lineRule="exact"/>
              <w:rPr>
                <w:sz w:val="20"/>
                <w:szCs w:val="20"/>
                <w:color w:val="auto"/>
              </w:rPr>
            </w:pPr>
            <w:r>
              <w:rPr>
                <w:rFonts w:ascii="Arial" w:cs="Arial" w:eastAsia="Arial" w:hAnsi="Arial"/>
                <w:sz w:val="11"/>
                <w:szCs w:val="11"/>
                <w:color w:val="auto"/>
              </w:rPr>
              <w:t>based</w:t>
            </w: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00" w:type="dxa"/>
            <w:vAlign w:val="bottom"/>
            <w:shd w:val="clear" w:color="auto" w:fill="CCEEFF"/>
          </w:tcPr>
          <w:p>
            <w:pPr>
              <w:ind w:left="180"/>
              <w:spacing w:after="0" w:line="110" w:lineRule="exact"/>
              <w:rPr>
                <w:sz w:val="20"/>
                <w:szCs w:val="20"/>
                <w:color w:val="auto"/>
              </w:rPr>
            </w:pPr>
            <w:r>
              <w:rPr>
                <w:rFonts w:ascii="Arial" w:cs="Arial" w:eastAsia="Arial" w:hAnsi="Arial"/>
                <w:sz w:val="11"/>
                <w:szCs w:val="11"/>
                <w:color w:val="auto"/>
              </w:rPr>
              <w:t>compensation</w:t>
            </w:r>
          </w:p>
        </w:tc>
        <w:tc>
          <w:tcPr>
            <w:tcW w:w="600" w:type="dxa"/>
            <w:vAlign w:val="bottom"/>
            <w:vMerge w:val="restart"/>
            <w:shd w:val="clear" w:color="auto" w:fill="CCEEFF"/>
          </w:tcPr>
          <w:p>
            <w:pPr>
              <w:jc w:val="right"/>
              <w:ind w:right="169"/>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73</w:t>
            </w:r>
          </w:p>
        </w:tc>
        <w:tc>
          <w:tcPr>
            <w:tcW w:w="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551</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608</w:t>
            </w: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2,255</w:t>
            </w:r>
          </w:p>
        </w:tc>
        <w:tc>
          <w:tcPr>
            <w:tcW w:w="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598</w:t>
            </w:r>
          </w:p>
        </w:tc>
        <w:tc>
          <w:tcPr>
            <w:tcW w:w="780" w:type="dxa"/>
            <w:vAlign w:val="bottom"/>
            <w:gridSpan w:val="3"/>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588</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11,765</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4,886</w:t>
            </w:r>
          </w:p>
        </w:tc>
        <w:tc>
          <w:tcPr>
            <w:tcW w:w="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710</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888</w:t>
            </w:r>
          </w:p>
        </w:tc>
        <w:tc>
          <w:tcPr>
            <w:tcW w:w="0" w:type="dxa"/>
            <w:vAlign w:val="bottom"/>
          </w:tcPr>
          <w:p>
            <w:pPr>
              <w:spacing w:after="0"/>
              <w:rPr>
                <w:sz w:val="1"/>
                <w:szCs w:val="1"/>
                <w:color w:val="auto"/>
              </w:rPr>
            </w:pPr>
          </w:p>
        </w:tc>
      </w:tr>
      <w:tr>
        <w:trPr>
          <w:trHeight w:val="147"/>
        </w:trPr>
        <w:tc>
          <w:tcPr>
            <w:tcW w:w="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expense</w:t>
            </w:r>
          </w:p>
        </w:tc>
        <w:tc>
          <w:tcPr>
            <w:tcW w:w="60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780" w:type="dxa"/>
            <w:vAlign w:val="bottom"/>
            <w:gridSpan w:val="3"/>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Quarterly revenue trends</w:t>
      </w:r>
    </w:p>
    <w:p>
      <w:pPr>
        <w:spacing w:after="0" w:line="165" w:lineRule="exact"/>
        <w:rPr>
          <w:sz w:val="20"/>
          <w:szCs w:val="20"/>
          <w:color w:val="auto"/>
        </w:rPr>
      </w:pPr>
    </w:p>
    <w:p>
      <w:pPr>
        <w:ind w:left="3" w:right="220"/>
        <w:spacing w:after="0" w:line="261" w:lineRule="auto"/>
        <w:rPr>
          <w:sz w:val="20"/>
          <w:szCs w:val="20"/>
          <w:color w:val="auto"/>
        </w:rPr>
      </w:pPr>
      <w:r>
        <w:rPr>
          <w:rFonts w:ascii="Arial" w:cs="Arial" w:eastAsia="Arial" w:hAnsi="Arial"/>
          <w:sz w:val="16"/>
          <w:szCs w:val="16"/>
          <w:color w:val="auto"/>
        </w:rPr>
        <w:t>Our revenue in each of the quarters presented predominantly increased consecutively over periods presented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7"/>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43"/>
          </w:cols>
          <w:pgMar w:left="317" w:top="1425" w:right="239" w:bottom="1440" w:gutter="0" w:footer="0" w:header="0"/>
        </w:sectPr>
      </w:pPr>
    </w:p>
    <w:bookmarkStart w:id="110" w:name="page111"/>
    <w:bookmarkEnd w:id="110"/>
    <w:p>
      <w:pPr>
        <w:spacing w:after="0" w:line="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Expensify Card in connection with our expense management platform for 50% or more of their approved expenses. All new customers beginning on May 1, 2020, were subject to this pricing change. Our revenue was adversely affected by the COVID-19 pandemic in the quarter ended June 30, 2020, particularly due to the decrease in business travel, which is a significant use case for our platform, but this adverse impact was mitigated by the prevalence of our annual contracts and minimum user requirements in those contracts.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cost of revenue, net trends</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cost of revenue, net increased throughout all quarters in 2019 as a result of increased demand for our product and increased support costs associated with that demand. In 2020, this spend was offset by a decrease in receipts scanned by members due to lower travel and business spending during the COVID-19 pandemic, resulting in cost of revenue, net remaining relatively flat over the quarters presented through June 2020. The third and fourth quarters of 2020 increased at a higher rate due to stock-based compensation costs related to a secondary market sale of employee shares facilitated by us. In 2021, cost of revenue, net remained relatively flat as we continued to refocus employee’s time to developing new products and services while relying on increased outsourcing activities to maintain the platform. Starting with the fourth quarter of 2019, our cost of revenue, net has been partially offset by increasing consideration received from a vendor for monetization of transactions from the Expensify Card.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operating expenses trends</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research and development expenses predominantly increased in each of the quarters presented primarily due to an increased effort to develop new and updated features, products and services that are central to our core business strategy and increasing our personnel-related costs to meet this focused investment into research and development.</w:t>
      </w:r>
    </w:p>
    <w:p>
      <w:pPr>
        <w:spacing w:after="0" w:line="11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general and administrative expenses predominantly increased consecutively over all periods due to the overall growth of our business and higher professional service costs for accounting, auditing and legal services related to our annual financial statement audits. This also includes increases in personnel-related costs, including stock-based compensation expense, for existing and new employees offset by a decrease in travel and event spend due to the COVID-19 pandemic. The third and fourth quarters of 2020 increased at a higher rate due to stock-based compensation costs related to a secondary market sale of employee shares facilitated by us.</w:t>
      </w:r>
    </w:p>
    <w:p>
      <w:pPr>
        <w:spacing w:after="0" w:line="12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sales and marketing expenses in the first two quarters of 2019 reflect an increase in costs associated with our Super Bowl campaign. The first quarter of 2020 reflects an increase in expenses associated with product advertising campaigns, however starting in the second quarter of 2020, we aggressively reduced our advertising and other sales and marketing expenses due to the impact of the COVID-19 pandemic. In 2021, quarters presented reflect an increase in expenses associated with advertising campaigns targeted towards brand awareness.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interest and other expenses, net trends</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other income (expense), net increased throughout all quarters in 2019 as a result of an increase in interest expense related to our line of credit, term loans and amortizing mortgage. In 2020, this expense was partially offset primarily due to favorable impact from foreign exchange rates, which stabilized by the six months ended June 30, 2021.</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2"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helps illustrate underlying trends in our business that could otherwise be masked by the effect of the income or expenses that are not indicative of the core operating performance of our business.</w:t>
      </w:r>
    </w:p>
    <w:p>
      <w:pPr>
        <w:spacing w:after="0" w:line="106"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6"/>
          </w:tcPr>
          <w:p>
            <w:pPr>
              <w:ind w:left="90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4"/>
          </w:tcPr>
          <w:p>
            <w:pPr>
              <w:jc w:val="right"/>
              <w:ind w:right="784"/>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5"/>
          </w:tcPr>
          <w:p>
            <w:pPr>
              <w:ind w:left="260"/>
              <w:spacing w:after="0"/>
              <w:rPr>
                <w:sz w:val="20"/>
                <w:szCs w:val="20"/>
                <w:color w:val="auto"/>
              </w:rPr>
            </w:pPr>
            <w:r>
              <w:rPr>
                <w:rFonts w:ascii="Arial" w:cs="Arial" w:eastAsia="Arial" w:hAnsi="Arial"/>
                <w:sz w:val="13"/>
                <w:szCs w:val="13"/>
                <w:b w:val="1"/>
                <w:bCs w:val="1"/>
                <w:color w:val="auto"/>
              </w:rPr>
              <w:t>(in thousands, except percentages)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0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9"/>
              </w:rPr>
              <w:t>7,579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6"/>
                <w:szCs w:val="16"/>
                <w:color w:val="auto"/>
              </w:rPr>
              <w:t>26,755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9,160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22,933</w:t>
            </w:r>
          </w:p>
        </w:tc>
      </w:tr>
      <w:tr>
        <w:trPr>
          <w:trHeight w:val="200"/>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Limitations and reconciliations of non-GAAP financial measures</w:t>
      </w:r>
    </w:p>
    <w:p>
      <w:pPr>
        <w:spacing w:after="0" w:line="153"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 -GAAP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21" w:lineRule="exact"/>
        <w:rPr>
          <w:sz w:val="20"/>
          <w:szCs w:val="20"/>
          <w:color w:val="auto"/>
        </w:rPr>
      </w:pPr>
    </w:p>
    <w:p>
      <w:pPr>
        <w:ind w:left="3" w:right="1740"/>
        <w:spacing w:after="0" w:line="437" w:lineRule="auto"/>
        <w:rPr>
          <w:sz w:val="20"/>
          <w:szCs w:val="20"/>
          <w:color w:val="auto"/>
        </w:rPr>
      </w:pPr>
      <w:r>
        <w:rPr>
          <w:rFonts w:ascii="Arial" w:cs="Arial" w:eastAsia="Arial" w:hAnsi="Arial"/>
          <w:sz w:val="16"/>
          <w:szCs w:val="16"/>
          <w:color w:val="auto"/>
        </w:rPr>
        <w:t xml:space="preserve">The following table reconciles the most directly comparable GAAP financial measure to each of these non-GAAP financial measures. </w:t>
      </w:r>
      <w:r>
        <w:rPr>
          <w:rFonts w:ascii="Arial" w:cs="Arial" w:eastAsia="Arial" w:hAnsi="Arial"/>
          <w:sz w:val="16"/>
          <w:szCs w:val="16"/>
          <w:i w:val="1"/>
          <w:iCs w:val="1"/>
          <w:color w:val="auto"/>
        </w:rPr>
        <w:t>Adjusted EBITDA and adjusted EBITDA margin</w:t>
      </w:r>
    </w:p>
    <w:tbl>
      <w:tblPr>
        <w:tblLayout w:type="fixed"/>
        <w:tblInd w:w="3" w:type="dxa"/>
        <w:tblCellMar>
          <w:top w:w="0" w:type="dxa"/>
          <w:left w:w="0" w:type="dxa"/>
          <w:bottom w:w="0" w:type="dxa"/>
          <w:right w:w="0" w:type="dxa"/>
        </w:tblCellMar>
      </w:tblPr>
      <w:tr>
        <w:trPr>
          <w:trHeight w:val="175"/>
        </w:trPr>
        <w:tc>
          <w:tcPr>
            <w:tcW w:w="44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gridSpan w:val="4"/>
          </w:tcPr>
          <w:p>
            <w:pPr>
              <w:jc w:val="right"/>
              <w:ind w:right="781"/>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4"/>
          </w:tcPr>
          <w:p>
            <w:pPr>
              <w:jc w:val="right"/>
              <w:ind w:right="502"/>
              <w:spacing w:after="0"/>
              <w:rPr>
                <w:sz w:val="20"/>
                <w:szCs w:val="20"/>
                <w:color w:val="auto"/>
              </w:rPr>
            </w:pPr>
            <w:r>
              <w:rPr>
                <w:rFonts w:ascii="Arial" w:cs="Arial" w:eastAsia="Arial" w:hAnsi="Arial"/>
                <w:sz w:val="13"/>
                <w:szCs w:val="13"/>
                <w:b w:val="1"/>
                <w:bCs w:val="1"/>
                <w:color w:val="auto"/>
              </w:rPr>
              <w:t>(in thousands, except percentages)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3,486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14,674</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Pr>
          <w:p>
            <w:pPr>
              <w:spacing w:after="0"/>
              <w:rPr>
                <w:sz w:val="17"/>
                <w:szCs w:val="17"/>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(2,751)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1,365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2,861</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1,506</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7"/>
                <w:szCs w:val="17"/>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2,294</w:t>
            </w:r>
          </w:p>
        </w:tc>
      </w:tr>
      <w:tr>
        <w:trPr>
          <w:trHeight w:val="207"/>
        </w:trPr>
        <w:tc>
          <w:tcPr>
            <w:tcW w:w="440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17,837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1,598</w:t>
            </w:r>
          </w:p>
        </w:tc>
      </w:tr>
      <w:tr>
        <w:trPr>
          <w:trHeight w:val="199"/>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7,579</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26,755</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9,160</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22,933</w:t>
            </w:r>
          </w:p>
        </w:tc>
      </w:tr>
      <w:tr>
        <w:trPr>
          <w:trHeight w:val="225"/>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83" w:right="120" w:hanging="283"/>
        <w:spacing w:after="0" w:line="261" w:lineRule="auto"/>
        <w:tabs>
          <w:tab w:leader="none" w:pos="273" w:val="left"/>
        </w:tabs>
        <w:numPr>
          <w:ilvl w:val="0"/>
          <w:numId w:val="62"/>
        </w:numPr>
        <w:rPr>
          <w:rFonts w:ascii="Arial" w:cs="Arial" w:eastAsia="Arial" w:hAnsi="Arial"/>
          <w:sz w:val="12"/>
          <w:szCs w:val="12"/>
          <w:color w:val="auto"/>
        </w:rPr>
      </w:pPr>
      <w:r>
        <w:rPr>
          <w:rFonts w:ascii="Arial" w:cs="Arial" w:eastAsia="Arial" w:hAnsi="Arial"/>
          <w:sz w:val="12"/>
          <w:szCs w:val="12"/>
          <w:color w:val="auto"/>
        </w:rPr>
        <w:t>For the year ended December 31, 2019, we recorded stock based compensation of $3,487 thousand in the consolidated statement of income. Of this amount, $1,706 thousand was recorded through additional paid in capital and $1,781 thousand was not recorded within additional paid in capital as it represents the excess of the repurchase price over the fair value of shares repurchased. Please refer to Note 9 - Stock-based compensation in our notes to the consolidated financial statements for further detail.</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Liquidity and capital resources</w:t>
      </w:r>
    </w:p>
    <w:p>
      <w:pPr>
        <w:spacing w:after="0" w:line="164" w:lineRule="exact"/>
        <w:rPr>
          <w:sz w:val="20"/>
          <w:szCs w:val="20"/>
          <w:color w:val="auto"/>
        </w:rPr>
      </w:pPr>
    </w:p>
    <w:p>
      <w:pPr>
        <w:ind w:left="3" w:right="300"/>
        <w:spacing w:after="0" w:line="261" w:lineRule="auto"/>
        <w:rPr>
          <w:sz w:val="20"/>
          <w:szCs w:val="20"/>
          <w:color w:val="auto"/>
        </w:rPr>
      </w:pPr>
      <w:r>
        <w:rPr>
          <w:rFonts w:ascii="Arial" w:cs="Arial" w:eastAsia="Arial" w:hAnsi="Arial"/>
          <w:sz w:val="16"/>
          <w:szCs w:val="16"/>
          <w:color w:val="auto"/>
        </w:rPr>
        <w:t>As of June 30, 2021, we had $45.4 million in cash and cash equivalents. Since our inception, we have financed our operations primarily through our cash flow from operations, sales of our equity securities and borrowings under our credit facilities. As of June 30, 2021, we had $46.6 million in outstanding indebtedness.</w:t>
      </w:r>
    </w:p>
    <w:p>
      <w:pPr>
        <w:spacing w:after="0" w:line="118" w:lineRule="exact"/>
        <w:rPr>
          <w:sz w:val="20"/>
          <w:szCs w:val="20"/>
          <w:color w:val="auto"/>
        </w:rPr>
      </w:pPr>
    </w:p>
    <w:p>
      <w:pPr>
        <w:ind w:left="3" w:right="80"/>
        <w:spacing w:after="0" w:line="268" w:lineRule="auto"/>
        <w:rPr>
          <w:sz w:val="20"/>
          <w:szCs w:val="20"/>
          <w:color w:val="auto"/>
        </w:rPr>
      </w:pPr>
      <w:r>
        <w:rPr>
          <w:rFonts w:ascii="Arial" w:cs="Arial" w:eastAsia="Arial" w:hAnsi="Arial"/>
          <w:sz w:val="16"/>
          <w:szCs w:val="16"/>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63"/>
          </w:cols>
          <w:pgMar w:left="317" w:top="1440" w:right="319" w:bottom="1440" w:gutter="0" w:footer="0" w:header="0"/>
        </w:sectPr>
      </w:pPr>
    </w:p>
    <w:bookmarkStart w:id="112" w:name="page113"/>
    <w:bookmarkEnd w:id="112"/>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continued operations, growth strategy and the additional expenses we expect to incur as a public company for at least the next 12 months.</w:t>
      </w:r>
    </w:p>
    <w:p>
      <w:pPr>
        <w:spacing w:after="0" w:line="13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may from time to time seek to raise additional capital to support our growth. Any equity financing we may undertake could be dilutive to existing stockholders, and any additional debt financing we may undertake could require debt service and contain restrictive covenants relating to our capital raising activities and other financial and operational matters, which could adversely affect our business. We cannot assure that we would be able to obtain future financing on acceptable terms or at all.</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bonuses</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As described in the subsection titled "Critical accounting policies and estimates—Cash bonuses,” we determined that we would pay a cash bonus to each of our employees in a value that approximates the cost of each employee exercising 45% of their total stock options, limited by the total stock options outstanding and held by each existing employee as of June 15, 2021, including the tax withholding applicable to each employee. We included both vested and unvested stock options outstanding and held by each existing employee as of June 15, 2021 by each employee in determining the cash bonus paid. No employee is obligated to use the cash bonus to exercise their outstanding stock options.</w:t>
      </w:r>
    </w:p>
    <w:p>
      <w:pPr>
        <w:spacing w:after="0" w:line="11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Through the financial statement issuance date on September 24, 2021, we have paid $9,491,691 of these cash bonuses to employees. During the fourth quarter of the year ended December 31, 2021, we intend to use a portion of the net proceeds we receive from this offering to pay the remaining discretionary cash bonuses to our employees, the total of which we currently estimate to range from $30.8 million to $35.5 million.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ind w:right="722"/>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operating activities</w:t>
            </w:r>
          </w:p>
        </w:tc>
        <w:tc>
          <w:tcPr>
            <w:tcW w:w="960" w:type="dxa"/>
            <w:vAlign w:val="bottom"/>
            <w:shd w:val="clear" w:color="auto" w:fill="CCEEFF"/>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7,585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24,213</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cash used by investing activities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(4,904)</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(4,295)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5,136</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8,787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150"/>
        </w:trPr>
        <w:tc>
          <w:tcPr>
            <w:tcW w:w="4700" w:type="dxa"/>
            <w:vAlign w:val="bottom"/>
          </w:tcPr>
          <w:p>
            <w:pPr>
              <w:ind w:left="20"/>
              <w:spacing w:after="0" w:line="150" w:lineRule="exact"/>
              <w:rPr>
                <w:sz w:val="20"/>
                <w:szCs w:val="20"/>
                <w:color w:val="auto"/>
              </w:rPr>
            </w:pPr>
            <w:r>
              <w:rPr>
                <w:rFonts w:ascii="Arial" w:cs="Arial" w:eastAsia="Arial" w:hAnsi="Arial"/>
                <w:sz w:val="16"/>
                <w:szCs w:val="16"/>
                <w:color w:val="auto"/>
              </w:rPr>
              <w:t>Net increase (decrease) in cash, cash equivalents and restricted</w:t>
            </w:r>
          </w:p>
        </w:tc>
        <w:tc>
          <w:tcPr>
            <w:tcW w:w="960" w:type="dxa"/>
            <w:vAlign w:val="bottom"/>
            <w:vMerge w:val="restart"/>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12,662</w:t>
            </w:r>
          </w:p>
        </w:tc>
        <w:tc>
          <w:tcPr>
            <w:tcW w:w="100" w:type="dxa"/>
            <w:vAlign w:val="bottom"/>
          </w:tcPr>
          <w:p>
            <w:pPr>
              <w:spacing w:after="0"/>
              <w:rPr>
                <w:sz w:val="13"/>
                <w:szCs w:val="13"/>
                <w:color w:val="auto"/>
              </w:rPr>
            </w:pPr>
          </w:p>
        </w:tc>
        <w:tc>
          <w:tcPr>
            <w:tcW w:w="960" w:type="dxa"/>
            <w:vAlign w:val="bottom"/>
            <w:vMerge w:val="restart"/>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ind w:right="2"/>
              <w:spacing w:after="0"/>
              <w:rPr>
                <w:sz w:val="20"/>
                <w:szCs w:val="20"/>
                <w:color w:val="auto"/>
              </w:rPr>
            </w:pPr>
            <w:r>
              <w:rPr>
                <w:rFonts w:ascii="Arial" w:cs="Arial" w:eastAsia="Arial" w:hAnsi="Arial"/>
                <w:sz w:val="16"/>
                <w:szCs w:val="16"/>
                <w:color w:val="auto"/>
              </w:rPr>
              <w:t>12,077</w:t>
            </w:r>
          </w:p>
        </w:tc>
        <w:tc>
          <w:tcPr>
            <w:tcW w:w="100" w:type="dxa"/>
            <w:vAlign w:val="bottom"/>
          </w:tcPr>
          <w:p>
            <w:pPr>
              <w:spacing w:after="0"/>
              <w:rPr>
                <w:sz w:val="13"/>
                <w:szCs w:val="13"/>
                <w:color w:val="auto"/>
              </w:rPr>
            </w:pPr>
          </w:p>
        </w:tc>
        <w:tc>
          <w:tcPr>
            <w:tcW w:w="52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(4,008)</w:t>
            </w:r>
          </w:p>
        </w:tc>
        <w:tc>
          <w:tcPr>
            <w:tcW w:w="100" w:type="dxa"/>
            <w:vAlign w:val="bottom"/>
          </w:tcPr>
          <w:p>
            <w:pPr>
              <w:spacing w:after="0"/>
              <w:rPr>
                <w:sz w:val="13"/>
                <w:szCs w:val="13"/>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16,932</w:t>
            </w:r>
          </w:p>
        </w:tc>
        <w:tc>
          <w:tcPr>
            <w:tcW w:w="0" w:type="dxa"/>
            <w:vAlign w:val="bottom"/>
          </w:tcPr>
          <w:p>
            <w:pPr>
              <w:spacing w:after="0"/>
              <w:rPr>
                <w:sz w:val="1"/>
                <w:szCs w:val="1"/>
                <w:color w:val="auto"/>
              </w:rPr>
            </w:pPr>
          </w:p>
        </w:tc>
      </w:tr>
      <w:tr>
        <w:trPr>
          <w:trHeight w:val="176"/>
        </w:trPr>
        <w:tc>
          <w:tcPr>
            <w:tcW w:w="4700" w:type="dxa"/>
            <w:vAlign w:val="bottom"/>
          </w:tcPr>
          <w:p>
            <w:pPr>
              <w:ind w:left="160"/>
              <w:spacing w:after="0" w:line="171" w:lineRule="exact"/>
              <w:rPr>
                <w:sz w:val="20"/>
                <w:szCs w:val="20"/>
                <w:color w:val="auto"/>
              </w:rPr>
            </w:pPr>
            <w:r>
              <w:rPr>
                <w:rFonts w:ascii="Arial" w:cs="Arial" w:eastAsia="Arial" w:hAnsi="Arial"/>
                <w:sz w:val="16"/>
                <w:szCs w:val="16"/>
                <w:color w:val="auto"/>
              </w:rPr>
              <w:t>cash</w:t>
            </w:r>
          </w:p>
        </w:tc>
        <w:tc>
          <w:tcPr>
            <w:tcW w:w="9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(used) by operating activities</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During the six months ended June 30, 2021, cash provided by operating activities was $ 24.2 million, which consisted of net income of $ 14.7 million adjusted by non-cash charges of $4.4 million and net cash inflows from the change in assets and liabilities of $5.0 million. The non-cash charges primarily consisted of stock-based compensation expense of $1.6 million and depreciation and amortization expense of $2.3 million, which increased from the six months ended June 30, 2020 primarily due to increased property and equipment and capitalized software additions. The net cash inflows from the change in our assets and liabilities were driven by a $7.1 million increase in settlement liabilities primarily due to increased expense reimbursement activity resulting in increased revenue and a $6.8 million increase in accrued expenses and other liabilities primarily resulting from expenses related to increases in payroll and income tax liabilities partially offset by a $3.5 million increase in accounts receivable and a $3.0 million increase in settlement assets, which both resulted from our increased revenue as well as a $1.5 million increase in prepaid expenses primarily from increased spending on sales and marketing as the business ramps up for future advertising with expected increased demand for business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60"/>
          </w:cols>
          <w:pgMar w:left="320" w:top="1440" w:right="319" w:bottom="1440" w:gutter="0" w:footer="0" w:header="0"/>
        </w:sectPr>
      </w:pPr>
    </w:p>
    <w:bookmarkStart w:id="113" w:name="page114"/>
    <w:bookmarkEnd w:id="113"/>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During 2020, cash provided by operating activities was $7.6 million, which consisted of net loss of $1.7 million adjusted by non-cash charges of $25.9 million and net cash outflows from the change in assets and liabilities of $16.6 million. The non-cash charges primarily consisted of stock-based compensation expense of $17.8 million and depreciation and amortization expense of $3.2 million. The net cash outflows from the change in our assets and liabilities were driven by a $16.5 million decrease in settlement liabilities from a decrease in expense reimbursements due to COVID, $2.2 million increase in accounts receivable resulting from our increased revenue, a $1.4 million increase in other current assets primarily due to increased collateral accounts related to increased use of our Expensify Card and a $0.7 million decrease in accounts payable due primarily to timing of payments to our vendors, partially offset by a $1.8 million increase in accrued expenses and other liabilities primarily resulting from expenses related to our planned initial public offering.</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During the six months ended June 30, 2020, cash used in operating activities was $10.2 million, which consisted of net income of $3.5 million adjusted by non-cash charges of $5.0 million and net cash outflows from the change in assets and liabilities of $18.7 million. The non-cash charges primarily consisted of stock-based compensation expense of $1.2 million, $ 1.0 million for reduction of operating lease right-of-use assets due to the termination of an office lease, $1.2 million related to our deferred tax asset in result of state net operating loss and tax credit carryforwards, and depreciation and amortization expense of $1.6 million related to property and equipment, capitalized software and finance lease right-of-use assets. The net cash outflows from the change in our assets and liabilities were driven by a $20.4 million decrease in settlement liabilities from a decrease in expense reimbursements due to the COVID-19 pandemic and a $ 1.4 million decrease in accounts payable primarily due to timing of payments to our vendors, partially offset by a $3.5 million decrease in settlement assets due to decreased use of our Expensify Card during the period.</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During 2019, cash provided by operating activities was $12.4 million, which consisted of net income of $1.2 million adjusted by non-cash charges of $3.0 million and net cash inflows from the change in assets and liabilities of $8.2 million. The non-cash charges primarily consisted of depreciation and amortization expense of $2.8 million and stock-based compensation expense of $1.7 million, partially offset by a $2.9 million benefit related to our deferred tax assets in connection with the full release of our valuation allowance in 2019. The net cash inflows from the change in our assets and liabilities were primarily due to a $ 5.5 million increase in settlement liabilities from an increase in expense reimbursement activity, $3.6 million decrease in prepaid expenses primarily resulting from prepayments in 2018 for our 2019 Super Bowl advertising campaign, partially offset by a $2.0 million increase in accounts receivable driven primarily by our increased revenue.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153"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During the six months ended June 30, 2021, cash used in investing activities was $3.3 million, primarily consisting of the purchase of property and equipment related to the build-out of our offices in Portland and San Francisco of $1.9 million and software development costs of $1.4 million.</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During 2020, cash used in investing activities was $4.3 million, primarily consisting of the purchase of property and equipment related to the build-out of our offices in Portland and San Francisco of $2.5 million and software development costs of $1.8 million.</w:t>
      </w:r>
    </w:p>
    <w:p>
      <w:pPr>
        <w:spacing w:after="0" w:line="113"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During the six months ended June 30, 2020, cash used in investing activities was $2.3 million, primarily consisting of the purchase of property and equipment related to the build-out of our offices in Portland and San Francisco of $1.6 million and software development costs of 0.7 million.</w:t>
      </w:r>
    </w:p>
    <w:p>
      <w:pPr>
        <w:spacing w:after="0" w:line="101"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During 2019, cash used in investing activities was $4.9 million, primarily consisting of the purchase of property and equipment related to our Portland office of $3.2 million and software development costs of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40"/>
          </w:cols>
          <w:pgMar w:left="320" w:top="1440"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Cash provided (used) by financing activities</w:t>
      </w:r>
    </w:p>
    <w:p>
      <w:pPr>
        <w:spacing w:after="0" w:line="153"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During the six months ended June 30, 2021, cash used by financing activities was $4.0 million, which included $ 1.2 million principal payments on our amortizing term loan obligation, $0.4 million principal payments on our finance lease obligations and $3.3 million in payments related to deferred offering costs, partially offset by $1.0 million of proceeds from the exercise of stock options.</w:t>
      </w:r>
    </w:p>
    <w:p>
      <w:pPr>
        <w:spacing w:after="0" w:line="11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During 2020, cash provided by financing activities was $8.8 million, which included $9.6 million of borrowings under our line of credit and $1.3 million of proceeds from the exercise of stock options, partially offset by a $1.0 million principal payment on our line of credit and $0.8 million of principal payments on our finance lease obligations.</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During the six months ended June 30, 2020, cash provided by financing activities was $ 8.4 million, which included $9.6 million of borrowings under our line of credit partially offset by a $1.0 million principal payment on our line of credit and $0.4 million of principal payments on our finance lease obligations.</w:t>
      </w:r>
    </w:p>
    <w:p>
      <w:pPr>
        <w:spacing w:after="0" w:line="101"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During 2019, cash provided by financing activities was $5.1 million, which included $5.5 million of borrowings under our line of credit and $0.5 million of proceeds from the exercise of stock options, partially offset by $0.8 million of principal payments on our finance lease obligations.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facilities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Amortizing term mortgage</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2019, we purchased a commercial building in Portland, Oregon. In connection with the purchase, we entered into a credit agreement with CIBC that provides for a $8.25 million amortizing term mortgage. The agreement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 million and $8.1 million, respectively. As of June 30, 2021, the outstanding balance of the amortizing term mortgage was $8.0 million.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 and security agreement</w:t>
      </w:r>
    </w:p>
    <w:p>
      <w:pPr>
        <w:spacing w:after="0" w:line="165"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Our loan and security agreement with CIBC, as amended and restated in September 2021, includes a $75.0 million term loan and a $25.0 million revolving line of credit. The loan and security agreement was originally entered into in May 2018, and the term loan and revolving line of credit mature in September 2026 and September 2024, respectively.</w:t>
      </w:r>
    </w:p>
    <w:p>
      <w:pPr>
        <w:spacing w:after="0" w:line="10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November 2018, we entered into a first amendment to the loan and security agreement to add a $15.0 million revolving line of credit and a $14.0 million amortizing term loan to the existing $11.0 million non-amortizing term loan. The revolving line of credit provided borrowings of the lesser of $15.0 million or 300% of monthly recurring revenue. Borrowings under the revolving line of credit bear interest at the bank’s reference rate plus 1.00% (5.75% and 4.25% as of December 31, 2019 and 2020, respectively) and were secured by substantially all of our assets. As of December 31, 2019 and 2020, we had drawn $6.4 million and $15.0 million, respectively, under the revolving line of credit. The revolving line of credit originally expired in October 2022. As of June 30, 2021, we had drawn $15.0 million under the revolving line of credit. As of December 31, 2020 and June 30, 2021, we had no capacity available for borrowings under our line of credit.</w:t>
      </w:r>
    </w:p>
    <w:p>
      <w:pPr>
        <w:spacing w:after="0" w:line="124"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$11.0 million non-amortizing term loan was an interest-only loan (fixed at 9.5% per year) for 60 months that became due and payable at the end of the note term in November 2023. The borrowings were secured by substantially all our assets. As of December 31, 2019, December 31 2020 and June 30, 2021, the outstanding balance of the non-amortizing term loan was $11.0 million.</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The $ 14.0 million amortizing term loan required interest-only payments on the outstanding borrowings through November 1, 2020. Beginning in November 2020, the amount outstanding at such time became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200"/>
          </w:cols>
          <w:pgMar w:left="320" w:top="1422" w:right="379" w:bottom="1440" w:gutter="0" w:footer="0" w:header="0"/>
        </w:sectPr>
      </w:pPr>
    </w:p>
    <w:bookmarkStart w:id="115" w:name="page116"/>
    <w:bookmarkEnd w:id="115"/>
    <w:p>
      <w:pPr>
        <w:spacing w:after="0" w:line="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payable over a 36-month period with principal and accrued interest payments due each month thereafter. The amounts borrowed are payable with interest at the bank’s reference rate plus 2.25% (7.0% and 5.5% at December 31, 2019 and 2020, respectively) beginning in November 2020 through 2023. The borrowings were secured by substantially all our assets. As of December 31, 2019 and 2020, the outstanding balance of the amortizing term loan was $14.0 million and $13.8 million, respectively. As of June 30, 2021, the outstanding balance of the amortizing term loan was $12.7 million.</w:t>
      </w:r>
    </w:p>
    <w:p>
      <w:pPr>
        <w:spacing w:after="0" w:line="110"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August 2019, we entered into a second amendment to the loan and security agreement to exclude a default under our amortizing term mortgage from the existing cross default event of default.</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December 2019, we entered into a third amendment to the loan and security agreement to waive restrictions related to a stock repurchase program and to modify certain definitions and terms that were not significant.</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In September 2020, we entered into a fourth amendment to the loan and security agreement to exclude certain subsidiaries as guarantors and to modify certain definitions and terms and waive existing events of default related to certain new 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2021, we amended and restated the loan and security agreement to refinance the existing term loans, establish a single term loan of up to</w:t>
      </w:r>
    </w:p>
    <w:p>
      <w:pPr>
        <w:spacing w:after="0" w:line="1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$75.0 million, consisting of a $45.0 initial term loan with an option at a later date to enter into an additional $ 30.0 million delayed term loan, and increase the revolving line of credit to $25.0 million. A portion of the loan proceeds from the initial term loan were used to repay our remaining balances under the amortizing and non-amortizing term loans at the time of the amendment and restatement.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covenants</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We are subject to customary covenants under our loan and security agreement,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for the first year, a total annual recurring revenue leverage ratio not to exceed 0.8 to 1.0, tested on the last day of each fiscal quarter, and maintaining liquidity at times not less than $10.0 million, in each case as defined in the loan and security agreement; and thereafter, a total EBITDA net leverage ratio,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1.100, tested on the last day of each calendar quarter.</w:t>
      </w:r>
    </w:p>
    <w:p>
      <w:pPr>
        <w:spacing w:after="0" w:line="116" w:lineRule="exact"/>
        <w:rPr>
          <w:sz w:val="20"/>
          <w:szCs w:val="20"/>
          <w:color w:val="auto"/>
        </w:rPr>
      </w:pPr>
    </w:p>
    <w:p>
      <w:pPr>
        <w:ind w:right="440"/>
        <w:spacing w:after="0" w:line="268" w:lineRule="auto"/>
        <w:rPr>
          <w:sz w:val="20"/>
          <w:szCs w:val="20"/>
          <w:color w:val="auto"/>
        </w:rPr>
      </w:pPr>
      <w:r>
        <w:rPr>
          <w:rFonts w:ascii="Arial" w:cs="Arial" w:eastAsia="Arial" w:hAnsi="Arial"/>
          <w:sz w:val="16"/>
          <w:szCs w:val="16"/>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were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40"/>
          </w:cols>
          <w:pgMar w:left="320" w:top="1440" w:right="339" w:bottom="1440" w:gutter="0" w:footer="0" w:header="0"/>
        </w:sectPr>
      </w:pPr>
    </w:p>
    <w:bookmarkStart w:id="116" w:name="page117"/>
    <w:bookmarkEnd w:id="116"/>
    <w:p>
      <w:pPr>
        <w:spacing w:after="0"/>
        <w:rPr>
          <w:sz w:val="20"/>
          <w:szCs w:val="20"/>
          <w:color w:val="auto"/>
        </w:rPr>
      </w:pPr>
      <w:r>
        <w:rPr>
          <w:rFonts w:ascii="Arial" w:cs="Arial" w:eastAsia="Arial" w:hAnsi="Arial"/>
          <w:sz w:val="19"/>
          <w:szCs w:val="19"/>
          <w:b w:val="1"/>
          <w:bCs w:val="1"/>
          <w:color w:val="auto"/>
        </w:rPr>
        <w:t>Contractual obligations and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contractual obligations and commitments as of December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3020" w:type="dxa"/>
            <w:vAlign w:val="bottom"/>
            <w:tcBorders>
              <w:top w:val="single" w:sz="8" w:color="auto"/>
              <w:bottom w:val="single" w:sz="8" w:color="auto"/>
            </w:tcBorders>
            <w:gridSpan w:val="5"/>
          </w:tcPr>
          <w:p>
            <w:pPr>
              <w:jc w:val="center"/>
              <w:ind w:right="400"/>
              <w:spacing w:after="0"/>
              <w:rPr>
                <w:sz w:val="20"/>
                <w:szCs w:val="20"/>
                <w:color w:val="auto"/>
              </w:rPr>
            </w:pPr>
            <w:r>
              <w:rPr>
                <w:rFonts w:ascii="Arial" w:cs="Arial" w:eastAsia="Arial" w:hAnsi="Arial"/>
                <w:sz w:val="13"/>
                <w:szCs w:val="13"/>
                <w:b w:val="1"/>
                <w:bCs w:val="1"/>
                <w:color w:val="auto"/>
                <w:w w:val="99"/>
              </w:rPr>
              <w:t>Payments due by period</w:t>
            </w: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r>
      <w:tr>
        <w:trPr>
          <w:trHeight w:val="163"/>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3"/>
                <w:szCs w:val="13"/>
                <w:b w:val="1"/>
                <w:bCs w:val="1"/>
                <w:color w:val="auto"/>
              </w:rPr>
              <w:t>Less than 1 year</w:t>
            </w:r>
          </w:p>
        </w:tc>
        <w:tc>
          <w:tcPr>
            <w:tcW w:w="30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b w:val="1"/>
                <w:bCs w:val="1"/>
                <w:color w:val="auto"/>
              </w:rPr>
              <w:t>1-3 years</w:t>
            </w:r>
          </w:p>
        </w:tc>
        <w:tc>
          <w:tcPr>
            <w:tcW w:w="1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More than 3 years</w:t>
            </w:r>
          </w:p>
        </w:tc>
        <w:tc>
          <w:tcPr>
            <w:tcW w:w="380" w:type="dxa"/>
            <w:vAlign w:val="bottom"/>
          </w:tcPr>
          <w:p>
            <w:pPr>
              <w:spacing w:after="0"/>
              <w:rPr>
                <w:sz w:val="14"/>
                <w:szCs w:val="14"/>
                <w:color w:val="auto"/>
              </w:rPr>
            </w:pPr>
          </w:p>
        </w:tc>
        <w:tc>
          <w:tcPr>
            <w:tcW w:w="1200" w:type="dxa"/>
            <w:vAlign w:val="bottom"/>
          </w:tcPr>
          <w:p>
            <w:pPr>
              <w:jc w:val="right"/>
              <w:ind w:right="562"/>
              <w:spacing w:after="0"/>
              <w:rPr>
                <w:sz w:val="20"/>
                <w:szCs w:val="20"/>
                <w:color w:val="auto"/>
              </w:rPr>
            </w:pPr>
            <w:r>
              <w:rPr>
                <w:rFonts w:ascii="Arial" w:cs="Arial" w:eastAsia="Arial" w:hAnsi="Arial"/>
                <w:sz w:val="13"/>
                <w:szCs w:val="13"/>
                <w:b w:val="1"/>
                <w:bCs w:val="1"/>
                <w:color w:val="auto"/>
              </w:rPr>
              <w:t>Total</w:t>
            </w:r>
          </w:p>
        </w:tc>
      </w:tr>
      <w:tr>
        <w:trPr>
          <w:trHeight w:val="19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payments on debt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17,465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22,755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47,891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Interest payments on debt</w:t>
            </w:r>
          </w:p>
        </w:tc>
        <w:tc>
          <w:tcPr>
            <w:tcW w:w="18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4,874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13,450</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commitments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Operating lease commitments</w:t>
            </w:r>
          </w:p>
        </w:tc>
        <w:tc>
          <w:tcPr>
            <w:tcW w:w="18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2,008</w:t>
            </w:r>
          </w:p>
        </w:tc>
      </w:tr>
      <w:tr>
        <w:trPr>
          <w:trHeight w:val="225"/>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21,847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30,049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65,457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Off-balance sheet arrangements</w:t>
      </w:r>
    </w:p>
    <w:p>
      <w:pPr>
        <w:spacing w:after="0" w:line="164" w:lineRule="exact"/>
        <w:rPr>
          <w:sz w:val="20"/>
          <w:szCs w:val="20"/>
          <w:color w:val="auto"/>
        </w:rPr>
      </w:pPr>
    </w:p>
    <w:p>
      <w:pPr>
        <w:jc w:val="both"/>
        <w:ind w:right="600"/>
        <w:spacing w:after="0" w:line="261" w:lineRule="auto"/>
        <w:rPr>
          <w:sz w:val="20"/>
          <w:szCs w:val="20"/>
          <w:color w:val="auto"/>
        </w:rPr>
      </w:pPr>
      <w:r>
        <w:rPr>
          <w:rFonts w:ascii="Arial" w:cs="Arial" w:eastAsia="Arial" w:hAnsi="Arial"/>
          <w:sz w:val="16"/>
          <w:szCs w:val="16"/>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Quantitative and qualitative disclosures about market risk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23"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If the value of the U.S. dollar weakens relative to the foreign currencies, this may have an unfavorable effect on our cash flows and operating results. We do not believe that a 10% change in the relative value of the U.S. dollar to other foreign currencies would have a material effect on our cash flows and operating results.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65" w:lineRule="exact"/>
        <w:rPr>
          <w:sz w:val="20"/>
          <w:szCs w:val="20"/>
          <w:color w:val="auto"/>
        </w:rPr>
      </w:pPr>
    </w:p>
    <w:p>
      <w:pPr>
        <w:jc w:val="both"/>
        <w:ind w:right="60"/>
        <w:spacing w:after="0" w:line="258" w:lineRule="auto"/>
        <w:rPr>
          <w:sz w:val="20"/>
          <w:szCs w:val="20"/>
          <w:color w:val="auto"/>
        </w:rPr>
      </w:pPr>
      <w:r>
        <w:rPr>
          <w:rFonts w:ascii="Arial" w:cs="Arial" w:eastAsia="Arial" w:hAnsi="Arial"/>
          <w:sz w:val="16"/>
          <w:szCs w:val="16"/>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net income and cash flows, assuming other factors held constant. Assuming the amounts outstanding under these borrowing facilities are fully drawn, a hypothetical 10% change in interest rates would not have a material impact on our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15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consolidated financial statements included elsewhere herein have been prepared in accordance with U.S. generally accepted accounting principles.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60"/>
          </w:cols>
          <w:pgMar w:left="320" w:top="1425" w:right="319" w:bottom="1440" w:gutter="0" w:footer="0" w:header="0"/>
        </w:sectPr>
      </w:pPr>
    </w:p>
    <w:bookmarkStart w:id="117" w:name="page118"/>
    <w:bookmarkEnd w:id="117"/>
    <w:p>
      <w:pPr>
        <w:spacing w:after="0" w:line="2"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different assumptions or conditions. While our significant accounting policies are more fully described in the notes to our consolidated financial statements included elsewhere herein, we believe that the following accounting policies and estimates are critical to our business operations and understanding of our financial results. See Note 2 to our consolidated financial statements contained elsewhere herein for a description of our other significant accounting policies.</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Employee and employee-related expenses</w:t>
      </w:r>
    </w:p>
    <w:p>
      <w:pPr>
        <w:spacing w:after="0" w:line="165" w:lineRule="exact"/>
        <w:rPr>
          <w:sz w:val="20"/>
          <w:szCs w:val="20"/>
          <w:color w:val="auto"/>
        </w:rPr>
      </w:pPr>
    </w:p>
    <w:p>
      <w:pPr>
        <w:ind w:left="3" w:right="260"/>
        <w:spacing w:after="0" w:line="257" w:lineRule="auto"/>
        <w:rPr>
          <w:sz w:val="20"/>
          <w:szCs w:val="20"/>
          <w:color w:val="auto"/>
        </w:rPr>
      </w:pPr>
      <w:r>
        <w:rPr>
          <w:rFonts w:ascii="Arial" w:cs="Arial" w:eastAsia="Arial" w:hAnsi="Arial"/>
          <w:sz w:val="16"/>
          <w:szCs w:val="16"/>
          <w:color w:val="auto"/>
        </w:rPr>
        <w:t>Allocating our employee and employee-related expenses, which consist of contractor costs, employee salary and wages, stock-based compensation and travel and other employee-related costs, to their appropriate financial statement line items on the consolidated statements of income, requires us to make estimates and judgments as a result of our generalist model and organizational structure. We base our estimates for allocating employee and employee related expenses on our internal time tracking tools. Management reviews the estimates each reporting period to evaluate the estimate of the allocated amounts to each expense financial statement line item in the consolidated financial statements.</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Revenue recognition</w:t>
      </w:r>
    </w:p>
    <w:p>
      <w:pPr>
        <w:spacing w:after="0" w:line="153" w:lineRule="exact"/>
        <w:rPr>
          <w:sz w:val="20"/>
          <w:szCs w:val="20"/>
          <w:color w:val="auto"/>
        </w:rPr>
      </w:pPr>
    </w:p>
    <w:p>
      <w:pPr>
        <w:jc w:val="both"/>
        <w:ind w:left="3" w:right="120"/>
        <w:spacing w:after="0" w:line="261" w:lineRule="auto"/>
        <w:rPr>
          <w:sz w:val="20"/>
          <w:szCs w:val="20"/>
          <w:color w:val="auto"/>
        </w:rPr>
      </w:pPr>
      <w:r>
        <w:rPr>
          <w:rFonts w:ascii="Arial" w:cs="Arial" w:eastAsia="Arial" w:hAnsi="Arial"/>
          <w:sz w:val="16"/>
          <w:szCs w:val="16"/>
          <w:color w:val="auto"/>
        </w:rPr>
        <w:t xml:space="preserve">We generate revenue from subscription fees paid by our customers to access and use our hosted software services, as well as standard customer support. We adopted Accounting Standard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 of January 1, 2019, utilizing the full retrospective method of transition.</w:t>
      </w:r>
    </w:p>
    <w:p>
      <w:pPr>
        <w:spacing w:after="0" w:line="118" w:lineRule="exact"/>
        <w:rPr>
          <w:sz w:val="20"/>
          <w:szCs w:val="20"/>
          <w:color w:val="auto"/>
        </w:rPr>
      </w:pPr>
    </w:p>
    <w:p>
      <w:pPr>
        <w:ind w:left="3" w:right="60"/>
        <w:spacing w:after="0" w:line="268" w:lineRule="auto"/>
        <w:rPr>
          <w:sz w:val="20"/>
          <w:szCs w:val="20"/>
          <w:color w:val="auto"/>
        </w:rPr>
      </w:pPr>
      <w:r>
        <w:rPr>
          <w:rFonts w:ascii="Arial" w:cs="Arial" w:eastAsia="Arial" w:hAnsi="Arial"/>
          <w:sz w:val="16"/>
          <w:szCs w:val="16"/>
          <w:color w:val="auto"/>
        </w:rPr>
        <w:t>We recognize revenue when control of the promised goods or services is transferred to customers, in an amount that reflects the consideration we expect to be entitled to in exchange for those goods or services.</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Under Topic 606, we determine the amount of revenue to be recognized through the following five-step framework:</w:t>
      </w:r>
    </w:p>
    <w:p>
      <w:pPr>
        <w:spacing w:after="0" w:line="133" w:lineRule="exact"/>
        <w:rPr>
          <w:sz w:val="20"/>
          <w:szCs w:val="20"/>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145" w:lineRule="exact"/>
        <w:rPr>
          <w:sz w:val="20"/>
          <w:szCs w:val="20"/>
          <w:color w:val="auto"/>
        </w:rPr>
      </w:pPr>
    </w:p>
    <w:p>
      <w:pPr>
        <w:ind w:left="3" w:right="140"/>
        <w:spacing w:after="0" w:line="257" w:lineRule="auto"/>
        <w:rPr>
          <w:sz w:val="20"/>
          <w:szCs w:val="20"/>
          <w:color w:val="auto"/>
        </w:rPr>
      </w:pPr>
      <w:r>
        <w:rPr>
          <w:rFonts w:ascii="Arial" w:cs="Arial" w:eastAsia="Arial" w:hAnsi="Arial"/>
          <w:sz w:val="16"/>
          <w:szCs w:val="16"/>
          <w:color w:val="auto"/>
        </w:rPr>
        <w:t>Our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we updated our terms of service, which resulted in annual contracts becoming noncancelable and a pricing change, which led to an increase in the per member price for paid members.</w:t>
      </w:r>
    </w:p>
    <w:p>
      <w:pPr>
        <w:spacing w:after="0" w:line="111" w:lineRule="exact"/>
        <w:rPr>
          <w:sz w:val="20"/>
          <w:szCs w:val="20"/>
          <w:color w:val="auto"/>
        </w:rPr>
      </w:pPr>
    </w:p>
    <w:p>
      <w:pPr>
        <w:ind w:left="3" w:right="60"/>
        <w:spacing w:after="0" w:line="257" w:lineRule="auto"/>
        <w:rPr>
          <w:sz w:val="20"/>
          <w:szCs w:val="20"/>
          <w:color w:val="auto"/>
        </w:rPr>
      </w:pPr>
      <w:r>
        <w:rPr>
          <w:rFonts w:ascii="Arial" w:cs="Arial" w:eastAsia="Arial" w:hAnsi="Arial"/>
          <w:sz w:val="16"/>
          <w:szCs w:val="16"/>
          <w:color w:val="auto"/>
        </w:rPr>
        <w:t>We charge our customers subscription fees for access to our platform based on the number of monthly members and level of service. The contractual price per member is based on either negotiated fees or rates published on our website. Our contracts with our customers include two performance obligations: access to the hosted software service (SaaS), inclusive of all features available within the platform, and related customer support. We account for the SaaS and the support as a combined performance obligation because they have the same pattern of transfer over the same period and are therefore delivered concurrently. We satisfy our performance obligation over time each month as we provide the SaaS and support services to customers and as such generally recognize revenue monthly based on the number of monthly members and contractual rate per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43"/>
          </w:cols>
          <w:pgMar w:left="317" w:top="1440" w:right="339" w:bottom="1440" w:gutter="0" w:footer="0" w:header="0"/>
        </w:sectPr>
      </w:pPr>
    </w:p>
    <w:bookmarkStart w:id="118" w:name="page119"/>
    <w:bookmarkEnd w:id="118"/>
    <w:p>
      <w:pPr>
        <w:spacing w:after="0" w:line="2"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We account for these options when the customer exercises the option as they do not represent a material right, and we account for them as a contract modification when exercised by the customer.</w:t>
      </w:r>
    </w:p>
    <w:p>
      <w:pPr>
        <w:spacing w:after="0" w:line="106"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We recognize revenue net of applicable taxes imposed on the related transaction. We charge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us over a twelve month period, we recorded revenue for such contracts on a straight line basis over the twelve month period affected by the price increase. This resulted in contract assets that consist of unbilled receivables for revenue recognized in excess of billings. We recorded contract assets for unbilled receivables of $1.2 million within Other current assets on our consolidated balance sheet as of December 31, 2020. We recorded contract assets of $0.4 million within Other current assets on our consolidated balance sheet as of June 30, 2021. The contract asset will decrease as the price increase is applied to the amounts billed to customers, over the twelve month period. We had no contract assets as of December 31, 2019. Since our performance obligation is satisfied monthly, at any reporting period, we have no unsatisfied, or partially unsatisfied, performance obligations.</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Common stock valuations</w:t>
      </w:r>
    </w:p>
    <w:p>
      <w:pPr>
        <w:spacing w:after="0" w:line="165" w:lineRule="exact"/>
        <w:rPr>
          <w:sz w:val="20"/>
          <w:szCs w:val="20"/>
          <w:color w:val="auto"/>
        </w:rPr>
      </w:pPr>
    </w:p>
    <w:p>
      <w:pPr>
        <w:ind w:left="3" w:right="280"/>
        <w:spacing w:after="0" w:line="258" w:lineRule="auto"/>
        <w:rPr>
          <w:sz w:val="20"/>
          <w:szCs w:val="20"/>
          <w:color w:val="auto"/>
        </w:rPr>
      </w:pPr>
      <w:r>
        <w:rPr>
          <w:rFonts w:ascii="Arial" w:cs="Arial" w:eastAsia="Arial" w:hAnsi="Arial"/>
          <w:sz w:val="16"/>
          <w:szCs w:val="16"/>
          <w:color w:val="auto"/>
        </w:rPr>
        <w:t>Prior to this offering,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common stock underlying the stock options and RSUs, including:</w:t>
      </w:r>
    </w:p>
    <w:p>
      <w:pPr>
        <w:spacing w:after="0" w:line="110" w:lineRule="exact"/>
        <w:rPr>
          <w:sz w:val="20"/>
          <w:szCs w:val="20"/>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independent third-party valuations of our common stock;</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prices at which others have purchased our convertible preferred stock in arm’s-length transactions;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rights, preferences and privileges of our convertible preferred stock relative to those of our common stock;</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financial condition, results of operations and capital resources;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likelihood and timing of achieving a liquidity event, such as an initial public offering or sale of the company, given prevailing market conditions;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lack of marketability of our common stock;</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estimates of future financial performance;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valuations of comparable companies;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hiring or loss of key personnel;</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status of our development, product introduction and sales efforts;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industry information, such as market growth and volume and macro-economic events;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additional objective and subjective factors relating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43"/>
          </w:cols>
          <w:pgMar w:left="317" w:top="1440" w:right="339" w:bottom="1440" w:gutter="0" w:footer="0" w:header="0"/>
        </w:sectPr>
      </w:pPr>
    </w:p>
    <w:bookmarkStart w:id="119" w:name="page120"/>
    <w:bookmarkEnd w:id="119"/>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To determine the fair value of our common stock, we first determined our enterprise value and then allocated that enterprise value to our common stock and common stock equivalents. Our enterprise value was estimated using two generally accepted approaches: the income approach and the market approach.</w:t>
      </w:r>
    </w:p>
    <w:p>
      <w:pPr>
        <w:spacing w:after="0" w:line="10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2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For each valuation, we prepared a financial forecast to be used in the computation of the value of invested capital for both the income approach and market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spacing w:after="0" w:line="12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As an additional indicator of fair value, we provided weighting to arm’s-length transactions involving issuances of our securities near the respective valuation dates in connection with acquisitions.</w:t>
      </w:r>
    </w:p>
    <w:p>
      <w:pPr>
        <w:spacing w:after="0" w:line="101" w:lineRule="exact"/>
        <w:rPr>
          <w:sz w:val="20"/>
          <w:szCs w:val="20"/>
          <w:color w:val="auto"/>
        </w:rPr>
      </w:pPr>
    </w:p>
    <w:p>
      <w:pPr>
        <w:ind w:right="20"/>
        <w:spacing w:after="0" w:line="428" w:lineRule="auto"/>
        <w:rPr>
          <w:sz w:val="20"/>
          <w:szCs w:val="20"/>
          <w:color w:val="auto"/>
        </w:rPr>
      </w:pPr>
      <w:r>
        <w:rPr>
          <w:rFonts w:ascii="Arial" w:cs="Arial" w:eastAsia="Arial" w:hAnsi="Arial"/>
          <w:sz w:val="16"/>
          <w:szCs w:val="16"/>
          <w:color w:val="auto"/>
        </w:rPr>
        <w:t xml:space="preserve">Following our initial public offering, it will not be necessary to determine the fair value of our common stock, as our shares will be traded in the public market. </w:t>
      </w:r>
      <w:r>
        <w:rPr>
          <w:rFonts w:ascii="Arial" w:cs="Arial" w:eastAsia="Arial" w:hAnsi="Arial"/>
          <w:sz w:val="16"/>
          <w:szCs w:val="16"/>
          <w:b w:val="1"/>
          <w:bCs w:val="1"/>
          <w:color w:val="auto"/>
        </w:rPr>
        <w:t>Stock-based compensation</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account for stock-based compensation under the fair value recognition and measurement provisions of U.S. generally accepted accounting principles.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1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utilize the Black-Scholes option pricing model to determine the estimated fair value of stock-based awards. We recognize these stock-based compensation costs on a straight-line basis over the requisite service period of the award, which is generally the option vesting term of four years. We record forfeitures as they occur.</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Black-Scholes option pricing model requires management to make a number of assumptions, including the fair value and expected volatility of our underlying common stock price per share,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We also consider prices at which others have purchased our stock, and the likelihood and timing of achieving a liquidity event. When awards are granted or revalued between the dates of valuation reports, we consider the change in common stock fair value and the amount of time that lapsed between the two reports to determine whether to use the latest common stock valuation or an interpolation between two valuation dates for purposes of valuing stock-based awards. We estimate the volatility of our common stock at the date of grant based on the expected weighted-average volatility for a group of publicly traded companies in a similar industry or with similar service offerings, with a term of one year or greater. The expected life represents the period that our stock-based award is expected to be outstanding. We determine the expected life for option grants using the simplified method. The simplified method deems the expected life to be the average of the time-to-vesting and the contractual life of the stock-based awards. The risk-free interest rate is based on the U.S. Treasury yield for a term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with the expected life of the awards in effect at the time of grant. The expected dividend yield is assumed to be zero as we have not paid and do not expect to pay dividends.</w:t>
      </w:r>
    </w:p>
    <w:p>
      <w:pPr>
        <w:spacing w:after="0" w:line="101"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No income tax benefit has been recognized relating to stock-based compensation expense and no tax benefits have been realized from exercised stock options during the years ended December 31, 2019 and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bonuses</w:t>
      </w:r>
    </w:p>
    <w:p>
      <w:pPr>
        <w:spacing w:after="0" w:line="165"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In July 2021, we determined that we would pay a cash bonus to each of our employees in a value that approximates the cost of each employee exercising 45% of their total stock options issued, limited by the total stock options outstanding as of June 15, 2021, including the tax withholding applicable to each employee. We included both vested and unvested stock options outstanding and held by each existing employee as of June 15, 2021 to each employee in determining the cash bonus paid.</w:t>
      </w:r>
    </w:p>
    <w:p>
      <w:pPr>
        <w:spacing w:after="0" w:line="110"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In addition to using the exercise cost of the stock options through June 15, 2021, management relied on an estimate to determine the tax withholding that could be applicable to each employee based on if they were to exercise the stock options. In order to determine this estimate, we relied on third-party tax consultants that reviewed a number of assumptions provided by management, including the applicable taxable income to the employee as a result of the cash bonus in 2021 and the spread of the fair value of the options based on the latest independent third-party common stock valuation and the exercise price of the same options applicable to each employee. No employee is obligated to use the cash bonus to exercise their outstanding stock options.</w:t>
      </w:r>
    </w:p>
    <w:p>
      <w:pPr>
        <w:spacing w:after="0" w:line="12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Through the financial statement issuance date on September 24, 2021, we have paid $9,491,691 of these cash bonuses to employees. During the fourth quarter of the year ended December 31, 2021, we intend to use a portion of the net proceeds we receive from this offering to pay the remaining discretionary cash bonuses to our employees, the total of which we currently estimate to range from $30.8 million to $35.5 million.</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52"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See Note 2 to our consolidated financial statements included elsewhere in this prospectus for recently adopted accounting pronouncements and recently issued accounting pronouncements not yet adopted as of the date of this prospectus.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Subsequent events</w:t>
      </w:r>
    </w:p>
    <w:p>
      <w:pPr>
        <w:spacing w:after="0" w:line="164"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have evaluated subsequent events through April 28, 2021 and September 24, 2021, the date the consolidated financial statements for the years ended December 31, 2019 and 2020 were originally issued and revised (as discussed in Note 1), respectively. Additionally, we have evaluated subsequent events through September 24, 2021 for the interim consolidated financial statements as of and for the six months ended June 30, 2021. See Note 2 to our consolidated financial statements included elsewhere in this prospectus for more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Emerging growth company status</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20"/>
          </w:cols>
          <w:pgMar w:left="320" w:top="1440" w:right="359" w:bottom="1440" w:gutter="0" w:footer="0" w:header="0"/>
        </w:sectPr>
      </w:pPr>
    </w:p>
    <w:bookmarkStart w:id="121" w:name="page122"/>
    <w:bookmarkEnd w:id="121"/>
    <w:p>
      <w:pPr>
        <w:spacing w:after="0"/>
        <w:rPr>
          <w:sz w:val="20"/>
          <w:szCs w:val="20"/>
          <w:color w:val="auto"/>
        </w:rPr>
      </w:pPr>
      <w:r>
        <w:rPr>
          <w:rFonts w:ascii="Arial" w:cs="Arial" w:eastAsia="Arial" w:hAnsi="Arial"/>
          <w:sz w:val="26"/>
          <w:szCs w:val="26"/>
          <w:b w:val="1"/>
          <w:bCs w:val="1"/>
          <w:color w:val="auto"/>
        </w:rPr>
        <w:t>Letter from our founder and CEO</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next 100 years are going to be nuts.</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Global population is going to peak, and then go down—possibly forever—inverting the labor pool. The worst effects of climate change will be felt, and (with enough effort) begin to subside. Automation will wipe out millions of jobs, potentially creating a hyper-concentration of wealth that would exacerbate social tensions around the world. VR and personal VTOL travel will radically alter where we live and work. Miniaturized surveillance and data aggregation will challenge all notions of privacy, while quantum computers wipe out all modern cryptography. The Singularity will (maybe?) occur. We will become a multi-planetary civilization.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repeat, the next 100 years are going to be nuts.</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These vast climate, social, and technological changes are so daunting, it's tempting to bury our heads and pretend they will only happen to somebody else. But odds are, if you are reading these words, you are going to be alive to witness the most extreme effects of these trends—and if not, your children certainly will.</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This stark reality has weighed on me, for a long time. Our world is incredible, mysterious, diverse, and beautiful. But so fragile, and pushed to the brink. I am convinced we can get through this, and leave everything for our kids better than we found it. If enough of us help.</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Expensify is how we help.</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I've been through the startup grinder a few times, and the last time left me a modest chunk of change in my pocket, while I was living in the Tenderloin in San Francisco. And while it can be paralyzing to think about these huge, systemic problems, I wanted to do something for the homeless neighbors I saw on my street every day as I walked to my comfortable job.</w:t>
      </w:r>
    </w:p>
    <w:p>
      <w:pPr>
        <w:spacing w:after="0" w:line="118"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So I set out to build a private label electronic food stamp card I could hand out to anyone in need, that could be used once a day, up to $10 per day, only at restaurants that didn't serve alcohol—with every purchase billed back to me. I reasoned that while I couldn't solve hunger globally, it was within my power to do it on my street (but only if it was easy enough to manage; I had a day job, after all).</w:t>
      </w:r>
    </w:p>
    <w:p>
      <w:pPr>
        <w:spacing w:after="0" w:line="10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technology, as is usually the case, was the easy part: I built a decentralized ACID-safe, Paxos-based, WAN-clustered self-healing database using blockchain synchronization (before Satoshi published his first paper on Bitcoin), and prepared to drop it on to Visa's ISO 8583 private internet to print a stack of instant-issue cards I'd keep in my back pocket to hand out as needed. The hard part, as is usually the case, was getting permission from the many gatekeepers involved.</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 xml:space="preserve">When I took this idea to the banks, they were like… what? Where is the business model? What about PCI compliance, money transfer licensing, KYC, AML, and a list of TLAs as long as my arm. They were very clear: </w:t>
      </w:r>
      <w:r>
        <w:rPr>
          <w:rFonts w:ascii="Arial" w:cs="Arial" w:eastAsia="Arial" w:hAnsi="Arial"/>
          <w:sz w:val="16"/>
          <w:szCs w:val="16"/>
          <w:i w:val="1"/>
          <w:iCs w:val="1"/>
          <w:color w:val="auto"/>
        </w:rPr>
        <w:t>this is too weird, and too risky, I'm out</w:t>
      </w:r>
      <w:r>
        <w:rPr>
          <w:rFonts w:ascii="Arial" w:cs="Arial" w:eastAsia="Arial" w:hAnsi="Arial"/>
          <w:sz w:val="16"/>
          <w:szCs w:val="16"/>
          <w:color w:val="auto"/>
        </w:rPr>
        <w:t>.</w:t>
      </w:r>
    </w:p>
    <w:p>
      <w:pPr>
        <w:spacing w:after="0" w:line="113" w:lineRule="exact"/>
        <w:rPr>
          <w:sz w:val="20"/>
          <w:szCs w:val="20"/>
          <w:color w:val="auto"/>
        </w:rPr>
      </w:pPr>
    </w:p>
    <w:p>
      <w:pPr>
        <w:ind w:right="1600"/>
        <w:spacing w:after="0" w:line="420" w:lineRule="auto"/>
        <w:rPr>
          <w:sz w:val="20"/>
          <w:szCs w:val="20"/>
          <w:color w:val="auto"/>
        </w:rPr>
      </w:pPr>
      <w:r>
        <w:rPr>
          <w:rFonts w:ascii="Arial" w:cs="Arial" w:eastAsia="Arial" w:hAnsi="Arial"/>
          <w:sz w:val="16"/>
          <w:szCs w:val="16"/>
          <w:color w:val="auto"/>
        </w:rPr>
        <w:t xml:space="preserve">This led me to think, "Hm… I need to sound safe, and boring. What is the most boring application of these cards I can imagine… Aha!" </w:t>
      </w:r>
      <w:r>
        <w:rPr>
          <w:rFonts w:ascii="Arial" w:cs="Arial" w:eastAsia="Arial" w:hAnsi="Arial"/>
          <w:sz w:val="16"/>
          <w:szCs w:val="16"/>
          <w:b w:val="1"/>
          <w:bCs w:val="1"/>
          <w:color w:val="auto"/>
        </w:rPr>
        <w:t>A corporate card, as a Trojan horse for charity.</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 went back to those banks and said "Forget all that. Instead, I'm going to make a corporate card that small business owners can give to their employees, that enforces expense policy such as spend amounts and merchant authorization, at the point of purchase, but then bills every purchase back to the owner, so they keep the rewards. I call it: The Expensify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40"/>
          </w:cols>
          <w:pgMar w:left="320" w:top="1407" w:right="339" w:bottom="1440" w:gutter="0" w:footer="0" w:header="0"/>
        </w:sectPr>
      </w:pPr>
    </w:p>
    <w:bookmarkStart w:id="122" w:name="page123"/>
    <w:bookmarkEnd w:id="122"/>
    <w:p>
      <w:pPr>
        <w:spacing w:after="0" w:line="2" w:lineRule="exact"/>
        <w:rPr>
          <w:sz w:val="20"/>
          <w:szCs w:val="20"/>
          <w:color w:val="auto"/>
        </w:rPr>
      </w:pPr>
    </w:p>
    <w:p>
      <w:pPr>
        <w:ind w:left="3" w:right="20"/>
        <w:spacing w:after="0" w:line="268" w:lineRule="auto"/>
        <w:rPr>
          <w:sz w:val="20"/>
          <w:szCs w:val="20"/>
          <w:color w:val="auto"/>
        </w:rPr>
      </w:pPr>
      <w:r>
        <w:rPr>
          <w:rFonts w:ascii="Arial" w:cs="Arial" w:eastAsia="Arial" w:hAnsi="Arial"/>
          <w:sz w:val="16"/>
          <w:szCs w:val="16"/>
          <w:color w:val="auto"/>
        </w:rPr>
        <w:t>It was the same technology I needed to feed people on my street, but presented in a way that would go down easy. They all murmured that this felt safe, and boring, and they hated their expense reports too, so let's do this.</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 lot happened since then.</w:t>
      </w:r>
    </w:p>
    <w:p>
      <w:pPr>
        <w:spacing w:after="0" w:line="165"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The first Black man was elected president. Don't Ask Don't Tell was repealed. The #MeToo movement held previously unaccountable men to account. The economy tanked, then boomed. America was Made Great. Racist ideology spiked. George Floyd was murdered. Walls were built, old alliances faded, mutual distrust compounded. Wildfires choked our cities, while a virus choked our lungs. The wars droned on, then pulled out. Our capitol was directly attacked for the first time in centuries. Democracy itself came under fire.</w:t>
      </w:r>
    </w:p>
    <w:p>
      <w:pPr>
        <w:spacing w:after="0" w:line="122" w:lineRule="exact"/>
        <w:rPr>
          <w:sz w:val="20"/>
          <w:szCs w:val="20"/>
          <w:color w:val="auto"/>
        </w:rPr>
      </w:pPr>
    </w:p>
    <w:p>
      <w:pPr>
        <w:ind w:left="3" w:right="100"/>
        <w:spacing w:after="0" w:line="268" w:lineRule="auto"/>
        <w:rPr>
          <w:sz w:val="20"/>
          <w:szCs w:val="20"/>
          <w:color w:val="auto"/>
        </w:rPr>
      </w:pPr>
      <w:r>
        <w:rPr>
          <w:rFonts w:ascii="Arial" w:cs="Arial" w:eastAsia="Arial" w:hAnsi="Arial"/>
          <w:sz w:val="16"/>
          <w:szCs w:val="16"/>
          <w:color w:val="auto"/>
        </w:rPr>
        <w:t xml:space="preserve">Throughout it all, our business grew. We surfed the tidal waves of the iPhone launch, the consumerization of IT, the rise of social media, and in a shockingly short time went from a tiny joke startup ignored by incumbents, to </w:t>
      </w:r>
      <w:r>
        <w:rPr>
          <w:rFonts w:ascii="Arial" w:cs="Arial" w:eastAsia="Arial" w:hAnsi="Arial"/>
          <w:sz w:val="16"/>
          <w:szCs w:val="16"/>
          <w:i w:val="1"/>
          <w:iCs w:val="1"/>
          <w:color w:val="auto"/>
        </w:rPr>
        <w:t>being</w:t>
      </w:r>
      <w:r>
        <w:rPr>
          <w:rFonts w:ascii="Arial" w:cs="Arial" w:eastAsia="Arial" w:hAnsi="Arial"/>
          <w:sz w:val="16"/>
          <w:szCs w:val="16"/>
          <w:color w:val="auto"/>
        </w:rPr>
        <w:t xml:space="preserve"> the incumbent. But our incumbency is very different than the one we replace.</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 new kind of incumbent.</w:t>
      </w:r>
    </w:p>
    <w:p>
      <w:pPr>
        <w:spacing w:after="0" w:line="16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Our greatest innovation isn't our product, it's the company itself. People are often surprised to learn we have only 140 employees, with no dedicated managers, compensation decided by universal vote, and everyone deciding their own personal career path. We don't do it to be iconoclastic. We do it to achieve results. Fundamentally, we think shareholders are best served when we build a company that unlocks the full potential of employees by empowering them to:</w:t>
      </w:r>
    </w:p>
    <w:p>
      <w:pPr>
        <w:spacing w:after="0" w:line="102" w:lineRule="exact"/>
        <w:rPr>
          <w:sz w:val="20"/>
          <w:szCs w:val="20"/>
          <w:color w:val="auto"/>
        </w:rPr>
      </w:pPr>
    </w:p>
    <w:p>
      <w:pPr>
        <w:ind w:left="283" w:right="260" w:hanging="283"/>
        <w:spacing w:after="0" w:line="294"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Live rich. </w:t>
      </w:r>
      <w:r>
        <w:rPr>
          <w:rFonts w:ascii="Arial" w:cs="Arial" w:eastAsia="Arial" w:hAnsi="Arial"/>
          <w:sz w:val="16"/>
          <w:szCs w:val="16"/>
          <w:color w:val="auto"/>
        </w:rPr>
        <w:t>We define this as having comfortable means, and the time to enjoy them. To be excited to go to work, empowered while you are there, and</w:t>
      </w:r>
      <w:r>
        <w:rPr>
          <w:rFonts w:ascii="Arial" w:cs="Arial" w:eastAsia="Arial" w:hAnsi="Arial"/>
          <w:sz w:val="16"/>
          <w:szCs w:val="16"/>
          <w:b w:val="1"/>
          <w:bCs w:val="1"/>
          <w:color w:val="auto"/>
        </w:rPr>
        <w:t xml:space="preserve"> </w:t>
      </w:r>
      <w:r>
        <w:rPr>
          <w:rFonts w:ascii="Arial" w:cs="Arial" w:eastAsia="Arial" w:hAnsi="Arial"/>
          <w:sz w:val="16"/>
          <w:szCs w:val="16"/>
          <w:color w:val="auto"/>
        </w:rPr>
        <w:t>energized to return home to be with those you love. For every boring, average day, to be awesome.</w:t>
      </w:r>
    </w:p>
    <w:p>
      <w:pPr>
        <w:spacing w:after="0" w:line="60" w:lineRule="exact"/>
        <w:rPr>
          <w:rFonts w:ascii="Arial" w:cs="Arial" w:eastAsia="Arial" w:hAnsi="Arial"/>
          <w:sz w:val="16"/>
          <w:szCs w:val="16"/>
          <w:color w:val="auto"/>
        </w:rPr>
      </w:pPr>
    </w:p>
    <w:p>
      <w:pPr>
        <w:ind w:left="283" w:right="220" w:hanging="283"/>
        <w:spacing w:after="0" w:line="294"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Have fun. </w:t>
      </w:r>
      <w:r>
        <w:rPr>
          <w:rFonts w:ascii="Arial" w:cs="Arial" w:eastAsia="Arial" w:hAnsi="Arial"/>
          <w:sz w:val="16"/>
          <w:szCs w:val="16"/>
          <w:color w:val="auto"/>
        </w:rPr>
        <w:t>Not Xbox fun; bucket-list fun. We make work inherently fun by surrounding everyone with the finest possible peers, and providing them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families incredible social experiences that exceed anyone's individual imagination.</w:t>
      </w:r>
    </w:p>
    <w:p>
      <w:pPr>
        <w:spacing w:after="0" w:line="72" w:lineRule="exact"/>
        <w:rPr>
          <w:rFonts w:ascii="Arial" w:cs="Arial" w:eastAsia="Arial" w:hAnsi="Arial"/>
          <w:sz w:val="16"/>
          <w:szCs w:val="16"/>
          <w:color w:val="auto"/>
        </w:rPr>
      </w:pPr>
    </w:p>
    <w:p>
      <w:pPr>
        <w:ind w:left="283" w:right="140" w:hanging="283"/>
        <w:spacing w:after="0" w:line="274"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Save the world. </w:t>
      </w:r>
      <w:r>
        <w:rPr>
          <w:rFonts w:ascii="Arial" w:cs="Arial" w:eastAsia="Arial" w:hAnsi="Arial"/>
          <w:sz w:val="16"/>
          <w:szCs w:val="16"/>
          <w:color w:val="auto"/>
        </w:rPr>
        <w:t>When every employee has a solid financial baseline and work/life balance, and is making brisk progress through their bucket list, they</w:t>
      </w:r>
      <w:r>
        <w:rPr>
          <w:rFonts w:ascii="Arial" w:cs="Arial" w:eastAsia="Arial" w:hAnsi="Arial"/>
          <w:sz w:val="16"/>
          <w:szCs w:val="16"/>
          <w:b w:val="1"/>
          <w:bCs w:val="1"/>
          <w:color w:val="auto"/>
        </w:rPr>
        <w:t xml:space="preserve"> </w:t>
      </w:r>
      <w:r>
        <w:rPr>
          <w:rFonts w:ascii="Arial" w:cs="Arial" w:eastAsia="Arial" w:hAnsi="Arial"/>
          <w:sz w:val="16"/>
          <w:szCs w:val="16"/>
          <w:color w:val="auto"/>
        </w:rPr>
        <w:t>can truly dedicate the time and resources to focus on solving the biggest problems of the world: enabling everyone to live rich and have fun, not just a lucky few.</w:t>
      </w:r>
    </w:p>
    <w:p>
      <w:pPr>
        <w:spacing w:after="0" w:line="108"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The result of all this is a company that doesn't just generate value for shareholders, but also produces compounding social good for the world at large. We have fully melded our charity model directly into our business model, so each supports and grows the other.</w:t>
      </w:r>
    </w:p>
    <w:p>
      <w:pPr>
        <w:spacing w:after="0" w:line="101" w:lineRule="exact"/>
        <w:rPr>
          <w:sz w:val="20"/>
          <w:szCs w:val="20"/>
          <w:color w:val="auto"/>
        </w:rPr>
      </w:pPr>
    </w:p>
    <w:p>
      <w:pPr>
        <w:jc w:val="both"/>
        <w:ind w:left="3" w:right="100"/>
        <w:spacing w:after="0" w:line="261" w:lineRule="auto"/>
        <w:rPr>
          <w:sz w:val="20"/>
          <w:szCs w:val="20"/>
          <w:color w:val="auto"/>
        </w:rPr>
      </w:pPr>
      <w:r>
        <w:rPr>
          <w:rFonts w:ascii="Arial" w:cs="Arial" w:eastAsia="Arial" w:hAnsi="Arial"/>
          <w:sz w:val="16"/>
          <w:szCs w:val="16"/>
          <w:color w:val="auto"/>
        </w:rPr>
        <w:t>And we never forgot our original mission. Every swipe of the Expensify Card makes a small donation to our Expensify.org charity wing, which has dozens of active campaigns addressing homelessness, recidivism, climate change, youth issues, and—the inspiration for it all—hunger. Just one of those campaigns has already helped feed thousands of families on SNAP assistance, as well as encourage vaccinations amongst our most vulnerable population.</w:t>
      </w:r>
    </w:p>
    <w:p>
      <w:pPr>
        <w:spacing w:after="0" w:line="118" w:lineRule="exact"/>
        <w:rPr>
          <w:sz w:val="20"/>
          <w:szCs w:val="20"/>
          <w:color w:val="auto"/>
        </w:rPr>
      </w:pPr>
    </w:p>
    <w:p>
      <w:pPr>
        <w:ind w:left="3" w:right="260"/>
        <w:spacing w:after="0" w:line="268" w:lineRule="auto"/>
        <w:rPr>
          <w:sz w:val="20"/>
          <w:szCs w:val="20"/>
          <w:color w:val="auto"/>
        </w:rPr>
      </w:pPr>
      <w:r>
        <w:rPr>
          <w:rFonts w:ascii="Arial" w:cs="Arial" w:eastAsia="Arial" w:hAnsi="Arial"/>
          <w:sz w:val="16"/>
          <w:szCs w:val="16"/>
          <w:color w:val="auto"/>
        </w:rPr>
        <w:t>Expensify.org grows in lockstep with Expensify, meaning our business success directly funds our charitable activities. We firmly believe that doing good is good for business.</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What we've learned so far.</w:t>
      </w:r>
    </w:p>
    <w:p>
      <w:pPr>
        <w:spacing w:after="0" w:line="153" w:lineRule="exact"/>
        <w:rPr>
          <w:sz w:val="20"/>
          <w:szCs w:val="20"/>
          <w:color w:val="auto"/>
        </w:rPr>
      </w:pPr>
    </w:p>
    <w:p>
      <w:pPr>
        <w:ind w:left="3" w:right="200"/>
        <w:spacing w:after="0" w:line="261" w:lineRule="auto"/>
        <w:rPr>
          <w:sz w:val="20"/>
          <w:szCs w:val="20"/>
          <w:color w:val="auto"/>
        </w:rPr>
      </w:pPr>
      <w:r>
        <w:rPr>
          <w:rFonts w:ascii="Arial" w:cs="Arial" w:eastAsia="Arial" w:hAnsi="Arial"/>
          <w:sz w:val="16"/>
          <w:szCs w:val="16"/>
          <w:color w:val="auto"/>
        </w:rPr>
        <w:t>We are very proud of what we've done over the past thirteen years. I truly believe that Expensify is the best, easiest to use, most powerful business payments superapp in the world. We are used by more businesses than any company we consider our peers, across a huge range of industries, company sizes,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43"/>
          </w:cols>
          <w:pgMar w:left="317" w:top="1440" w:right="339" w:bottom="1440" w:gutter="0" w:footer="0" w:header="0"/>
        </w:sectPr>
      </w:pPr>
    </w:p>
    <w:bookmarkStart w:id="123" w:name="page124"/>
    <w:bookmarkEnd w:id="123"/>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countries, and currencies. And in the process of building it, we learned a lot. Those lessons are too numerous to list here, but to summarize some highlights:</w:t>
      </w:r>
    </w:p>
    <w:p>
      <w:pPr>
        <w:spacing w:after="0" w:line="113" w:lineRule="exact"/>
        <w:rPr>
          <w:sz w:val="20"/>
          <w:szCs w:val="20"/>
          <w:color w:val="auto"/>
        </w:rPr>
      </w:pPr>
    </w:p>
    <w:p>
      <w:pPr>
        <w:ind w:left="283" w:right="480" w:hanging="283"/>
        <w:spacing w:after="0" w:line="294"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The market for expense management is enormous</w:t>
      </w:r>
      <w:r>
        <w:rPr>
          <w:rFonts w:ascii="Arial" w:cs="Arial" w:eastAsia="Arial" w:hAnsi="Arial"/>
          <w:sz w:val="16"/>
          <w:szCs w:val="16"/>
          <w:color w:val="auto"/>
        </w:rPr>
        <w:t>. Literally every business on the planet does expense management; not all businesses have</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but all have expenses.</w:t>
      </w:r>
    </w:p>
    <w:p>
      <w:pPr>
        <w:spacing w:after="0" w:line="72" w:lineRule="exact"/>
        <w:rPr>
          <w:rFonts w:ascii="Arial" w:cs="Arial" w:eastAsia="Arial" w:hAnsi="Arial"/>
          <w:sz w:val="16"/>
          <w:szCs w:val="16"/>
          <w:color w:val="auto"/>
        </w:rPr>
      </w:pPr>
    </w:p>
    <w:p>
      <w:pPr>
        <w:ind w:left="283" w:hanging="283"/>
        <w:spacing w:after="0" w:line="285"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The market for expense management is almost entirely untapped. </w:t>
      </w:r>
      <w:r>
        <w:rPr>
          <w:rFonts w:ascii="Arial" w:cs="Arial" w:eastAsia="Arial" w:hAnsi="Arial"/>
          <w:sz w:val="16"/>
          <w:szCs w:val="16"/>
          <w:color w:val="auto"/>
        </w:rPr>
        <w:t>There are over 100 million businesses in the world, but less than 0.1% actually</w:t>
      </w:r>
      <w:r>
        <w:rPr>
          <w:rFonts w:ascii="Arial" w:cs="Arial" w:eastAsia="Arial" w:hAnsi="Arial"/>
          <w:sz w:val="16"/>
          <w:szCs w:val="16"/>
          <w:b w:val="1"/>
          <w:bCs w:val="1"/>
          <w:color w:val="auto"/>
        </w:rPr>
        <w:t xml:space="preserve"> </w:t>
      </w:r>
      <w:r>
        <w:rPr>
          <w:rFonts w:ascii="Arial" w:cs="Arial" w:eastAsia="Arial" w:hAnsi="Arial"/>
          <w:sz w:val="16"/>
          <w:szCs w:val="16"/>
          <w:color w:val="auto"/>
        </w:rPr>
        <w:t>use some form of modern expense management. Excel/email—or a physical, paper envelope—are our primary competitors. Everyone else is a rounding error.</w:t>
      </w:r>
    </w:p>
    <w:p>
      <w:pPr>
        <w:spacing w:after="0" w:line="281" w:lineRule="exact"/>
        <w:rPr>
          <w:rFonts w:ascii="Arial" w:cs="Arial" w:eastAsia="Arial" w:hAnsi="Arial"/>
          <w:sz w:val="16"/>
          <w:szCs w:val="16"/>
          <w:color w:val="auto"/>
        </w:rPr>
      </w:pPr>
    </w:p>
    <w:p>
      <w:pPr>
        <w:ind w:left="283" w:right="160" w:hanging="283"/>
        <w:spacing w:after="0" w:line="294"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Expense management is a company's first accounting process</w:t>
      </w:r>
      <w:r>
        <w:rPr>
          <w:rFonts w:ascii="Arial" w:cs="Arial" w:eastAsia="Arial" w:hAnsi="Arial"/>
          <w:sz w:val="16"/>
          <w:szCs w:val="16"/>
          <w:color w:val="auto"/>
        </w:rPr>
        <w:t>. Way before you have an accountant or an accounting package, you've figured out</w:t>
      </w:r>
      <w:r>
        <w:rPr>
          <w:rFonts w:ascii="Arial" w:cs="Arial" w:eastAsia="Arial" w:hAnsi="Arial"/>
          <w:sz w:val="16"/>
          <w:szCs w:val="16"/>
          <w:b w:val="1"/>
          <w:bCs w:val="1"/>
          <w:color w:val="auto"/>
        </w:rPr>
        <w:t xml:space="preserve"> </w:t>
      </w:r>
      <w:r>
        <w:rPr>
          <w:rFonts w:ascii="Arial" w:cs="Arial" w:eastAsia="Arial" w:hAnsi="Arial"/>
          <w:sz w:val="16"/>
          <w:szCs w:val="16"/>
          <w:color w:val="auto"/>
        </w:rPr>
        <w:t>some way to keep track of your receipts.</w:t>
      </w:r>
    </w:p>
    <w:p>
      <w:pPr>
        <w:spacing w:after="0" w:line="60" w:lineRule="exact"/>
        <w:rPr>
          <w:rFonts w:ascii="Arial" w:cs="Arial" w:eastAsia="Arial" w:hAnsi="Arial"/>
          <w:sz w:val="16"/>
          <w:szCs w:val="16"/>
          <w:color w:val="auto"/>
        </w:rPr>
      </w:pPr>
    </w:p>
    <w:p>
      <w:pPr>
        <w:ind w:left="283" w:right="140" w:hanging="283"/>
        <w:spacing w:after="0" w:line="274"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scales gracefully. </w:t>
      </w:r>
      <w:r>
        <w:rPr>
          <w:rFonts w:ascii="Arial" w:cs="Arial" w:eastAsia="Arial" w:hAnsi="Arial"/>
          <w:sz w:val="16"/>
          <w:szCs w:val="16"/>
          <w:color w:val="auto"/>
        </w:rPr>
        <w:t>The employee experience for expense management—swipe a card, scan a receipt—is remarkably</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 for sole-proprietors up to the Fortune 500. What back-end accounting differences that do appear at different scales are neatly contained to a few people in each company, invisible to the average employee.</w:t>
      </w:r>
    </w:p>
    <w:p>
      <w:pPr>
        <w:spacing w:after="0" w:line="88" w:lineRule="exact"/>
        <w:rPr>
          <w:rFonts w:ascii="Arial" w:cs="Arial" w:eastAsia="Arial" w:hAnsi="Arial"/>
          <w:sz w:val="16"/>
          <w:szCs w:val="16"/>
          <w:color w:val="auto"/>
        </w:rPr>
      </w:pPr>
    </w:p>
    <w:p>
      <w:pPr>
        <w:ind w:left="283" w:right="160" w:hanging="283"/>
        <w:spacing w:after="0" w:line="267"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is the strategic high ground of the back office. </w:t>
      </w:r>
      <w:r>
        <w:rPr>
          <w:rFonts w:ascii="Arial" w:cs="Arial" w:eastAsia="Arial" w:hAnsi="Arial"/>
          <w:sz w:val="16"/>
          <w:szCs w:val="16"/>
          <w:color w:val="auto"/>
        </w:rPr>
        <w:t>The primary job of expense management is to "normalize" the chaos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outside world, to clean up all financial data to be ready for the accounting team. We started calling this "preaccounting" (a term the industry has since adopted), which means expense management is the nexus point between rank-and-file employees and the general ledger system, HR system, payroll, CRM, project management, invoicing, bill processing, single sign-on, and basically every back end system you have.</w:t>
      </w:r>
    </w:p>
    <w:p>
      <w:pPr>
        <w:spacing w:after="0" w:line="94" w:lineRule="exact"/>
        <w:rPr>
          <w:rFonts w:ascii="Arial" w:cs="Arial" w:eastAsia="Arial" w:hAnsi="Arial"/>
          <w:sz w:val="16"/>
          <w:szCs w:val="16"/>
          <w:color w:val="auto"/>
        </w:rPr>
      </w:pPr>
    </w:p>
    <w:p>
      <w:pPr>
        <w:ind w:left="283" w:right="60" w:hanging="283"/>
        <w:spacing w:after="0" w:line="267"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is extremely high margin in the SMB. </w:t>
      </w:r>
      <w:r>
        <w:rPr>
          <w:rFonts w:ascii="Arial" w:cs="Arial" w:eastAsia="Arial" w:hAnsi="Arial"/>
          <w:sz w:val="16"/>
          <w:szCs w:val="16"/>
          <w:color w:val="auto"/>
        </w:rPr>
        <w:t>Despite offering an incredible range of functionality at no cost to the customer—often</w:t>
      </w:r>
      <w:r>
        <w:rPr>
          <w:rFonts w:ascii="Arial" w:cs="Arial" w:eastAsia="Arial" w:hAnsi="Arial"/>
          <w:sz w:val="16"/>
          <w:szCs w:val="16"/>
          <w:b w:val="1"/>
          <w:bCs w:val="1"/>
          <w:color w:val="auto"/>
        </w:rPr>
        <w:t xml:space="preserve"> </w:t>
      </w:r>
      <w:r>
        <w:rPr>
          <w:rFonts w:ascii="Arial" w:cs="Arial" w:eastAsia="Arial" w:hAnsi="Arial"/>
          <w:sz w:val="16"/>
          <w:szCs w:val="16"/>
          <w:color w:val="auto"/>
        </w:rPr>
        <w:t>replacing a basket of competitors at a fraction of the price—enables us to monetize employees in the SMB at approximately 3x the average revenue per user in our target market than is possible in the enterprise. Our unique bottom-up business model enables us to thrive where others struggle, meaning there's minimal competition, minimal margin erosion, and better than enterprise-class customer retention in the SMB.</w:t>
      </w:r>
    </w:p>
    <w:p>
      <w:pPr>
        <w:spacing w:after="0" w:line="82" w:lineRule="exact"/>
        <w:rPr>
          <w:rFonts w:ascii="Arial" w:cs="Arial" w:eastAsia="Arial" w:hAnsi="Arial"/>
          <w:sz w:val="16"/>
          <w:szCs w:val="16"/>
          <w:color w:val="auto"/>
        </w:rPr>
      </w:pPr>
    </w:p>
    <w:p>
      <w:pPr>
        <w:ind w:left="283" w:right="80" w:hanging="283"/>
        <w:spacing w:after="0" w:line="262"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functionality is a superset of AR/AP. </w:t>
      </w:r>
      <w:r>
        <w:rPr>
          <w:rFonts w:ascii="Arial" w:cs="Arial" w:eastAsia="Arial" w:hAnsi="Arial"/>
          <w:sz w:val="16"/>
          <w:szCs w:val="16"/>
          <w:color w:val="auto"/>
        </w:rPr>
        <w:t>Though historically seen as separate industries, the expense report submission,</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and reimbursement process is far more complicated than any other accounts receivable/payable process. This is why we are able to offer a single platform to do all these features in one simple app: an invoice is just a simplified expense report you send to a client; a bill is just the other side of an invoice. A paycheck is just an expense report that’s automatically submitted for a fixed amount every two weeks. And so on. All of these synchronize with the same ledger system, and pay from the same bank accounts. Expensify isn't an expense management platform, it's an all-in-one business payments platform. It's one app, that's free to start, and easy to upgrade.</w:t>
      </w:r>
    </w:p>
    <w:p>
      <w:pPr>
        <w:spacing w:after="0" w:line="98" w:lineRule="exact"/>
        <w:rPr>
          <w:rFonts w:ascii="Arial" w:cs="Arial" w:eastAsia="Arial" w:hAnsi="Arial"/>
          <w:sz w:val="16"/>
          <w:szCs w:val="16"/>
          <w:color w:val="auto"/>
        </w:rPr>
      </w:pPr>
    </w:p>
    <w:p>
      <w:pPr>
        <w:jc w:val="both"/>
        <w:ind w:left="283" w:right="240" w:hanging="283"/>
        <w:spacing w:after="0" w:line="262"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grows virally. </w:t>
      </w:r>
      <w:r>
        <w:rPr>
          <w:rFonts w:ascii="Arial" w:cs="Arial" w:eastAsia="Arial" w:hAnsi="Arial"/>
          <w:sz w:val="16"/>
          <w:szCs w:val="16"/>
          <w:color w:val="auto"/>
        </w:rPr>
        <w:t>Every time you submit an expense report, you put us in touch with someone closer to the decision maker than</w:t>
      </w:r>
      <w:r>
        <w:rPr>
          <w:rFonts w:ascii="Arial" w:cs="Arial" w:eastAsia="Arial" w:hAnsi="Arial"/>
          <w:sz w:val="16"/>
          <w:szCs w:val="16"/>
          <w:b w:val="1"/>
          <w:bCs w:val="1"/>
          <w:color w:val="auto"/>
        </w:rPr>
        <w:t xml:space="preserve"> </w:t>
      </w:r>
      <w:r>
        <w:rPr>
          <w:rFonts w:ascii="Arial" w:cs="Arial" w:eastAsia="Arial" w:hAnsi="Arial"/>
          <w:sz w:val="16"/>
          <w:szCs w:val="16"/>
          <w:color w:val="auto"/>
        </w:rPr>
        <w:t>you—your boss, your finance team, etc. This is why we give employees a free expense management app: we turn every expense report into a highly targeted endorsement, from a chain of trusted employees, directly to the buyer. That same viral loop works between accounting departments as well (because every invoice is sent from one accounting team to another), and between employees (because personal money requests often go from an employee in one company to an employee in another). No matter which feature is used, members organically promote Expensify to their friends, co-workers, bosses, employees, vendors, and clients—at zero marginal cost to us.</w:t>
      </w:r>
    </w:p>
    <w:p>
      <w:pPr>
        <w:spacing w:after="0" w:line="118"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The SMB expense management market is like the land that time forgot—a huge, high margin, largely untapped "silent majority" of the market that is scraping by with antique solutions. And we are the ones that have created a single, powerful, easy-to-use tool with a viral, word-of-mouth model to capture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43"/>
          </w:cols>
          <w:pgMar w:left="317" w:top="1440" w:right="339" w:bottom="1440" w:gutter="0" w:footer="0" w:header="0"/>
        </w:sectPr>
      </w:pPr>
    </w:p>
    <w:bookmarkStart w:id="124" w:name="page125"/>
    <w:bookmarkEnd w:id="124"/>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modernize it at scale. But expense management alone was never the full plan, just the foundation for what's to come.</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What we're doing now.</w:t>
      </w:r>
    </w:p>
    <w:p>
      <w:pPr>
        <w:spacing w:after="0" w:line="165" w:lineRule="exact"/>
        <w:rPr>
          <w:sz w:val="20"/>
          <w:szCs w:val="20"/>
          <w:color w:val="auto"/>
        </w:rPr>
      </w:pPr>
    </w:p>
    <w:p>
      <w:pPr>
        <w:jc w:val="both"/>
        <w:ind w:left="3" w:right="140"/>
        <w:spacing w:after="0" w:line="261" w:lineRule="auto"/>
        <w:rPr>
          <w:sz w:val="20"/>
          <w:szCs w:val="20"/>
          <w:color w:val="auto"/>
        </w:rPr>
      </w:pPr>
      <w:r>
        <w:rPr>
          <w:rFonts w:ascii="Arial" w:cs="Arial" w:eastAsia="Arial" w:hAnsi="Arial"/>
          <w:sz w:val="16"/>
          <w:szCs w:val="16"/>
          <w:color w:val="auto"/>
        </w:rPr>
        <w:t>Expensify is a dynamic platform that changes a little every day, and a lot every year. Every change is a step down a long path to unify all of consumer and business payments into a single household-name superapp that grows rapidly, profitably, and scalably at zero marginal cost through viral use cases. There are a huge number of parallel initiatives underway to achieve that vision, but to highlight a few of my favorites:</w:t>
      </w:r>
    </w:p>
    <w:p>
      <w:pPr>
        <w:spacing w:after="0" w:line="98" w:lineRule="exact"/>
        <w:rPr>
          <w:sz w:val="20"/>
          <w:szCs w:val="20"/>
          <w:color w:val="auto"/>
        </w:rPr>
      </w:pPr>
    </w:p>
    <w:p>
      <w:pPr>
        <w:ind w:left="283" w:hanging="283"/>
        <w:spacing w:after="0"/>
        <w:tabs>
          <w:tab w:leader="none" w:pos="283"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serve two bosses: your boss, and you. </w:t>
      </w:r>
      <w:r>
        <w:rPr>
          <w:rFonts w:ascii="Arial" w:cs="Arial" w:eastAsia="Arial" w:hAnsi="Arial"/>
          <w:sz w:val="16"/>
          <w:szCs w:val="16"/>
          <w:color w:val="auto"/>
        </w:rPr>
        <w:t>Making a business purchase with your personal card is akin to lending money to your company at zero</w:t>
      </w:r>
    </w:p>
    <w:p>
      <w:pPr>
        <w:spacing w:after="0" w:line="30" w:lineRule="exact"/>
        <w:rPr>
          <w:rFonts w:ascii="Arial" w:cs="Arial" w:eastAsia="Arial" w:hAnsi="Arial"/>
          <w:sz w:val="16"/>
          <w:szCs w:val="16"/>
          <w:color w:val="auto"/>
        </w:rPr>
      </w:pPr>
    </w:p>
    <w:p>
      <w:pPr>
        <w:ind w:left="283"/>
        <w:spacing w:after="0" w:line="258" w:lineRule="auto"/>
        <w:rPr>
          <w:rFonts w:ascii="Arial" w:cs="Arial" w:eastAsia="Arial" w:hAnsi="Arial"/>
          <w:sz w:val="16"/>
          <w:szCs w:val="16"/>
          <w:color w:val="auto"/>
        </w:rPr>
      </w:pPr>
      <w:r>
        <w:rPr>
          <w:rFonts w:ascii="Arial" w:cs="Arial" w:eastAsia="Arial" w:hAnsi="Arial"/>
          <w:sz w:val="16"/>
          <w:szCs w:val="16"/>
          <w:color w:val="auto"/>
        </w:rPr>
        <w:t>interest, and then acting as your own repo man to get paid back. It's not just a company expense: it's your expense, and it's our job to get you paid back. Our novel "individual ownership" legal structure deftly handles the subtle dynamics of joint data ownership in a business/personal context, as well as carefully isolates your personal data (such as your credit card) from company data (such as your corporate card). You own your Expensify account, not your boss. And we work for both of you, equally.</w:t>
      </w:r>
    </w:p>
    <w:p>
      <w:pPr>
        <w:spacing w:after="0" w:line="90" w:lineRule="exact"/>
        <w:rPr>
          <w:rFonts w:ascii="Arial" w:cs="Arial" w:eastAsia="Arial" w:hAnsi="Arial"/>
          <w:sz w:val="16"/>
          <w:szCs w:val="16"/>
          <w:color w:val="auto"/>
        </w:rPr>
      </w:pPr>
    </w:p>
    <w:p>
      <w:pPr>
        <w:jc w:val="both"/>
        <w:ind w:left="283" w:right="80" w:hanging="283"/>
        <w:spacing w:after="0" w:line="262"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are blurring the line between work and home. </w:t>
      </w:r>
      <w:r>
        <w:rPr>
          <w:rFonts w:ascii="Arial" w:cs="Arial" w:eastAsia="Arial" w:hAnsi="Arial"/>
          <w:sz w:val="16"/>
          <w:szCs w:val="16"/>
          <w:color w:val="auto"/>
        </w:rPr>
        <w:t>Because you own your individual account, you take it with you when you change jobs. This makes</w:t>
      </w:r>
      <w:r>
        <w:rPr>
          <w:rFonts w:ascii="Arial" w:cs="Arial" w:eastAsia="Arial" w:hAnsi="Arial"/>
          <w:sz w:val="16"/>
          <w:szCs w:val="16"/>
          <w:b w:val="1"/>
          <w:bCs w:val="1"/>
          <w:color w:val="auto"/>
        </w:rPr>
        <w:t xml:space="preserve"> </w:t>
      </w:r>
      <w:r>
        <w:rPr>
          <w:rFonts w:ascii="Arial" w:cs="Arial" w:eastAsia="Arial" w:hAnsi="Arial"/>
          <w:sz w:val="16"/>
          <w:szCs w:val="16"/>
          <w:color w:val="auto"/>
        </w:rPr>
        <w:t>our design more like LinkedIn or Facebook than Salesforce or Concur; joining a company is as simple as joining a group—company groups, community groups, church groups, our architecture treats them equally. Join as many or as few as you like, and leave whenever you want. You are in control.</w:t>
      </w:r>
    </w:p>
    <w:p>
      <w:pPr>
        <w:spacing w:after="0" w:line="2" w:lineRule="exact"/>
        <w:rPr>
          <w:rFonts w:ascii="Arial" w:cs="Arial" w:eastAsia="Arial" w:hAnsi="Arial"/>
          <w:sz w:val="16"/>
          <w:szCs w:val="16"/>
          <w:color w:val="auto"/>
        </w:rPr>
      </w:pPr>
    </w:p>
    <w:p>
      <w:pPr>
        <w:ind w:left="283" w:right="20"/>
        <w:spacing w:after="0" w:line="268" w:lineRule="auto"/>
        <w:rPr>
          <w:rFonts w:ascii="Arial" w:cs="Arial" w:eastAsia="Arial" w:hAnsi="Arial"/>
          <w:sz w:val="16"/>
          <w:szCs w:val="16"/>
          <w:color w:val="auto"/>
        </w:rPr>
      </w:pPr>
      <w:r>
        <w:rPr>
          <w:rFonts w:ascii="Arial" w:cs="Arial" w:eastAsia="Arial" w:hAnsi="Arial"/>
          <w:sz w:val="16"/>
          <w:szCs w:val="16"/>
          <w:color w:val="auto"/>
        </w:rPr>
        <w:t>Expensify is a single app that works equally across all facets of your life, and our massively scalable blockchain-synchronized database allows everyone to securely swim side by side in the same data lake.</w:t>
      </w:r>
    </w:p>
    <w:p>
      <w:pPr>
        <w:spacing w:after="0" w:line="92" w:lineRule="exact"/>
        <w:rPr>
          <w:rFonts w:ascii="Arial" w:cs="Arial" w:eastAsia="Arial" w:hAnsi="Arial"/>
          <w:sz w:val="16"/>
          <w:szCs w:val="16"/>
          <w:color w:val="auto"/>
        </w:rPr>
      </w:pPr>
    </w:p>
    <w:p>
      <w:pPr>
        <w:ind w:left="283" w:right="20" w:hanging="283"/>
        <w:spacing w:after="0" w:line="267"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are adding end-to-end encryption with quantum-safe tech. </w:t>
      </w:r>
      <w:r>
        <w:rPr>
          <w:rFonts w:ascii="Arial" w:cs="Arial" w:eastAsia="Arial" w:hAnsi="Arial"/>
          <w:sz w:val="16"/>
          <w:szCs w:val="16"/>
          <w:color w:val="auto"/>
        </w:rPr>
        <w:t>Our individual ownership design and bottom-up business model make privacy even</w:t>
      </w:r>
      <w:r>
        <w:rPr>
          <w:rFonts w:ascii="Arial" w:cs="Arial" w:eastAsia="Arial" w:hAnsi="Arial"/>
          <w:sz w:val="16"/>
          <w:szCs w:val="16"/>
          <w:b w:val="1"/>
          <w:bCs w:val="1"/>
          <w:color w:val="auto"/>
        </w:rPr>
        <w:t xml:space="preserve"> </w:t>
      </w:r>
      <w:r>
        <w:rPr>
          <w:rFonts w:ascii="Arial" w:cs="Arial" w:eastAsia="Arial" w:hAnsi="Arial"/>
          <w:sz w:val="16"/>
          <w:szCs w:val="16"/>
          <w:color w:val="auto"/>
        </w:rPr>
        <w:t>more paramount than they would normally be. However, quantum computers threaten to undermine the RSA/DH algorithms that underpin all modern cryptography. Accordingly, we are using the latest in lattice-based public key encryption to protect employee communications from advances in quantum computing.</w:t>
      </w:r>
    </w:p>
    <w:p>
      <w:pPr>
        <w:spacing w:after="0" w:line="94" w:lineRule="exact"/>
        <w:rPr>
          <w:rFonts w:ascii="Arial" w:cs="Arial" w:eastAsia="Arial" w:hAnsi="Arial"/>
          <w:sz w:val="16"/>
          <w:szCs w:val="16"/>
          <w:color w:val="auto"/>
        </w:rPr>
      </w:pPr>
    </w:p>
    <w:p>
      <w:pPr>
        <w:ind w:left="283" w:right="40" w:hanging="283"/>
        <w:spacing w:after="0" w:line="274"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are gradually migrating to a chat-centric design. </w:t>
      </w:r>
      <w:r>
        <w:rPr>
          <w:rFonts w:ascii="Arial" w:cs="Arial" w:eastAsia="Arial" w:hAnsi="Arial"/>
          <w:sz w:val="16"/>
          <w:szCs w:val="16"/>
          <w:color w:val="auto"/>
        </w:rPr>
        <w:t>Just like you can't talk to yourself, you can't pay yourself: every payment is a conversation,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resolve some kind of financial tension. Expense management has always involved a complex conversation between employees and companies, and we are doubling down on that inherent truth with a highly-simplified chat-centric design that feels like some kind of WhatsApp/Venmo lovechild.</w:t>
      </w:r>
    </w:p>
    <w:p>
      <w:pPr>
        <w:spacing w:after="0" w:line="76" w:lineRule="exact"/>
        <w:rPr>
          <w:rFonts w:ascii="Arial" w:cs="Arial" w:eastAsia="Arial" w:hAnsi="Arial"/>
          <w:sz w:val="16"/>
          <w:szCs w:val="16"/>
          <w:color w:val="auto"/>
        </w:rPr>
      </w:pPr>
    </w:p>
    <w:p>
      <w:pPr>
        <w:ind w:left="283" w:right="20" w:hanging="283"/>
        <w:spacing w:after="0" w:line="267"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are becoming a feature-rich, totally free business chat system. </w:t>
      </w:r>
      <w:r>
        <w:rPr>
          <w:rFonts w:ascii="Arial" w:cs="Arial" w:eastAsia="Arial" w:hAnsi="Arial"/>
          <w:sz w:val="16"/>
          <w:szCs w:val="16"/>
          <w:color w:val="auto"/>
        </w:rPr>
        <w:t>If expense management is ultimately just a complex financial conversation, chat</w:t>
      </w:r>
      <w:r>
        <w:rPr>
          <w:rFonts w:ascii="Arial" w:cs="Arial" w:eastAsia="Arial" w:hAnsi="Arial"/>
          <w:sz w:val="16"/>
          <w:szCs w:val="16"/>
          <w:b w:val="1"/>
          <w:bCs w:val="1"/>
          <w:color w:val="auto"/>
        </w:rPr>
        <w:t xml:space="preserve"> </w:t>
      </w:r>
      <w:r>
        <w:rPr>
          <w:rFonts w:ascii="Arial" w:cs="Arial" w:eastAsia="Arial" w:hAnsi="Arial"/>
          <w:sz w:val="16"/>
          <w:szCs w:val="16"/>
          <w:color w:val="auto"/>
        </w:rPr>
        <w:t>is just expense management without the expenses. And since our bottom-up business model starts with individual employees using Expensify to manage those financial conversations for free, we are extending that model further to allow any business conversation for free. This is being designed to get a foothold in new companies even easier and earlier than before.</w:t>
      </w:r>
    </w:p>
    <w:p>
      <w:pPr>
        <w:spacing w:after="0" w:line="94" w:lineRule="exact"/>
        <w:rPr>
          <w:rFonts w:ascii="Arial" w:cs="Arial" w:eastAsia="Arial" w:hAnsi="Arial"/>
          <w:sz w:val="16"/>
          <w:szCs w:val="16"/>
          <w:color w:val="auto"/>
        </w:rPr>
      </w:pPr>
    </w:p>
    <w:p>
      <w:pPr>
        <w:ind w:left="283" w:right="20" w:hanging="283"/>
        <w:spacing w:after="0" w:line="274"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are consolidating everything into a single, universal codebase. </w:t>
      </w:r>
      <w:r>
        <w:rPr>
          <w:rFonts w:ascii="Arial" w:cs="Arial" w:eastAsia="Arial" w:hAnsi="Arial"/>
          <w:sz w:val="16"/>
          <w:szCs w:val="16"/>
          <w:color w:val="auto"/>
        </w:rPr>
        <w:t>By using React Native, we can build a single codebase that works identically</w:t>
      </w:r>
      <w:r>
        <w:rPr>
          <w:rFonts w:ascii="Arial" w:cs="Arial" w:eastAsia="Arial" w:hAnsi="Arial"/>
          <w:sz w:val="16"/>
          <w:szCs w:val="16"/>
          <w:b w:val="1"/>
          <w:bCs w:val="1"/>
          <w:color w:val="auto"/>
        </w:rPr>
        <w:t xml:space="preserve"> </w:t>
      </w:r>
      <w:r>
        <w:rPr>
          <w:rFonts w:ascii="Arial" w:cs="Arial" w:eastAsia="Arial" w:hAnsi="Arial"/>
          <w:sz w:val="16"/>
          <w:szCs w:val="16"/>
          <w:color w:val="auto"/>
        </w:rPr>
        <w:t>across iPhone, Android, web, and even desktop. This means we don't need to rewrite the same features four times—we have one team, working on one app, that works equally everywhere.</w:t>
      </w:r>
    </w:p>
    <w:p>
      <w:pPr>
        <w:spacing w:after="0" w:line="88" w:lineRule="exact"/>
        <w:rPr>
          <w:rFonts w:ascii="Arial" w:cs="Arial" w:eastAsia="Arial" w:hAnsi="Arial"/>
          <w:sz w:val="16"/>
          <w:szCs w:val="16"/>
          <w:color w:val="auto"/>
        </w:rPr>
      </w:pPr>
    </w:p>
    <w:p>
      <w:pPr>
        <w:ind w:left="283" w:hanging="283"/>
        <w:spacing w:after="0" w:line="274"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leverage the open source community. </w:t>
      </w:r>
      <w:r>
        <w:rPr>
          <w:rFonts w:ascii="Arial" w:cs="Arial" w:eastAsia="Arial" w:hAnsi="Arial"/>
          <w:sz w:val="16"/>
          <w:szCs w:val="16"/>
          <w:color w:val="auto"/>
        </w:rPr>
        <w:t>Great talent appears everywhere, but not everyone wants a full time job. To capture the benefit from this</w:t>
      </w:r>
      <w:r>
        <w:rPr>
          <w:rFonts w:ascii="Arial" w:cs="Arial" w:eastAsia="Arial" w:hAnsi="Arial"/>
          <w:sz w:val="16"/>
          <w:szCs w:val="16"/>
          <w:b w:val="1"/>
          <w:bCs w:val="1"/>
          <w:color w:val="auto"/>
        </w:rPr>
        <w:t xml:space="preserve"> </w:t>
      </w:r>
      <w:r>
        <w:rPr>
          <w:rFonts w:ascii="Arial" w:cs="Arial" w:eastAsia="Arial" w:hAnsi="Arial"/>
          <w:sz w:val="16"/>
          <w:szCs w:val="16"/>
          <w:color w:val="auto"/>
        </w:rPr>
        <w:t>global talent pool we augment our own engineering team with nearly a hundred open source developers around the world. We are committed to an open world of collaborative development, both by supporting existing projects and inviting everyone into our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23"/>
          </w:cols>
          <w:pgMar w:left="317" w:top="1440" w:right="359" w:bottom="1440" w:gutter="0" w:footer="0" w:header="0"/>
        </w:sectPr>
      </w:pPr>
    </w:p>
    <w:bookmarkStart w:id="125" w:name="page126"/>
    <w:bookmarkEnd w:id="125"/>
    <w:p>
      <w:pPr>
        <w:ind w:left="283" w:right="280" w:hanging="283"/>
        <w:spacing w:after="0" w:line="274" w:lineRule="auto"/>
        <w:tabs>
          <w:tab w:leader="none" w:pos="278"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We will support your side hustle. </w:t>
      </w:r>
      <w:r>
        <w:rPr>
          <w:rFonts w:ascii="Arial" w:cs="Arial" w:eastAsia="Arial" w:hAnsi="Arial"/>
          <w:sz w:val="16"/>
          <w:szCs w:val="16"/>
          <w:color w:val="auto"/>
        </w:rPr>
        <w:t>Today you need to link together a basket of random tools to crowdfund, communicate with fans, and isolate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Expensify will bring the power of enterprise expense management into your pocket, simplified for the smallest project, growing in sophistication as you do.</w:t>
      </w:r>
    </w:p>
    <w:p>
      <w:pPr>
        <w:spacing w:after="0" w:line="76" w:lineRule="exact"/>
        <w:rPr>
          <w:rFonts w:ascii="Arial" w:cs="Arial" w:eastAsia="Arial" w:hAnsi="Arial"/>
          <w:sz w:val="16"/>
          <w:szCs w:val="16"/>
          <w:color w:val="auto"/>
        </w:rPr>
      </w:pPr>
    </w:p>
    <w:p>
      <w:pPr>
        <w:ind w:left="283" w:right="480" w:hanging="283"/>
        <w:spacing w:after="0" w:line="274" w:lineRule="auto"/>
        <w:tabs>
          <w:tab w:leader="none" w:pos="278"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We will link your community. </w:t>
      </w:r>
      <w:r>
        <w:rPr>
          <w:rFonts w:ascii="Arial" w:cs="Arial" w:eastAsia="Arial" w:hAnsi="Arial"/>
          <w:sz w:val="16"/>
          <w:szCs w:val="16"/>
          <w:color w:val="auto"/>
        </w:rPr>
        <w:t>Volunteering with your church, hosting a block party, cleaning up a beach—all of these community activities are</w:t>
      </w:r>
      <w:r>
        <w:rPr>
          <w:rFonts w:ascii="Arial" w:cs="Arial" w:eastAsia="Arial" w:hAnsi="Arial"/>
          <w:sz w:val="16"/>
          <w:szCs w:val="16"/>
          <w:b w:val="1"/>
          <w:bCs w:val="1"/>
          <w:color w:val="auto"/>
        </w:rPr>
        <w:t xml:space="preserve"> </w:t>
      </w:r>
      <w:r>
        <w:rPr>
          <w:rFonts w:ascii="Arial" w:cs="Arial" w:eastAsia="Arial" w:hAnsi="Arial"/>
          <w:sz w:val="16"/>
          <w:szCs w:val="16"/>
          <w:color w:val="auto"/>
        </w:rPr>
        <w:t>surprisingly complicated project management exercises, often with people you don't know very well, and often with large financial obligations split amongst the group. Expensify will make this easy.</w:t>
      </w:r>
    </w:p>
    <w:p>
      <w:pPr>
        <w:spacing w:after="0" w:line="88" w:lineRule="exact"/>
        <w:rPr>
          <w:rFonts w:ascii="Arial" w:cs="Arial" w:eastAsia="Arial" w:hAnsi="Arial"/>
          <w:sz w:val="16"/>
          <w:szCs w:val="16"/>
          <w:color w:val="auto"/>
        </w:rPr>
      </w:pPr>
    </w:p>
    <w:p>
      <w:pPr>
        <w:ind w:left="283" w:right="60" w:hanging="283"/>
        <w:spacing w:after="0" w:line="294" w:lineRule="auto"/>
        <w:tabs>
          <w:tab w:leader="none" w:pos="278"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We will help you travel with friends</w:t>
      </w:r>
      <w:r>
        <w:rPr>
          <w:rFonts w:ascii="Arial" w:cs="Arial" w:eastAsia="Arial" w:hAnsi="Arial"/>
          <w:sz w:val="16"/>
          <w:szCs w:val="16"/>
          <w:color w:val="auto"/>
        </w:rPr>
        <w:t>. As the world reopens and our wanderlust takes hold, Expensify will be there booking your flights, managing your</w:t>
      </w:r>
      <w:r>
        <w:rPr>
          <w:rFonts w:ascii="Arial" w:cs="Arial" w:eastAsia="Arial" w:hAnsi="Arial"/>
          <w:sz w:val="16"/>
          <w:szCs w:val="16"/>
          <w:b w:val="1"/>
          <w:bCs w:val="1"/>
          <w:color w:val="auto"/>
        </w:rPr>
        <w:t xml:space="preserve"> </w:t>
      </w:r>
      <w:r>
        <w:rPr>
          <w:rFonts w:ascii="Arial" w:cs="Arial" w:eastAsia="Arial" w:hAnsi="Arial"/>
          <w:sz w:val="16"/>
          <w:szCs w:val="16"/>
          <w:color w:val="auto"/>
        </w:rPr>
        <w:t>hotels, keeping track of your tabs, and settling up as you go.</w:t>
      </w:r>
    </w:p>
    <w:p>
      <w:pPr>
        <w:spacing w:after="0" w:line="72" w:lineRule="exact"/>
        <w:rPr>
          <w:rFonts w:ascii="Arial" w:cs="Arial" w:eastAsia="Arial" w:hAnsi="Arial"/>
          <w:sz w:val="16"/>
          <w:szCs w:val="16"/>
          <w:color w:val="auto"/>
        </w:rPr>
      </w:pPr>
    </w:p>
    <w:p>
      <w:pPr>
        <w:ind w:left="283" w:hanging="283"/>
        <w:spacing w:after="0"/>
        <w:tabs>
          <w:tab w:leader="none" w:pos="283"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We will connect your family. </w:t>
      </w:r>
      <w:r>
        <w:rPr>
          <w:rFonts w:ascii="Arial" w:cs="Arial" w:eastAsia="Arial" w:hAnsi="Arial"/>
          <w:sz w:val="16"/>
          <w:szCs w:val="16"/>
          <w:color w:val="auto"/>
        </w:rPr>
        <w:t>Managing allowances, digitizing the tooth fairy, teaching financial literacy—Expensify will grow with your family.</w:t>
      </w:r>
    </w:p>
    <w:p>
      <w:pPr>
        <w:spacing w:after="0" w:line="15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Expensify isn't just a corporate card, any more than Google is just a search engine, or Microsoft just an operating system. Both established an unassailable hold on one critical feature, and then built a moat around it a lightyear wide through ancillary features and services. That deep gravity well of products and services inexorably tugs at every business in the solar system, gradually pulling them into orbit no matter where they started. We aim to do the same: to establish a dominant position in business expense management, and then surround it with a wide array of social, consumer, and prosumer functionality that tips everyone's trajectory towards our sun, a little more every day.</w:t>
      </w:r>
    </w:p>
    <w:p>
      <w:pPr>
        <w:spacing w:after="0" w:line="123"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Given this broad feature set packed into a single, simple app, we call ourselves a "payments superapp" with the tagline: "One app, all free". But if you can keep a secret, the real long term vision is so much bigger. We are building the first "financial social network", devoted to people who are doing the real work of saving this world, every day.</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Save the world.</w:t>
      </w:r>
    </w:p>
    <w:p>
      <w:pPr>
        <w:spacing w:after="0" w:line="153" w:lineRule="exact"/>
        <w:rPr>
          <w:sz w:val="20"/>
          <w:szCs w:val="20"/>
          <w:color w:val="auto"/>
        </w:rPr>
      </w:pPr>
    </w:p>
    <w:p>
      <w:pPr>
        <w:jc w:val="both"/>
        <w:ind w:left="3" w:right="320"/>
        <w:spacing w:after="0" w:line="261" w:lineRule="auto"/>
        <w:rPr>
          <w:sz w:val="20"/>
          <w:szCs w:val="20"/>
          <w:color w:val="auto"/>
        </w:rPr>
      </w:pPr>
      <w:r>
        <w:rPr>
          <w:rFonts w:ascii="Arial" w:cs="Arial" w:eastAsia="Arial" w:hAnsi="Arial"/>
          <w:sz w:val="16"/>
          <w:szCs w:val="16"/>
          <w:color w:val="auto"/>
        </w:rPr>
        <w:t>The last 10 years have been wild. The next 10 years are shaping up to be more of the same. And the next 100 will make today seem quaint. We have a tremendous amount of incredibly important work to do, not just in the office, but in our homes, in our community, and on our streets. The next 100 years won't be defined by technology: they will be defined by people, and all the good and bad things those people choose to do.</w:t>
      </w:r>
    </w:p>
    <w:p>
      <w:pPr>
        <w:spacing w:after="0" w:line="118"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We built Expensify from the very start to be the platform for the world to unite, coordinate, combine resources, and execute on all the myriad tasks that society depends upon to literally survive this difficult inflection point in the human experiment. This is a massive undertaking, and as such every aspect of Expensify is designed to support this long term vision. We have been extremely deliberate about who we hire, what we prioritize, when we push, where we market, and how we govern.</w:t>
      </w:r>
    </w:p>
    <w:p>
      <w:pPr>
        <w:spacing w:after="0" w:line="122"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We believe social technology should help us achieve our dreams, not distract us from pursuing them. Enough time has been wasted retweeting cat pictures, spreading misinformation, salivating over food porn, salivating over actual porn, or watching people who are old enough to know better tumble off of terrifyingly tall stacks of milk crates.</w:t>
      </w:r>
    </w:p>
    <w:p>
      <w:pPr>
        <w:spacing w:after="0" w:line="106"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It's time for us to put aside our silly distractions, come together, and get some serious shit done—and for anyone who answers that call, Expensify will be there.</w:t>
      </w:r>
    </w:p>
    <w:p>
      <w:pPr>
        <w:spacing w:after="0" w:line="113" w:lineRule="exact"/>
        <w:rPr>
          <w:sz w:val="20"/>
          <w:szCs w:val="20"/>
          <w:color w:val="auto"/>
        </w:rPr>
      </w:pPr>
    </w:p>
    <w:p>
      <w:pPr>
        <w:ind w:left="3" w:right="160"/>
        <w:spacing w:after="0" w:line="268" w:lineRule="auto"/>
        <w:rPr>
          <w:sz w:val="20"/>
          <w:szCs w:val="20"/>
          <w:color w:val="auto"/>
        </w:rPr>
      </w:pPr>
      <w:r>
        <w:rPr>
          <w:rFonts w:ascii="Arial" w:cs="Arial" w:eastAsia="Arial" w:hAnsi="Arial"/>
          <w:sz w:val="16"/>
          <w:szCs w:val="16"/>
          <w:color w:val="auto"/>
        </w:rPr>
        <w:t>It's been a long road, and there's so much more to do. I cannot adequately express how proud I am of the team that got us here, how thankful I am for the investors who took a chance on us when nobody else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83"/>
          </w:cols>
          <w:pgMar w:left="317" w:top="1422" w:right="399" w:bottom="1440" w:gutter="0" w:footer="0" w:header="0"/>
        </w:sectPr>
      </w:pPr>
    </w:p>
    <w:bookmarkStart w:id="126" w:name="page127"/>
    <w:bookmarkEnd w:id="126"/>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would, and most of all how appreciative I am for our members and customers who made it all possible. I would be honored for you to join us on this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1136650" cy="4330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36650" cy="43307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Barrett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Founder and CEO of Expensify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40"/>
          </w:cols>
          <w:pgMar w:left="320" w:top="1440" w:right="4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26"/>
          <w:szCs w:val="26"/>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Small and medium businesses (“SMBs”) are the cornerstone of the global economy, making up over 99% of businesses and approximately 70% of employment in OECD countries. Despite their significance,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 –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and book travel, all from our single, easy-to-use mobile application. We intend to continue adding complementary features to retain and add value to existing customers and attract new members.</w:t>
      </w:r>
    </w:p>
    <w:p>
      <w:pPr>
        <w:spacing w:after="0" w:line="12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11"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40"/>
          </w:cols>
          <w:pgMar w:left="320" w:top="1407" w:right="339" w:bottom="1440" w:gutter="0" w:footer="0" w:header="0"/>
        </w:sectPr>
      </w:pPr>
    </w:p>
    <w:bookmarkStart w:id="128" w:name="page129"/>
    <w:bookmarkEnd w:id="128"/>
    <w:p>
      <w:pPr>
        <w:spacing w:after="0" w:line="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business model allows us to prioritize attracting, retaining and inspiring talented, ambitious and humble people committed to a long-term vision. We are a team that likes to solve real problems, and though expense reports are problematic for most people, there are other pressing problems facing our world that we want to also help solve. In 2020, we launched Expensify.org, which is now a 501(c)(3) non-profit, to increase transparency in the donation process while connecting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16" w:lineRule="exact"/>
        <w:rPr>
          <w:sz w:val="20"/>
          <w:szCs w:val="20"/>
          <w:color w:val="auto"/>
        </w:rPr>
      </w:pPr>
    </w:p>
    <w:p>
      <w:pPr>
        <w:ind w:left="3" w:right="140"/>
        <w:spacing w:after="0" w:line="256" w:lineRule="auto"/>
        <w:rPr>
          <w:sz w:val="20"/>
          <w:szCs w:val="20"/>
          <w:color w:val="auto"/>
        </w:rPr>
      </w:pPr>
      <w:r>
        <w:rPr>
          <w:rFonts w:ascii="Arial" w:cs="Arial" w:eastAsia="Arial" w:hAnsi="Arial"/>
          <w:sz w:val="16"/>
          <w:szCs w:val="16"/>
          <w:color w:val="auto"/>
        </w:rPr>
        <w:t>We believe that our unique approach has created a highly scalable and efficient business model. We have experienced rapid growth in recent periods. Our revenue was $80.5 million and $ 88.1 million in the years ended December 31, 2019 and 2020, respectively. Our net income (loss) was $ 1.2 million and $(1.7) million in the years ended December 31, 2019 and 2020, respectively. Our adjusted EBITDA was $7.6 million and $26.8 million in the years ended December 31, 2019 and 2020, respectively. For the six months ended June 30, 2020 and 2021, our revenue was $40.6 million and $65.0 million, respectively. Our net income was $3.5 million and $14.7 million in the six months ended June 30, 2020 and 2021, respectively. Our adjusted EBITDA was $9.2 million and $22.9 million in the six months ended June 30, 2020 and 2021, respectively. See the section titled “Management’s discussion and analysis of financial condition and results of operations” for additional information on our non-GAAP metrics.</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industry</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SMBs are the bedrock of the global economy and have distinctive technology requirements</w:t>
      </w:r>
    </w:p>
    <w:p>
      <w:pPr>
        <w:spacing w:after="0" w:line="153" w:lineRule="exact"/>
        <w:rPr>
          <w:sz w:val="20"/>
          <w:szCs w:val="20"/>
          <w:color w:val="auto"/>
        </w:rPr>
      </w:pPr>
    </w:p>
    <w:p>
      <w:pPr>
        <w:ind w:left="3" w:right="80"/>
        <w:spacing w:after="0" w:line="257" w:lineRule="auto"/>
        <w:rPr>
          <w:sz w:val="20"/>
          <w:szCs w:val="20"/>
          <w:color w:val="auto"/>
        </w:rPr>
      </w:pPr>
      <w:r>
        <w:rPr>
          <w:rFonts w:ascii="Arial" w:cs="Arial" w:eastAsia="Arial" w:hAnsi="Arial"/>
          <w:sz w:val="16"/>
          <w:szCs w:val="16"/>
          <w:color w:val="auto"/>
        </w:rPr>
        <w:t>Small and medium businesses are the foundation of the global economy. According to the Organization for Economic Cooperation and Development (OECD), SMBs, defined as firms with fewer than 250 employees, make up over 99% of all businesses and approximately 70% of all employment across the 36 OECD countries. We believe that SMBs will continue to be the most critical component of global economic development and will increasingly seek to adopt emerging technologies that can enhance productivity, improve customer experiences, drive employee engagement and enable resource-efficient growth. While COVID-19 disproportionately impacted SMBs, it also accelerated technology adoption, as SMBs responded to new challenges such as facilitating remote work and finding new ways to interact with customers.</w:t>
      </w:r>
    </w:p>
    <w:p>
      <w:pPr>
        <w:spacing w:after="0" w:line="121"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93" w:lineRule="exact"/>
        <w:rPr>
          <w:sz w:val="20"/>
          <w:szCs w:val="20"/>
          <w:color w:val="auto"/>
        </w:rPr>
      </w:pPr>
    </w:p>
    <w:p>
      <w:pPr>
        <w:ind w:left="283" w:right="480" w:hanging="283"/>
        <w:spacing w:after="0" w:line="274"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discover. </w:t>
      </w:r>
      <w:r>
        <w:rPr>
          <w:rFonts w:ascii="Arial" w:cs="Arial" w:eastAsia="Arial" w:hAnsi="Arial"/>
          <w:sz w:val="16"/>
          <w:szCs w:val="16"/>
          <w:color w:val="auto"/>
        </w:rPr>
        <w:t>With job responsibilities spanning multiple functions, SMBs do not have the bandwidth and expertise to discover, meet with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several technology vendors. As such, SMBs increasingly rely on online channels for finding new technologies and heavily consider recommendations from experts, friends and colleagues.</w:t>
      </w:r>
    </w:p>
    <w:p>
      <w:pPr>
        <w:spacing w:after="0" w:line="76" w:lineRule="exact"/>
        <w:rPr>
          <w:rFonts w:ascii="Arial" w:cs="Arial" w:eastAsia="Arial" w:hAnsi="Arial"/>
          <w:sz w:val="16"/>
          <w:szCs w:val="16"/>
          <w:color w:val="auto"/>
        </w:rPr>
      </w:pPr>
    </w:p>
    <w:p>
      <w:pPr>
        <w:ind w:left="283" w:right="180" w:hanging="283"/>
        <w:spacing w:after="0" w:line="274"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implement. </w:t>
      </w:r>
      <w:r>
        <w:rPr>
          <w:rFonts w:ascii="Arial" w:cs="Arial" w:eastAsia="Arial" w:hAnsi="Arial"/>
          <w:sz w:val="16"/>
          <w:szCs w:val="16"/>
          <w:color w:val="auto"/>
        </w:rPr>
        <w:t>IT departments within SMBs are often one person or the business owner themselves, and are incapable of taking time away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business to support cumbersome implementation, maintenance and training requirements. As a result, SMBs prefer solutions that are easy to implement, onboard and integrate and that require little ongoing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43"/>
          </w:cols>
          <w:pgMar w:left="317" w:top="1440" w:right="339" w:bottom="1440" w:gutter="0" w:footer="0" w:header="0"/>
        </w:sectPr>
      </w:pPr>
    </w:p>
    <w:bookmarkStart w:id="129" w:name="page130"/>
    <w:bookmarkEnd w:id="129"/>
    <w:p>
      <w:pPr>
        <w:ind w:left="283" w:right="440" w:hanging="283"/>
        <w:spacing w:after="0" w:line="294"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purchase. </w:t>
      </w:r>
      <w:r>
        <w:rPr>
          <w:rFonts w:ascii="Arial" w:cs="Arial" w:eastAsia="Arial" w:hAnsi="Arial"/>
          <w:sz w:val="16"/>
          <w:szCs w:val="16"/>
          <w:color w:val="auto"/>
        </w:rPr>
        <w:t>With no procurement department and limited resources, the individuals making the purchasing decision at SMBs often prefer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vendors with transparent, self-service monthly subscription plans that can be paid by credit card.</w:t>
      </w:r>
    </w:p>
    <w:p>
      <w:pPr>
        <w:spacing w:after="0" w:line="60" w:lineRule="exact"/>
        <w:rPr>
          <w:rFonts w:ascii="Arial" w:cs="Arial" w:eastAsia="Arial" w:hAnsi="Arial"/>
          <w:sz w:val="16"/>
          <w:szCs w:val="16"/>
          <w:color w:val="auto"/>
        </w:rPr>
      </w:pPr>
    </w:p>
    <w:p>
      <w:pPr>
        <w:ind w:left="283" w:right="40" w:hanging="283"/>
        <w:spacing w:after="0" w:line="294"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manage. </w:t>
      </w:r>
      <w:r>
        <w:rPr>
          <w:rFonts w:ascii="Arial" w:cs="Arial" w:eastAsia="Arial" w:hAnsi="Arial"/>
          <w:sz w:val="16"/>
          <w:szCs w:val="16"/>
          <w:color w:val="auto"/>
        </w:rPr>
        <w:t>Unlike large enterprises, which often require multiple, customized point solutions for specialized business processes, SMBs prefer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single, comprehensive platform from one provider that can solve multiple pain points.</w:t>
      </w:r>
    </w:p>
    <w:p>
      <w:pPr>
        <w:spacing w:after="0" w:line="72" w:lineRule="exact"/>
        <w:rPr>
          <w:rFonts w:ascii="Arial" w:cs="Arial" w:eastAsia="Arial" w:hAnsi="Arial"/>
          <w:sz w:val="16"/>
          <w:szCs w:val="16"/>
          <w:color w:val="auto"/>
        </w:rPr>
      </w:pPr>
    </w:p>
    <w:p>
      <w:pPr>
        <w:ind w:left="283" w:right="120" w:hanging="283"/>
        <w:spacing w:after="0" w:line="294"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use. </w:t>
      </w:r>
      <w:r>
        <w:rPr>
          <w:rFonts w:ascii="Arial" w:cs="Arial" w:eastAsia="Arial" w:hAnsi="Arial"/>
          <w:sz w:val="16"/>
          <w:szCs w:val="16"/>
          <w:color w:val="auto"/>
        </w:rPr>
        <w:t>Many SMBs prioritize ease of use and convenience over cost and seek solutions with elegant, intuitive user experiences that require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training or expertise to operate.</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short, SMBs look for “easy money” management.</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Back office processes are critical to every SMB, but remain antiquated and inefficient</w:t>
      </w:r>
    </w:p>
    <w:p>
      <w:pPr>
        <w:spacing w:after="0" w:line="165"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Back office functions, such as HR, accounting and expense management, are ubiquitous and fundamental activities for businesses of every size and industry. Expense management is a business's very first accounting function: long before a business generates revenue, it will have already generated expenses; well before a business hires an accountant or sets up an accounting system, they will have developed some method to keep track of expenses. Despite the mission criticality of these activities, the vast majority of SMBs rely on manual, inefficient processes to manage and execute most back office functions. Expense management is the last great holdout of paper-based processes: stuffing actual physical receipts into an envelope and handing them to accountants. Even "digital" solutions are generally just digitized forms of batch paper processes (for example, attaching a photo of a receipt to an email rather than handing it in physically, or filling out an Excel template or web form rather than a paper form), and not truly real-time, mobile-first, "digital-first" processes. To compete in today’s increasingly digital economy, SMBs require modern solutions that can automate and streamline manual, time-consuming back-office functions to reduce costs and allow managers to focus on higher value, strategic activities such as engaging with employees, developing new products and interacting with customers.</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Every business manages expenses, most do it manually</w:t>
      </w:r>
    </w:p>
    <w:p>
      <w:pPr>
        <w:spacing w:after="0" w:line="15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While accounting and payroll have well-defined managers that are accountable for successful execution of these functions, expense management has multiple managers involved but no owners. Yet, the majority of employees in nearly every type of organization need to file expenses at times. Furthermore, unlike payroll or accounting software, the expense management process requires close integration with nearly every internal system, such as enterprise resource planning (ERP), human resources (HR) and finance software, recruiting, payroll, customer relationship management (CRM), as well as multiple external consumer applications like Uber. As a result, employees, accountants and managers across every business unit are bogged down by time-consuming, manual tasks related to expense management, reducing their productivity and job satisfaction.</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The modern day employee is increasingly empowered to drive technology change</w:t>
      </w:r>
    </w:p>
    <w:p>
      <w:pPr>
        <w:spacing w:after="0" w:line="165"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The increasing prevalence of smartphones and app stores has democratized access to easy-to-use mobile tools equipped with enterprise-grade functionality. At the same time, today’s workforce is increasingly distributed, mobile and deciding to freelance -- long-growing trends that have been massively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42"/>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03"/>
          </w:cols>
          <w:pgMar w:left="317" w:top="1422" w:right="479" w:bottom="1440" w:gutter="0" w:footer="0" w:header="0"/>
        </w:sectPr>
      </w:pPr>
    </w:p>
    <w:bookmarkStart w:id="130" w:name="page131"/>
    <w:bookmarkEnd w:id="130"/>
    <w:p>
      <w:pPr>
        <w:spacing w:after="0" w:line="2"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accelerated by COVID-19. Additionally, employees are also heavily influenced by word-of-mouth recommendations from friends and colleagues: a study conducted by Nielsen found that 83% of respondents trust recommendations from friends or family. As a result, employees increasingly expect to adopt technology solutions on their own, choosing versatile functionality that best suits their unique requirements from any device or location. In the SMB segment, employees are even more influential in driving company-wide adoption: with infrequent technology evaluation and less employees per company than enterprises, SMBs require a smaller critical mass for technological change.</w:t>
      </w:r>
    </w:p>
    <w:p>
      <w:pPr>
        <w:spacing w:after="0" w:line="9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Limitations of traditional approaches</w:t>
      </w:r>
    </w:p>
    <w:p>
      <w:pPr>
        <w:spacing w:after="0" w:line="164"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We believe both existing solutions and their underlying business models have fundamental shortcomings that limit their ability to solve the inefficiencies of expense management and other back-office functions for SMBs.</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Existing solutions</w:t>
      </w:r>
    </w:p>
    <w:p>
      <w:pPr>
        <w:spacing w:after="0" w:line="153"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03" w:lineRule="exact"/>
        <w:rPr>
          <w:sz w:val="20"/>
          <w:szCs w:val="20"/>
          <w:color w:val="auto"/>
        </w:rPr>
      </w:pPr>
    </w:p>
    <w:p>
      <w:pPr>
        <w:ind w:left="283" w:right="20" w:hanging="283"/>
        <w:spacing w:after="0" w:line="274"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 designed for the employee. </w:t>
      </w:r>
      <w:r>
        <w:rPr>
          <w:rFonts w:ascii="Arial" w:cs="Arial" w:eastAsia="Arial" w:hAnsi="Arial"/>
          <w:sz w:val="16"/>
          <w:szCs w:val="16"/>
          <w:color w:val="auto"/>
        </w:rPr>
        <w:t>Nearly every software provider designs its products around the needs of the buyer, and because existing solutions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in a "top-down" fashion by managers and decision makers, they prioritize esoteric, complex functionality over an elegant, intuitive and user-friendly interface that can enable widespread adoption within any organization by regular employees and managers alike;</w:t>
      </w:r>
    </w:p>
    <w:p>
      <w:pPr>
        <w:spacing w:after="0" w:line="88" w:lineRule="exact"/>
        <w:rPr>
          <w:rFonts w:ascii="Arial" w:cs="Arial" w:eastAsia="Arial" w:hAnsi="Arial"/>
          <w:sz w:val="16"/>
          <w:szCs w:val="16"/>
          <w:color w:val="auto"/>
        </w:rPr>
      </w:pPr>
    </w:p>
    <w:p>
      <w:pPr>
        <w:ind w:left="283" w:right="60" w:hanging="283"/>
        <w:spacing w:after="0" w:line="267"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Multiple, disparate product lines for different features. </w:t>
      </w:r>
      <w:r>
        <w:rPr>
          <w:rFonts w:ascii="Arial" w:cs="Arial" w:eastAsia="Arial" w:hAnsi="Arial"/>
          <w:sz w:val="16"/>
          <w:szCs w:val="16"/>
          <w:color w:val="auto"/>
        </w:rPr>
        <w:t>When adding new products or expanding functionality, traditional software vendors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hierarchical management styles typically deploy different product teams using different codebases and different databases. This disconnects the new features from their original, core products and often results in fragmented, disjointed experiences across applications and functions that ultimately cause users to revert to manual processes to complete basic tasks;</w:t>
      </w:r>
    </w:p>
    <w:p>
      <w:pPr>
        <w:spacing w:after="0" w:line="82" w:lineRule="exact"/>
        <w:rPr>
          <w:rFonts w:ascii="Arial" w:cs="Arial" w:eastAsia="Arial" w:hAnsi="Arial"/>
          <w:sz w:val="16"/>
          <w:szCs w:val="16"/>
          <w:color w:val="auto"/>
        </w:rPr>
      </w:pPr>
    </w:p>
    <w:p>
      <w:pPr>
        <w:ind w:left="283" w:hanging="283"/>
        <w:spacing w:after="0" w:line="267"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Inaccurate receipt scanning. </w:t>
      </w:r>
      <w:r>
        <w:rPr>
          <w:rFonts w:ascii="Arial" w:cs="Arial" w:eastAsia="Arial" w:hAnsi="Arial"/>
          <w:sz w:val="16"/>
          <w:szCs w:val="16"/>
          <w:color w:val="auto"/>
        </w:rPr>
        <w:t>Existing solutions offer simple, digital-only receipt scanning that, while accurate some of the time, is still inaccurate often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enough that it requires employees to manually check every receipt to ensure correctness. The time it takes to scan a receipt, cross-check the results and occasionally make corrections is on par with just entering the receipt manually. As a result, many users of traditional solutions do not use receipt scanning features and simply revert to doing expenses by hand;</w:t>
      </w:r>
    </w:p>
    <w:p>
      <w:pPr>
        <w:spacing w:after="0" w:line="94" w:lineRule="exact"/>
        <w:rPr>
          <w:rFonts w:ascii="Arial" w:cs="Arial" w:eastAsia="Arial" w:hAnsi="Arial"/>
          <w:sz w:val="16"/>
          <w:szCs w:val="16"/>
          <w:color w:val="auto"/>
        </w:rPr>
      </w:pPr>
    </w:p>
    <w:p>
      <w:pPr>
        <w:ind w:left="283" w:right="260" w:hanging="283"/>
        <w:spacing w:after="0" w:line="274"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Lack purposeful automation. </w:t>
      </w:r>
      <w:r>
        <w:rPr>
          <w:rFonts w:ascii="Arial" w:cs="Arial" w:eastAsia="Arial" w:hAnsi="Arial"/>
          <w:sz w:val="16"/>
          <w:szCs w:val="16"/>
          <w:color w:val="auto"/>
        </w:rPr>
        <w:t>Existing solutions view automation as simply digitizing the same steps of the conventional paper process -- an equally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approach that requires the same resources -- rather than creating a truly digital process that makes the process more efficient, continuously improves itself with artificial intelligence (AI) and requires substantially less manpower;</w:t>
      </w:r>
    </w:p>
    <w:p>
      <w:pPr>
        <w:spacing w:after="0" w:line="88" w:lineRule="exact"/>
        <w:rPr>
          <w:rFonts w:ascii="Arial" w:cs="Arial" w:eastAsia="Arial" w:hAnsi="Arial"/>
          <w:sz w:val="16"/>
          <w:szCs w:val="16"/>
          <w:color w:val="auto"/>
        </w:rPr>
      </w:pPr>
    </w:p>
    <w:p>
      <w:pPr>
        <w:ind w:left="283" w:right="180" w:hanging="283"/>
        <w:spacing w:after="0" w:line="264"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Lack integration with key systems and applications. </w:t>
      </w:r>
      <w:r>
        <w:rPr>
          <w:rFonts w:ascii="Arial" w:cs="Arial" w:eastAsia="Arial" w:hAnsi="Arial"/>
          <w:sz w:val="16"/>
          <w:szCs w:val="16"/>
          <w:color w:val="auto"/>
        </w:rPr>
        <w:t>Existing solutions are not designed to be easily interoperable with a broad array of back-office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and consumer applications, such as accounting and HR systems and personal and corporate credit cards, which makes them difficult to implement and configure. As a result, administrators are forced to manually port data back and forth between applications when managing expenses, which can often lead to insecure and unsynchronized data, noncompliance with company policies and slow and error-prone employee reimbursement;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43"/>
          </w:cols>
          <w:pgMar w:left="317" w:top="1440" w:right="339" w:bottom="1440" w:gutter="0" w:footer="0" w:header="0"/>
        </w:sectPr>
      </w:pPr>
    </w:p>
    <w:bookmarkStart w:id="131" w:name="page132"/>
    <w:bookmarkEnd w:id="131"/>
    <w:p>
      <w:pPr>
        <w:ind w:left="283" w:hanging="283"/>
        <w:spacing w:after="0" w:line="263" w:lineRule="auto"/>
        <w:tabs>
          <w:tab w:leader="none" w:pos="278"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Partitioned database design. </w:t>
      </w:r>
      <w:r>
        <w:rPr>
          <w:rFonts w:ascii="Arial" w:cs="Arial" w:eastAsia="Arial" w:hAnsi="Arial"/>
          <w:sz w:val="16"/>
          <w:szCs w:val="16"/>
          <w:color w:val="auto"/>
        </w:rPr>
        <w:t>Existing solutions leverage the traditional database design for storing their customer’s data, in which the data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partitioned between hundreds or even thousands of different databases, with all of the employees in each company in the same database. While often easier to implement, scale and operate, this simplified architecture dramatically complicates viral adoption across SMBs: the data of individual users is strictly contained within the databases of their employers, and any feature that requires combining data between employees at different companies, such as consumer chat between employees of different companies, or paying invoices between accounting departments, is extremely cumbersome and inefficient.</w:t>
      </w:r>
    </w:p>
    <w:p>
      <w:pPr>
        <w:spacing w:after="0" w:line="28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Traditional approaches</w:t>
      </w:r>
    </w:p>
    <w:p>
      <w:pPr>
        <w:spacing w:after="0" w:line="165"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These solutions are specified, deployed and configured by siloed IT departments with little-to-no input from the main consumers of business software: everyday employees. This type of approach poses key challenges for traditional software providers, including:</w:t>
      </w:r>
    </w:p>
    <w:p>
      <w:pPr>
        <w:spacing w:after="0" w:line="102" w:lineRule="exact"/>
        <w:rPr>
          <w:sz w:val="20"/>
          <w:szCs w:val="20"/>
          <w:color w:val="auto"/>
        </w:rPr>
      </w:pPr>
    </w:p>
    <w:p>
      <w:pPr>
        <w:ind w:left="283" w:right="200" w:hanging="283"/>
        <w:spacing w:after="0" w:line="274"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cost of sale. </w:t>
      </w:r>
      <w:r>
        <w:rPr>
          <w:rFonts w:ascii="Arial" w:cs="Arial" w:eastAsia="Arial" w:hAnsi="Arial"/>
          <w:sz w:val="16"/>
          <w:szCs w:val="16"/>
          <w:color w:val="auto"/>
        </w:rPr>
        <w:t>The traditional top-down approach relies on an army of salespeople to sell, retain and upsell decision makers, requiring an ever-increasing pipeline of sales talent. This makes finding, recruiting and retaining sales talent a significant bottleneck for growth and results in a very high cost of sale -- and more importantly, limits growth to the small corner of the market that can sustain that high cost of sale.</w:t>
      </w:r>
    </w:p>
    <w:p>
      <w:pPr>
        <w:spacing w:after="0" w:line="76" w:lineRule="exact"/>
        <w:rPr>
          <w:rFonts w:ascii="Arial" w:cs="Arial" w:eastAsia="Arial" w:hAnsi="Arial"/>
          <w:sz w:val="16"/>
          <w:szCs w:val="16"/>
          <w:color w:val="auto"/>
        </w:rPr>
      </w:pPr>
    </w:p>
    <w:p>
      <w:pPr>
        <w:ind w:left="283" w:right="120" w:hanging="283"/>
        <w:spacing w:after="0" w:line="259"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SMB decision makers are hard to identify and talk to. </w:t>
      </w:r>
      <w:r>
        <w:rPr>
          <w:rFonts w:ascii="Arial" w:cs="Arial" w:eastAsia="Arial" w:hAnsi="Arial"/>
          <w:sz w:val="16"/>
          <w:szCs w:val="16"/>
          <w:color w:val="auto"/>
        </w:rPr>
        <w:t>Relative to the massive number of SMBs across the world, there is a smaller,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manageable number of large enterprises, at which there is generally a person or team tasked with evaluating and procuring business software for the business. The task of identifying a potential enterprise that would benefit from a software solution, identifying the person within the organization to connect with and getting them to engage is relatively achievable for an enterprise sales team. However, the same is not true for SMBs, where it may be the business owner themselves, the office manager, or another employee making procurement decisions. Discovering and buying software is typically not their core job function and is often a distraction from everything else they are juggling on a day-to-day basis. Additionally, they might not be the person experiencing the strongest pain point and thus not actively clicking ads or accepting calls for expense management solutions. As a result, software providers leveraging a top-down approach struggle to identify, engage with and sell to key decision makers at SMBs.</w:t>
      </w:r>
    </w:p>
    <w:p>
      <w:pPr>
        <w:spacing w:after="0" w:line="104" w:lineRule="exact"/>
        <w:rPr>
          <w:rFonts w:ascii="Arial" w:cs="Arial" w:eastAsia="Arial" w:hAnsi="Arial"/>
          <w:sz w:val="16"/>
          <w:szCs w:val="16"/>
          <w:color w:val="auto"/>
        </w:rPr>
      </w:pPr>
    </w:p>
    <w:p>
      <w:pPr>
        <w:jc w:val="both"/>
        <w:ind w:left="283" w:right="260" w:hanging="283"/>
        <w:spacing w:after="0" w:line="267"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Contracts and sales processes tailored to enterprises. </w:t>
      </w:r>
      <w:r>
        <w:rPr>
          <w:rFonts w:ascii="Arial" w:cs="Arial" w:eastAsia="Arial" w:hAnsi="Arial"/>
          <w:sz w:val="16"/>
          <w:szCs w:val="16"/>
          <w:color w:val="auto"/>
        </w:rPr>
        <w:t>Traditional enterprise sales models are designed to address long procurement processes,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emphasize pricing and control features over the user experience. However, most SMBs prioritize ease of use and simple implementations over discounted pricing and advanced features. Software providers historically experience Clayton Christensen's "Innovator's Dilemma" and tend to move upmarket in hopes of finding larger and longer contracts, eventually abandoning SMBs and leaving the opportunity untapped.</w:t>
      </w:r>
    </w:p>
    <w:p>
      <w:pPr>
        <w:spacing w:after="0" w:line="94" w:lineRule="exact"/>
        <w:rPr>
          <w:rFonts w:ascii="Arial" w:cs="Arial" w:eastAsia="Arial" w:hAnsi="Arial"/>
          <w:sz w:val="16"/>
          <w:szCs w:val="16"/>
          <w:color w:val="auto"/>
        </w:rPr>
      </w:pPr>
    </w:p>
    <w:p>
      <w:pPr>
        <w:ind w:left="283" w:right="60" w:hanging="283"/>
        <w:spacing w:after="0" w:line="262"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Company-owned data and legal terms. </w:t>
      </w:r>
      <w:r>
        <w:rPr>
          <w:rFonts w:ascii="Arial" w:cs="Arial" w:eastAsia="Arial" w:hAnsi="Arial"/>
          <w:sz w:val="16"/>
          <w:szCs w:val="16"/>
          <w:color w:val="auto"/>
        </w:rPr>
        <w:t>Traditional approaches have a legal structure where all employee data is owned by the company.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makes sense under a top-down approach, where the decision maker is sold software, creates a company account and adds employees to the company account. However, this limits developers and ultimately the users of these solutions, as they may want to seamlessly interact with other users outside of their company expense account for various use cases, such as intercompany chat and bill payment, as well as uses for personal chats or payments that have nothing to do with the business and in fact require strong privacy protections against the company itself. This company-centric legal approach acts as an impediment to viral employee adoption within and across organizations.</w:t>
      </w:r>
    </w:p>
    <w:p>
      <w:pPr>
        <w:spacing w:after="0" w:line="106" w:lineRule="exact"/>
        <w:rPr>
          <w:sz w:val="20"/>
          <w:szCs w:val="20"/>
          <w:color w:val="auto"/>
        </w:rPr>
      </w:pPr>
    </w:p>
    <w:p>
      <w:pPr>
        <w:ind w:left="3" w:right="140"/>
        <w:spacing w:after="0" w:line="268" w:lineRule="auto"/>
        <w:rPr>
          <w:sz w:val="20"/>
          <w:szCs w:val="20"/>
          <w:color w:val="auto"/>
        </w:rPr>
      </w:pPr>
      <w:r>
        <w:rPr>
          <w:rFonts w:ascii="Arial" w:cs="Arial" w:eastAsia="Arial" w:hAnsi="Arial"/>
          <w:sz w:val="16"/>
          <w:szCs w:val="16"/>
          <w:color w:val="auto"/>
        </w:rPr>
        <w:t>We believe that the SMB market requires solutions that emphasize the needs of everyday employees and avoid these pitfalls created by the traditional top-down software sales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43"/>
          </w:cols>
          <w:pgMar w:left="317" w:top="1422" w:right="339" w:bottom="1440" w:gutter="0" w:footer="0" w:header="0"/>
        </w:sectPr>
      </w:pPr>
    </w:p>
    <w:bookmarkStart w:id="132" w:name="page133"/>
    <w:bookmarkEnd w:id="132"/>
    <w:p>
      <w:pPr>
        <w:spacing w:after="0"/>
        <w:rPr>
          <w:sz w:val="20"/>
          <w:szCs w:val="20"/>
          <w:color w:val="auto"/>
        </w:rPr>
      </w:pPr>
      <w:r>
        <w:rPr>
          <w:rFonts w:ascii="Arial" w:cs="Arial" w:eastAsia="Arial" w:hAnsi="Arial"/>
          <w:sz w:val="19"/>
          <w:szCs w:val="19"/>
          <w:b w:val="1"/>
          <w:bCs w:val="1"/>
          <w:color w:val="auto"/>
        </w:rPr>
        <w:t>Our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96520</wp:posOffset>
            </wp:positionV>
            <wp:extent cx="4826000" cy="2714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believe we address a massive market opportunity today that is significantly underpenetrated by modern solutions. We estimate our total addressable market (“TAM”) was approximately $16.0 billion in the United States and $21.5 billion in our core geographies in 2020, which consisted of the United States, United Kingdom, Canada and Australia.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June 30, 2021. Given our focus on SMBs, this excludes the U.S. market opportunity for companies with greater than 1,000 employees, which we estimate to be $7.1 billion using the same methodology described above.</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June 30,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00"/>
          </w:cols>
          <w:pgMar w:left="320" w:top="1425" w:right="379" w:bottom="1440" w:gutter="0" w:footer="0" w:header="0"/>
        </w:sectPr>
      </w:pPr>
    </w:p>
    <w:bookmarkStart w:id="133" w:name="page134"/>
    <w:bookmarkEnd w:id="133"/>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there are multiple sources of upside to our TAM in the near-term future:</w:t>
      </w:r>
    </w:p>
    <w:p>
      <w:pPr>
        <w:spacing w:after="0" w:line="113" w:lineRule="exact"/>
        <w:rPr>
          <w:sz w:val="20"/>
          <w:szCs w:val="20"/>
          <w:color w:val="auto"/>
        </w:rPr>
      </w:pPr>
    </w:p>
    <w:p>
      <w:pPr>
        <w:ind w:left="283" w:right="40" w:hanging="283"/>
        <w:spacing w:after="0" w:line="262" w:lineRule="auto"/>
        <w:tabs>
          <w:tab w:leader="none" w:pos="278"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Monetizing transactions on our platform. </w:t>
      </w:r>
      <w:r>
        <w:rPr>
          <w:rFonts w:ascii="Arial" w:cs="Arial" w:eastAsia="Arial" w:hAnsi="Arial"/>
          <w:sz w:val="16"/>
          <w:szCs w:val="16"/>
          <w:color w:val="auto"/>
        </w:rPr>
        <w:t>We launched the Expensify Card for early access to a limited number of customers in late 2019 and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launched fully in early 2020. This has allowed us to begin monetizing transactions that flow through our platform. Monetizing the transactional spend by our current customer base alone will dramatically increase our TAM.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 We believe that over time, we will be a prominent corporate card solution for SMBs in our core markets.</w:t>
      </w:r>
    </w:p>
    <w:p>
      <w:pPr>
        <w:spacing w:after="0" w:line="98" w:lineRule="exact"/>
        <w:rPr>
          <w:rFonts w:ascii="Arial" w:cs="Arial" w:eastAsia="Arial" w:hAnsi="Arial"/>
          <w:sz w:val="16"/>
          <w:szCs w:val="16"/>
          <w:color w:val="auto"/>
        </w:rPr>
      </w:pPr>
    </w:p>
    <w:p>
      <w:pPr>
        <w:ind w:left="283" w:right="20" w:hanging="283"/>
        <w:spacing w:after="0" w:line="264" w:lineRule="auto"/>
        <w:tabs>
          <w:tab w:leader="none" w:pos="278"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Platform expansion</w:t>
      </w:r>
      <w:r>
        <w:rPr>
          <w:rFonts w:ascii="Arial" w:cs="Arial" w:eastAsia="Arial" w:hAnsi="Arial"/>
          <w:sz w:val="16"/>
          <w:szCs w:val="16"/>
          <w:color w:val="auto"/>
        </w:rPr>
        <w:t>. We plan to introduce features that will increase our TAM. Our core features center around expense management, which typically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a fraction of company employees use each month, primarily due to the fact that only certain job functions consistently generate expense activity. In other words, while expense management tends to touch the majority of company employees at least once or twice in a given 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96" w:lineRule="exact"/>
        <w:rPr>
          <w:rFonts w:ascii="Arial" w:cs="Arial" w:eastAsia="Arial" w:hAnsi="Arial"/>
          <w:sz w:val="16"/>
          <w:szCs w:val="16"/>
          <w:color w:val="auto"/>
        </w:rPr>
      </w:pPr>
    </w:p>
    <w:p>
      <w:pPr>
        <w:ind w:left="283" w:right="100" w:hanging="283"/>
        <w:spacing w:after="0" w:line="267" w:lineRule="auto"/>
        <w:tabs>
          <w:tab w:leader="none" w:pos="278"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Continued international expansion. </w:t>
      </w:r>
      <w:r>
        <w:rPr>
          <w:rFonts w:ascii="Arial" w:cs="Arial" w:eastAsia="Arial" w:hAnsi="Arial"/>
          <w:sz w:val="16"/>
          <w:szCs w:val="16"/>
          <w:color w:val="auto"/>
        </w:rPr>
        <w:t>We believe there is a large, untapped opportunity outside of our core geographies, currently the United 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Kingdom, Canada and Australia. While the majority of employees in the United States work for SMBs, the proportion of employees working for SMBs is even more pronounced in international markets. We believe our platform, technology and business model can be easily applied to address the pain points of many international customers.</w:t>
      </w:r>
    </w:p>
    <w:p>
      <w:pPr>
        <w:spacing w:after="0" w:line="102" w:lineRule="exact"/>
        <w:rPr>
          <w:sz w:val="20"/>
          <w:szCs w:val="20"/>
          <w:color w:val="auto"/>
        </w:rPr>
      </w:pPr>
    </w:p>
    <w:p>
      <w:pPr>
        <w:ind w:left="3" w:right="520"/>
        <w:spacing w:after="0" w:line="268" w:lineRule="auto"/>
        <w:rPr>
          <w:sz w:val="20"/>
          <w:szCs w:val="20"/>
          <w:color w:val="auto"/>
        </w:rPr>
      </w:pPr>
      <w:r>
        <w:rPr>
          <w:rFonts w:ascii="Arial" w:cs="Arial" w:eastAsia="Arial" w:hAnsi="Arial"/>
          <w:sz w:val="16"/>
          <w:szCs w:val="16"/>
          <w:color w:val="auto"/>
        </w:rPr>
        <w:t>We believe our platform and business model have us well-positioned to continue to address our core market and capture the multiple sources of TAM upside.</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approach</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Since our founding, we have taken a unique approach to expense management built on key, complementary elements:</w:t>
      </w:r>
    </w:p>
    <w:p>
      <w:pPr>
        <w:spacing w:after="0" w:line="113" w:lineRule="exact"/>
        <w:rPr>
          <w:sz w:val="20"/>
          <w:szCs w:val="20"/>
          <w:color w:val="auto"/>
        </w:rPr>
      </w:pPr>
    </w:p>
    <w:p>
      <w:pPr>
        <w:ind w:left="283" w:hanging="283"/>
        <w:spacing w:after="0" w:line="264" w:lineRule="auto"/>
        <w:tabs>
          <w:tab w:leader="none" w:pos="278"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strategy hyper-focused on the employee. </w:t>
      </w:r>
      <w:r>
        <w:rPr>
          <w:rFonts w:ascii="Arial" w:cs="Arial" w:eastAsia="Arial" w:hAnsi="Arial"/>
          <w:sz w:val="16"/>
          <w:szCs w:val="16"/>
          <w:color w:val="auto"/>
        </w:rPr>
        <w:t>We designed Expensify to be easily configured and used by every single employee within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 not just decision 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w:t>
      </w:r>
    </w:p>
    <w:p>
      <w:pPr>
        <w:spacing w:after="0" w:line="96" w:lineRule="exact"/>
        <w:rPr>
          <w:rFonts w:ascii="Arial" w:cs="Arial" w:eastAsia="Arial" w:hAnsi="Arial"/>
          <w:sz w:val="16"/>
          <w:szCs w:val="16"/>
          <w:color w:val="auto"/>
        </w:rPr>
      </w:pPr>
    </w:p>
    <w:p>
      <w:pPr>
        <w:ind w:left="283" w:right="40" w:hanging="283"/>
        <w:spacing w:after="0" w:line="264" w:lineRule="auto"/>
        <w:tabs>
          <w:tab w:leader="none" w:pos="278"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bottom-up business model driven by the employee. </w:t>
      </w:r>
      <w:r>
        <w:rPr>
          <w:rFonts w:ascii="Arial" w:cs="Arial" w:eastAsia="Arial" w:hAnsi="Arial"/>
          <w:sz w:val="16"/>
          <w:szCs w:val="16"/>
          <w:color w:val="auto"/>
        </w:rPr>
        <w:t>Our employee-focused platform strategy enables a viral, “bottom-up” adoption cycle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 This enables us to focus our time and resources on making our features better for our members, and avoid the reliance on a costly, traditional top-down sales and marketing approach to attract and retain customers.</w:t>
      </w:r>
    </w:p>
    <w:p>
      <w:pPr>
        <w:spacing w:after="0" w:line="96" w:lineRule="exact"/>
        <w:rPr>
          <w:rFonts w:ascii="Arial" w:cs="Arial" w:eastAsia="Arial" w:hAnsi="Arial"/>
          <w:sz w:val="16"/>
          <w:szCs w:val="16"/>
          <w:color w:val="auto"/>
        </w:rPr>
      </w:pPr>
    </w:p>
    <w:p>
      <w:pPr>
        <w:ind w:left="283" w:right="320" w:hanging="283"/>
        <w:spacing w:after="0" w:line="267" w:lineRule="auto"/>
        <w:tabs>
          <w:tab w:leader="none" w:pos="278"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Word-of-mouth adoption supported by a market consensus approach. </w:t>
      </w:r>
      <w:r>
        <w:rPr>
          <w:rFonts w:ascii="Arial" w:cs="Arial" w:eastAsia="Arial" w:hAnsi="Arial"/>
          <w:sz w:val="16"/>
          <w:szCs w:val="16"/>
          <w:color w:val="auto"/>
        </w:rPr>
        <w:t>We believe that our happy members are the best form of marketing.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strive to build a superior platform 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 We believe this enables us to focus on creating great features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23"/>
          </w:cols>
          <w:pgMar w:left="317" w:top="1440" w:right="359" w:bottom="1440" w:gutter="0" w:footer="0" w:header="0"/>
        </w:sectPr>
      </w:pPr>
    </w:p>
    <w:bookmarkStart w:id="134" w:name="page135"/>
    <w:bookmarkEnd w:id="134"/>
    <w:p>
      <w:pPr>
        <w:spacing w:after="0" w:line="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members rather than rely on the expensive and ineffective activities of traditional sales and marketing to drive customer acquisition.</w:t>
      </w:r>
    </w:p>
    <w:p>
      <w:pPr>
        <w:spacing w:after="0" w:line="113" w:lineRule="exact"/>
        <w:rPr>
          <w:sz w:val="20"/>
          <w:szCs w:val="20"/>
          <w:color w:val="auto"/>
        </w:rPr>
      </w:pPr>
    </w:p>
    <w:p>
      <w:pPr>
        <w:ind w:left="283" w:right="20" w:hanging="283"/>
        <w:spacing w:after="0" w:line="267" w:lineRule="auto"/>
        <w:tabs>
          <w:tab w:leader="none" w:pos="278"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company culture and long-term vision. </w:t>
      </w:r>
      <w:r>
        <w:rPr>
          <w:rFonts w:ascii="Arial" w:cs="Arial" w:eastAsia="Arial" w:hAnsi="Arial"/>
          <w:sz w:val="16"/>
          <w:szCs w:val="16"/>
          <w:color w:val="auto"/>
        </w:rPr>
        <w:t>Our platform strategy and business model are complemented by our unique company culture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intense focus on the long-term 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spacing w:after="0" w:line="11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that these elements of our approach are hard to replicate, self-reinforcing and work together to drive a powerful competitive advantage.</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platform strategy</w:t>
      </w:r>
    </w:p>
    <w:p>
      <w:pPr>
        <w:spacing w:after="0" w:line="152"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Expensify is a leading cloud-based expense management platform that allows any business to simplify how it manages expenses. Since our founding in 2008, we have processed over 1.1 billion expense transactions on the Expensify platform. We built our platform to be intuitive and easy to deploy, with powerful features that increase our network effect inside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spacing w:after="0" w:line="101" w:lineRule="exact"/>
        <w:rPr>
          <w:sz w:val="20"/>
          <w:szCs w:val="20"/>
          <w:color w:val="auto"/>
        </w:rPr>
      </w:pPr>
    </w:p>
    <w:p>
      <w:pPr>
        <w:ind w:left="283" w:right="180" w:hanging="283"/>
        <w:spacing w:after="0" w:line="264" w:lineRule="auto"/>
        <w:tabs>
          <w:tab w:leader="none" w:pos="278"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Built for everyone. </w:t>
      </w:r>
      <w:r>
        <w:rPr>
          <w:rFonts w:ascii="Arial" w:cs="Arial" w:eastAsia="Arial" w:hAnsi="Arial"/>
          <w:sz w:val="16"/>
          <w:szCs w:val="16"/>
          <w:color w:val="auto"/>
        </w:rPr>
        <w:t>We designed our platform to be used by everyone in an organization, from employees to managers to the finance department.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 an intuitive, elegant user interface that everyday employees can easily understand and operate from any device. We deliver guided 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w:t>
      </w:r>
    </w:p>
    <w:p>
      <w:pPr>
        <w:spacing w:after="0" w:line="96" w:lineRule="exact"/>
        <w:rPr>
          <w:rFonts w:ascii="Arial" w:cs="Arial" w:eastAsia="Arial" w:hAnsi="Arial"/>
          <w:sz w:val="16"/>
          <w:szCs w:val="16"/>
          <w:color w:val="auto"/>
        </w:rPr>
      </w:pPr>
    </w:p>
    <w:p>
      <w:pPr>
        <w:ind w:left="283" w:right="100" w:hanging="283"/>
        <w:spacing w:after="0" w:line="262" w:lineRule="auto"/>
        <w:tabs>
          <w:tab w:leader="none" w:pos="278"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set up. </w:t>
      </w:r>
      <w:r>
        <w:rPr>
          <w:rFonts w:ascii="Arial" w:cs="Arial" w:eastAsia="Arial" w:hAnsi="Arial"/>
          <w:sz w:val="16"/>
          <w:szCs w:val="16"/>
          <w:color w:val="auto"/>
        </w:rPr>
        <w:t>We designed our platform to be easily implemented and configured without the need to speak with a sales person. Any employee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 our free application from mobile app stores or sign up on the website, create an account and start submitting expenses within minutes. When an expense report is submitted, the manager who receives it also automatically becomes a member. Concierge, our AI-powered customer support engine, helps new members set up an account, connect teammates, assign company policies and immediately sync Expensify with existing accounting, HR and travel systems. We believe that by making our platform easily accessible, simple to set up and easily configurable attracts more members to download and try Expensify.</w:t>
      </w:r>
    </w:p>
    <w:p>
      <w:pPr>
        <w:spacing w:after="0" w:line="85" w:lineRule="exact"/>
        <w:rPr>
          <w:rFonts w:ascii="Arial" w:cs="Arial" w:eastAsia="Arial" w:hAnsi="Arial"/>
          <w:sz w:val="16"/>
          <w:szCs w:val="16"/>
          <w:color w:val="auto"/>
        </w:rPr>
      </w:pPr>
    </w:p>
    <w:p>
      <w:pPr>
        <w:ind w:left="283" w:hanging="283"/>
        <w:spacing w:after="0" w:line="262" w:lineRule="auto"/>
        <w:tabs>
          <w:tab w:leader="none" w:pos="278"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Designed to improve experiences for all members. </w:t>
      </w:r>
      <w:r>
        <w:rPr>
          <w:rFonts w:ascii="Arial" w:cs="Arial" w:eastAsia="Arial" w:hAnsi="Arial"/>
          <w:sz w:val="16"/>
          <w:szCs w:val="16"/>
          <w:color w:val="auto"/>
        </w:rPr>
        <w:t>We designed our platform to leverage leading technology, such as our patented SmartScan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proprietary AI-powered 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 points of our members at the center of every technology decision and feature we develop enables us to consistently deliver an improved experience for every employee in an organization.</w:t>
      </w:r>
    </w:p>
    <w:p>
      <w:pPr>
        <w:spacing w:after="0" w:line="98" w:lineRule="exact"/>
        <w:rPr>
          <w:rFonts w:ascii="Arial" w:cs="Arial" w:eastAsia="Arial" w:hAnsi="Arial"/>
          <w:sz w:val="16"/>
          <w:szCs w:val="16"/>
          <w:color w:val="auto"/>
        </w:rPr>
      </w:pPr>
    </w:p>
    <w:p>
      <w:pPr>
        <w:ind w:left="283" w:right="80" w:hanging="283"/>
        <w:spacing w:after="0" w:line="264" w:lineRule="auto"/>
        <w:tabs>
          <w:tab w:leader="none" w:pos="278"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One platform, many features. </w:t>
      </w:r>
      <w:r>
        <w:rPr>
          <w:rFonts w:ascii="Arial" w:cs="Arial" w:eastAsia="Arial" w:hAnsi="Arial"/>
          <w:sz w:val="16"/>
          <w:szCs w:val="16"/>
          <w:color w:val="auto"/>
        </w:rPr>
        <w:t>Expensify is one platform, with one price that unlocks access to every feature on the platform, from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bill payment. Our features are just different configurations of the same underlying tool, and are not different products in some kind of combined suite. We develop our features in a compounding manner, which means that everything we build improves everything we've already built, and lays a foundation for what we will build next. This enables increasingly rapid deployment of new features that solve other problems for our members and allows us to extend the network effect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63"/>
          </w:cols>
          <w:pgMar w:left="317" w:top="1440" w:right="319" w:bottom="1440" w:gutter="0" w:footer="0" w:header="0"/>
        </w:sectPr>
      </w:pPr>
    </w:p>
    <w:bookmarkStart w:id="135" w:name="page136"/>
    <w:bookmarkEnd w:id="135"/>
    <w:p>
      <w:pPr>
        <w:ind w:left="283" w:right="100" w:hanging="283"/>
        <w:spacing w:after="0" w:line="267" w:lineRule="auto"/>
        <w:tabs>
          <w:tab w:leader="none" w:pos="278"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integrated. </w:t>
      </w:r>
      <w:r>
        <w:rPr>
          <w:rFonts w:ascii="Arial" w:cs="Arial" w:eastAsia="Arial" w:hAnsi="Arial"/>
          <w:sz w:val="16"/>
          <w:szCs w:val="16"/>
          <w:color w:val="auto"/>
        </w:rPr>
        <w:t>We designed our platform to easily integrate with other business and consumer applications. We offer over 40 pre-built integrations,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allowing Expensify to seamlessly connect with HR, payroll and accounting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spacing w:after="0" w:line="102" w:lineRule="exact"/>
        <w:rPr>
          <w:sz w:val="20"/>
          <w:szCs w:val="20"/>
          <w:color w:val="auto"/>
        </w:rPr>
      </w:pPr>
    </w:p>
    <w:p>
      <w:pPr>
        <w:ind w:left="3" w:right="680"/>
        <w:spacing w:after="0" w:line="268" w:lineRule="auto"/>
        <w:rPr>
          <w:sz w:val="20"/>
          <w:szCs w:val="20"/>
          <w:color w:val="auto"/>
        </w:rPr>
      </w:pPr>
      <w:r>
        <w:rPr>
          <w:rFonts w:ascii="Arial" w:cs="Arial" w:eastAsia="Arial" w:hAnsi="Arial"/>
          <w:sz w:val="16"/>
          <w:szCs w:val="16"/>
          <w:color w:val="auto"/>
        </w:rPr>
        <w:t>We believe that elements of our platform strategy are a critical driver of the viral, widespread adoption of Expensify across and between any type of organization.</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104775</wp:posOffset>
            </wp:positionV>
            <wp:extent cx="4826000" cy="2714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Card or Bill Pay. As of June 30, 2021, 60% of our revenue can be attributed to an instance where an employee used our application first and recommended it to their manager.</w:t>
      </w:r>
    </w:p>
    <w:p>
      <w:pPr>
        <w:spacing w:after="0" w:line="123"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We offer simple, transparent and flexible subscription plans for both individuals and businesses that are completely self-service and payable by credit card. In the quarter ended June 30, 2021, 95% of our revenue came from recurring, automated monthly payments made via credit cards.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43"/>
          </w:cols>
          <w:pgMar w:left="317" w:top="1422" w:right="339" w:bottom="1440" w:gutter="0" w:footer="0" w:header="0"/>
        </w:sectPr>
      </w:pPr>
    </w:p>
    <w:bookmarkStart w:id="136" w:name="page137"/>
    <w:bookmarkEnd w:id="136"/>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suit their specific needs, all without interacting with a sales representative or paying hidden costs for implementation, maintenance, or support.</w:t>
      </w:r>
    </w:p>
    <w:p>
      <w:pPr>
        <w:spacing w:after="0" w:line="117" w:lineRule="exact"/>
        <w:rPr>
          <w:sz w:val="20"/>
          <w:szCs w:val="20"/>
          <w:color w:val="auto"/>
        </w:rPr>
      </w:pPr>
    </w:p>
    <w:p>
      <w:pPr>
        <w:ind w:left="3" w:right="320"/>
        <w:spacing w:after="0" w:line="289" w:lineRule="auto"/>
        <w:rPr>
          <w:sz w:val="20"/>
          <w:szCs w:val="20"/>
          <w:color w:val="auto"/>
        </w:rPr>
      </w:pPr>
      <w:r>
        <w:rPr>
          <w:rFonts w:ascii="Arial" w:cs="Arial" w:eastAsia="Arial" w:hAnsi="Arial"/>
          <w:sz w:val="16"/>
          <w:szCs w:val="16"/>
          <w:color w:val="auto"/>
        </w:rPr>
        <w:t xml:space="preserve">Our individual subscriptions include our </w:t>
      </w:r>
      <w:r>
        <w:rPr>
          <w:rFonts w:ascii="Arial" w:cs="Arial" w:eastAsia="Arial" w:hAnsi="Arial"/>
          <w:sz w:val="16"/>
          <w:szCs w:val="16"/>
          <w:i w:val="1"/>
          <w:iCs w:val="1"/>
          <w:color w:val="auto"/>
        </w:rPr>
        <w:t>Track</w:t>
      </w:r>
      <w:r>
        <w:rPr>
          <w:rFonts w:ascii="Arial" w:cs="Arial" w:eastAsia="Arial" w:hAnsi="Arial"/>
          <w:sz w:val="16"/>
          <w:szCs w:val="16"/>
          <w:color w:val="auto"/>
        </w:rPr>
        <w:t xml:space="preserve"> and </w:t>
      </w:r>
      <w:r>
        <w:rPr>
          <w:rFonts w:ascii="Arial" w:cs="Arial" w:eastAsia="Arial" w:hAnsi="Arial"/>
          <w:sz w:val="16"/>
          <w:szCs w:val="16"/>
          <w:i w:val="1"/>
          <w:iCs w:val="1"/>
          <w:color w:val="auto"/>
        </w:rPr>
        <w:t>Submit</w:t>
      </w:r>
      <w:r>
        <w:rPr>
          <w:rFonts w:ascii="Arial" w:cs="Arial" w:eastAsia="Arial" w:hAnsi="Arial"/>
          <w:sz w:val="16"/>
          <w:szCs w:val="16"/>
          <w:color w:val="auto"/>
        </w:rPr>
        <w:t xml:space="preserve"> plans, which include an optional paid monthly upgrade for anyone wishing to SmartScan more than 25 receipts in a given month:</w:t>
      </w:r>
    </w:p>
    <w:p>
      <w:pPr>
        <w:spacing w:after="0" w:line="77" w:lineRule="exact"/>
        <w:rPr>
          <w:sz w:val="20"/>
          <w:szCs w:val="20"/>
          <w:color w:val="auto"/>
        </w:rPr>
      </w:pPr>
    </w:p>
    <w:p>
      <w:pPr>
        <w:ind w:left="283" w:hanging="283"/>
        <w:spacing w:after="0"/>
        <w:tabs>
          <w:tab w:leader="none" w:pos="283"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Free Plans </w:t>
      </w:r>
      <w:r>
        <w:rPr>
          <w:rFonts w:ascii="Arial" w:cs="Arial" w:eastAsia="Arial" w:hAnsi="Arial"/>
          <w:sz w:val="16"/>
          <w:szCs w:val="16"/>
          <w:color w:val="auto"/>
        </w:rPr>
        <w:t>(Optional upgrade for unlimited SmartScan)</w:t>
      </w:r>
    </w:p>
    <w:p>
      <w:pPr>
        <w:spacing w:after="0" w:line="144" w:lineRule="exact"/>
        <w:rPr>
          <w:rFonts w:ascii="Arial" w:cs="Arial" w:eastAsia="Arial" w:hAnsi="Arial"/>
          <w:sz w:val="16"/>
          <w:szCs w:val="16"/>
          <w:color w:val="auto"/>
        </w:rPr>
      </w:pPr>
    </w:p>
    <w:p>
      <w:pPr>
        <w:ind w:left="883" w:right="120" w:hanging="298"/>
        <w:spacing w:after="0" w:line="294" w:lineRule="auto"/>
        <w:tabs>
          <w:tab w:leader="none" w:pos="879" w:val="left"/>
        </w:tabs>
        <w:numPr>
          <w:ilvl w:val="1"/>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Track. </w:t>
      </w:r>
      <w:r>
        <w:rPr>
          <w:rFonts w:ascii="Arial" w:cs="Arial" w:eastAsia="Arial" w:hAnsi="Arial"/>
          <w:sz w:val="16"/>
          <w:szCs w:val="16"/>
          <w:color w:val="auto"/>
        </w:rPr>
        <w:t>Our free Track plan comes with our SmartScan receipt scanning functionality and is used primarily by individuals and sole proprietors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streamline their receipt and mileage tracking.</w:t>
      </w:r>
    </w:p>
    <w:p>
      <w:pPr>
        <w:spacing w:after="0" w:line="60" w:lineRule="exact"/>
        <w:rPr>
          <w:rFonts w:ascii="Arial" w:cs="Arial" w:eastAsia="Arial" w:hAnsi="Arial"/>
          <w:sz w:val="16"/>
          <w:szCs w:val="16"/>
          <w:color w:val="auto"/>
        </w:rPr>
      </w:pPr>
    </w:p>
    <w:p>
      <w:pPr>
        <w:ind w:left="883" w:right="440" w:hanging="298"/>
        <w:spacing w:after="0" w:line="294" w:lineRule="auto"/>
        <w:tabs>
          <w:tab w:leader="none" w:pos="879" w:val="left"/>
        </w:tabs>
        <w:numPr>
          <w:ilvl w:val="1"/>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Submit. </w:t>
      </w:r>
      <w:r>
        <w:rPr>
          <w:rFonts w:ascii="Arial" w:cs="Arial" w:eastAsia="Arial" w:hAnsi="Arial"/>
          <w:sz w:val="16"/>
          <w:szCs w:val="16"/>
          <w:color w:val="auto"/>
        </w:rPr>
        <w:t>Our free Submit plan includes the same functionality in Track, and also adds the ability to automatically submit expense reports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anyone for reimbursement.</w:t>
      </w:r>
    </w:p>
    <w:p>
      <w:pPr>
        <w:spacing w:after="0" w:line="77" w:lineRule="exact"/>
        <w:rPr>
          <w:sz w:val="20"/>
          <w:szCs w:val="20"/>
          <w:color w:val="auto"/>
        </w:rPr>
      </w:pPr>
    </w:p>
    <w:p>
      <w:pPr>
        <w:ind w:left="3"/>
        <w:spacing w:after="0" w:line="262" w:lineRule="auto"/>
        <w:rPr>
          <w:sz w:val="20"/>
          <w:szCs w:val="20"/>
          <w:color w:val="auto"/>
        </w:rPr>
      </w:pPr>
      <w:r>
        <w:rPr>
          <w:rFonts w:ascii="Arial" w:cs="Arial" w:eastAsia="Arial" w:hAnsi="Arial"/>
          <w:sz w:val="16"/>
          <w:szCs w:val="16"/>
          <w:color w:val="auto"/>
        </w:rPr>
        <w:t xml:space="preserve">Our business subscriptions can be used by teams, organizations, and companies for free or upgraded to one of our paid plans, which include our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Control </w:t>
      </w:r>
      <w:r>
        <w:rPr>
          <w:rFonts w:ascii="Arial" w:cs="Arial" w:eastAsia="Arial" w:hAnsi="Arial"/>
          <w:sz w:val="16"/>
          <w:szCs w:val="16"/>
          <w:color w:val="auto"/>
        </w:rPr>
        <w:t>plans, following a free trial. We bill customers on</w:t>
      </w:r>
      <w:r>
        <w:rPr>
          <w:rFonts w:ascii="Arial" w:cs="Arial" w:eastAsia="Arial" w:hAnsi="Arial"/>
          <w:sz w:val="16"/>
          <w:szCs w:val="16"/>
          <w:i w:val="1"/>
          <w:iCs w:val="1"/>
          <w:color w:val="auto"/>
        </w:rPr>
        <w:t xml:space="preserve"> Collect </w:t>
      </w:r>
      <w:r>
        <w:rPr>
          <w:rFonts w:ascii="Arial" w:cs="Arial" w:eastAsia="Arial" w:hAnsi="Arial"/>
          <w:sz w:val="16"/>
          <w:szCs w:val="16"/>
          <w:color w:val="auto"/>
        </w:rPr>
        <w:t>and</w:t>
      </w:r>
      <w:r>
        <w:rPr>
          <w:rFonts w:ascii="Arial" w:cs="Arial" w:eastAsia="Arial" w:hAnsi="Arial"/>
          <w:sz w:val="16"/>
          <w:szCs w:val="16"/>
          <w:i w:val="1"/>
          <w:iCs w:val="1"/>
          <w:color w:val="auto"/>
        </w:rPr>
        <w:t xml:space="preserve"> Control </w:t>
      </w:r>
      <w:r>
        <w:rPr>
          <w:rFonts w:ascii="Arial" w:cs="Arial" w:eastAsia="Arial" w:hAnsi="Arial"/>
          <w:sz w:val="16"/>
          <w:szCs w:val="16"/>
          <w:color w:val="auto"/>
        </w:rPr>
        <w:t>plans at the start of each month based on the number of policy members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were active in the previous month. Each customer has either a "pay per use" plan in which they are billed a flat rate or each active member, or an "annual" plan where they commit to a minimum number of monthly seats in exchange for a discount.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customers can access additional discounts if they spend on the Expensify Card:</w:t>
      </w:r>
    </w:p>
    <w:p>
      <w:pPr>
        <w:spacing w:after="0" w:line="100" w:lineRule="exact"/>
        <w:rPr>
          <w:sz w:val="20"/>
          <w:szCs w:val="20"/>
          <w:color w:val="auto"/>
        </w:rPr>
      </w:pPr>
    </w:p>
    <w:p>
      <w:pPr>
        <w:ind w:left="283" w:hanging="283"/>
        <w:spacing w:after="0"/>
        <w:tabs>
          <w:tab w:leader="none" w:pos="283"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Free Plans</w:t>
      </w:r>
    </w:p>
    <w:p>
      <w:pPr>
        <w:spacing w:after="0" w:line="132" w:lineRule="exact"/>
        <w:rPr>
          <w:rFonts w:ascii="Arial" w:cs="Arial" w:eastAsia="Arial" w:hAnsi="Arial"/>
          <w:sz w:val="16"/>
          <w:szCs w:val="16"/>
          <w:b w:val="1"/>
          <w:bCs w:val="1"/>
          <w:color w:val="auto"/>
        </w:rPr>
      </w:pPr>
    </w:p>
    <w:p>
      <w:pPr>
        <w:ind w:left="883" w:right="620" w:hanging="298"/>
        <w:spacing w:after="0" w:line="294" w:lineRule="auto"/>
        <w:tabs>
          <w:tab w:leader="none" w:pos="879" w:val="left"/>
        </w:tabs>
        <w:numPr>
          <w:ilvl w:val="1"/>
          <w:numId w:val="8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t>
      </w:r>
      <w:r>
        <w:rPr>
          <w:rFonts w:ascii="Arial" w:cs="Arial" w:eastAsia="Arial" w:hAnsi="Arial"/>
          <w:sz w:val="16"/>
          <w:szCs w:val="16"/>
          <w:color w:val="auto"/>
        </w:rPr>
        <w:t>Our Free plan, introduced in September 2021, enables our members to roll out a corporate card program with the Expensify Card,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 cash expenses for employees, send invoices to clients and set up bill payment for their team.</w:t>
      </w:r>
    </w:p>
    <w:p>
      <w:pPr>
        <w:spacing w:after="0" w:line="72" w:lineRule="exact"/>
        <w:rPr>
          <w:rFonts w:ascii="Arial" w:cs="Arial" w:eastAsia="Arial" w:hAnsi="Arial"/>
          <w:sz w:val="16"/>
          <w:szCs w:val="16"/>
          <w:b w:val="1"/>
          <w:bCs w:val="1"/>
          <w:color w:val="auto"/>
        </w:rPr>
      </w:pPr>
    </w:p>
    <w:p>
      <w:pPr>
        <w:ind w:left="283" w:hanging="283"/>
        <w:spacing w:after="0"/>
        <w:tabs>
          <w:tab w:leader="none" w:pos="283"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Paid Plans</w:t>
      </w:r>
    </w:p>
    <w:p>
      <w:pPr>
        <w:spacing w:after="0" w:line="144" w:lineRule="exact"/>
        <w:rPr>
          <w:rFonts w:ascii="Arial" w:cs="Arial" w:eastAsia="Arial" w:hAnsi="Arial"/>
          <w:sz w:val="16"/>
          <w:szCs w:val="16"/>
          <w:b w:val="1"/>
          <w:bCs w:val="1"/>
          <w:color w:val="auto"/>
        </w:rPr>
      </w:pPr>
    </w:p>
    <w:p>
      <w:pPr>
        <w:ind w:left="883" w:right="200" w:hanging="298"/>
        <w:spacing w:after="0" w:line="294" w:lineRule="auto"/>
        <w:tabs>
          <w:tab w:leader="none" w:pos="879" w:val="left"/>
        </w:tabs>
        <w:numPr>
          <w:ilvl w:val="1"/>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Collect.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Collect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enables our members to integrate with popular small business accounting systems, configure simple expense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as well as pay employees, contractors and volunteers via Direct Deposit ACH.</w:t>
      </w:r>
    </w:p>
    <w:p>
      <w:pPr>
        <w:spacing w:after="0" w:line="60" w:lineRule="exact"/>
        <w:rPr>
          <w:rFonts w:ascii="Arial" w:cs="Arial" w:eastAsia="Arial" w:hAnsi="Arial"/>
          <w:sz w:val="16"/>
          <w:szCs w:val="16"/>
          <w:color w:val="auto"/>
        </w:rPr>
      </w:pPr>
    </w:p>
    <w:p>
      <w:pPr>
        <w:ind w:left="883" w:right="360" w:hanging="298"/>
        <w:spacing w:after="0" w:line="274" w:lineRule="auto"/>
        <w:tabs>
          <w:tab w:leader="none" w:pos="879" w:val="left"/>
        </w:tabs>
        <w:numPr>
          <w:ilvl w:val="1"/>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Control.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which is by far our most popular plan, includes everything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Collect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adds the ability to configure rules-based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and integrate with financial, travel, HR, as well as other internal systems commonly used by mid-market and enterprise companies.</w:t>
      </w:r>
    </w:p>
    <w:p>
      <w:pPr>
        <w:spacing w:after="0" w:line="108"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We believe that our happy members are the best form of marketing, and our self-service, bottom-up approach takes advantage of strong, organic word-of-mouth adoption. By making our members’ lives better with easy-to-use but powerful software, they organically recommend and encourage colleagues and friends to use Expensify both within and outside their organization. This is evidenced by consistently high reviews by our customers, including a 4.7/5 rating on the Apple App Store and leading scores across G2, Capterra, TrustRadius and GetApp review sites. We support this powerful word-of-mouth marketing with large-scale brand advertising to build market consensus that Expensify is the software of choice for expense management. This includes active participation in industry conferences, partnerships with industry influencers, partner marketing and hosting our own conference, ExpensiCon. We believe that these activities to drive awareness are crucial given our focus on individual employees and the fact that expense management touches every employee and spans every layer of an organization. Additionally, our platform and customer support have been consistently recognized with multiple awards from industry publications and partners, including the CPA Practice Advisor Readers Choice for Expense &amp; Travel Management Solution in 2021, the TrustRadius Choice for Customer Support in 2021 and one of three PC Magazine Editors’ Choice for Expense Tracking in 2020.</w:t>
      </w:r>
    </w:p>
    <w:p>
      <w:pPr>
        <w:spacing w:after="0" w:line="128" w:lineRule="exact"/>
        <w:rPr>
          <w:sz w:val="20"/>
          <w:szCs w:val="20"/>
          <w:color w:val="auto"/>
        </w:rPr>
      </w:pPr>
    </w:p>
    <w:p>
      <w:pPr>
        <w:ind w:left="3" w:right="320"/>
        <w:spacing w:after="0" w:line="268" w:lineRule="auto"/>
        <w:rPr>
          <w:sz w:val="20"/>
          <w:szCs w:val="20"/>
          <w:color w:val="auto"/>
        </w:rPr>
      </w:pPr>
      <w:r>
        <w:rPr>
          <w:rFonts w:ascii="Arial" w:cs="Arial" w:eastAsia="Arial" w:hAnsi="Arial"/>
          <w:sz w:val="16"/>
          <w:szCs w:val="16"/>
          <w:color w:val="auto"/>
        </w:rPr>
        <w:t>We also leverage partnerships with accounting and bookkeeping firms, who provide validation of our platform and refer customers to us. We partner with strategic accounting software partners such as Intuit,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43"/>
          </w:cols>
          <w:pgMar w:left="317" w:top="1440" w:right="339" w:bottom="1440" w:gutter="0" w:footer="0" w:header="0"/>
        </w:sectPr>
      </w:pPr>
    </w:p>
    <w:bookmarkStart w:id="137" w:name="page138"/>
    <w:bookmarkEnd w:id="137"/>
    <w:p>
      <w:pPr>
        <w:spacing w:after="0" w:line="2"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 xml:space="preserve">NetSuite, Xero and Intacct to integrate our software in their clients’ back offices, and recognize us as a top expense tool when their clients are browsing and selecting integrated solutions. Additionally, our </w:t>
      </w:r>
      <w:r>
        <w:rPr>
          <w:rFonts w:ascii="Arial" w:cs="Arial" w:eastAsia="Arial" w:hAnsi="Arial"/>
          <w:sz w:val="16"/>
          <w:szCs w:val="16"/>
          <w:i w:val="1"/>
          <w:iCs w:val="1"/>
          <w:color w:val="auto"/>
        </w:rPr>
        <w:t>ExpensifyApproved!</w:t>
      </w:r>
      <w:r>
        <w:rPr>
          <w:rFonts w:ascii="Arial" w:cs="Arial" w:eastAsia="Arial" w:hAnsi="Arial"/>
          <w:sz w:val="16"/>
          <w:szCs w:val="16"/>
          <w:color w:val="auto"/>
        </w:rPr>
        <w:t xml:space="preserve"> Partner Program trains and supports accountants to use our platform and encourages their customers to use Expensify. We work hard to maintain top expense partner status with all partners to support our market consensus strategy. The strength of our alliances is highlighted by frequent distinction by our partners, including being named NetSuite’s Innovation Partner of the Year, Xero’s App Partner of the Year and one of the most reviewed “Popular Apps” on the Intuit Quickbooks platform.</w:t>
      </w:r>
    </w:p>
    <w:p>
      <w:pPr>
        <w:spacing w:after="0" w:line="111"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culture</w:t>
      </w:r>
    </w:p>
    <w:p>
      <w:pPr>
        <w:spacing w:after="0" w:line="164" w:lineRule="exact"/>
        <w:rPr>
          <w:sz w:val="20"/>
          <w:szCs w:val="20"/>
          <w:color w:val="auto"/>
        </w:rPr>
      </w:pPr>
    </w:p>
    <w:p>
      <w:pPr>
        <w:ind w:left="3" w:right="80"/>
        <w:spacing w:after="0" w:line="258" w:lineRule="auto"/>
        <w:rPr>
          <w:sz w:val="20"/>
          <w:szCs w:val="20"/>
          <w:color w:val="auto"/>
        </w:rPr>
      </w:pPr>
      <w:r>
        <w:rPr>
          <w:rFonts w:ascii="Arial" w:cs="Arial" w:eastAsia="Arial" w:hAnsi="Arial"/>
          <w:sz w:val="16"/>
          <w:szCs w:val="16"/>
          <w:color w:val="auto"/>
        </w:rPr>
        <w:t>At Expensify, our culture is deeply embedded in everything we do. We strive to create a diverse, inclusive and collaborative workplace that prioritizes and fosters the long-term happiness of our employees. We operate with a flat, generalist organizational structure, where everybody is encouraged to participate in every discussion and contribute to every decision they choose to. Our culture is centered on the belief that a life well lived is one that enables you to achieve the following three goals, which we all work towards with a long-term mindset:</w:t>
      </w:r>
    </w:p>
    <w:p>
      <w:pPr>
        <w:spacing w:after="0" w:line="90" w:lineRule="exact"/>
        <w:rPr>
          <w:sz w:val="20"/>
          <w:szCs w:val="20"/>
          <w:color w:val="auto"/>
        </w:rPr>
      </w:pPr>
    </w:p>
    <w:p>
      <w:pPr>
        <w:ind w:left="283" w:hanging="283"/>
        <w:spacing w:after="0" w:line="274" w:lineRule="auto"/>
        <w:tabs>
          <w:tab w:leader="none" w:pos="278"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Live Rich. </w:t>
      </w:r>
      <w:r>
        <w:rPr>
          <w:rFonts w:ascii="Arial" w:cs="Arial" w:eastAsia="Arial" w:hAnsi="Arial"/>
          <w:sz w:val="16"/>
          <w:szCs w:val="16"/>
          <w:color w:val="auto"/>
        </w:rPr>
        <w:t>This means we want to have ample means, and the time to enjoy it. We want to participate in a diverse, equitable, inclusive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fundamentally just society -- both inside and outside our own walls. We want to have a “comfortable baseline,” where on a dull, ordinary day we wake up refreshed and excited to take on the day’s challenges, and go to bed each night fully satisfied in life well lived and a job well done.</w:t>
      </w:r>
    </w:p>
    <w:p>
      <w:pPr>
        <w:spacing w:after="0" w:line="88" w:lineRule="exact"/>
        <w:rPr>
          <w:rFonts w:ascii="Arial" w:cs="Arial" w:eastAsia="Arial" w:hAnsi="Arial"/>
          <w:sz w:val="16"/>
          <w:szCs w:val="16"/>
          <w:color w:val="auto"/>
        </w:rPr>
      </w:pPr>
    </w:p>
    <w:p>
      <w:pPr>
        <w:ind w:left="283" w:right="60" w:hanging="283"/>
        <w:spacing w:after="0" w:line="262" w:lineRule="auto"/>
        <w:tabs>
          <w:tab w:leader="none" w:pos="278"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Have Fun. </w:t>
      </w:r>
      <w:r>
        <w:rPr>
          <w:rFonts w:ascii="Arial" w:cs="Arial" w:eastAsia="Arial" w:hAnsi="Arial"/>
          <w:sz w:val="16"/>
          <w:szCs w:val="16"/>
          <w:color w:val="auto"/>
        </w:rPr>
        <w:t>Sometimes, we want to do stuff that is awesome just for the sake of awesomeness. Not too often, but often enough to remind ourselves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living life to its fullest, and enabling others to do the same. For example, every year, we bring the whole company, plus families and kids, to a warm and sunny international location for a month-long "working vacation" to enable our employees to collaborate in person from a remote beach, build friendships with their colleagues, broaden their perspective and have a great time. These “Offshore” trips are productivity powerhouses that have resulted in some of our most impressive platform developments to date. Most recently, our team built the technology behind the Expensify Card as we hopped from cafe to cafe together in Hanoi, Vietnam.</w:t>
      </w:r>
    </w:p>
    <w:p>
      <w:pPr>
        <w:spacing w:after="0" w:line="98" w:lineRule="exact"/>
        <w:rPr>
          <w:rFonts w:ascii="Arial" w:cs="Arial" w:eastAsia="Arial" w:hAnsi="Arial"/>
          <w:sz w:val="16"/>
          <w:szCs w:val="16"/>
          <w:color w:val="auto"/>
        </w:rPr>
      </w:pPr>
    </w:p>
    <w:p>
      <w:pPr>
        <w:ind w:left="283" w:right="80" w:hanging="283"/>
        <w:spacing w:after="0" w:line="274" w:lineRule="auto"/>
        <w:tabs>
          <w:tab w:leader="none" w:pos="278"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Save The World. </w:t>
      </w:r>
      <w:r>
        <w:rPr>
          <w:rFonts w:ascii="Arial" w:cs="Arial" w:eastAsia="Arial" w:hAnsi="Arial"/>
          <w:sz w:val="16"/>
          <w:szCs w:val="16"/>
          <w:color w:val="auto"/>
        </w:rPr>
        <w:t>We like the phrasing of this goal precisely because it is bombastic. We want to play an active role in unwinding the systemic bias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prevented so many from living rich. We believe that even a small team with limited resources, given enough time and focus, can move the world. This is why we started Expensify.org, to “create a just and generous world”, and we are all totally committed to its mission.</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that there are three common qualities critical to achieving these three goals and the success of our company:</w:t>
      </w:r>
    </w:p>
    <w:p>
      <w:pPr>
        <w:spacing w:after="0" w:line="125" w:lineRule="exact"/>
        <w:rPr>
          <w:sz w:val="20"/>
          <w:szCs w:val="20"/>
          <w:color w:val="auto"/>
        </w:rPr>
      </w:pPr>
    </w:p>
    <w:p>
      <w:pPr>
        <w:ind w:left="283" w:hanging="283"/>
        <w:spacing w:after="0"/>
        <w:tabs>
          <w:tab w:leader="none" w:pos="283"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w:t>
      </w:r>
      <w:r>
        <w:rPr>
          <w:rFonts w:ascii="Arial" w:cs="Arial" w:eastAsia="Arial" w:hAnsi="Arial"/>
          <w:sz w:val="16"/>
          <w:szCs w:val="16"/>
          <w:color w:val="auto"/>
        </w:rPr>
        <w:t>Each of us can learn without being taught, and can teach whatever we’ve learned.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Ambition. </w:t>
      </w:r>
      <w:r>
        <w:rPr>
          <w:rFonts w:ascii="Arial" w:cs="Arial" w:eastAsia="Arial" w:hAnsi="Arial"/>
          <w:sz w:val="16"/>
          <w:szCs w:val="16"/>
          <w:color w:val="auto"/>
        </w:rPr>
        <w:t>Each of us has a genuine desire to accomplish something meaningful to us individually, to create more than we consume in this world.</w:t>
      </w:r>
    </w:p>
    <w:p>
      <w:pPr>
        <w:spacing w:after="0" w:line="132" w:lineRule="exact"/>
        <w:rPr>
          <w:rFonts w:ascii="Arial" w:cs="Arial" w:eastAsia="Arial" w:hAnsi="Arial"/>
          <w:sz w:val="16"/>
          <w:szCs w:val="16"/>
          <w:color w:val="auto"/>
        </w:rPr>
      </w:pPr>
    </w:p>
    <w:p>
      <w:pPr>
        <w:ind w:left="283" w:right="220" w:hanging="283"/>
        <w:spacing w:after="0" w:line="294" w:lineRule="auto"/>
        <w:tabs>
          <w:tab w:leader="none" w:pos="278"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Humility. </w:t>
      </w:r>
      <w:r>
        <w:rPr>
          <w:rFonts w:ascii="Arial" w:cs="Arial" w:eastAsia="Arial" w:hAnsi="Arial"/>
          <w:sz w:val="16"/>
          <w:szCs w:val="16"/>
          <w:color w:val="auto"/>
        </w:rPr>
        <w:t>Each of us genuinely values the opinions and perspectives of others, and seeks above all to find the right solution to any given problem,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 who came up with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03"/>
          </w:cols>
          <w:pgMar w:left="317" w:top="1440" w:right="379" w:bottom="1440" w:gutter="0" w:footer="0" w:header="0"/>
        </w:sectPr>
      </w:pPr>
    </w:p>
    <w:bookmarkStart w:id="138" w:name="page139"/>
    <w:bookmarkEnd w:id="138"/>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Finally, our long-term commitment to our three life goals is guided by two simple rules:</w:t>
      </w:r>
    </w:p>
    <w:p>
      <w:pPr>
        <w:spacing w:after="0" w:line="113" w:lineRule="exact"/>
        <w:rPr>
          <w:sz w:val="20"/>
          <w:szCs w:val="20"/>
          <w:color w:val="auto"/>
        </w:rPr>
      </w:pPr>
    </w:p>
    <w:p>
      <w:pPr>
        <w:ind w:left="283" w:right="320" w:hanging="283"/>
        <w:spacing w:after="0" w:line="294" w:lineRule="auto"/>
        <w:tabs>
          <w:tab w:leader="none" w:pos="27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Get Shit Done. </w:t>
      </w:r>
      <w:r>
        <w:rPr>
          <w:rFonts w:ascii="Arial" w:cs="Arial" w:eastAsia="Arial" w:hAnsi="Arial"/>
          <w:sz w:val="16"/>
          <w:szCs w:val="16"/>
          <w:color w:val="auto"/>
        </w:rPr>
        <w:t>We have little-to-no internal hierarchy; nobody reports to anyone else. Everyone is responsible for their own time and empowered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spend it in the way they feel will best advance their own goals, and the goals of the company.</w:t>
      </w:r>
    </w:p>
    <w:p>
      <w:pPr>
        <w:spacing w:after="0" w:line="72" w:lineRule="exact"/>
        <w:rPr>
          <w:rFonts w:ascii="Arial" w:cs="Arial" w:eastAsia="Arial" w:hAnsi="Arial"/>
          <w:sz w:val="16"/>
          <w:szCs w:val="16"/>
          <w:color w:val="auto"/>
        </w:rPr>
      </w:pPr>
    </w:p>
    <w:p>
      <w:pPr>
        <w:ind w:left="283" w:right="200" w:hanging="283"/>
        <w:spacing w:after="0" w:line="274" w:lineRule="auto"/>
        <w:tabs>
          <w:tab w:leader="none" w:pos="27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Don’t Ruin It for Everyone Else. </w:t>
      </w:r>
      <w:r>
        <w:rPr>
          <w:rFonts w:ascii="Arial" w:cs="Arial" w:eastAsia="Arial" w:hAnsi="Arial"/>
          <w:sz w:val="16"/>
          <w:szCs w:val="16"/>
          <w:color w:val="auto"/>
        </w:rPr>
        <w:t>Whenever there is some complicated scenario with an unclear resolution, we always brainstorm the fairest possible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 -- and then put in the hard work to make that ideal solution our actual solution. Fairness rarely comes easy, and is typically far, far from the norm.</w:t>
      </w:r>
    </w:p>
    <w:p>
      <w:pPr>
        <w:spacing w:after="0" w:line="108"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We believe that our unique culture and our employees’ happiness and long-term commitment to Expensify is a critical component of our success. As of June 30, 2021, 64% of our 140 employees have a tenure of over 4 years, and our 10-person leadership team has an average tenure of 8.6 years. We dedicate significant time and resources to monitor and improve the happiness of our employees, including a monthly survey to measure our employees’ happiness. In 2020, this survey produced an average employee happiness score of 8.93 out of 10. Additionally, as of June 30, 2021 we had a rating of 4.9 out of 5 on Glassdoor. While we are extremely proud of our employee happiness, we remain relentlessly committed to reevaluating ourselves and continuing to foster a workplace environment that prioritizes the well-being of each and every Expensify employee.</w:t>
      </w:r>
    </w:p>
    <w:p>
      <w:pPr>
        <w:spacing w:after="0" w:line="9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competitive strengths</w:t>
      </w:r>
    </w:p>
    <w:p>
      <w:pPr>
        <w:spacing w:after="0" w:line="164" w:lineRule="exact"/>
        <w:rPr>
          <w:sz w:val="20"/>
          <w:szCs w:val="20"/>
          <w:color w:val="auto"/>
        </w:rPr>
      </w:pPr>
    </w:p>
    <w:p>
      <w:pPr>
        <w:ind w:left="3" w:right="160"/>
        <w:spacing w:after="0" w:line="268" w:lineRule="auto"/>
        <w:rPr>
          <w:sz w:val="20"/>
          <w:szCs w:val="20"/>
          <w:color w:val="auto"/>
        </w:rPr>
      </w:pPr>
      <w:r>
        <w:rPr>
          <w:rFonts w:ascii="Arial" w:cs="Arial" w:eastAsia="Arial" w:hAnsi="Arial"/>
          <w:sz w:val="16"/>
          <w:szCs w:val="16"/>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3" w:lineRule="exact"/>
        <w:rPr>
          <w:sz w:val="20"/>
          <w:szCs w:val="20"/>
          <w:color w:val="auto"/>
        </w:rPr>
      </w:pPr>
    </w:p>
    <w:p>
      <w:pPr>
        <w:ind w:left="283" w:hanging="283"/>
        <w:spacing w:after="0" w:line="260" w:lineRule="auto"/>
        <w:tabs>
          <w:tab w:leader="none" w:pos="278"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Hyper-focus on an improved experience for our members. </w:t>
      </w:r>
      <w:r>
        <w:rPr>
          <w:rFonts w:ascii="Arial" w:cs="Arial" w:eastAsia="Arial" w:hAnsi="Arial"/>
          <w:sz w:val="16"/>
          <w:szCs w:val="16"/>
          <w:color w:val="auto"/>
        </w:rPr>
        <w:t>Since our inception, our principal goal has been to offer a single, intuitive and powerful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with features designed for the actual end users of expense management software: everyday employees. Our platform is reliable and easy to set up, integrate, configure and use, which has enabled us to serve members of all types and organizations of all sizes and industries. We leverage our AI-powered customer support engine, Concierge, to inject customer feedback directly into our product development, and continuously innovate features to address additional use cases for our members. While many software companies focus on the needs of the decision maker, we believe our relentless focus on making the actual end user happier has enabled us to become the market leader for expense management software and primed us to become a leading provider for other back-office software.</w:t>
      </w:r>
    </w:p>
    <w:p>
      <w:pPr>
        <w:spacing w:after="0" w:line="90" w:lineRule="exact"/>
        <w:rPr>
          <w:rFonts w:ascii="Arial" w:cs="Arial" w:eastAsia="Arial" w:hAnsi="Arial"/>
          <w:sz w:val="16"/>
          <w:szCs w:val="16"/>
          <w:color w:val="auto"/>
        </w:rPr>
      </w:pPr>
    </w:p>
    <w:p>
      <w:pPr>
        <w:ind w:left="283" w:right="260" w:hanging="283"/>
        <w:spacing w:after="0" w:line="264" w:lineRule="auto"/>
        <w:tabs>
          <w:tab w:leader="none" w:pos="278"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bottom-up business model. </w:t>
      </w:r>
      <w:r>
        <w:rPr>
          <w:rFonts w:ascii="Arial" w:cs="Arial" w:eastAsia="Arial" w:hAnsi="Arial"/>
          <w:sz w:val="16"/>
          <w:szCs w:val="16"/>
          <w:color w:val="auto"/>
        </w:rPr>
        <w:t>We leverage an efficient, self-service business model driven by the viral, bottom-up adoption of our platform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After the initial use of Expensify by employees, they realize time savings and improved productivity and recommend our platform to other colleagues and departments within their organization. Unlike the costly traditional enterprise sales method that focuses on a smaller set of decision makers, our intense focus on the employee enables zero marginal costs for new leads, provides hundreds of entry points into every customer, and allows us to profitably sell to large portions of the market, from one-person businesses to the largest organizations in the world.</w:t>
      </w:r>
    </w:p>
    <w:p>
      <w:pPr>
        <w:spacing w:after="0" w:line="96" w:lineRule="exact"/>
        <w:rPr>
          <w:rFonts w:ascii="Arial" w:cs="Arial" w:eastAsia="Arial" w:hAnsi="Arial"/>
          <w:sz w:val="16"/>
          <w:szCs w:val="16"/>
          <w:color w:val="auto"/>
        </w:rPr>
      </w:pPr>
    </w:p>
    <w:p>
      <w:pPr>
        <w:ind w:left="283" w:right="80" w:hanging="283"/>
        <w:spacing w:after="0" w:line="262" w:lineRule="auto"/>
        <w:tabs>
          <w:tab w:leader="none" w:pos="278"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Recognized market consensus and efficient word-of-mouth. </w:t>
      </w:r>
      <w:r>
        <w:rPr>
          <w:rFonts w:ascii="Arial" w:cs="Arial" w:eastAsia="Arial" w:hAnsi="Arial"/>
          <w:sz w:val="16"/>
          <w:szCs w:val="16"/>
          <w:color w:val="auto"/>
        </w:rPr>
        <w:t>Our members drive the adoption and expansion of Expensify within organizations,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platform and business model are intensely focused on improving their everyday experience. This creates positive and powerful word-of-mouth that drives incredibly efficient and scalable organic customer acquisition and marketing. Every employee in every company in the world is a legitimate prospect to us, and since employees greatly outnumber managers in every business, we do not have to laser target our marketing to narrowly qualified decision makers. This means that we have access to exponentially more advertising inventory than traditional top-down sales models and a massive opportunity to create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23"/>
          </w:cols>
          <w:pgMar w:left="317" w:top="1440" w:right="359" w:bottom="1440" w:gutter="0" w:footer="0" w:header="0"/>
        </w:sectPr>
      </w:pPr>
    </w:p>
    <w:bookmarkStart w:id="139" w:name="page140"/>
    <w:bookmarkEnd w:id="139"/>
    <w:p>
      <w:pPr>
        <w:ind w:left="283" w:hanging="283"/>
        <w:spacing w:after="0" w:line="262" w:lineRule="auto"/>
        <w:tabs>
          <w:tab w:leader="none" w:pos="278"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Employee-centric legal structure and database design</w:t>
      </w:r>
      <w:r>
        <w:rPr>
          <w:rFonts w:ascii="Arial" w:cs="Arial" w:eastAsia="Arial" w:hAnsi="Arial"/>
          <w:sz w:val="16"/>
          <w:szCs w:val="16"/>
          <w:color w:val="auto"/>
        </w:rPr>
        <w:t>. Our platform is built on Bedrock, a proprietary and private distributed database that we built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ourselves. Bedrock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 regardless of how the member was acquired and what their original use case was, we are able to effectively and uniformly distribute our entire suite of features to them. We also enable any member to collaborate with any other member, no matter where they are or what company employs them. We believe no other company can replicate our bottom-up adoption model without this defensible technical and legal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67945</wp:posOffset>
            </wp:positionV>
            <wp:extent cx="4639945" cy="26060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3994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83" w:right="60" w:hanging="283"/>
        <w:spacing w:after="0" w:line="259" w:lineRule="auto"/>
        <w:tabs>
          <w:tab w:leader="none" w:pos="278"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Nimble and extremely loyal team with a shared, long-term vision. </w:t>
      </w:r>
      <w:r>
        <w:rPr>
          <w:rFonts w:ascii="Arial" w:cs="Arial" w:eastAsia="Arial" w:hAnsi="Arial"/>
          <w:sz w:val="16"/>
          <w:szCs w:val="16"/>
          <w:color w:val="auto"/>
        </w:rPr>
        <w:t>Our efficient business model allows us to prioritize our resources to attract, retain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inspire a vastly more talent-dense team than our competition, whose top-down, expensive business models prevent them from making the kind of serious compensation and lifestyle commitments to their employees that we can. This unmatched talent density enables a flat generalist structure that achieves a level of creativity, agility and boldness that our large, low-paid, hierarchically-managed competition cannot duplicate. Our superior value alignment of internal decision makers and rank-and-file employees achieves impressive levels of retention, which provides the necessary corporate patience and ambition to execute a truly massive, long-term vision. We prioritize diversity, equity and inclusion, recognizing diverse perspectives lead to better outcomes. Attracting and retaining a diverse and global workforce, with employees of different races, ethnicities, nationalities, religions, ages, gender identities, sexual orientations and more, is central to our ability to innovate and create value over the long term.</w:t>
      </w:r>
    </w:p>
    <w:p>
      <w:pPr>
        <w:spacing w:after="0" w:line="112"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We believe that these strengths set us apart from our competition and put us in a powerful position to maintain and expand our market leadership as we add new features and our industry grows.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growth strategies</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intend to drive the growth of our business by executing on the following strategies:</w:t>
      </w:r>
    </w:p>
    <w:p>
      <w:pPr>
        <w:spacing w:after="0" w:line="113" w:lineRule="exact"/>
        <w:rPr>
          <w:sz w:val="20"/>
          <w:szCs w:val="20"/>
          <w:color w:val="auto"/>
        </w:rPr>
      </w:pPr>
    </w:p>
    <w:p>
      <w:pPr>
        <w:ind w:left="283" w:right="120" w:hanging="283"/>
        <w:spacing w:after="0" w:line="294" w:lineRule="auto"/>
        <w:tabs>
          <w:tab w:leader="none" w:pos="278"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new features that create additional value for existing members. </w:t>
      </w:r>
      <w:r>
        <w:rPr>
          <w:rFonts w:ascii="Arial" w:cs="Arial" w:eastAsia="Arial" w:hAnsi="Arial"/>
          <w:sz w:val="16"/>
          <w:szCs w:val="16"/>
          <w:color w:val="auto"/>
        </w:rPr>
        <w:t>Our word-of-mouth model works well because people genuinely enjoy 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Expensify. We intend to continue to invest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03"/>
          </w:cols>
          <w:pgMar w:left="317" w:top="1422" w:right="379" w:bottom="1440" w:gutter="0" w:footer="0" w:header="0"/>
        </w:sectPr>
      </w:pPr>
    </w:p>
    <w:bookmarkStart w:id="140" w:name="page141"/>
    <w:bookmarkEnd w:id="140"/>
    <w:p>
      <w:pPr>
        <w:spacing w:after="0" w:line="2" w:lineRule="exact"/>
        <w:rPr>
          <w:sz w:val="20"/>
          <w:szCs w:val="20"/>
          <w:color w:val="auto"/>
        </w:rPr>
      </w:pPr>
    </w:p>
    <w:p>
      <w:pPr>
        <w:ind w:left="283" w:right="20"/>
        <w:spacing w:after="0" w:line="258" w:lineRule="auto"/>
        <w:rPr>
          <w:sz w:val="20"/>
          <w:szCs w:val="20"/>
          <w:color w:val="auto"/>
        </w:rPr>
      </w:pPr>
      <w:r>
        <w:rPr>
          <w:rFonts w:ascii="Arial" w:cs="Arial" w:eastAsia="Arial" w:hAnsi="Arial"/>
          <w:sz w:val="16"/>
          <w:szCs w:val="16"/>
          <w:color w:val="auto"/>
        </w:rPr>
        <w:t>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In the month of June 2021, 70% of our team was involved in material aspects of research and development. By efficiently investing in new features that prioritize the needs of our members, we can continue to retain existing members and attract new members via word-of-mouth;</w:t>
      </w:r>
    </w:p>
    <w:p>
      <w:pPr>
        <w:spacing w:after="0" w:line="90" w:lineRule="exact"/>
        <w:rPr>
          <w:sz w:val="20"/>
          <w:szCs w:val="20"/>
          <w:color w:val="auto"/>
        </w:rPr>
      </w:pPr>
    </w:p>
    <w:p>
      <w:pPr>
        <w:ind w:left="283" w:hanging="283"/>
        <w:spacing w:after="0" w:line="263" w:lineRule="auto"/>
        <w:tabs>
          <w:tab w:leader="none" w:pos="278"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new features that attract new members beyond employees who submit expenses. </w:t>
      </w:r>
      <w:r>
        <w:rPr>
          <w:rFonts w:ascii="Arial" w:cs="Arial" w:eastAsia="Arial" w:hAnsi="Arial"/>
          <w:sz w:val="16"/>
          <w:szCs w:val="16"/>
          <w:color w:val="auto"/>
        </w:rPr>
        <w:t>We have and will continue to invest in developing features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complementary and adjacent 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 These features will enable easy financial collaboration within communities and between friends and family;</w:t>
      </w:r>
    </w:p>
    <w:p>
      <w:pPr>
        <w:spacing w:after="0" w:line="295" w:lineRule="exact"/>
        <w:rPr>
          <w:rFonts w:ascii="Arial" w:cs="Arial" w:eastAsia="Arial" w:hAnsi="Arial"/>
          <w:sz w:val="16"/>
          <w:szCs w:val="16"/>
          <w:color w:val="auto"/>
        </w:rPr>
      </w:pPr>
    </w:p>
    <w:p>
      <w:pPr>
        <w:ind w:left="283" w:right="60" w:hanging="283"/>
        <w:spacing w:after="0" w:line="259" w:lineRule="auto"/>
        <w:tabs>
          <w:tab w:leader="none" w:pos="278"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viral loops into our member experience that increase adoption by new customers. </w:t>
      </w:r>
      <w:r>
        <w:rPr>
          <w:rFonts w:ascii="Arial" w:cs="Arial" w:eastAsia="Arial" w:hAnsi="Arial"/>
          <w:sz w:val="16"/>
          <w:szCs w:val="16"/>
          <w:color w:val="auto"/>
        </w:rPr>
        <w:t>We design our expense management platform and every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feature with the aim of frictionless adoption. For the six months ended June 30, 2021, approximately 60% of our revenue was driven by bottom-up adoption: individual employees download the Expensify mobile app or sign up on our website, for free, and use it to submit their expenses to their bosses – turning every expense report into a highly targeted marketing message, straight to a decision maker. Outside of expense management, we have expanded our platform and built invoicing and bill payment features with the goal of replicating the frictionless adoption of our expense management feature. By sending an invoice using Expensify, 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will continue to focus on the maintaining and extending the virality of our features to support our viral, bottom-up business model;</w:t>
      </w:r>
    </w:p>
    <w:p>
      <w:pPr>
        <w:spacing w:after="0" w:line="100" w:lineRule="exact"/>
        <w:rPr>
          <w:rFonts w:ascii="Arial" w:cs="Arial" w:eastAsia="Arial" w:hAnsi="Arial"/>
          <w:sz w:val="16"/>
          <w:szCs w:val="16"/>
          <w:color w:val="auto"/>
        </w:rPr>
      </w:pPr>
    </w:p>
    <w:p>
      <w:pPr>
        <w:ind w:left="283" w:right="20" w:hanging="283"/>
        <w:spacing w:after="0" w:line="267" w:lineRule="auto"/>
        <w:tabs>
          <w:tab w:leader="none" w:pos="278"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and monetize transaction volume from existing and new customers. </w:t>
      </w:r>
      <w:r>
        <w:rPr>
          <w:rFonts w:ascii="Arial" w:cs="Arial" w:eastAsia="Arial" w:hAnsi="Arial"/>
          <w:sz w:val="16"/>
          <w:szCs w:val="16"/>
          <w:color w:val="auto"/>
        </w:rPr>
        <w:t>We fully launched the Expensify Card in 2020 and, despite pullback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expenses with the COVID-19 pandemic, customers have begun to adopt the card. We expect its adoption to continue to grow, especially as business travel is expected to return from the challenges caused by the COVID-19 pandemic. Going forward, we intend to increase the promotion of the Expensify Card to both new and existing customers to drive growth in adoption;</w:t>
      </w:r>
    </w:p>
    <w:p>
      <w:pPr>
        <w:spacing w:after="0" w:line="82" w:lineRule="exact"/>
        <w:rPr>
          <w:rFonts w:ascii="Arial" w:cs="Arial" w:eastAsia="Arial" w:hAnsi="Arial"/>
          <w:sz w:val="16"/>
          <w:szCs w:val="16"/>
          <w:color w:val="auto"/>
        </w:rPr>
      </w:pPr>
    </w:p>
    <w:p>
      <w:pPr>
        <w:ind w:left="283" w:hanging="283"/>
        <w:spacing w:after="0" w:line="264" w:lineRule="auto"/>
        <w:tabs>
          <w:tab w:leader="none" w:pos="278"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Promote Expensify’s culture and values</w:t>
      </w:r>
      <w:r>
        <w:rPr>
          <w:rFonts w:ascii="Arial" w:cs="Arial" w:eastAsia="Arial" w:hAnsi="Arial"/>
          <w:sz w:val="16"/>
          <w:szCs w:val="16"/>
          <w:color w:val="auto"/>
        </w:rPr>
        <w:t>. We believe that consumers are more likely to both use and recommend products from brands they admire.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According to a proprietary research study conducted by Havas Group in 2019, 77% of consumers prefer to buy from companies who share their values. By consistently acting on and vocally promoting our values, we have the ability to both drive positive change and create brand awareness that can add to the virality of our platform. Our culture and values, including our adherence to Environmental, Social, and Governance (ESG) principles, will be shared in our company code of ethics and conduct and in future sustainability reporting;</w:t>
      </w:r>
    </w:p>
    <w:p>
      <w:pPr>
        <w:spacing w:after="0" w:line="96" w:lineRule="exact"/>
        <w:rPr>
          <w:rFonts w:ascii="Arial" w:cs="Arial" w:eastAsia="Arial" w:hAnsi="Arial"/>
          <w:sz w:val="16"/>
          <w:szCs w:val="16"/>
          <w:color w:val="auto"/>
        </w:rPr>
      </w:pPr>
    </w:p>
    <w:p>
      <w:pPr>
        <w:ind w:left="283" w:right="80" w:hanging="283"/>
        <w:spacing w:after="0" w:line="264" w:lineRule="auto"/>
        <w:tabs>
          <w:tab w:leader="none" w:pos="278"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strengthen our market consensus. </w:t>
      </w:r>
      <w:r>
        <w:rPr>
          <w:rFonts w:ascii="Arial" w:cs="Arial" w:eastAsia="Arial" w:hAnsi="Arial"/>
          <w:sz w:val="16"/>
          <w:szCs w:val="16"/>
          <w:color w:val="auto"/>
        </w:rPr>
        <w:t>We have worked hard to establish and maintain Expensify as the dominant expense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for SMBs. We leverage a variety of targeted marketing strategies that involve industry conferences, industry influencers, partner marketing, our own conference and more to achieve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spacing w:after="0" w:line="96" w:lineRule="exact"/>
        <w:rPr>
          <w:rFonts w:ascii="Arial" w:cs="Arial" w:eastAsia="Arial" w:hAnsi="Arial"/>
          <w:sz w:val="16"/>
          <w:szCs w:val="16"/>
          <w:color w:val="auto"/>
        </w:rPr>
      </w:pPr>
    </w:p>
    <w:p>
      <w:pPr>
        <w:ind w:left="283" w:right="200" w:hanging="283"/>
        <w:spacing w:after="0" w:line="294" w:lineRule="auto"/>
        <w:tabs>
          <w:tab w:leader="none" w:pos="278"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integrations and strengthen partnerships. </w:t>
      </w:r>
      <w:r>
        <w:rPr>
          <w:rFonts w:ascii="Arial" w:cs="Arial" w:eastAsia="Arial" w:hAnsi="Arial"/>
          <w:sz w:val="16"/>
          <w:szCs w:val="16"/>
          <w:color w:val="auto"/>
        </w:rPr>
        <w:t>Expense management touches many functions across a company. To provide a seamless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for our customers, we integrate with the accounting, ERP and travel software used by SMBs and their employees every day. We also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43"/>
          </w:cols>
          <w:pgMar w:left="317" w:top="1440" w:right="339" w:bottom="1440" w:gutter="0" w:footer="0" w:header="0"/>
        </w:sectPr>
      </w:pPr>
    </w:p>
    <w:bookmarkStart w:id="141" w:name="page142"/>
    <w:bookmarkEnd w:id="141"/>
    <w:p>
      <w:pPr>
        <w:spacing w:after="0" w:line="2" w:lineRule="exact"/>
        <w:rPr>
          <w:sz w:val="20"/>
          <w:szCs w:val="20"/>
          <w:color w:val="auto"/>
        </w:rPr>
      </w:pPr>
    </w:p>
    <w:p>
      <w:pPr>
        <w:ind w:left="283" w:right="40"/>
        <w:spacing w:after="0" w:line="258" w:lineRule="auto"/>
        <w:rPr>
          <w:sz w:val="20"/>
          <w:szCs w:val="20"/>
          <w:color w:val="auto"/>
        </w:rPr>
      </w:pPr>
      <w:r>
        <w:rPr>
          <w:rFonts w:ascii="Arial" w:cs="Arial" w:eastAsia="Arial" w:hAnsi="Arial"/>
          <w:sz w:val="16"/>
          <w:szCs w:val="16"/>
          <w:color w:val="auto"/>
        </w:rPr>
        <w:t xml:space="preserve">frictionless integrations with many of the technology providers that generate the most receipts for our members, such as Uber and Lyft. Through our </w:t>
      </w:r>
      <w:r>
        <w:rPr>
          <w:rFonts w:ascii="Arial" w:cs="Arial" w:eastAsia="Arial" w:hAnsi="Arial"/>
          <w:sz w:val="16"/>
          <w:szCs w:val="16"/>
          <w:i w:val="1"/>
          <w:iCs w:val="1"/>
          <w:color w:val="auto"/>
        </w:rPr>
        <w:t xml:space="preserve">ExpensifyApproved! </w:t>
      </w:r>
      <w:r>
        <w:rPr>
          <w:rFonts w:ascii="Arial" w:cs="Arial" w:eastAsia="Arial" w:hAnsi="Arial"/>
          <w:sz w:val="16"/>
          <w:szCs w:val="16"/>
          <w:color w:val="auto"/>
        </w:rPr>
        <w:t>Partner Program, we train and support accountants who then encourage their customers to use Expensify. We intend to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both integrations and partnerships as they are critical to delivering best-in-class user experiences and ensuring that Expensify is deeply embedded within our customer base; and</w:t>
      </w:r>
    </w:p>
    <w:p>
      <w:pPr>
        <w:spacing w:after="0" w:line="90" w:lineRule="exact"/>
        <w:rPr>
          <w:sz w:val="20"/>
          <w:szCs w:val="20"/>
          <w:color w:val="auto"/>
        </w:rPr>
      </w:pPr>
    </w:p>
    <w:p>
      <w:pPr>
        <w:ind w:left="283" w:right="220" w:hanging="283"/>
        <w:spacing w:after="0" w:line="264" w:lineRule="auto"/>
        <w:tabs>
          <w:tab w:leader="none" w:pos="278"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internationally. </w:t>
      </w:r>
      <w:r>
        <w:rPr>
          <w:rFonts w:ascii="Arial" w:cs="Arial" w:eastAsia="Arial" w:hAnsi="Arial"/>
          <w:sz w:val="16"/>
          <w:szCs w:val="16"/>
          <w:color w:val="auto"/>
        </w:rPr>
        <w:t>For the year ended December 31, 2020 and six months ended June 30, 2021, we derived 10% and 11% of our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from customers outside the United States, and we see significant opportunity to acquire new customers internationally. Because word-of-mouth drives significant adoption, we have experienced member growth outside of our core geographies without investment in marketing or regional sales forces. We have the opportunity to accelerate international growth by investing in marketing, developing a localized platform experience and expanding international partnership and integrations.</w:t>
      </w:r>
    </w:p>
    <w:p>
      <w:pPr>
        <w:spacing w:after="0" w:line="116"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We believe that the combination of the strength of our platform, our scalable business model and our special company culture has us well-positioned to achieve these growth strategies.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Expensify.org</w:t>
      </w:r>
    </w:p>
    <w:p>
      <w:pPr>
        <w:spacing w:after="0" w:line="152" w:lineRule="exact"/>
        <w:rPr>
          <w:sz w:val="20"/>
          <w:szCs w:val="20"/>
          <w:color w:val="auto"/>
        </w:rPr>
      </w:pPr>
    </w:p>
    <w:p>
      <w:pPr>
        <w:ind w:left="3" w:right="300"/>
        <w:spacing w:after="0" w:line="261" w:lineRule="auto"/>
        <w:rPr>
          <w:sz w:val="20"/>
          <w:szCs w:val="20"/>
          <w:color w:val="auto"/>
        </w:rPr>
      </w:pPr>
      <w:r>
        <w:rPr>
          <w:rFonts w:ascii="Arial" w:cs="Arial" w:eastAsia="Arial" w:hAnsi="Arial"/>
          <w:sz w:val="16"/>
          <w:szCs w:val="16"/>
          <w:color w:val="auto"/>
        </w:rPr>
        <w:t>We started Expensify.org to “create a just and generous world” with the belief that doing good is good for business.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spacing w:after="0" w:line="118"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Though Expensify.org launched in January 2020 and is now a 501(c)(3) non-profit, the concept was set into motion before Expensify was founded when David Barrett, Expensify's founder and CEO, had an idea of how to help feed unhoused neighbors he passed every day walking through San Francisco. He developed a platform to load gift cards on-demand from his personal credit card to offer funds immediately for individuals in his neighborhood to purchase food. While this idea didn’t take off, David held onto the concept for more than a decade until it became a reality with the launch of Expensify.org and its corporate-card-fueled donations called Karma Points.</w:t>
      </w:r>
    </w:p>
    <w:p>
      <w:pPr>
        <w:spacing w:after="0" w:line="123" w:lineRule="exact"/>
        <w:rPr>
          <w:sz w:val="20"/>
          <w:szCs w:val="20"/>
          <w:color w:val="auto"/>
        </w:rPr>
      </w:pPr>
    </w:p>
    <w:p>
      <w:pPr>
        <w:ind w:left="3" w:right="300"/>
        <w:spacing w:after="0" w:line="257" w:lineRule="auto"/>
        <w:rPr>
          <w:sz w:val="20"/>
          <w:szCs w:val="20"/>
          <w:color w:val="auto"/>
        </w:rPr>
      </w:pPr>
      <w:r>
        <w:rPr>
          <w:rFonts w:ascii="Arial" w:cs="Arial" w:eastAsia="Arial" w:hAnsi="Arial"/>
          <w:sz w:val="16"/>
          <w:szCs w:val="16"/>
          <w:color w:val="auto"/>
        </w:rPr>
        <w:t>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 — most importantly — the emotional connection between donors, volunteers and recipients. Donations route to one of our five funds related to tackling the biggest social injustices of our time: Housing Equity, Youth Advocacy, Food Security, Reentry Services and Climate Justice.</w:t>
      </w:r>
    </w:p>
    <w:p>
      <w:pPr>
        <w:spacing w:after="0" w:line="111"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We aim to integrate the Expensify.org mission into everything we do. In the first year of Expensify.org, our Food Security fund helped feed over 4,500 families in need. When we introduced the Expensify Card, in addition to making it easy for individuals and customers using the card to donate, we committed to donate 10% of our interchange amount from the card to Expensify.org. Beginning in 2021, we made an additional commitment to donate 25 cents for every dollar we pay to white, male Expensify employees to Expensify.org to fund social justice and equity efforts.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February 2021, Expensify.org launched the Community Justice Grant Challenge in order to find the most scalable and impactful community-based</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campaigns for each of its five funds. Over 1,000 groups from across the globe applied. 62 groups were selected as semi-finalists and are receiving up to</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$5,000 in funding from Expensify.org. Ten of the 62 groups were selected as finalists via public vote and are receiving up to $25,000 in total funding. A final</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round of donor-voting will be held for the finalists in which five of the finalists will receive up to $100,000 in total funding.</w:t>
      </w:r>
    </w:p>
    <w:p>
      <w:pPr>
        <w:spacing w:after="0" w:line="145"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In May 2021, Expensify.org also launched its SNAP&amp;VAX campaign. This campaign allows those receiving SNAP benefits (also known as food stamps) to receive $50 in grocery reimbursement as well as providing a $50 incentive to get the COVID-19 vaccine.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43"/>
          </w:cols>
          <w:pgMar w:left="317" w:top="1440" w:right="339" w:bottom="1440" w:gutter="0" w:footer="0" w:header="0"/>
        </w:sectPr>
      </w:pPr>
    </w:p>
    <w:bookmarkStart w:id="142" w:name="page143"/>
    <w:bookmarkEnd w:id="142"/>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platform</w:t>
      </w:r>
    </w:p>
    <w:p>
      <w:pPr>
        <w:spacing w:after="0" w:line="164"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Expense management</w:t>
      </w:r>
    </w:p>
    <w:p>
      <w:pPr>
        <w:spacing w:after="0" w:line="164"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75565</wp:posOffset>
            </wp:positionV>
            <wp:extent cx="4826000" cy="2714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40"/>
          </w:cols>
          <w:pgMar w:left="320" w:top="1440" w:right="339" w:bottom="1440" w:gutter="0" w:footer="0" w:header="0"/>
        </w:sectPr>
      </w:pPr>
    </w:p>
    <w:bookmarkStart w:id="143" w:name="page144"/>
    <w:bookmarkEnd w:id="143"/>
    <w:p>
      <w:pPr>
        <w:ind w:left="3"/>
        <w:spacing w:after="0"/>
        <w:rPr>
          <w:sz w:val="20"/>
          <w:szCs w:val="20"/>
          <w:color w:val="auto"/>
        </w:rPr>
      </w:pPr>
      <w:r>
        <w:rPr>
          <w:rFonts w:ascii="Arial" w:cs="Arial" w:eastAsia="Arial" w:hAnsi="Arial"/>
          <w:sz w:val="16"/>
          <w:szCs w:val="16"/>
          <w:b w:val="1"/>
          <w:bCs w:val="1"/>
          <w:i w:val="1"/>
          <w:iCs w:val="1"/>
          <w:color w:val="auto"/>
        </w:rPr>
        <w:t>Capture</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Most of today’s financial data still exists on paper. Expensify streamlines the capture and normalization of disparate financial data in the following ways:</w:t>
      </w:r>
    </w:p>
    <w:p>
      <w:pPr>
        <w:spacing w:after="0" w:line="125" w:lineRule="exact"/>
        <w:rPr>
          <w:sz w:val="20"/>
          <w:szCs w:val="20"/>
          <w:color w:val="auto"/>
        </w:rPr>
      </w:pPr>
    </w:p>
    <w:p>
      <w:pPr>
        <w:ind w:left="283" w:right="80" w:hanging="283"/>
        <w:spacing w:after="0" w:line="294" w:lineRule="auto"/>
        <w:tabs>
          <w:tab w:leader="none" w:pos="278"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SmartScan. </w:t>
      </w:r>
      <w:r>
        <w:rPr>
          <w:rFonts w:ascii="Arial" w:cs="Arial" w:eastAsia="Arial" w:hAnsi="Arial"/>
          <w:sz w:val="16"/>
          <w:szCs w:val="16"/>
          <w:color w:val="auto"/>
        </w:rPr>
        <w:t>Snap a photo of your receipt, forward receipts from email, or upload attachments directly in the application. SmartScan optimizes for high-accuracy data extraction to support our “fire and forget” receipt capture.</w:t>
      </w:r>
    </w:p>
    <w:p>
      <w:pPr>
        <w:spacing w:after="0" w:line="72" w:lineRule="exact"/>
        <w:rPr>
          <w:rFonts w:ascii="Arial" w:cs="Arial" w:eastAsia="Arial" w:hAnsi="Arial"/>
          <w:sz w:val="16"/>
          <w:szCs w:val="16"/>
          <w:color w:val="auto"/>
        </w:rPr>
      </w:pPr>
    </w:p>
    <w:p>
      <w:pPr>
        <w:ind w:left="283" w:right="400" w:hanging="283"/>
        <w:spacing w:after="0" w:line="294" w:lineRule="auto"/>
        <w:tabs>
          <w:tab w:leader="none" w:pos="278"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Credit card matching. </w:t>
      </w:r>
      <w:r>
        <w:rPr>
          <w:rFonts w:ascii="Arial" w:cs="Arial" w:eastAsia="Arial" w:hAnsi="Arial"/>
          <w:sz w:val="16"/>
          <w:szCs w:val="16"/>
          <w:color w:val="auto"/>
        </w:rPr>
        <w:t>Receipts and emails are automatically matched to incoming credit card transactions in real-time, preventing duplicates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reducing the need to manually reconcile credit card statements at month end.</w:t>
      </w:r>
    </w:p>
    <w:p>
      <w:pPr>
        <w:spacing w:after="0" w:line="60" w:lineRule="exact"/>
        <w:rPr>
          <w:rFonts w:ascii="Arial" w:cs="Arial" w:eastAsia="Arial" w:hAnsi="Arial"/>
          <w:sz w:val="16"/>
          <w:szCs w:val="16"/>
          <w:color w:val="auto"/>
        </w:rPr>
      </w:pPr>
    </w:p>
    <w:p>
      <w:pPr>
        <w:jc w:val="both"/>
        <w:ind w:left="283" w:hanging="283"/>
        <w:spacing w:after="0" w:line="274" w:lineRule="auto"/>
        <w:tabs>
          <w:tab w:leader="none" w:pos="278"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Mobile expense capture. </w:t>
      </w:r>
      <w:r>
        <w:rPr>
          <w:rFonts w:ascii="Arial" w:cs="Arial" w:eastAsia="Arial" w:hAnsi="Arial"/>
          <w:sz w:val="16"/>
          <w:szCs w:val="16"/>
          <w:color w:val="auto"/>
        </w:rPr>
        <w:t>With mobile apps for Android and iOS, it’s possible to capture receipts, mileage expenses and per diems while in the office or</w:t>
      </w:r>
      <w:r>
        <w:rPr>
          <w:rFonts w:ascii="Arial" w:cs="Arial" w:eastAsia="Arial" w:hAnsi="Arial"/>
          <w:sz w:val="16"/>
          <w:szCs w:val="16"/>
          <w:b w:val="1"/>
          <w:bCs w:val="1"/>
          <w:color w:val="auto"/>
        </w:rPr>
        <w:t xml:space="preserve"> </w:t>
      </w:r>
      <w:r>
        <w:rPr>
          <w:rFonts w:ascii="Arial" w:cs="Arial" w:eastAsia="Arial" w:hAnsi="Arial"/>
          <w:sz w:val="16"/>
          <w:szCs w:val="16"/>
          <w:color w:val="auto"/>
        </w:rPr>
        <w:t>anywhere else in the world – online or offline. In addition, members can automatically import receipts from their favorite travel tools, including Uber, Lyft, Grab, Hotel Tonight, among others.</w:t>
      </w:r>
    </w:p>
    <w:p>
      <w:pPr>
        <w:spacing w:after="0" w:line="8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Approve</w:t>
      </w:r>
    </w:p>
    <w:p>
      <w:pPr>
        <w:spacing w:after="0" w:line="165" w:lineRule="exact"/>
        <w:rPr>
          <w:sz w:val="20"/>
          <w:szCs w:val="20"/>
          <w:color w:val="auto"/>
        </w:rPr>
      </w:pPr>
    </w:p>
    <w:p>
      <w:pPr>
        <w:ind w:left="3" w:right="220"/>
        <w:spacing w:after="0" w:line="268" w:lineRule="auto"/>
        <w:rPr>
          <w:sz w:val="20"/>
          <w:szCs w:val="20"/>
          <w:color w:val="auto"/>
        </w:rPr>
      </w:pPr>
      <w:r>
        <w:rPr>
          <w:rFonts w:ascii="Arial" w:cs="Arial" w:eastAsia="Arial" w:hAnsi="Arial"/>
          <w:sz w:val="16"/>
          <w:szCs w:val="16"/>
          <w:color w:val="auto"/>
        </w:rPr>
        <w:t>Once financial transactions are captured, we deliver AI-driven insights into the nature of company spend, as well as adherence to company-specific rules and guidelines. Expensify’s robust approval functionality can be scaled up and down in the following ways:</w:t>
      </w:r>
    </w:p>
    <w:p>
      <w:pPr>
        <w:spacing w:after="0" w:line="81" w:lineRule="exact"/>
        <w:rPr>
          <w:sz w:val="20"/>
          <w:szCs w:val="20"/>
          <w:color w:val="auto"/>
        </w:rPr>
      </w:pPr>
    </w:p>
    <w:p>
      <w:pPr>
        <w:ind w:left="283" w:hanging="283"/>
        <w:spacing w:after="0" w:line="294" w:lineRule="auto"/>
        <w:tabs>
          <w:tab w:leader="none" w:pos="278"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Multi-level approval workflows. </w:t>
      </w:r>
      <w:r>
        <w:rPr>
          <w:rFonts w:ascii="Arial" w:cs="Arial" w:eastAsia="Arial" w:hAnsi="Arial"/>
          <w:sz w:val="16"/>
          <w:szCs w:val="16"/>
          <w:color w:val="auto"/>
        </w:rPr>
        <w:t>Customizable approval workflows help companies of all sizes tailor their approval hierarchies, route specific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to budget or project owners and approve expenses through an intuitive “Guided Review” that highlights specific items requiring review.</w:t>
      </w:r>
    </w:p>
    <w:p>
      <w:pPr>
        <w:spacing w:after="0" w:line="72" w:lineRule="exact"/>
        <w:rPr>
          <w:rFonts w:ascii="Arial" w:cs="Arial" w:eastAsia="Arial" w:hAnsi="Arial"/>
          <w:sz w:val="16"/>
          <w:szCs w:val="16"/>
          <w:color w:val="auto"/>
        </w:rPr>
      </w:pPr>
    </w:p>
    <w:p>
      <w:pPr>
        <w:ind w:left="283" w:right="60" w:hanging="283"/>
        <w:spacing w:after="0" w:line="294" w:lineRule="auto"/>
        <w:tabs>
          <w:tab w:leader="none" w:pos="278"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Intelligent auditing. </w:t>
      </w:r>
      <w:r>
        <w:rPr>
          <w:rFonts w:ascii="Arial" w:cs="Arial" w:eastAsia="Arial" w:hAnsi="Arial"/>
          <w:sz w:val="16"/>
          <w:szCs w:val="16"/>
          <w:color w:val="auto"/>
        </w:rPr>
        <w:t>Process data automatically or configure which types of transactions require review. Expensify detects receipt duplicates by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and automatically verifies that any manually-entered expenses match attached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59690</wp:posOffset>
            </wp:positionV>
            <wp:extent cx="4454525" cy="25057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54525" cy="250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3" w:right="40" w:hanging="283"/>
        <w:spacing w:after="0" w:line="294" w:lineRule="auto"/>
        <w:tabs>
          <w:tab w:leader="none" w:pos="278"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Powerful integrations. </w:t>
      </w:r>
      <w:r>
        <w:rPr>
          <w:rFonts w:ascii="Arial" w:cs="Arial" w:eastAsia="Arial" w:hAnsi="Arial"/>
          <w:sz w:val="16"/>
          <w:szCs w:val="16"/>
          <w:color w:val="auto"/>
        </w:rPr>
        <w:t>Connect directly with leading cloud accounting and finance platforms such as QuickBooks, Xero, Oracle NetSuite, Sage Intacct</w:t>
      </w:r>
      <w:r>
        <w:rPr>
          <w:rFonts w:ascii="Arial" w:cs="Arial" w:eastAsia="Arial" w:hAnsi="Arial"/>
          <w:sz w:val="16"/>
          <w:szCs w:val="16"/>
          <w:b w:val="1"/>
          <w:bCs w:val="1"/>
          <w:color w:val="auto"/>
        </w:rPr>
        <w:t xml:space="preserve"> </w:t>
      </w:r>
      <w:r>
        <w:rPr>
          <w:rFonts w:ascii="Arial" w:cs="Arial" w:eastAsia="Arial" w:hAnsi="Arial"/>
          <w:sz w:val="16"/>
          <w:szCs w:val="16"/>
          <w:color w:val="auto"/>
        </w:rPr>
        <w:t>and FinancialForce, among others. A continuous real-time sync means that information is dynamically updated across all connected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183"/>
          </w:cols>
          <w:pgMar w:left="317" w:top="1422" w:right="399" w:bottom="1440" w:gutter="0" w:footer="0" w:header="0"/>
        </w:sectPr>
      </w:pPr>
    </w:p>
    <w:bookmarkStart w:id="144" w:name="page145"/>
    <w:bookmarkEnd w:id="144"/>
    <w:p>
      <w:pPr>
        <w:spacing w:after="0" w:line="2" w:lineRule="exact"/>
        <w:rPr>
          <w:sz w:val="20"/>
          <w:szCs w:val="20"/>
          <w:color w:val="auto"/>
        </w:rPr>
      </w:pPr>
    </w:p>
    <w:p>
      <w:pPr>
        <w:jc w:val="both"/>
        <w:ind w:left="283" w:right="220"/>
        <w:spacing w:after="0" w:line="261" w:lineRule="auto"/>
        <w:rPr>
          <w:sz w:val="20"/>
          <w:szCs w:val="20"/>
          <w:color w:val="auto"/>
        </w:rPr>
      </w:pPr>
      <w:r>
        <w:rPr>
          <w:rFonts w:ascii="Arial" w:cs="Arial" w:eastAsia="Arial" w:hAnsi="Arial"/>
          <w:sz w:val="16"/>
          <w:szCs w:val="16"/>
          <w:color w:val="auto"/>
        </w:rPr>
        <w:t>Expensify connects directly with the top banks in the U.S., as well as leading human resource, practice management, tax reclamation, recruiting and travel management systems. A self-service API is available to anyone who wants to integrate Expensify into their technology ecosystem on their own without additional cost.</w:t>
      </w:r>
    </w:p>
    <w:p>
      <w:pPr>
        <w:spacing w:after="0" w:line="86" w:lineRule="exact"/>
        <w:rPr>
          <w:sz w:val="20"/>
          <w:szCs w:val="20"/>
          <w:color w:val="auto"/>
        </w:rPr>
      </w:pPr>
    </w:p>
    <w:p>
      <w:pPr>
        <w:ind w:left="283" w:hanging="283"/>
        <w:spacing w:after="0" w:line="294" w:lineRule="auto"/>
        <w:tabs>
          <w:tab w:leader="none" w:pos="278"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Comprehensive visibility. </w:t>
      </w:r>
      <w:r>
        <w:rPr>
          <w:rFonts w:ascii="Arial" w:cs="Arial" w:eastAsia="Arial" w:hAnsi="Arial"/>
          <w:sz w:val="16"/>
          <w:szCs w:val="16"/>
          <w:color w:val="auto"/>
        </w:rPr>
        <w:t>Whether companies require visibility into transaction approvals, help with corporate credit card reconciliation and remittance,</w:t>
      </w:r>
      <w:r>
        <w:rPr>
          <w:rFonts w:ascii="Arial" w:cs="Arial" w:eastAsia="Arial" w:hAnsi="Arial"/>
          <w:sz w:val="16"/>
          <w:szCs w:val="16"/>
          <w:b w:val="1"/>
          <w:bCs w:val="1"/>
          <w:color w:val="auto"/>
        </w:rPr>
        <w:t xml:space="preserve"> </w:t>
      </w:r>
      <w:r>
        <w:rPr>
          <w:rFonts w:ascii="Arial" w:cs="Arial" w:eastAsia="Arial" w:hAnsi="Arial"/>
          <w:sz w:val="16"/>
          <w:szCs w:val="16"/>
          <w:color w:val="auto"/>
        </w:rPr>
        <w:t>or insights into travel spend, financial data is visible throughout the platform.</w:t>
      </w:r>
    </w:p>
    <w:p>
      <w:pPr>
        <w:spacing w:after="0" w:line="7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Pay</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After capturing and approving relevant company spend, businesses require an easy and fast method for disbursing funds to employees and vendors.</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Expensify’s payments platform streamlines how modern payments are made and reconciled in the following ways:</w:t>
      </w:r>
    </w:p>
    <w:p>
      <w:pPr>
        <w:spacing w:after="0" w:line="113" w:lineRule="exact"/>
        <w:rPr>
          <w:sz w:val="20"/>
          <w:szCs w:val="20"/>
          <w:color w:val="auto"/>
        </w:rPr>
      </w:pPr>
    </w:p>
    <w:p>
      <w:pPr>
        <w:ind w:left="283" w:right="200" w:hanging="283"/>
        <w:spacing w:after="0" w:line="294" w:lineRule="auto"/>
        <w:tabs>
          <w:tab w:leader="none" w:pos="278"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Next day ACH direct deposit. </w:t>
      </w:r>
      <w:r>
        <w:rPr>
          <w:rFonts w:ascii="Arial" w:cs="Arial" w:eastAsia="Arial" w:hAnsi="Arial"/>
          <w:sz w:val="16"/>
          <w:szCs w:val="16"/>
          <w:color w:val="auto"/>
        </w:rPr>
        <w:t>For companies that enable automatic processing and reimbursement, employees receive expense reimbursements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their bank account the following business day.</w:t>
      </w:r>
    </w:p>
    <w:p>
      <w:pPr>
        <w:spacing w:after="0" w:line="72" w:lineRule="exact"/>
        <w:rPr>
          <w:rFonts w:ascii="Arial" w:cs="Arial" w:eastAsia="Arial" w:hAnsi="Arial"/>
          <w:sz w:val="16"/>
          <w:szCs w:val="16"/>
          <w:color w:val="auto"/>
        </w:rPr>
      </w:pPr>
    </w:p>
    <w:p>
      <w:pPr>
        <w:ind w:left="283" w:right="420" w:hanging="283"/>
        <w:spacing w:after="0" w:line="294" w:lineRule="auto"/>
        <w:tabs>
          <w:tab w:leader="none" w:pos="278"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Centralized travel procurement</w:t>
      </w:r>
      <w:r>
        <w:rPr>
          <w:rFonts w:ascii="Arial" w:cs="Arial" w:eastAsia="Arial" w:hAnsi="Arial"/>
          <w:sz w:val="16"/>
          <w:szCs w:val="16"/>
          <w:color w:val="auto"/>
        </w:rPr>
        <w:t>. Manage and centrally pay for travel bookings made with any Expensify Card, all while ensuring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travel policies.</w:t>
      </w:r>
    </w:p>
    <w:p>
      <w:pPr>
        <w:spacing w:after="0" w:line="72" w:lineRule="exact"/>
        <w:rPr>
          <w:rFonts w:ascii="Arial" w:cs="Arial" w:eastAsia="Arial" w:hAnsi="Arial"/>
          <w:sz w:val="16"/>
          <w:szCs w:val="16"/>
          <w:color w:val="auto"/>
        </w:rPr>
      </w:pPr>
    </w:p>
    <w:p>
      <w:pPr>
        <w:ind w:left="283" w:hanging="283"/>
        <w:spacing w:after="0"/>
        <w:tabs>
          <w:tab w:leader="none" w:pos="283"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Corporate card remittance. </w:t>
      </w:r>
      <w:r>
        <w:rPr>
          <w:rFonts w:ascii="Arial" w:cs="Arial" w:eastAsia="Arial" w:hAnsi="Arial"/>
          <w:sz w:val="16"/>
          <w:szCs w:val="16"/>
          <w:color w:val="auto"/>
        </w:rPr>
        <w:t>Streamline the process of managing and remitting corporate card payments.</w:t>
      </w:r>
    </w:p>
    <w:p>
      <w:pPr>
        <w:spacing w:after="0" w:line="13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Expensify Card</w:t>
      </w:r>
    </w:p>
    <w:p>
      <w:pPr>
        <w:spacing w:after="0" w:line="164"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w:t>
      </w:r>
    </w:p>
    <w:p>
      <w:pPr>
        <w:spacing w:after="0" w:line="113" w:lineRule="exact"/>
        <w:rPr>
          <w:sz w:val="20"/>
          <w:szCs w:val="20"/>
          <w:color w:val="auto"/>
        </w:rPr>
      </w:pPr>
    </w:p>
    <w:p>
      <w:pPr>
        <w:ind w:left="3" w:right="60"/>
        <w:spacing w:after="0" w:line="261" w:lineRule="auto"/>
        <w:rPr>
          <w:sz w:val="20"/>
          <w:szCs w:val="20"/>
          <w:color w:val="auto"/>
        </w:rPr>
      </w:pPr>
      <w:r>
        <w:rPr>
          <w:rFonts w:ascii="Arial" w:cs="Arial" w:eastAsia="Arial" w:hAnsi="Arial"/>
          <w:sz w:val="16"/>
          <w:szCs w:val="16"/>
          <w:color w:val="auto"/>
        </w:rPr>
        <w:t>The Expensify Card leverages our wealth of experience acquired by working directly with finance administrators. The feature is designed to fix the common pain points seen with traditional corporate cards, namely the lack of real-time receipt capture and transaction visibility, enhanced access to credit for small businesses and streamlined setup of corporate card programs.</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Key capabilities of the Expensify Card include:</w:t>
      </w:r>
    </w:p>
    <w:p>
      <w:pPr>
        <w:spacing w:after="0" w:line="125" w:lineRule="exact"/>
        <w:rPr>
          <w:sz w:val="20"/>
          <w:szCs w:val="20"/>
          <w:color w:val="auto"/>
        </w:rPr>
      </w:pPr>
    </w:p>
    <w:p>
      <w:pPr>
        <w:ind w:left="283" w:right="80" w:hanging="283"/>
        <w:spacing w:after="0" w:line="294"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Streamlined card application/setup. </w:t>
      </w:r>
      <w:r>
        <w:rPr>
          <w:rFonts w:ascii="Arial" w:cs="Arial" w:eastAsia="Arial" w:hAnsi="Arial"/>
          <w:sz w:val="16"/>
          <w:szCs w:val="16"/>
          <w:color w:val="auto"/>
        </w:rPr>
        <w:t>Companies receive an automated approval decision in seconds, and card provisioning for an entire 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is possible in a few minutes. Every member receives a virtual card for immediate use.</w:t>
      </w:r>
    </w:p>
    <w:p>
      <w:pPr>
        <w:spacing w:after="0" w:line="72" w:lineRule="exact"/>
        <w:rPr>
          <w:rFonts w:ascii="Arial" w:cs="Arial" w:eastAsia="Arial" w:hAnsi="Arial"/>
          <w:sz w:val="16"/>
          <w:szCs w:val="16"/>
          <w:color w:val="auto"/>
        </w:rPr>
      </w:pPr>
    </w:p>
    <w:p>
      <w:pPr>
        <w:ind w:left="283" w:right="40" w:hanging="283"/>
        <w:spacing w:after="0" w:line="294"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Continuous automatic reconciliation</w:t>
      </w:r>
      <w:r>
        <w:rPr>
          <w:rFonts w:ascii="Arial" w:cs="Arial" w:eastAsia="Arial" w:hAnsi="Arial"/>
          <w:sz w:val="16"/>
          <w:szCs w:val="16"/>
          <w:color w:val="auto"/>
        </w:rPr>
        <w:t>. Card transactions are synchronized in real-time between Expensify and a company’s accounting systems. This</w:t>
      </w:r>
      <w:r>
        <w:rPr>
          <w:rFonts w:ascii="Arial" w:cs="Arial" w:eastAsia="Arial" w:hAnsi="Arial"/>
          <w:sz w:val="16"/>
          <w:szCs w:val="16"/>
          <w:b w:val="1"/>
          <w:bCs w:val="1"/>
          <w:color w:val="auto"/>
        </w:rPr>
        <w:t xml:space="preserve"> </w:t>
      </w:r>
      <w:r>
        <w:rPr>
          <w:rFonts w:ascii="Arial" w:cs="Arial" w:eastAsia="Arial" w:hAnsi="Arial"/>
          <w:sz w:val="16"/>
          <w:szCs w:val="16"/>
          <w:color w:val="auto"/>
        </w:rPr>
        <w:t>removes the need for an arduous once-a-month statement reconciliation.</w:t>
      </w:r>
    </w:p>
    <w:p>
      <w:pPr>
        <w:spacing w:after="0" w:line="60" w:lineRule="exact"/>
        <w:rPr>
          <w:rFonts w:ascii="Arial" w:cs="Arial" w:eastAsia="Arial" w:hAnsi="Arial"/>
          <w:sz w:val="16"/>
          <w:szCs w:val="16"/>
          <w:color w:val="auto"/>
        </w:rPr>
      </w:pPr>
    </w:p>
    <w:p>
      <w:pPr>
        <w:ind w:left="283" w:right="140" w:hanging="283"/>
        <w:spacing w:after="0" w:line="294"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Real-time compliance. </w:t>
      </w:r>
      <w:r>
        <w:rPr>
          <w:rFonts w:ascii="Arial" w:cs="Arial" w:eastAsia="Arial" w:hAnsi="Arial"/>
          <w:sz w:val="16"/>
          <w:szCs w:val="16"/>
          <w:color w:val="auto"/>
        </w:rPr>
        <w:t>Cardholders receive an immediate push notification when their card is charged, which helps protect against fraud.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eReceipts mean that no receipt capture is required for nearly all purchases, though companies can stipulate their own receipt policy where preferred.</w:t>
      </w:r>
    </w:p>
    <w:p>
      <w:pPr>
        <w:spacing w:after="0" w:line="72" w:lineRule="exact"/>
        <w:rPr>
          <w:rFonts w:ascii="Arial" w:cs="Arial" w:eastAsia="Arial" w:hAnsi="Arial"/>
          <w:sz w:val="16"/>
          <w:szCs w:val="16"/>
          <w:color w:val="auto"/>
        </w:rPr>
      </w:pPr>
    </w:p>
    <w:p>
      <w:pPr>
        <w:ind w:left="283" w:right="260" w:hanging="283"/>
        <w:spacing w:after="0" w:line="274"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Spend control with Smart Limits. </w:t>
      </w:r>
      <w:r>
        <w:rPr>
          <w:rFonts w:ascii="Arial" w:cs="Arial" w:eastAsia="Arial" w:hAnsi="Arial"/>
          <w:sz w:val="16"/>
          <w:szCs w:val="16"/>
          <w:color w:val="auto"/>
        </w:rPr>
        <w:t>Companies control the maximum exposure they will accept for each employee by stipulating their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unapproved spend, which is another cash control feature. If a cardholder fails to submit their expenses in a timely fashion, card activity is suspended until historical card spend is approved.</w:t>
      </w:r>
    </w:p>
    <w:p>
      <w:pPr>
        <w:spacing w:after="0" w:line="88" w:lineRule="exact"/>
        <w:rPr>
          <w:rFonts w:ascii="Arial" w:cs="Arial" w:eastAsia="Arial" w:hAnsi="Arial"/>
          <w:sz w:val="16"/>
          <w:szCs w:val="16"/>
          <w:color w:val="auto"/>
        </w:rPr>
      </w:pPr>
    </w:p>
    <w:p>
      <w:pPr>
        <w:ind w:left="283" w:right="240" w:hanging="283"/>
        <w:spacing w:after="0" w:line="274"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Cash back. </w:t>
      </w:r>
      <w:r>
        <w:rPr>
          <w:rFonts w:ascii="Arial" w:cs="Arial" w:eastAsia="Arial" w:hAnsi="Arial"/>
          <w:sz w:val="16"/>
          <w:szCs w:val="16"/>
          <w:color w:val="auto"/>
        </w:rPr>
        <w:t>Starting in September 2021, companies receive up to 2% cash back with no limits for all spend on their Expensify Cards.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1% cash back when they spend over $25,000 summed across all of their Expensify Cards, or 2% cash back when they spend over $250,000 summed across all of their Expensify Cards.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183"/>
          </w:cols>
          <w:pgMar w:left="317" w:top="1440" w:right="399" w:bottom="1440" w:gutter="0" w:footer="0" w:header="0"/>
        </w:sectPr>
      </w:pPr>
    </w:p>
    <w:bookmarkStart w:id="145" w:name="page146"/>
    <w:bookmarkEnd w:id="145"/>
    <w:p>
      <w:pPr>
        <w:ind w:left="283" w:right="100" w:hanging="283"/>
        <w:spacing w:after="0" w:line="294" w:lineRule="auto"/>
        <w:tabs>
          <w:tab w:leader="none" w:pos="278"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 xml:space="preserve">Karma Points. </w:t>
      </w:r>
      <w:r>
        <w:rPr>
          <w:rFonts w:ascii="Arial" w:cs="Arial" w:eastAsia="Arial" w:hAnsi="Arial"/>
          <w:sz w:val="16"/>
          <w:szCs w:val="16"/>
          <w:color w:val="auto"/>
        </w:rPr>
        <w:t>Every time a cardholder makes a purchase, Expensify donates 10% of our interchange amount to Expensify.org for use in one of its five</w:t>
      </w:r>
      <w:r>
        <w:rPr>
          <w:rFonts w:ascii="Arial" w:cs="Arial" w:eastAsia="Arial" w:hAnsi="Arial"/>
          <w:sz w:val="16"/>
          <w:szCs w:val="16"/>
          <w:b w:val="1"/>
          <w:bCs w:val="1"/>
          <w:color w:val="auto"/>
        </w:rPr>
        <w:t xml:space="preserve"> </w:t>
      </w:r>
      <w:r>
        <w:rPr>
          <w:rFonts w:ascii="Arial" w:cs="Arial" w:eastAsia="Arial" w:hAnsi="Arial"/>
          <w:sz w:val="16"/>
          <w:szCs w:val="16"/>
          <w:color w:val="auto"/>
        </w:rPr>
        <w:t>funds – Hunger, Climate, Homes, Youth, Reentry.</w:t>
      </w:r>
    </w:p>
    <w:p>
      <w:pPr>
        <w:spacing w:after="0" w:line="60" w:lineRule="exact"/>
        <w:rPr>
          <w:rFonts w:ascii="Arial" w:cs="Arial" w:eastAsia="Arial" w:hAnsi="Arial"/>
          <w:sz w:val="16"/>
          <w:szCs w:val="16"/>
          <w:color w:val="auto"/>
        </w:rPr>
      </w:pPr>
    </w:p>
    <w:p>
      <w:pPr>
        <w:ind w:left="283" w:hanging="283"/>
        <w:spacing w:after="0" w:line="294" w:lineRule="auto"/>
        <w:tabs>
          <w:tab w:leader="none" w:pos="278"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Daily settlement</w:t>
      </w:r>
      <w:r>
        <w:rPr>
          <w:rFonts w:ascii="Arial" w:cs="Arial" w:eastAsia="Arial" w:hAnsi="Arial"/>
          <w:sz w:val="16"/>
          <w:szCs w:val="16"/>
          <w:color w:val="auto"/>
        </w:rPr>
        <w:t>. Ensure that employees never overspend what a company is able to pay. Daily settlement also helps smooth cash flows throughout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month, as opposed to one large, uncertain lump sum at month’s end.</w:t>
      </w:r>
    </w:p>
    <w:p>
      <w:pPr>
        <w:spacing w:after="0" w:line="72" w:lineRule="exact"/>
        <w:rPr>
          <w:rFonts w:ascii="Arial" w:cs="Arial" w:eastAsia="Arial" w:hAnsi="Arial"/>
          <w:sz w:val="16"/>
          <w:szCs w:val="16"/>
          <w:color w:val="auto"/>
        </w:rPr>
      </w:pPr>
    </w:p>
    <w:p>
      <w:pPr>
        <w:ind w:left="283" w:right="40" w:hanging="283"/>
        <w:spacing w:after="0" w:line="267" w:lineRule="auto"/>
        <w:tabs>
          <w:tab w:leader="none" w:pos="278"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Integrated travel booking</w:t>
      </w:r>
      <w:r>
        <w:rPr>
          <w:rFonts w:ascii="Arial" w:cs="Arial" w:eastAsia="Arial" w:hAnsi="Arial"/>
          <w:sz w:val="16"/>
          <w:szCs w:val="16"/>
          <w:color w:val="auto"/>
        </w:rPr>
        <w:t>. Offered at no additional cost for all cardholders, administrators can set flight class, hotel ratings and other travel preferences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to ensure that bookings comply with company policy. Reporting tools give admins full visibility into trip costs, and currently every booking comes with emergency transportation services in partnership with Global Rescue at no additional cost, as well as health and security assessments applicable for their destination.</w:t>
      </w:r>
    </w:p>
    <w:p>
      <w:pPr>
        <w:spacing w:after="0" w:line="115"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We officially launched the card in January of 2020. As of June 30, 2021 we’ve had 3,957 companies that have signed up for at least one Expensify card. We believe we have growth in many areas in regards to the Expensify card. Our goal is to to continue increasing the amount of companies that have adopted the Expensify card and the number of members that have a card provisioned per company both of which would increase the amount of total spend converted to the Expensify card.</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New features</w:t>
      </w:r>
    </w:p>
    <w:p>
      <w:pPr>
        <w:spacing w:after="0" w:line="164" w:lineRule="exact"/>
        <w:rPr>
          <w:sz w:val="20"/>
          <w:szCs w:val="20"/>
          <w:color w:val="auto"/>
        </w:rPr>
      </w:pPr>
    </w:p>
    <w:p>
      <w:pPr>
        <w:ind w:left="3" w:right="580"/>
        <w:spacing w:after="0" w:line="261" w:lineRule="auto"/>
        <w:rPr>
          <w:sz w:val="20"/>
          <w:szCs w:val="20"/>
          <w:color w:val="auto"/>
        </w:rPr>
      </w:pPr>
      <w:r>
        <w:rPr>
          <w:rFonts w:ascii="Arial" w:cs="Arial" w:eastAsia="Arial" w:hAnsi="Arial"/>
          <w:sz w:val="16"/>
          <w:szCs w:val="16"/>
          <w:color w:val="auto"/>
        </w:rPr>
        <w:t>For much of Expensify’s existence, we’ve focused on streamlining the financial pain points that stem from expense and corporate card management. However, as we’ve worked closely with our customers, we’ve strengthened our perspective that invoices and bill pay are more similar to expense management than they are distinct from it.</w:t>
      </w:r>
    </w:p>
    <w:p>
      <w:pPr>
        <w:spacing w:after="0" w:line="118"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For instance, invoices are similar to expense reports, but with a simpler approval workflow, as a customer merely needs to approve and pay an invoice rather than a boss needing to track down and verify expenses. Similarly, bills are the same as invoicing but from the recipient side, because every invoice is a bill someone else needs to approve and pay, and bills themselves mimic internal expense report approvals.</w:t>
      </w:r>
    </w:p>
    <w:p>
      <w:pPr>
        <w:spacing w:after="0" w:line="106"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Accordingly, because bills, invoices and expenses share so many underlying similarities, we are able to leverage our underlying technology to accommodate each of these use cases with the same easy-to-use platform. Even more importantly, accounts receivable and accounts payable teams are most typically one integrated team in small businesses, which reduces the need for SMBs to purchase, learn and maintain a separate set of applications and processes.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Invoicing &amp; bill pay</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Key capabilities of our invoicing and bill payment features include:</w:t>
      </w:r>
    </w:p>
    <w:p>
      <w:pPr>
        <w:spacing w:after="0" w:line="113" w:lineRule="exact"/>
        <w:rPr>
          <w:sz w:val="20"/>
          <w:szCs w:val="20"/>
          <w:color w:val="auto"/>
        </w:rPr>
      </w:pPr>
    </w:p>
    <w:p>
      <w:pPr>
        <w:ind w:left="283" w:right="240" w:hanging="283"/>
        <w:spacing w:after="0" w:line="294" w:lineRule="auto"/>
        <w:tabs>
          <w:tab w:leader="none" w:pos="278"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Payments made easy. </w:t>
      </w:r>
      <w:r>
        <w:rPr>
          <w:rFonts w:ascii="Arial" w:cs="Arial" w:eastAsia="Arial" w:hAnsi="Arial"/>
          <w:sz w:val="16"/>
          <w:szCs w:val="16"/>
          <w:color w:val="auto"/>
        </w:rPr>
        <w:t>With multiple payment options, including credit/debit card, ACH, check, Venmo and PayPal, customers across the globe have</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quick, easy and frictionless payment options.</w:t>
      </w:r>
    </w:p>
    <w:p>
      <w:pPr>
        <w:spacing w:after="0" w:line="72" w:lineRule="exact"/>
        <w:rPr>
          <w:rFonts w:ascii="Arial" w:cs="Arial" w:eastAsia="Arial" w:hAnsi="Arial"/>
          <w:sz w:val="16"/>
          <w:szCs w:val="16"/>
          <w:color w:val="auto"/>
        </w:rPr>
      </w:pPr>
    </w:p>
    <w:p>
      <w:pPr>
        <w:ind w:left="283" w:right="420" w:hanging="283"/>
        <w:spacing w:after="0" w:line="294" w:lineRule="auto"/>
        <w:tabs>
          <w:tab w:leader="none" w:pos="278"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Eliminate manual entry. </w:t>
      </w:r>
      <w:r>
        <w:rPr>
          <w:rFonts w:ascii="Arial" w:cs="Arial" w:eastAsia="Arial" w:hAnsi="Arial"/>
          <w:sz w:val="16"/>
          <w:szCs w:val="16"/>
          <w:color w:val="auto"/>
        </w:rPr>
        <w:t>Bills sent to a company’s @expensify.cash address are automatically SmartScanned, which captures key details for easy</w:t>
      </w:r>
      <w:r>
        <w:rPr>
          <w:rFonts w:ascii="Arial" w:cs="Arial" w:eastAsia="Arial" w:hAnsi="Arial"/>
          <w:sz w:val="16"/>
          <w:szCs w:val="16"/>
          <w:b w:val="1"/>
          <w:bCs w:val="1"/>
          <w:color w:val="auto"/>
        </w:rPr>
        <w:t xml:space="preserve"> </w:t>
      </w:r>
      <w:r>
        <w:rPr>
          <w:rFonts w:ascii="Arial" w:cs="Arial" w:eastAsia="Arial" w:hAnsi="Arial"/>
          <w:sz w:val="16"/>
          <w:szCs w:val="16"/>
          <w:color w:val="auto"/>
        </w:rPr>
        <w:t>review and processing.</w:t>
      </w:r>
    </w:p>
    <w:p>
      <w:pPr>
        <w:spacing w:after="0" w:line="72" w:lineRule="exact"/>
        <w:rPr>
          <w:rFonts w:ascii="Arial" w:cs="Arial" w:eastAsia="Arial" w:hAnsi="Arial"/>
          <w:sz w:val="16"/>
          <w:szCs w:val="16"/>
          <w:color w:val="auto"/>
        </w:rPr>
      </w:pPr>
    </w:p>
    <w:p>
      <w:pPr>
        <w:ind w:left="283" w:right="80" w:hanging="283"/>
        <w:spacing w:after="0" w:line="294" w:lineRule="auto"/>
        <w:tabs>
          <w:tab w:leader="none" w:pos="278"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Real-time communication. </w:t>
      </w:r>
      <w:r>
        <w:rPr>
          <w:rFonts w:ascii="Arial" w:cs="Arial" w:eastAsia="Arial" w:hAnsi="Arial"/>
          <w:sz w:val="16"/>
          <w:szCs w:val="16"/>
          <w:color w:val="auto"/>
        </w:rPr>
        <w:t>Customers can leave comments or ask questions on the invoice and both parties can chat in real time directly in Expensify,</w:t>
      </w:r>
      <w:r>
        <w:rPr>
          <w:rFonts w:ascii="Arial" w:cs="Arial" w:eastAsia="Arial" w:hAnsi="Arial"/>
          <w:sz w:val="16"/>
          <w:szCs w:val="16"/>
          <w:b w:val="1"/>
          <w:bCs w:val="1"/>
          <w:color w:val="auto"/>
        </w:rPr>
        <w:t xml:space="preserve"> </w:t>
      </w:r>
      <w:r>
        <w:rPr>
          <w:rFonts w:ascii="Arial" w:cs="Arial" w:eastAsia="Arial" w:hAnsi="Arial"/>
          <w:sz w:val="16"/>
          <w:szCs w:val="16"/>
          <w:color w:val="auto"/>
        </w:rPr>
        <w:t>or receive an email instantly.</w:t>
      </w:r>
    </w:p>
    <w:p>
      <w:pPr>
        <w:spacing w:after="0" w:line="60" w:lineRule="exact"/>
        <w:rPr>
          <w:rFonts w:ascii="Arial" w:cs="Arial" w:eastAsia="Arial" w:hAnsi="Arial"/>
          <w:sz w:val="16"/>
          <w:szCs w:val="16"/>
          <w:color w:val="auto"/>
        </w:rPr>
      </w:pPr>
    </w:p>
    <w:p>
      <w:pPr>
        <w:ind w:left="283" w:right="100" w:hanging="283"/>
        <w:spacing w:after="0" w:line="274" w:lineRule="auto"/>
        <w:tabs>
          <w:tab w:leader="none" w:pos="278"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Extensive integrations. </w:t>
      </w:r>
      <w:r>
        <w:rPr>
          <w:rFonts w:ascii="Arial" w:cs="Arial" w:eastAsia="Arial" w:hAnsi="Arial"/>
          <w:sz w:val="16"/>
          <w:szCs w:val="16"/>
          <w:color w:val="auto"/>
        </w:rPr>
        <w:t>Companies can save time by exporting invoices and bills to QuickBooks, Xero, Sage Intacct, Oracle NetSuite and more.</w:t>
      </w:r>
      <w:r>
        <w:rPr>
          <w:rFonts w:ascii="Arial" w:cs="Arial" w:eastAsia="Arial" w:hAnsi="Arial"/>
          <w:sz w:val="16"/>
          <w:szCs w:val="16"/>
          <w:b w:val="1"/>
          <w:bCs w:val="1"/>
          <w:color w:val="auto"/>
        </w:rPr>
        <w:t xml:space="preserve"> </w:t>
      </w:r>
      <w:r>
        <w:rPr>
          <w:rFonts w:ascii="Arial" w:cs="Arial" w:eastAsia="Arial" w:hAnsi="Arial"/>
          <w:sz w:val="16"/>
          <w:szCs w:val="16"/>
          <w:color w:val="auto"/>
        </w:rPr>
        <w:t>Invoices are automatically linked to the corresponding customer and exported as a receivable in the accounting system. Bills are automatically linked to the corresponding vendor and exported as a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43"/>
          </w:cols>
          <w:pgMar w:left="317" w:top="1422" w:right="33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b w:val="1"/>
          <w:bCs w:val="1"/>
          <w:color w:val="auto"/>
        </w:rPr>
        <w:t>Additional early access features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Before we launch any new feature, we use the feature ourselves internally. This process allows us to experience the pain points ourselves and build better solutions for our customers. We have developed and adopted internal chat functionality to increase collaboration and make money easy for our members in both business and personal use cases. We are designing this chat functionality to offer end to end encryption and underpin our product as we bring chat and payments together for easy financial collaboration. Additionally, we have developed and adopted our own payroll system for US employees. These features are not the focal points of our existing platform and we have no timeline of when they will be launched for early access to the public or fully launched in general. But they are features we have built, have adopted and are excited to one day bring to our members, both existing and new.</w:t>
      </w:r>
    </w:p>
    <w:p>
      <w:pPr>
        <w:spacing w:after="0" w:line="12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will continue to invest in our platform to constantly enhance existing features and add new solutions that can extend our platform to help additional use cases for our members and their businesses. We believe that by delivering one, highly integrated platform that can solve pain points for and promote collaboration across a wide range of end users, we can continue to make money easy for our customers.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technology, infrastructure and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foundation</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Expensify is built on Bedrock - a private Blockchain-based data foundation atop a custom fork of SQLite, which we believe is the fastest, most reliable and most widely distributed database in the world. This fork optimizes SQLite to operate on extremely high core density servers, concurrently executing thousands of page-locked transactions per server, with robust conflict detection and resolution. Bedrock further extends SQLite -- which is a local database with no networking component -- with a WAN-optimized, Paxos-based self-healing clustered replication engine designed to conduct atomic two-phase commits over high-latency / low-reliability internet VPN links, using the world's longest continuously operational Blockchain (since before Bitcoin began). Our design is optimized for global scale, speed and reliability.</w:t>
      </w:r>
    </w:p>
    <w:p>
      <w:pPr>
        <w:spacing w:after="0" w:line="12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operate out of three fully-replicated geo-redundant data centers, each on separate power grids and operated by separate providers, with highly peered internet uplinks. This means not only can any single component fail inside of a datacenter with no service impact, an entire data center can go down and Expensify will still be live.</w:t>
      </w:r>
    </w:p>
    <w:p>
      <w:pPr>
        <w:spacing w:after="0" w:line="10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lease all of our underlying hardware and servers, which dramatically reduces our cost of operations. We believe our hardware is also built to scale like no other: Expensify runs on custom-built high density core count servers each having 384 CPUs and 6 TB of RAM, provisioned for many, many multiples of our current load. This means we can significantly increase our customer count many times over without adding developers or incurring additional hardware expense to support them.</w:t>
      </w:r>
    </w:p>
    <w:p>
      <w:pPr>
        <w:spacing w:after="0" w:line="12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An important element of our database design is that we consolidate all members into a single database, and maintain a direct legal relationship with each of them, where they own all their underlying data and control their account status. This is unlike every other enterprise SaaS (software as a service) platform out there where data is logically (or even physically) partitioned, and all member data is owned by the company, not individual employees.</w:t>
      </w:r>
    </w:p>
    <w:p>
      <w:pPr>
        <w:spacing w:after="0" w:line="118"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Our unpartitioned, self-owned account design poses a significant competitive advantage for us. It underpins our success with bottom-up adoption and our unique network-effect business model. Regardless of how the member was acquired, and what their original use case was, we are able to effectively and uniformly distribute our entire suite of features to them. This makes Expensify a more valuable service to each of them, and accessible to any member, no matter what company they currently work at. We believe no other company can replicate our bottom-up adoption model without this technical and legal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20"/>
          </w:cols>
          <w:pgMar w:left="320" w:top="1425" w:right="359" w:bottom="1440" w:gutter="0" w:footer="0" w:header="0"/>
        </w:sectPr>
      </w:pPr>
    </w:p>
    <w:bookmarkStart w:id="147" w:name="page148"/>
    <w:bookmarkEnd w:id="147"/>
    <w:p>
      <w:pPr>
        <w:ind w:left="3"/>
        <w:spacing w:after="0"/>
        <w:rPr>
          <w:sz w:val="20"/>
          <w:szCs w:val="20"/>
          <w:color w:val="auto"/>
        </w:rPr>
      </w:pPr>
      <w:r>
        <w:rPr>
          <w:rFonts w:ascii="Arial" w:cs="Arial" w:eastAsia="Arial" w:hAnsi="Arial"/>
          <w:sz w:val="16"/>
          <w:szCs w:val="16"/>
          <w:b w:val="1"/>
          <w:bCs w:val="1"/>
          <w:i w:val="1"/>
          <w:iCs w:val="1"/>
          <w:color w:val="auto"/>
        </w:rPr>
        <w:t>Our operations</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approach the operational challenges of achieving profitable scale in a two pronged approach:</w:t>
      </w:r>
    </w:p>
    <w:p>
      <w:pPr>
        <w:spacing w:after="0" w:line="145" w:lineRule="exact"/>
        <w:rPr>
          <w:sz w:val="20"/>
          <w:szCs w:val="20"/>
          <w:color w:val="auto"/>
        </w:rPr>
      </w:pPr>
    </w:p>
    <w:p>
      <w:pPr>
        <w:ind w:left="283" w:hanging="283"/>
        <w:spacing w:after="0"/>
        <w:tabs>
          <w:tab w:leader="none" w:pos="283" w:val="left"/>
        </w:tabs>
        <w:numPr>
          <w:ilvl w:val="0"/>
          <w:numId w:val="98"/>
        </w:numPr>
        <w:rPr>
          <w:rFonts w:ascii="Arial" w:cs="Arial" w:eastAsia="Arial" w:hAnsi="Arial"/>
          <w:sz w:val="16"/>
          <w:szCs w:val="16"/>
          <w:color w:val="auto"/>
        </w:rPr>
      </w:pPr>
      <w:r>
        <w:rPr>
          <w:rFonts w:ascii="Arial" w:cs="Arial" w:eastAsia="Arial" w:hAnsi="Arial"/>
          <w:sz w:val="16"/>
          <w:szCs w:val="16"/>
          <w:color w:val="auto"/>
        </w:rPr>
        <w:t>Solve problems with automation, not headcount, wherever possible</w:t>
      </w:r>
    </w:p>
    <w:p>
      <w:pPr>
        <w:spacing w:after="0" w:line="144" w:lineRule="exact"/>
        <w:rPr>
          <w:rFonts w:ascii="Arial" w:cs="Arial" w:eastAsia="Arial" w:hAnsi="Arial"/>
          <w:sz w:val="16"/>
          <w:szCs w:val="16"/>
          <w:color w:val="auto"/>
        </w:rPr>
      </w:pPr>
    </w:p>
    <w:p>
      <w:pPr>
        <w:ind w:left="3" w:right="5120" w:hanging="3"/>
        <w:spacing w:after="0" w:line="407" w:lineRule="auto"/>
        <w:tabs>
          <w:tab w:leader="none" w:pos="284" w:val="left"/>
        </w:tabs>
        <w:numPr>
          <w:ilvl w:val="0"/>
          <w:numId w:val="98"/>
        </w:numPr>
        <w:rPr>
          <w:rFonts w:ascii="Arial" w:cs="Arial" w:eastAsia="Arial" w:hAnsi="Arial"/>
          <w:sz w:val="16"/>
          <w:szCs w:val="16"/>
          <w:color w:val="auto"/>
        </w:rPr>
      </w:pPr>
      <w:r>
        <w:rPr>
          <w:rFonts w:ascii="Arial" w:cs="Arial" w:eastAsia="Arial" w:hAnsi="Arial"/>
          <w:sz w:val="16"/>
          <w:szCs w:val="16"/>
          <w:color w:val="auto"/>
        </w:rPr>
        <w:t>Smart manual intervention with on-demand, flexible, appropriately skilled humans SmartScan and Concierge are two examples of this approach working in practice.</w:t>
      </w:r>
    </w:p>
    <w:p>
      <w:pPr>
        <w:spacing w:after="0" w:line="1" w:lineRule="exact"/>
        <w:rPr>
          <w:sz w:val="20"/>
          <w:szCs w:val="20"/>
          <w:color w:val="auto"/>
        </w:rPr>
      </w:pPr>
    </w:p>
    <w:p>
      <w:pPr>
        <w:ind w:left="3" w:right="60"/>
        <w:spacing w:after="0" w:line="294" w:lineRule="auto"/>
        <w:rPr>
          <w:sz w:val="20"/>
          <w:szCs w:val="20"/>
          <w:color w:val="auto"/>
        </w:rPr>
      </w:pPr>
      <w:r>
        <w:rPr>
          <w:rFonts w:ascii="Arial" w:cs="Arial" w:eastAsia="Arial" w:hAnsi="Arial"/>
          <w:sz w:val="16"/>
          <w:szCs w:val="16"/>
          <w:b w:val="1"/>
          <w:bCs w:val="1"/>
          <w:i w:val="1"/>
          <w:iCs w:val="1"/>
          <w:color w:val="auto"/>
        </w:rPr>
        <w:t xml:space="preserve">SmartScan. </w:t>
      </w:r>
      <w:r>
        <w:rPr>
          <w:rFonts w:ascii="Arial" w:cs="Arial" w:eastAsia="Arial" w:hAnsi="Arial"/>
          <w:sz w:val="16"/>
          <w:szCs w:val="16"/>
          <w:color w:val="auto"/>
        </w:rPr>
        <w:t>SmartScan is designed for accuracy and optimized for speed and cost. To deliver on the promise of “fire and forget”, we believe that the results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scan need to be more accurate than the user entering their own receipt by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59690</wp:posOffset>
            </wp:positionV>
            <wp:extent cx="4826000" cy="2714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
        <w:spacing w:after="0"/>
        <w:rPr>
          <w:sz w:val="20"/>
          <w:szCs w:val="20"/>
          <w:color w:val="auto"/>
        </w:rPr>
      </w:pPr>
      <w:r>
        <w:rPr>
          <w:rFonts w:ascii="Arial" w:cs="Arial" w:eastAsia="Arial" w:hAnsi="Arial"/>
          <w:sz w:val="16"/>
          <w:szCs w:val="16"/>
          <w:color w:val="auto"/>
        </w:rPr>
        <w:t>To accomplish this:</w:t>
      </w:r>
    </w:p>
    <w:p>
      <w:pPr>
        <w:spacing w:after="0" w:line="145" w:lineRule="exact"/>
        <w:rPr>
          <w:sz w:val="20"/>
          <w:szCs w:val="20"/>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We have a host of OCR-based, AI-powered software parsers that read and transcribe every receipt scanned (or forwarded) to them.</w:t>
      </w:r>
    </w:p>
    <w:p>
      <w:pPr>
        <w:spacing w:after="0" w:line="132" w:lineRule="exact"/>
        <w:rPr>
          <w:rFonts w:ascii="Arial" w:cs="Arial" w:eastAsia="Arial" w:hAnsi="Arial"/>
          <w:sz w:val="16"/>
          <w:szCs w:val="16"/>
          <w:color w:val="auto"/>
        </w:rPr>
      </w:pPr>
    </w:p>
    <w:p>
      <w:pPr>
        <w:ind w:left="283" w:hanging="283"/>
        <w:spacing w:after="0" w:line="261" w:lineRule="auto"/>
        <w:tabs>
          <w:tab w:leader="none" w:pos="272"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cases where a scanned receipt cannot be transcribed with sufficient confidence, we route the receipts to a worldwide team of on-demand workers who transcribe the results, paid on a per-job basis with no minimums. We have over 1,000 trained and vetted agents globally who can be "surged" online as needed, but only pay a fixed price per receipt accurately transcribed.</w:t>
      </w:r>
    </w:p>
    <w:p>
      <w:pPr>
        <w:spacing w:after="0" w:line="118"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Once a receipt has been processed, it is then matched with imported transaction feeds to validate the expense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43"/>
          </w:cols>
          <w:pgMar w:left="317" w:top="1422" w:right="339" w:bottom="1440" w:gutter="0" w:footer="0" w:header="0"/>
        </w:sectPr>
      </w:pPr>
    </w:p>
    <w:bookmarkStart w:id="148" w:name="page149"/>
    <w:bookmarkEnd w:id="148"/>
    <w:p>
      <w:pPr>
        <w:ind w:left="3" w:right="160"/>
        <w:spacing w:after="0" w:line="294" w:lineRule="auto"/>
        <w:rPr>
          <w:sz w:val="20"/>
          <w:szCs w:val="20"/>
          <w:color w:val="auto"/>
        </w:rPr>
      </w:pPr>
      <w:r>
        <w:rPr>
          <w:rFonts w:ascii="Arial" w:cs="Arial" w:eastAsia="Arial" w:hAnsi="Arial"/>
          <w:sz w:val="16"/>
          <w:szCs w:val="16"/>
          <w:b w:val="1"/>
          <w:bCs w:val="1"/>
          <w:i w:val="1"/>
          <w:iCs w:val="1"/>
          <w:color w:val="auto"/>
        </w:rPr>
        <w:t xml:space="preserve">Concierge. </w:t>
      </w:r>
      <w:r>
        <w:rPr>
          <w:rFonts w:ascii="Arial" w:cs="Arial" w:eastAsia="Arial" w:hAnsi="Arial"/>
          <w:sz w:val="16"/>
          <w:szCs w:val="16"/>
          <w:color w:val="auto"/>
        </w:rPr>
        <w:t>Concierge is our customer support engine. Concierge is designed for speed and accuracy and optimized for cost. Concierge is powered by AI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trained by customer support agents, with different levels of skill and training, spread out across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51435</wp:posOffset>
            </wp:positionV>
            <wp:extent cx="4826000" cy="2714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respond to most customer queries in less than two minutes. It works like below:</w:t>
      </w:r>
    </w:p>
    <w:p>
      <w:pPr>
        <w:spacing w:after="0" w:line="133" w:lineRule="exact"/>
        <w:rPr>
          <w:sz w:val="20"/>
          <w:szCs w:val="20"/>
          <w:color w:val="auto"/>
        </w:rPr>
      </w:pPr>
    </w:p>
    <w:p>
      <w:pPr>
        <w:ind w:left="283" w:right="160" w:hanging="283"/>
        <w:spacing w:after="0" w:line="268" w:lineRule="auto"/>
        <w:tabs>
          <w:tab w:leader="none" w:pos="27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Concierge uses natural language processing to break down a question into its component parts, organized into a "conversational hierarchy" that maps out the natural flow of real world conversations.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Concierge will analyze this against previously answered questions asked in the same conversational state, to formulate a response.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unable to answer with high confidence, Concierge will show that question to a "First Responder" along with suggested responses.</w:t>
      </w:r>
    </w:p>
    <w:p>
      <w:pPr>
        <w:spacing w:after="0" w:line="132" w:lineRule="exact"/>
        <w:rPr>
          <w:rFonts w:ascii="Arial" w:cs="Arial" w:eastAsia="Arial" w:hAnsi="Arial"/>
          <w:sz w:val="16"/>
          <w:szCs w:val="16"/>
          <w:color w:val="auto"/>
        </w:rPr>
      </w:pPr>
    </w:p>
    <w:p>
      <w:pPr>
        <w:ind w:left="283" w:right="60" w:hanging="283"/>
        <w:spacing w:after="0" w:line="268" w:lineRule="auto"/>
        <w:tabs>
          <w:tab w:leader="none" w:pos="27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First Responders will pick the correct response from suggested responses provided by Concierge, increasing the accuracy of Concierge for this answer the next time this question is received in this conversational state.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First Responders will escalate to a "Second Responder" if none of the suggested responses work.</w:t>
      </w:r>
    </w:p>
    <w:p>
      <w:pPr>
        <w:spacing w:after="0" w:line="144" w:lineRule="exact"/>
        <w:rPr>
          <w:rFonts w:ascii="Arial" w:cs="Arial" w:eastAsia="Arial" w:hAnsi="Arial"/>
          <w:sz w:val="16"/>
          <w:szCs w:val="16"/>
          <w:color w:val="auto"/>
        </w:rPr>
      </w:pPr>
    </w:p>
    <w:p>
      <w:pPr>
        <w:ind w:left="283" w:right="200" w:hanging="283"/>
        <w:spacing w:after="0" w:line="268" w:lineRule="auto"/>
        <w:tabs>
          <w:tab w:leader="none" w:pos="27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Second Responders will execute the member’s request (such as for travel booking), write a new response (training Concierge to answer this question next time), or escalate to a Success Coach if the question is too complex for their understanding.</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Success Coaches effectively resolve all questions directed to them.</w:t>
      </w:r>
    </w:p>
    <w:p>
      <w:pPr>
        <w:spacing w:after="0" w:line="14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03"/>
          </w:cols>
          <w:pgMar w:left="317" w:top="1422" w:right="379" w:bottom="1440" w:gutter="0" w:footer="0" w:header="0"/>
        </w:sectPr>
      </w:pPr>
    </w:p>
    <w:bookmarkStart w:id="149" w:name="page150"/>
    <w:bookmarkEnd w:id="149"/>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Success Coaches are full-time employees who manage the bulk of our product management. Whereas Second Responders are more akin to a traditional customer support team, Success Coaches are akin to a traditional product management team, with an AI-twist. Success Coaches are named to reflect that they "coach" the Success organization (including the Concierge AI). Said another way, First and Second Responders are focused on supporting customers (and indirectly training Concierge in the process), and Success Coaches are focused on supporting First and Second Responders by building and training an AI-enhanced tool (Concierge), as well as proposing product enhancements to improve its robust self-service and self-diagnostic capabilities. 77% of support inquiries not automatically handled by Concierge are handled by First and Second Responders. Approximately 75% of Success Coach time is spent on traditional product management activity (i.e., writing product proposals, engaging with the product development team, testing new functionality, updating documentation). The remaining approximately 25% is spent doing "supervised training" of the Concierge AI in response to edge case conversations escalated from Second Responders. We believe that by keeping our product managers involved with the customers we design and develop features that customers like to use - supporting our product-led growth. Concierge has dramatically increased the efficiency of the business. Since its introduction in September 2016 to June 30, 2021, we increased our revenue 547% while only increasing headcount by 31%.</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underwriting and risk management</w:t>
      </w:r>
    </w:p>
    <w:p>
      <w:pPr>
        <w:spacing w:after="0" w:line="164"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For the Expensify Card, we have a proprietary underwriting program, wherein we use a combination of leading ID verification and bank account monitoring tools to authenticate a business and assign them the highest possible transaction limit on our platform. We augment this with our transaction monitoring program, which identifies transactions that look suspicious and flags them for internal review. Our highly trained operations team then looks at all the red flags to identify false positives. Approved transactions are "settled" daily, meaning that funds for each day's purchases are withdrawn from the customer's bank account within one business day — generally before we are required to pay the Visa network — resulting in extremely high collectability of short-term credit often extended for less than a day. Taken together, this multi-layered strategy effectively minimizes fraud on our platform.</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compliance and data security</w:t>
      </w:r>
    </w:p>
    <w:p>
      <w:pPr>
        <w:spacing w:after="0" w:line="15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are PCI-DSS and SOC-II compliant, with external parties performing "grey box" testing to simulate nation-state level hacking capability. We are integrated with every major bank in the United States and our system and processes have been stress tested by each of them. We process billions of dollars in expense reimbursements every year and are audited annually by our processing bank. We take privacy and data security seriously and are in compliance with domestic and international data privacy regulations, which sometimes change faster than the wind.</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data</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As of June 30, 2021, we have processed over 1.1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spacing w:after="0" w:line="109" w:lineRule="exact"/>
        <w:rPr>
          <w:sz w:val="20"/>
          <w:szCs w:val="20"/>
          <w:color w:val="auto"/>
        </w:rPr>
      </w:pPr>
    </w:p>
    <w:p>
      <w:pPr>
        <w:ind w:right="360"/>
        <w:spacing w:after="0" w:line="258" w:lineRule="auto"/>
        <w:rPr>
          <w:sz w:val="20"/>
          <w:szCs w:val="20"/>
          <w:color w:val="auto"/>
        </w:rPr>
      </w:pPr>
      <w:r>
        <w:rPr>
          <w:rFonts w:ascii="Arial" w:cs="Arial" w:eastAsia="Arial" w:hAnsi="Arial"/>
          <w:sz w:val="16"/>
          <w:szCs w:val="16"/>
          <w:color w:val="auto"/>
        </w:rPr>
        <w:t>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every new member and transaction adding incremental value to our platform. Every receipt we process through our OCR technology makes our SmartScan technology more accurate, every transaction we process and backtest enhances our fraud protection capabilities and every customer inquiry we resolve allows Concierge to answer future questions faster. We believe that our data asset will continue to expand the value of our platform and drive future growth.</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members and customers</w:t>
      </w:r>
    </w:p>
    <w:p>
      <w:pPr>
        <w:spacing w:after="0" w:line="164"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 xml:space="preserve">We think of the individuals that use one or all of our features of our platform as members. In the quarter ended June 30, 2021, we served an average of 639,000 paid members per month and our platform was used in more than 200 different countries and territories. We define paid members as the average number of users (employees, contractors, volunteers, team members, etc.) who are billed on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or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plans during any particular quarter. We are focused on our paid members, and we develop all features of our technology with the member in mind. Loyal, enthusiastic members are the key to our viral word-of-mouth strategy. We also have freemium members that have not been added to a paid policy.</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paid members are generally part of a company policy owned by the employer. While each member is the primary focus of our development, the overall employers are our customers. We work hard to be the most efficient tools to run an SMB from the employer's point of view as well. As of December 2020, we estimate that businesses with fewer than 1,000 employees accounted for over 95% of our customers by revenue and continue to represent our largest greenfield opportunity. Our customers span virtually all sectors with the largest concentration in business services, technology, banking and financial services, entertainment, healthcare, computer / IT, construction, food / beverage, utilities / energy and education. Our customer base is highly diversified, and in 2019 and 2020, no customer accounted for more than 1% of our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69850</wp:posOffset>
            </wp:positionV>
            <wp:extent cx="4826000" cy="2714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60"/>
        <w:spacing w:after="0" w:line="258" w:lineRule="auto"/>
        <w:rPr>
          <w:sz w:val="20"/>
          <w:szCs w:val="20"/>
          <w:color w:val="auto"/>
        </w:rPr>
      </w:pPr>
      <w:r>
        <w:rPr>
          <w:rFonts w:ascii="Arial" w:cs="Arial" w:eastAsia="Arial" w:hAnsi="Arial"/>
          <w:sz w:val="16"/>
          <w:szCs w:val="16"/>
          <w:color w:val="auto"/>
        </w:rPr>
        <w:t>We had approximately 65,700 customers as of December 31, 2019, and approximately 54,600 as of December 31, 2020. We had approximately 53,000 customers as of June 30, 2021. We believe the decline in 2020, which was the first year in our history where we experienced an overall decline in the number of our customers, was due to the impact of the COVID-19 pandemic. The vast majority of customers lost were businesses with less than five members, a segment of customers responsible for only 5% of our total revenue for the three months ending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40"/>
          </w:cols>
          <w:pgMar w:left="320" w:top="1440" w:right="339" w:bottom="1440"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294755" cy="8166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294755"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rFonts w:ascii="Arial" w:cs="Arial" w:eastAsia="Arial" w:hAnsi="Arial"/>
          <w:sz w:val="19"/>
          <w:szCs w:val="19"/>
          <w:b w:val="1"/>
          <w:bCs w:val="1"/>
          <w:color w:val="auto"/>
        </w:rPr>
        <w:t>Marketing</w:t>
      </w:r>
    </w:p>
    <w:p>
      <w:pPr>
        <w:spacing w:after="0" w:line="152"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w:t>
      </w:r>
    </w:p>
    <w:p>
      <w:pPr>
        <w:spacing w:after="0" w:line="11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make our platform available for free trial online, which facilitates rapid and widespread adoption. The superiority of our solution and its user-friendly nature creates advocates of our platform and allows Expensify to spread virally, through word-of-mouth, across teams, departments and organizations. This word-of-mouth marketing increases organically as more individual members and teams discover our platform.</w:t>
      </w:r>
    </w:p>
    <w:p>
      <w:pPr>
        <w:spacing w:after="0" w:line="118"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Our marketing efforts are designed to support the bottom-up viral nature of our platform by establishing our brand as the premiere option in preaccounting software. We invest in brand and platform promotion through partners, conference participation, thought leadership, direct marketing and advertising and content development to educate the market about the benefits of our platform and create market consensus.</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Creating market consensus requires a major investment to establish and requires ongoing commitment to our product to maintain. For example, in 2019, we went big and became one of the smallest companies to ever advertise nationally at the Super Bowl. Our 7-time Cannes Lion winning Super Bowl ad premiered during Super Bowl LIII. But so long as the market agrees we are the best, it is relatively inexpensive to maintain that perception. This creates an asymmetric advantage against anybody who would seek to challenge our brand. This market consensus strategy ensures we get the lion's share of the best new customers in the market by default, without needing to pay a high marginal cost to acquire each new customer.</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Sales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 For the six months ended June 30, 2021, 60% of revenue can be attributed to bottom-up adoption where the first member was not a paying administrator (e.g. Controller, HR Manager) and the bottom-up member ultimately brought the paying administrator to our platform.</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sales model focuses on enabling customer self-service and low-friction entry points enhanced with AI powered customer service. To facilitate self-serve, we share all relevant information directly with prospective customers, including detailed platform and pricing information. Our customers can access free and fully functional trials. When a member has 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spacing w:after="0" w:line="12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Following initial adoption, we increase the value to customers by enhancing and adding features over time. We design new features with the aim of making them a natural extension of our existing platform and painless for existing customers to adopt.</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w:t>
      </w:r>
    </w:p>
    <w:p>
      <w:pPr>
        <w:spacing w:after="0" w:line="15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foundation of our viral growth strategy is the consistent delivery of high-quality features, which our customers use and love. We have a product-led growth strategy, so our ability to scale our platform depends on our ability to innovate and continue to deliver quality and valuable features for members. As such, we prioritize our research and development above all other investments. We build our software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220"/>
          </w:cols>
          <w:pgMar w:left="320" w:top="1425" w:right="359" w:bottom="1440" w:gutter="0" w:footer="0" w:header="0"/>
        </w:sectPr>
      </w:pPr>
    </w:p>
    <w:bookmarkStart w:id="158" w:name="page159"/>
    <w:bookmarkEnd w:id="158"/>
    <w:p>
      <w:pPr>
        <w:spacing w:after="0" w:line="2"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the end user at the center of every decision, investing substantial time, energy and resources to ensure we have a deep understanding of our members’ needs.</w:t>
      </w:r>
    </w:p>
    <w:p>
      <w:pPr>
        <w:spacing w:after="0" w:line="101"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Our unique generalist culture makes research and development activities everyone’s responsibility. In the quarter ended June 30, 2021, approximately 70% of our team was involved in material aspects of research and development. In the same time period, we had a globally distributed team operating across 13 countries. This enables us to have around the clock development schedule and incorporate a diverse range of approaches to solving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75565</wp:posOffset>
            </wp:positionV>
            <wp:extent cx="4826000" cy="297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26000" cy="297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goal is not to build many products that are part of a combined suite. Instead, we have focused on building one unified platform with features that are natural extensions of our core expense management technology. With this approach, we enjoy compounding benefits from all our prior work. We are able to innovate quickly and build new features with fewer people in less time.</w:t>
      </w:r>
    </w:p>
    <w:p>
      <w:pPr>
        <w:spacing w:after="0" w:line="11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Customer Success team works closely with our customers to identify our members’ greatest needs and act as our primary Product Managers to develop features that reflect their feedback. We rapidly design and release new features first to ourselves and then to a group of customers who get early access and provide critical feedback prior to a full launch. Our success depends on people continuing to love our platform – we don’t push to increase adoption until we have a feature we know will add value to members.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competition</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the principal competitive factors that drive leadership in the markets we compete in include the following:</w:t>
      </w:r>
    </w:p>
    <w:p>
      <w:pPr>
        <w:spacing w:after="0" w:line="133" w:lineRule="exact"/>
        <w:rPr>
          <w:sz w:val="20"/>
          <w:szCs w:val="20"/>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End user design focus;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Ease of access, adoption, deployment and use;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Platform functionality and ability to automate processes;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Mobile access across devices;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Ability to purchase without a sales representative;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Viral, bottom-up business model supported by word-of-mouth adoption;</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High interoperability with internal and third party systems and consumer applications;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Flexible, employee-centric legal terms regarding data ownership;</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Data security and privacy;</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Speed and scalability of architecture underlying the platform;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Brand reputation and market consensus around platform superiority;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Customer service and support.</w:t>
      </w:r>
    </w:p>
    <w:p>
      <w:pPr>
        <w:spacing w:after="0" w:line="133" w:lineRule="exact"/>
        <w:rPr>
          <w:sz w:val="20"/>
          <w:szCs w:val="20"/>
          <w:color w:val="auto"/>
        </w:rPr>
      </w:pPr>
    </w:p>
    <w:p>
      <w:pPr>
        <w:ind w:left="3" w:right="60"/>
        <w:spacing w:after="0" w:line="256" w:lineRule="auto"/>
        <w:rPr>
          <w:sz w:val="20"/>
          <w:szCs w:val="20"/>
          <w:color w:val="auto"/>
        </w:rPr>
      </w:pPr>
      <w:r>
        <w:rPr>
          <w:rFonts w:ascii="Arial" w:cs="Arial" w:eastAsia="Arial" w:hAnsi="Arial"/>
          <w:sz w:val="16"/>
          <w:szCs w:val="16"/>
          <w:color w:val="auto"/>
        </w:rPr>
        <w:t>We believe we compete favorably with our competitors on the basis of the factors described above. However, many of our competitors have significantly greater financial, sales and marketing, and product development resources than we have, broader distribution or established relationships, or lower labor and research and development costs. Our competitors may devote greater resources and time on developing and testing products and solutions, undertake more extensive marketing campaigns, adopt more aggressive pricing policies or otherwise develop more commercially successful products and solutions than we do. However, we believe our unique approach, business model, and company culture drive significant competitive differentiation. We intend to continue our intense design focus on the employee experience, support our viral bottom-up business model to drive profitable growth, and nurture our one-of-a-kind company structure and culture to maintain this competitive advantage.</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Intellectual property</w:t>
      </w:r>
    </w:p>
    <w:p>
      <w:pPr>
        <w:spacing w:after="0" w:line="164" w:lineRule="exact"/>
        <w:rPr>
          <w:sz w:val="20"/>
          <w:szCs w:val="20"/>
          <w:color w:val="auto"/>
        </w:rPr>
      </w:pPr>
    </w:p>
    <w:p>
      <w:pPr>
        <w:ind w:left="3" w:right="340"/>
        <w:spacing w:after="0" w:line="261" w:lineRule="auto"/>
        <w:rPr>
          <w:sz w:val="20"/>
          <w:szCs w:val="20"/>
          <w:color w:val="auto"/>
        </w:rPr>
      </w:pPr>
      <w:r>
        <w:rPr>
          <w:rFonts w:ascii="Arial" w:cs="Arial" w:eastAsia="Arial" w:hAnsi="Arial"/>
          <w:sz w:val="16"/>
          <w:szCs w:val="16"/>
          <w:color w:val="auto"/>
        </w:rPr>
        <w:t>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w:t>
      </w:r>
    </w:p>
    <w:p>
      <w:pPr>
        <w:spacing w:after="0" w:line="106"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As of December 31, 2020, we had 4 trademark registrations in the United States, including EXPENSIFY, SMARTSCAN and CONCIERGE and various other marks had been published, such as KARMA POINTS, CORPORATE KARMA, PERSONAL KARMA, EXPENSIFY THIS, EXPENSIFYTHIS and YOU WEREN’T BORN TO DO EXPENSES. We also had approximately 17 trademark registrations and approximately 21 applications in certain foreign jurisdictions. We will pursue additional trademark registrations to the extent we believe it would be beneficial and cost effective. We also own several domain names, including www.expensify.com, use.expensify.com, www.expensify.org and new.expensify.com.</w:t>
      </w:r>
    </w:p>
    <w:p>
      <w:pPr>
        <w:spacing w:after="0" w:line="123" w:lineRule="exact"/>
        <w:rPr>
          <w:sz w:val="20"/>
          <w:szCs w:val="20"/>
          <w:color w:val="auto"/>
        </w:rPr>
      </w:pPr>
    </w:p>
    <w:p>
      <w:pPr>
        <w:jc w:val="both"/>
        <w:ind w:left="3" w:right="80"/>
        <w:spacing w:after="0" w:line="261" w:lineRule="auto"/>
        <w:rPr>
          <w:sz w:val="20"/>
          <w:szCs w:val="20"/>
          <w:color w:val="auto"/>
        </w:rPr>
      </w:pPr>
      <w:r>
        <w:rPr>
          <w:rFonts w:ascii="Arial" w:cs="Arial" w:eastAsia="Arial" w:hAnsi="Arial"/>
          <w:sz w:val="16"/>
          <w:szCs w:val="16"/>
          <w:color w:val="auto"/>
        </w:rPr>
        <w:t>As of April 12, 2021, we had 14 issued patents and 8 pending patent applications in the United States. Our issued patents expire between August 18, 2028 and September 4, 2032. We have one pending PCT international patent application. We continually review our development efforts to assess the existence and patentability of new intellectual property.</w:t>
      </w:r>
    </w:p>
    <w:p>
      <w:pPr>
        <w:spacing w:after="0" w:line="106" w:lineRule="exact"/>
        <w:rPr>
          <w:sz w:val="20"/>
          <w:szCs w:val="20"/>
          <w:color w:val="auto"/>
        </w:rPr>
      </w:pPr>
    </w:p>
    <w:p>
      <w:pPr>
        <w:ind w:left="3" w:right="660"/>
        <w:spacing w:after="0" w:line="268" w:lineRule="auto"/>
        <w:rPr>
          <w:sz w:val="20"/>
          <w:szCs w:val="20"/>
          <w:color w:val="auto"/>
        </w:rPr>
      </w:pPr>
      <w:r>
        <w:rPr>
          <w:rFonts w:ascii="Arial" w:cs="Arial" w:eastAsia="Arial" w:hAnsi="Arial"/>
          <w:sz w:val="16"/>
          <w:szCs w:val="16"/>
          <w:color w:val="auto"/>
        </w:rPr>
        <w:t>We control access to our intellectual property and confidential information through internal and external controls. We maintain a policy requiring our employees, contractors, consultants and other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03"/>
          </w:cols>
          <w:pgMar w:left="317" w:top="1440" w:right="379" w:bottom="1440" w:gutter="0" w:footer="0" w:header="0"/>
        </w:sectPr>
      </w:pPr>
    </w:p>
    <w:bookmarkStart w:id="160" w:name="page161"/>
    <w:bookmarkEnd w:id="160"/>
    <w:p>
      <w:pPr>
        <w:spacing w:after="0" w:line="2" w:lineRule="exact"/>
        <w:rPr>
          <w:sz w:val="20"/>
          <w:szCs w:val="20"/>
          <w:color w:val="auto"/>
        </w:rPr>
      </w:pPr>
    </w:p>
    <w:p>
      <w:pPr>
        <w:ind w:left="3" w:right="380"/>
        <w:spacing w:after="0" w:line="261" w:lineRule="auto"/>
        <w:rPr>
          <w:sz w:val="20"/>
          <w:szCs w:val="20"/>
          <w:color w:val="auto"/>
        </w:rPr>
      </w:pPr>
      <w:r>
        <w:rPr>
          <w:rFonts w:ascii="Arial" w:cs="Arial" w:eastAsia="Arial" w:hAnsi="Arial"/>
          <w:sz w:val="16"/>
          <w:szCs w:val="16"/>
          <w:color w:val="auto"/>
        </w:rPr>
        <w:t>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For additional information about our intellectual property and associated risks, see the section titled “Risk factors-Risks related to our business.”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culture, employees and human capital resources</w:t>
      </w:r>
    </w:p>
    <w:p>
      <w:pPr>
        <w:spacing w:after="0" w:line="164" w:lineRule="exact"/>
        <w:rPr>
          <w:sz w:val="20"/>
          <w:szCs w:val="20"/>
          <w:color w:val="auto"/>
        </w:rPr>
      </w:pPr>
    </w:p>
    <w:p>
      <w:pPr>
        <w:ind w:left="3" w:right="240"/>
        <w:spacing w:after="0" w:line="258" w:lineRule="auto"/>
        <w:rPr>
          <w:sz w:val="20"/>
          <w:szCs w:val="20"/>
          <w:color w:val="auto"/>
        </w:rPr>
      </w:pPr>
      <w:r>
        <w:rPr>
          <w:rFonts w:ascii="Arial" w:cs="Arial" w:eastAsia="Arial" w:hAnsi="Arial"/>
          <w:sz w:val="16"/>
          <w:szCs w:val="16"/>
          <w:color w:val="auto"/>
        </w:rPr>
        <w:t>At Expensify, we consider our culture and employees to be vital to our success. We strive to create a diverse, inclusive and collaborative workplace that prioritizes and fosters the long-term happiness of our employees. Our company operates with a flat, generalist organizational structure, united by a robust set of common values focused on fostering the long-term happiness of our employees. Expensify’s culture is centered on the belief that a life well lived is one that enables you to achieve our three life goals: live rich, have fun and save the world.</w:t>
      </w:r>
    </w:p>
    <w:p>
      <w:pPr>
        <w:spacing w:after="0" w:line="110"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We provide our employees with competitive compensation, comprehensive healthcare options and equity ownership across our organization. We encourage a balanced lifestyle by offering our employees the flexibility to work remotely and set their own schedules. We dedicate significant time and resources to monitor and improve the happiness of our employees, and in 2020, our average employee happiness score was 8.93 out of 10.</w:t>
      </w:r>
    </w:p>
    <w:p>
      <w:pPr>
        <w:spacing w:after="0" w:line="118"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As of June 30, 2021, we had 140 full-time employees. A majority of our employees have a tenure of over four years, and our 10-person leadership team has an average tenure of 8.6 years. None of our employees are represented by a labor union or covered by collective bargaining agreements. We also engage third-party vendors to supply on-demand workers as needed to support our operations. We have not experienced any work stoppages, and we believe that our employee relations are strong.</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Environmental, Social and Governance (ESG)</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commitment to ESG principles</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There can be no sustainable, profitable growth without a market that is fair, inclusive and universal. Defending, improving and expanding this market is a core responsibility of any business that intends to last as long as we do. Environmental, Social, and Governance (ESG) principles are core to our business strategy of achieving sustainable growth. We recognize our responsibility for the impacts of our operations and products on stakeholders including employees, members, customers, stockholders, and communities. We are committed to aligning with all stakeholders towards long-term, sustainable growth. In alignment with our business strategy, our board of directors and senior management team oversee and manage ESG risks and opportunities.</w:t>
      </w:r>
    </w:p>
    <w:p>
      <w:pPr>
        <w:spacing w:after="0" w:line="123"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We reference industry standards including the Sustainability Accounting Standards Board (SASB), Global Reporting Initiative (GRI), and Financial Stability Board’s Task Force on Climate-related Financial Disclosures (TCFD) to determine financially material topics and share progress on our efforts. As we aim to build a truly sustainable company, we know we are on a journey that involves continuous self-reflection and improvement. We are committed to continuing to excel in areas we are strongest and grow in areas where we can do better. As we work to continue to align with industry standards and share our efforts with our stakeholders, we aim to publish a sustainability report in 2021, and we may expand disclosures in these areas in the future - consistent with our commitment to developing a long-term sustainable business.</w:t>
      </w:r>
    </w:p>
    <w:p>
      <w:pPr>
        <w:spacing w:after="0" w:line="89" w:lineRule="exact"/>
        <w:rPr>
          <w:sz w:val="20"/>
          <w:szCs w:val="20"/>
          <w:color w:val="auto"/>
        </w:rPr>
      </w:pPr>
    </w:p>
    <w:p>
      <w:pPr>
        <w:ind w:left="283" w:right="60" w:hanging="283"/>
        <w:spacing w:after="0" w:line="267" w:lineRule="auto"/>
        <w:tabs>
          <w:tab w:leader="none" w:pos="278"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Managing systemic risks from technology disruptions</w:t>
      </w:r>
      <w:r>
        <w:rPr>
          <w:rFonts w:ascii="Arial" w:cs="Arial" w:eastAsia="Arial" w:hAnsi="Arial"/>
          <w:sz w:val="16"/>
          <w:szCs w:val="16"/>
          <w:color w:val="auto"/>
        </w:rPr>
        <w:t>. Expensify is an always-on, business-critical service, committed to platform reliability.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Maintaining operational continuity is a top priority and has a direct impact on our members’ confidence and the sustainability of our business. We maintain a geographically-distributed platform architecture with redundancy against site failure and operational flexibility for managing platform changes. We perform regular testing, actively monitor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43"/>
          </w:cols>
          <w:pgMar w:left="317" w:top="1440" w:right="339" w:bottom="1440" w:gutter="0" w:footer="0" w:header="0"/>
        </w:sectPr>
      </w:pPr>
    </w:p>
    <w:bookmarkStart w:id="161" w:name="page162"/>
    <w:bookmarkEnd w:id="161"/>
    <w:p>
      <w:pPr>
        <w:spacing w:after="0" w:line="2" w:lineRule="exact"/>
        <w:rPr>
          <w:sz w:val="20"/>
          <w:szCs w:val="20"/>
          <w:color w:val="auto"/>
        </w:rPr>
      </w:pPr>
    </w:p>
    <w:p>
      <w:pPr>
        <w:ind w:left="283" w:right="160"/>
        <w:spacing w:after="0" w:line="268" w:lineRule="auto"/>
        <w:rPr>
          <w:sz w:val="20"/>
          <w:szCs w:val="20"/>
          <w:color w:val="auto"/>
        </w:rPr>
      </w:pPr>
      <w:r>
        <w:rPr>
          <w:rFonts w:ascii="Arial" w:cs="Arial" w:eastAsia="Arial" w:hAnsi="Arial"/>
          <w:sz w:val="16"/>
          <w:szCs w:val="16"/>
          <w:color w:val="auto"/>
        </w:rPr>
        <w:t>issues, and conduct pre-scheduled maintenance without service interruptions. From June 30, 2020, to June 30, 2021, our average service uptime was over 99.9%, exceeding our target of three nines.</w:t>
      </w:r>
    </w:p>
    <w:p>
      <w:pPr>
        <w:spacing w:after="0" w:line="81" w:lineRule="exact"/>
        <w:rPr>
          <w:sz w:val="20"/>
          <w:szCs w:val="20"/>
          <w:color w:val="auto"/>
        </w:rPr>
      </w:pPr>
    </w:p>
    <w:p>
      <w:pPr>
        <w:ind w:left="283" w:right="460" w:hanging="283"/>
        <w:spacing w:after="0" w:line="274" w:lineRule="auto"/>
        <w:tabs>
          <w:tab w:leader="none" w:pos="278"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Ethics and conduct related to financial services products</w:t>
      </w:r>
      <w:r>
        <w:rPr>
          <w:rFonts w:ascii="Arial" w:cs="Arial" w:eastAsia="Arial" w:hAnsi="Arial"/>
          <w:sz w:val="16"/>
          <w:szCs w:val="16"/>
          <w:color w:val="auto"/>
        </w:rPr>
        <w:t>. At Expensify, we prioritize trust, and the safety and security of our financial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Maintaining trust with our members is crucial for our brand reputation. We have robust internal controls to go over and above regulatory compliance and protect stockholder and customer value.</w:t>
      </w:r>
    </w:p>
    <w:p>
      <w:pPr>
        <w:spacing w:after="0" w:line="88" w:lineRule="exact"/>
        <w:rPr>
          <w:rFonts w:ascii="Arial" w:cs="Arial" w:eastAsia="Arial" w:hAnsi="Arial"/>
          <w:sz w:val="16"/>
          <w:szCs w:val="16"/>
          <w:color w:val="auto"/>
        </w:rPr>
      </w:pPr>
    </w:p>
    <w:p>
      <w:pPr>
        <w:ind w:left="283" w:hanging="283"/>
        <w:spacing w:after="0" w:line="262" w:lineRule="auto"/>
        <w:tabs>
          <w:tab w:leader="none" w:pos="278"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Recruiting &amp; managing a global, diverse &amp; skilled workforce</w:t>
      </w:r>
      <w:r>
        <w:rPr>
          <w:rFonts w:ascii="Arial" w:cs="Arial" w:eastAsia="Arial" w:hAnsi="Arial"/>
          <w:sz w:val="16"/>
          <w:szCs w:val="16"/>
          <w:color w:val="auto"/>
        </w:rPr>
        <w:t>. Attracting and retaining a diverse and global workforce, with employees of different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races, ethnicities, nationalities, religions, ages, gender identities, sexual orientations, and more, is central to our ability to innovate and create value over the long term, and reflects our commitment to diversity, equity and inclusion in our core values. We are committed to eliminating bias in how we hire and compensate our employees, including equity-based hiring strategies and a democratic peer-ranked “blind” compensation system. We aim to empower every employee to create the career of their dreams. Our policies focus on aligning long-term employee and company interests, as well as robust growth and recognition programs.</w:t>
      </w:r>
    </w:p>
    <w:p>
      <w:pPr>
        <w:spacing w:after="0" w:line="98" w:lineRule="exact"/>
        <w:rPr>
          <w:rFonts w:ascii="Arial" w:cs="Arial" w:eastAsia="Arial" w:hAnsi="Arial"/>
          <w:sz w:val="16"/>
          <w:szCs w:val="16"/>
          <w:color w:val="auto"/>
        </w:rPr>
      </w:pPr>
    </w:p>
    <w:p>
      <w:pPr>
        <w:ind w:left="283" w:right="40" w:hanging="283"/>
        <w:spacing w:after="0" w:line="262" w:lineRule="auto"/>
        <w:tabs>
          <w:tab w:leader="none" w:pos="278"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Data privacy</w:t>
      </w:r>
      <w:r>
        <w:rPr>
          <w:rFonts w:ascii="Arial" w:cs="Arial" w:eastAsia="Arial" w:hAnsi="Arial"/>
          <w:sz w:val="16"/>
          <w:szCs w:val="16"/>
          <w:color w:val="auto"/>
        </w:rPr>
        <w:t>. Customer privacy and maintaining customer trust is fundamental to Expensify’s success. We prioritize strong data privacy practices,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policies and programs for business success. We evaluate risks and control mechanisms annually with an independent third party, and review privacy considerations as part of product development. Risks and opportunities are identified, evaluated, and managed on a regular basis to maintain compliance with changing global privacy laws and regulations. Customer agreements along with a variety of internal policies and external privacy policies describe how we safeguard customers' data. User data is not used for secondary purposes and we do not knowingly permit government monitoring in any country.</w:t>
      </w:r>
    </w:p>
    <w:p>
      <w:pPr>
        <w:spacing w:after="0" w:line="85" w:lineRule="exact"/>
        <w:rPr>
          <w:rFonts w:ascii="Arial" w:cs="Arial" w:eastAsia="Arial" w:hAnsi="Arial"/>
          <w:sz w:val="16"/>
          <w:szCs w:val="16"/>
          <w:color w:val="auto"/>
        </w:rPr>
      </w:pPr>
    </w:p>
    <w:p>
      <w:pPr>
        <w:jc w:val="both"/>
        <w:ind w:left="283" w:right="40" w:hanging="283"/>
        <w:spacing w:after="0" w:line="274" w:lineRule="auto"/>
        <w:tabs>
          <w:tab w:leader="none" w:pos="278"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Data security</w:t>
      </w:r>
      <w:r>
        <w:rPr>
          <w:rFonts w:ascii="Arial" w:cs="Arial" w:eastAsia="Arial" w:hAnsi="Arial"/>
          <w:sz w:val="16"/>
          <w:szCs w:val="16"/>
          <w:color w:val="auto"/>
        </w:rPr>
        <w:t>. Data security is essential to maintaining our members' trust, because we process and store sensitive financial and personally identifiable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The control environment at Expensify reflects our commitment to data security. Our policies and procedures detail operational requirements that support system specifications, security commitments, and compliance with relevant laws and regulations.</w:t>
      </w:r>
    </w:p>
    <w:p>
      <w:pPr>
        <w:spacing w:after="0" w:line="88" w:lineRule="exact"/>
        <w:rPr>
          <w:rFonts w:ascii="Arial" w:cs="Arial" w:eastAsia="Arial" w:hAnsi="Arial"/>
          <w:sz w:val="16"/>
          <w:szCs w:val="16"/>
          <w:color w:val="auto"/>
        </w:rPr>
      </w:pPr>
    </w:p>
    <w:p>
      <w:pPr>
        <w:ind w:left="283" w:right="180" w:hanging="283"/>
        <w:spacing w:after="0" w:line="199" w:lineRule="exact"/>
        <w:tabs>
          <w:tab w:leader="none" w:pos="278"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Environmental footprint of hardware infrastructure and emissions</w:t>
      </w:r>
      <w:r>
        <w:rPr>
          <w:rFonts w:ascii="Arial" w:cs="Arial" w:eastAsia="Arial" w:hAnsi="Arial"/>
          <w:sz w:val="16"/>
          <w:szCs w:val="16"/>
          <w:color w:val="auto"/>
        </w:rPr>
        <w:t>. We recognize the environmental impacts of our business, the impacts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of potential risks related to emissions such as carbon taxes and climate change, and the possibility for damage to our reputation and brand if we do not take action related to emissions and other environmental impacts. Expensify has engaged a third party to evaluate and model our Greenhouse Gas (GHG) emissions. For 2021, our estimated GHG emissions will be 4,736 tCO</w:t>
      </w:r>
      <w:r>
        <w:rPr>
          <w:rFonts w:ascii="MS PGothic" w:cs="MS PGothic" w:eastAsia="MS PGothic" w:hAnsi="MS PGothic"/>
          <w:sz w:val="16"/>
          <w:szCs w:val="16"/>
          <w:color w:val="auto"/>
        </w:rPr>
        <w:t>₂</w:t>
      </w:r>
      <w:r>
        <w:rPr>
          <w:rFonts w:ascii="Arial" w:cs="Arial" w:eastAsia="Arial" w:hAnsi="Arial"/>
          <w:sz w:val="16"/>
          <w:szCs w:val="16"/>
          <w:color w:val="auto"/>
        </w:rPr>
        <w:t>e. As of September 2021, we successfully offset our projected annual carbon footprint and became carbon neutral.</w:t>
      </w:r>
    </w:p>
    <w:p>
      <w:pPr>
        <w:spacing w:after="0" w:line="115" w:lineRule="exact"/>
        <w:rPr>
          <w:rFonts w:ascii="Arial" w:cs="Arial" w:eastAsia="Arial" w:hAnsi="Arial"/>
          <w:sz w:val="16"/>
          <w:szCs w:val="16"/>
          <w:color w:val="auto"/>
        </w:rPr>
      </w:pPr>
    </w:p>
    <w:p>
      <w:pPr>
        <w:ind w:left="283" w:right="240" w:hanging="283"/>
        <w:spacing w:after="0" w:line="267" w:lineRule="auto"/>
        <w:tabs>
          <w:tab w:leader="none" w:pos="278"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Climate risks</w:t>
      </w:r>
      <w:r>
        <w:rPr>
          <w:rFonts w:ascii="Arial" w:cs="Arial" w:eastAsia="Arial" w:hAnsi="Arial"/>
          <w:sz w:val="16"/>
          <w:szCs w:val="16"/>
          <w:color w:val="auto"/>
        </w:rPr>
        <w:t>. We recognize the risks posed by climate change to our operations and revenue, including risks associated with the transition to a low-carbon economy and the physical impacts of climate change. Our efforts to become carbon neutral are one part of our commitment to addressing climate change. Starting in 2022, we aim to manage and report on climate-related risks and opportunities, and set targets and metrics to evaluate our performance, in accordance with the TCFD recommendations.</w:t>
      </w:r>
    </w:p>
    <w:p>
      <w:pPr>
        <w:spacing w:after="0" w:line="82" w:lineRule="exact"/>
        <w:rPr>
          <w:rFonts w:ascii="Arial" w:cs="Arial" w:eastAsia="Arial" w:hAnsi="Arial"/>
          <w:sz w:val="16"/>
          <w:szCs w:val="16"/>
          <w:color w:val="auto"/>
        </w:rPr>
      </w:pPr>
    </w:p>
    <w:p>
      <w:pPr>
        <w:ind w:left="283" w:right="180" w:hanging="283"/>
        <w:spacing w:after="0" w:line="267" w:lineRule="auto"/>
        <w:tabs>
          <w:tab w:leader="none" w:pos="278"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Commitment to long term thinking</w:t>
      </w:r>
      <w:r>
        <w:rPr>
          <w:rFonts w:ascii="Arial" w:cs="Arial" w:eastAsia="Arial" w:hAnsi="Arial"/>
          <w:sz w:val="16"/>
          <w:szCs w:val="16"/>
          <w:color w:val="auto"/>
        </w:rPr>
        <w:t>. We believe that our environment, society, shareholders, and overall company will be best served if we remain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the long-term impacts of the decisions we make as a business. We aim to align all stakeholders around long-term thinking. To that aim, we are currently pursuing dual-listing on the Long Term Stock Exchange (LTSE) following this offering. At that time, LTSE would serve as our secondary exchange and provide further support for our long-term business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23"/>
          </w:cols>
          <w:pgMar w:left="317" w:top="1440" w:right="35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b w:val="1"/>
          <w:bCs w:val="1"/>
          <w:color w:val="auto"/>
        </w:rPr>
        <w:t>Legal proceedings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facilities</w:t>
      </w:r>
    </w:p>
    <w:p>
      <w:pPr>
        <w:spacing w:after="0" w:line="16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the United States, our company has offices in Portland, Oregon, San Francisco, California and Ironwood, Michigan. We own our office space in Portland, which consists of approximately 38,500 square feet. Our office space in San Francisco, consisting of approximately 10,500 square feet, is leased through May 31, 2023. Our office space in Ironwood, consisting of approximately 2,700 square feet, is leased through April 30, 2022.</w:t>
      </w:r>
    </w:p>
    <w:p>
      <w:pPr>
        <w:spacing w:after="0" w:line="106"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We also lease offices in New York City, New York, Amsterdam, London and Melbourne. We ended our leases with these offices due to COVID-19 but will likely consider renewing them again in the future. We give all employees the ability to rent a coworking space if we do not provide one.</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intend to procure additional space or expand existing facilities in the future as we continue to add employees and expand geographically. We believe our facilities are adequate and suitable for our current needs and that, should it be needed, suitable additional or alternative space on commercially reasonable terms will be available to accommodate our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 factors—Risks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00"/>
          </w:cols>
          <w:pgMar w:left="320" w:top="1425" w:right="379" w:bottom="1440" w:gutter="0" w:footer="0" w:header="0"/>
        </w:sectPr>
      </w:pPr>
    </w:p>
    <w:bookmarkStart w:id="163" w:name="page164"/>
    <w:bookmarkEnd w:id="163"/>
    <w:p>
      <w:pPr>
        <w:ind w:left="3"/>
        <w:spacing w:after="0"/>
        <w:rPr>
          <w:sz w:val="20"/>
          <w:szCs w:val="20"/>
          <w:color w:val="auto"/>
        </w:rPr>
      </w:pPr>
      <w:r>
        <w:rPr>
          <w:rFonts w:ascii="Arial" w:cs="Arial" w:eastAsia="Arial" w:hAnsi="Arial"/>
          <w:sz w:val="26"/>
          <w:szCs w:val="26"/>
          <w:b w:val="1"/>
          <w:bCs w:val="1"/>
          <w:color w:val="auto"/>
        </w:rPr>
        <w:t>Management</w:t>
      </w:r>
    </w:p>
    <w:p>
      <w:pPr>
        <w:spacing w:after="0" w:line="296"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The following table provides information regarding our executive officers, members of our board of directors, and director nominees (ages as of the date of this prospectus):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362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top w:val="single" w:sz="8" w:color="auto"/>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100" w:type="dxa"/>
            <w:vAlign w:val="bottom"/>
            <w:tcBorders>
              <w:top w:val="single" w:sz="8" w:color="auto"/>
              <w:bottom w:val="single" w:sz="8" w:color="CCEEFF"/>
            </w:tcBorders>
          </w:tcPr>
          <w:p>
            <w:pPr>
              <w:spacing w:after="0"/>
              <w:rPr>
                <w:sz w:val="16"/>
                <w:szCs w:val="16"/>
                <w:color w:val="auto"/>
              </w:rPr>
            </w:pPr>
          </w:p>
        </w:tc>
        <w:tc>
          <w:tcPr>
            <w:tcW w:w="6600" w:type="dxa"/>
            <w:vAlign w:val="bottom"/>
            <w:tcBorders>
              <w:top w:val="single" w:sz="8" w:color="auto"/>
              <w:bottom w:val="single" w:sz="8" w:color="auto"/>
            </w:tcBorders>
          </w:tcPr>
          <w:p>
            <w:pPr>
              <w:ind w:left="2960"/>
              <w:spacing w:after="0"/>
              <w:rPr>
                <w:sz w:val="20"/>
                <w:szCs w:val="20"/>
                <w:color w:val="auto"/>
              </w:rPr>
            </w:pPr>
            <w:r>
              <w:rPr>
                <w:rFonts w:ascii="Arial" w:cs="Arial" w:eastAsia="Arial" w:hAnsi="Arial"/>
                <w:sz w:val="13"/>
                <w:szCs w:val="13"/>
                <w:b w:val="1"/>
                <w:bCs w:val="1"/>
                <w:color w:val="auto"/>
              </w:rPr>
              <w:t>Position(s)</w:t>
            </w:r>
          </w:p>
        </w:tc>
      </w:tr>
      <w:tr>
        <w:trPr>
          <w:trHeight w:val="19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Barrett</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7"/>
                <w:szCs w:val="17"/>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Founder, Chief Executive Officer, Director</w:t>
            </w:r>
          </w:p>
        </w:tc>
      </w:tr>
      <w:tr>
        <w:trPr>
          <w:trHeight w:val="207"/>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Ryan Schaffer</w:t>
            </w:r>
          </w:p>
        </w:tc>
        <w:tc>
          <w:tcPr>
            <w:tcW w:w="840" w:type="dxa"/>
            <w:vAlign w:val="bottom"/>
          </w:tcPr>
          <w:p>
            <w:pPr>
              <w:jc w:val="center"/>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Chief Financial Officer, Director</w:t>
            </w:r>
          </w:p>
        </w:tc>
      </w:tr>
      <w:tr>
        <w:trPr>
          <w:trHeight w:val="207"/>
        </w:trPr>
        <w:tc>
          <w:tcPr>
            <w:tcW w:w="372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Anu Muralidharan</w:t>
            </w:r>
            <w:r>
              <w:rPr>
                <w:rFonts w:ascii="Arial" w:cs="Arial" w:eastAsia="Arial" w:hAnsi="Arial"/>
                <w:sz w:val="21"/>
                <w:szCs w:val="21"/>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Operating Officer, Director Nominee</w:t>
            </w:r>
          </w:p>
        </w:tc>
      </w:tr>
      <w:tr>
        <w:trPr>
          <w:trHeight w:val="207"/>
        </w:trPr>
        <w:tc>
          <w:tcPr>
            <w:tcW w:w="37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Blake Bartlett</w:t>
            </w:r>
            <w:r>
              <w:rPr>
                <w:rFonts w:ascii="Arial" w:cs="Arial" w:eastAsia="Arial" w:hAnsi="Arial"/>
                <w:sz w:val="21"/>
                <w:szCs w:val="21"/>
                <w:color w:val="auto"/>
                <w:vertAlign w:val="superscript"/>
              </w:rPr>
              <w:t>(2)</w:t>
            </w:r>
          </w:p>
        </w:tc>
        <w:tc>
          <w:tcPr>
            <w:tcW w:w="840" w:type="dxa"/>
            <w:vAlign w:val="bottom"/>
          </w:tcPr>
          <w:p>
            <w:pPr>
              <w:jc w:val="center"/>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07"/>
        </w:trPr>
        <w:tc>
          <w:tcPr>
            <w:tcW w:w="37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Robert Lent</w:t>
            </w:r>
            <w:r>
              <w:rPr>
                <w:rFonts w:ascii="Arial" w:cs="Arial" w:eastAsia="Arial" w:hAnsi="Arial"/>
                <w:sz w:val="21"/>
                <w:szCs w:val="21"/>
                <w:color w:val="auto"/>
                <w:vertAlign w:val="superscript"/>
              </w:rPr>
              <w:t>(2)</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07"/>
        </w:trPr>
        <w:tc>
          <w:tcPr>
            <w:tcW w:w="37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Jason Mills</w:t>
            </w:r>
            <w:r>
              <w:rPr>
                <w:rFonts w:ascii="Arial" w:cs="Arial" w:eastAsia="Arial" w:hAnsi="Arial"/>
                <w:sz w:val="21"/>
                <w:szCs w:val="21"/>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 Nominee</w:t>
            </w:r>
          </w:p>
        </w:tc>
      </w:tr>
      <w:tr>
        <w:trPr>
          <w:trHeight w:val="207"/>
        </w:trPr>
        <w:tc>
          <w:tcPr>
            <w:tcW w:w="37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Daniel Vidal</w:t>
            </w:r>
            <w:r>
              <w:rPr>
                <w:rFonts w:ascii="Arial" w:cs="Arial" w:eastAsia="Arial" w:hAnsi="Arial"/>
                <w:sz w:val="21"/>
                <w:szCs w:val="21"/>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 Nominee</w:t>
            </w:r>
          </w:p>
        </w:tc>
      </w:tr>
      <w:tr>
        <w:trPr>
          <w:trHeight w:val="207"/>
        </w:trPr>
        <w:tc>
          <w:tcPr>
            <w:tcW w:w="37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Timothy L. Christen</w:t>
            </w:r>
            <w:r>
              <w:rPr>
                <w:rFonts w:ascii="Arial" w:cs="Arial" w:eastAsia="Arial" w:hAnsi="Arial"/>
                <w:sz w:val="21"/>
                <w:szCs w:val="21"/>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 Nominee</w:t>
            </w:r>
          </w:p>
        </w:tc>
      </w:tr>
      <w:tr>
        <w:trPr>
          <w:trHeight w:val="207"/>
        </w:trPr>
        <w:tc>
          <w:tcPr>
            <w:tcW w:w="37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Ying (Vivian) Liu</w:t>
            </w:r>
            <w:r>
              <w:rPr>
                <w:rFonts w:ascii="Arial" w:cs="Arial" w:eastAsia="Arial" w:hAnsi="Arial"/>
                <w:sz w:val="21"/>
                <w:szCs w:val="21"/>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 Nominee</w:t>
            </w:r>
          </w:p>
        </w:tc>
      </w:tr>
      <w:tr>
        <w:trPr>
          <w:trHeight w:val="271"/>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Ellen Pao</w:t>
            </w:r>
            <w:r>
              <w:rPr>
                <w:rFonts w:ascii="Arial" w:cs="Arial" w:eastAsia="Arial" w:hAnsi="Arial"/>
                <w:sz w:val="21"/>
                <w:szCs w:val="21"/>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565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50" w:lineRule="exact"/>
        <w:rPr>
          <w:sz w:val="20"/>
          <w:szCs w:val="20"/>
          <w:color w:val="auto"/>
        </w:rPr>
      </w:pPr>
    </w:p>
    <w:p>
      <w:pPr>
        <w:ind w:left="283" w:right="280" w:hanging="283"/>
        <w:spacing w:after="0" w:line="254" w:lineRule="auto"/>
        <w:tabs>
          <w:tab w:leader="none" w:pos="273" w:val="left"/>
        </w:tabs>
        <w:numPr>
          <w:ilvl w:val="0"/>
          <w:numId w:val="104"/>
        </w:numPr>
        <w:rPr>
          <w:rFonts w:ascii="Arial" w:cs="Arial" w:eastAsia="Arial" w:hAnsi="Arial"/>
          <w:sz w:val="12"/>
          <w:szCs w:val="12"/>
          <w:color w:val="auto"/>
        </w:rPr>
      </w:pPr>
      <w:r>
        <w:rPr>
          <w:rFonts w:ascii="Arial" w:cs="Arial" w:eastAsia="Arial" w:hAnsi="Arial"/>
          <w:sz w:val="12"/>
          <w:szCs w:val="12"/>
          <w:color w:val="auto"/>
        </w:rPr>
        <w:t>Mr. Christen will be elected to our board of directors contingent upon, and effective upon, the effectiveness of the registration statement on Form S-1 of which this prospectus forms a part. Each of Ms. Muralidharan, Mr. Mills, Mr. Vidal, Ms. Liu and Ms. Pao will be elected to our board of directors contingent upon, and effective immediately prior to, the completion of this offering.</w:t>
      </w:r>
    </w:p>
    <w:p>
      <w:pPr>
        <w:ind w:left="283" w:hanging="283"/>
        <w:spacing w:after="0"/>
        <w:tabs>
          <w:tab w:leader="none" w:pos="283" w:val="left"/>
        </w:tabs>
        <w:numPr>
          <w:ilvl w:val="0"/>
          <w:numId w:val="104"/>
        </w:numPr>
        <w:rPr>
          <w:rFonts w:ascii="Arial" w:cs="Arial" w:eastAsia="Arial" w:hAnsi="Arial"/>
          <w:sz w:val="12"/>
          <w:szCs w:val="12"/>
          <w:color w:val="auto"/>
        </w:rPr>
      </w:pPr>
      <w:r>
        <w:rPr>
          <w:rFonts w:ascii="Arial" w:cs="Arial" w:eastAsia="Arial" w:hAnsi="Arial"/>
          <w:sz w:val="12"/>
          <w:szCs w:val="12"/>
          <w:color w:val="auto"/>
        </w:rPr>
        <w:t>Each of Mr. Bartlett and Mr. Lent will resign from our board of directors contingent upon, and effective immediately prior to, the completion of this offering.</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Executive officers and employee directors and employee director nominees</w:t>
      </w:r>
    </w:p>
    <w:p>
      <w:pPr>
        <w:spacing w:after="0" w:line="144" w:lineRule="exact"/>
        <w:rPr>
          <w:sz w:val="20"/>
          <w:szCs w:val="20"/>
          <w:color w:val="auto"/>
        </w:rPr>
      </w:pPr>
    </w:p>
    <w:p>
      <w:pPr>
        <w:ind w:left="3" w:right="80"/>
        <w:spacing w:after="0" w:line="264" w:lineRule="auto"/>
        <w:rPr>
          <w:sz w:val="20"/>
          <w:szCs w:val="20"/>
          <w:color w:val="auto"/>
        </w:rPr>
      </w:pPr>
      <w:r>
        <w:rPr>
          <w:rFonts w:ascii="Arial" w:cs="Arial" w:eastAsia="Arial" w:hAnsi="Arial"/>
          <w:sz w:val="16"/>
          <w:szCs w:val="16"/>
          <w:b w:val="1"/>
          <w:bCs w:val="1"/>
          <w:i w:val="1"/>
          <w:iCs w:val="1"/>
          <w:color w:val="auto"/>
        </w:rPr>
        <w:t xml:space="preserve">David Barrett </w:t>
      </w:r>
      <w:r>
        <w:rPr>
          <w:rFonts w:ascii="Arial" w:cs="Arial" w:eastAsia="Arial" w:hAnsi="Arial"/>
          <w:sz w:val="16"/>
          <w:szCs w:val="16"/>
          <w:color w:val="auto"/>
        </w:rPr>
        <w:t>founded Expensify and has served as our Chief Executive Officer and as a member of our board of directors since 2009. Prior to Expensify,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Barrett led engineering for Red Swoosh, Inc., a peer-to-peer file sharing company, which was acquired by Akamai Technologies, Inc. in 2007. Mr. Barrett holds a B.S.E. in engineering from the University of Michigan. We believe that Mr. Barrett is qualified to serve as a member of our board of directors due to his strategic vision and leadership in conceptualizing and developing our brand and business, his expertise in technology and the perspective and experience he brings as our founder and Chief Executive Officer.</w:t>
      </w:r>
    </w:p>
    <w:p>
      <w:pPr>
        <w:spacing w:after="0" w:line="84" w:lineRule="exact"/>
        <w:rPr>
          <w:sz w:val="20"/>
          <w:szCs w:val="20"/>
          <w:color w:val="auto"/>
        </w:rPr>
      </w:pPr>
    </w:p>
    <w:p>
      <w:pPr>
        <w:ind w:left="3" w:right="220"/>
        <w:spacing w:after="0" w:line="264" w:lineRule="auto"/>
        <w:rPr>
          <w:sz w:val="20"/>
          <w:szCs w:val="20"/>
          <w:color w:val="auto"/>
        </w:rPr>
      </w:pPr>
      <w:r>
        <w:rPr>
          <w:rFonts w:ascii="Arial" w:cs="Arial" w:eastAsia="Arial" w:hAnsi="Arial"/>
          <w:sz w:val="16"/>
          <w:szCs w:val="16"/>
          <w:b w:val="1"/>
          <w:bCs w:val="1"/>
          <w:i w:val="1"/>
          <w:iCs w:val="1"/>
          <w:color w:val="auto"/>
        </w:rPr>
        <w:t xml:space="preserve">Ryan Schaffer </w:t>
      </w:r>
      <w:r>
        <w:rPr>
          <w:rFonts w:ascii="Arial" w:cs="Arial" w:eastAsia="Arial" w:hAnsi="Arial"/>
          <w:sz w:val="16"/>
          <w:szCs w:val="16"/>
          <w:color w:val="auto"/>
        </w:rPr>
        <w:t>has served as our Chief Financial Officer and a member of our board of directors since 2017, and he previously served as our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and Strategy from 2013-2017. Mr. Schaffer worked in marketing at various companies prior to joining Expensify. Mr. Schaffer holds a B.S. in business from the University of Dayton. We believe that Mr. Schaffer is qualified to serve as a member of our board of directors due to his perspective and experience as our Chief Financial Officer, his experience leading our board meetings since 2019 and his significant knowledge of and history with our company.</w:t>
      </w:r>
    </w:p>
    <w:p>
      <w:pPr>
        <w:spacing w:after="0" w:line="96" w:lineRule="exact"/>
        <w:rPr>
          <w:sz w:val="20"/>
          <w:szCs w:val="20"/>
          <w:color w:val="auto"/>
        </w:rPr>
      </w:pPr>
    </w:p>
    <w:p>
      <w:pPr>
        <w:ind w:left="3" w:right="160"/>
        <w:spacing w:after="0" w:line="260" w:lineRule="auto"/>
        <w:rPr>
          <w:sz w:val="20"/>
          <w:szCs w:val="20"/>
          <w:color w:val="auto"/>
        </w:rPr>
      </w:pPr>
      <w:r>
        <w:rPr>
          <w:rFonts w:ascii="Arial" w:cs="Arial" w:eastAsia="Arial" w:hAnsi="Arial"/>
          <w:sz w:val="16"/>
          <w:szCs w:val="16"/>
          <w:b w:val="1"/>
          <w:bCs w:val="1"/>
          <w:i w:val="1"/>
          <w:iCs w:val="1"/>
          <w:color w:val="auto"/>
        </w:rPr>
        <w:t xml:space="preserve">Anu Muralidharan </w:t>
      </w:r>
      <w:r>
        <w:rPr>
          <w:rFonts w:ascii="Arial" w:cs="Arial" w:eastAsia="Arial" w:hAnsi="Arial"/>
          <w:sz w:val="16"/>
          <w:szCs w:val="16"/>
          <w:color w:val="auto"/>
        </w:rPr>
        <w:t>is expected to serve on our board of directors upon the completion of this offering, and has served as our Chief Operating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2021. Ms. Muralidharan previously served as our Director of Product Operations from January 2018 to January 2021 and as our Head of Payment Operations from August 2015 to January 2018. Prior to joining Expensify, she held Vice President positions at Citibank and Marqeta Inc., and various engineering roles at Oracle. Ms. Muralidharan holds a B.E. in electrical and electronics engineering from Birla Institute of Technology and Science, Pilani in Pilani, India and an M.B.A from Cornell University. We believe that Ms. Muralidharan is qualified to serve as a member of our board of directors due to her long history and experience in the payments industry, comprehensive knowledge of payments systems, and perspective and experience as our Chief Operating Officer.</w:t>
      </w:r>
    </w:p>
    <w:p>
      <w:pPr>
        <w:spacing w:after="0" w:line="103" w:lineRule="exact"/>
        <w:rPr>
          <w:sz w:val="20"/>
          <w:szCs w:val="20"/>
          <w:color w:val="auto"/>
        </w:rPr>
      </w:pPr>
    </w:p>
    <w:p>
      <w:pPr>
        <w:ind w:left="3" w:right="180"/>
        <w:spacing w:after="0" w:line="294" w:lineRule="auto"/>
        <w:rPr>
          <w:sz w:val="20"/>
          <w:szCs w:val="20"/>
          <w:color w:val="auto"/>
        </w:rPr>
      </w:pPr>
      <w:r>
        <w:rPr>
          <w:rFonts w:ascii="Arial" w:cs="Arial" w:eastAsia="Arial" w:hAnsi="Arial"/>
          <w:sz w:val="16"/>
          <w:szCs w:val="16"/>
          <w:b w:val="1"/>
          <w:bCs w:val="1"/>
          <w:i w:val="1"/>
          <w:iCs w:val="1"/>
          <w:color w:val="auto"/>
        </w:rPr>
        <w:t xml:space="preserve">Jason Mills </w:t>
      </w:r>
      <w:r>
        <w:rPr>
          <w:rFonts w:ascii="Arial" w:cs="Arial" w:eastAsia="Arial" w:hAnsi="Arial"/>
          <w:sz w:val="16"/>
          <w:szCs w:val="16"/>
          <w:color w:val="auto"/>
        </w:rPr>
        <w:t>is expected to serve on our board of directors upon the completion of this offering. Mr. Mills has served as our Chief Product Officer since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and he previously served as our Director of Product and Customers from January 2013 to May 2021. Prior to Expensify, Mr. Mills served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263"/>
          </w:cols>
          <w:pgMar w:left="317" w:top="1407" w:right="319" w:bottom="1440" w:gutter="0" w:footer="0" w:header="0"/>
        </w:sectPr>
      </w:pPr>
    </w:p>
    <w:bookmarkStart w:id="164" w:name="page165"/>
    <w:bookmarkEnd w:id="164"/>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analyst intern at Zurich Financial from February 2010 to August 2010 and as an analyst intern at Goldman Sachs from June 2009 to August 2009. Mr. Mills holds a B.S. in Business Administration from the University of California, Berkeley, Haas School of Business and a Master of Arts in International Economics from Johns Hopkins University, School of Advanced International Studies. We believe that Mr. Mills is qualified to serve as a member of our board of directors due to his long history of leadership with our company, his perspective and experience as our Chief Product Officer and his comprehensive knowledge of our business.</w:t>
      </w:r>
    </w:p>
    <w:p>
      <w:pPr>
        <w:spacing w:after="0" w:line="91"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i w:val="1"/>
          <w:iCs w:val="1"/>
          <w:color w:val="auto"/>
        </w:rPr>
        <w:t xml:space="preserve">Daniel Vidal </w:t>
      </w:r>
      <w:r>
        <w:rPr>
          <w:rFonts w:ascii="Arial" w:cs="Arial" w:eastAsia="Arial" w:hAnsi="Arial"/>
          <w:sz w:val="16"/>
          <w:szCs w:val="16"/>
          <w:color w:val="auto"/>
        </w:rPr>
        <w:t>is expected to serve on our board of directors upon the completion of this offering. Mr. Vidal has served as our Chief Strategy Officer since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and he previously served as our Director of Corporate Development &amp; Strategy from February 2019 to May 2021 and Head of Business Development from August 2013 to February 2019. Mr. Vidal holds a B.S. in Kinesiology from Arizona State University and a Masters in Commerce from the University of Virginia. We believe that Mr. Vidal is qualified to serve as a member of our board of directors due to his long history of employment with our company, his perspective and experience as our Chief Strategy Officer and his leadership developing our Strategic Partnership program and ExpensifyApproved! Accountants program.</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Non-employee directors and director nominees</w:t>
      </w:r>
    </w:p>
    <w:p>
      <w:pPr>
        <w:spacing w:after="0" w:line="14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i w:val="1"/>
          <w:iCs w:val="1"/>
          <w:color w:val="auto"/>
        </w:rPr>
        <w:t xml:space="preserve">Blake Bartlett </w:t>
      </w:r>
      <w:r>
        <w:rPr>
          <w:rFonts w:ascii="Arial" w:cs="Arial" w:eastAsia="Arial" w:hAnsi="Arial"/>
          <w:sz w:val="16"/>
          <w:szCs w:val="16"/>
          <w:color w:val="auto"/>
        </w:rPr>
        <w:t>has served as a member of our board of directors since January 2015. Mr. Bartlett has served as Partner of Openview Venture Partners,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capital firm, since November 2013. Prior to OpenView, Mr. Bartlett served as Vice President and an Associate at Battery Ventures, a venture capital firm, from July 2009 to October 2013 and an Associate at Kayne Anderson Capital Advisors, LP, a private equity investments firm, from June 2007 to June 2009. Mr. Bartlett holds a B.S. in business administration from the University of Southern California. We believe that Mr. Bartlett is qualified to serve as a member of our board of directors due to his extensive experience as a board member of various high-growth technology companies and his knowledge of our industry. Mr. Bartlett will resign from our board of directors contingent upon, and effective immediately prior to, the completion of this offering.</w:t>
      </w:r>
    </w:p>
    <w:p>
      <w:pPr>
        <w:spacing w:after="0" w:line="8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b w:val="1"/>
          <w:bCs w:val="1"/>
          <w:i w:val="1"/>
          <w:iCs w:val="1"/>
          <w:color w:val="auto"/>
        </w:rPr>
        <w:t xml:space="preserve">Robert Lent </w:t>
      </w:r>
      <w:r>
        <w:rPr>
          <w:rFonts w:ascii="Arial" w:cs="Arial" w:eastAsia="Arial" w:hAnsi="Arial"/>
          <w:sz w:val="16"/>
          <w:szCs w:val="16"/>
          <w:color w:val="auto"/>
        </w:rPr>
        <w:t>has served as a member of our board of directors since February 2018, and was previously on our board of directors from 2012 to 2015.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Lent has served as Managing Partner at Hillsven Capital, a seed venture firm focused on internet, cloud, e-commerce and mobile, since 2006. Prior to Hillsven Capital, Mr. Lent co-founded and served as Vice President of Corporate Development for Ariba, Inc., a procurement and supply chain solution for businesses, which was bought by SAP AG. Mr. Lent holds a B.S. in business from the University of California, Berkeley and an M.B.A. from Harvard Business School. We believe that Mr. Lent is qualified to serve as a member of our board of directors due to his extensive experience as a board member of various high-growth software companies, his success as a founder and his knowledge of our industry. Mr. Lent will resign from our board of directors contingent upon, and effective immediately prior to, the completion of this offering.</w:t>
      </w:r>
    </w:p>
    <w:p>
      <w:pPr>
        <w:spacing w:after="0" w:line="103"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b w:val="1"/>
          <w:bCs w:val="1"/>
          <w:i w:val="1"/>
          <w:iCs w:val="1"/>
          <w:color w:val="auto"/>
        </w:rPr>
        <w:t xml:space="preserve">Timothy L. Christen </w:t>
      </w:r>
      <w:r>
        <w:rPr>
          <w:rFonts w:ascii="Arial" w:cs="Arial" w:eastAsia="Arial" w:hAnsi="Arial"/>
          <w:sz w:val="16"/>
          <w:szCs w:val="16"/>
          <w:color w:val="auto"/>
        </w:rPr>
        <w:t>is expected to serve on our board of directors contingent upon, and effective upon, the effectiveness of the registration statement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 S-1 of which this prospectus is a part. Mr. Christen has served as a director of Mayville Engineering Company, a publicly traded value added manufacturer, since June 2016 and serves as the Chairman of the Audit Committee. Mr. Christen served as Chairman and Chief Executive Officer of Baker Tilly US, LLP, a national public accounting firm, from June 1999 to May 2016. Mr. Christen also served as the non-executive Chairman of Baker Tilly International Ltd. from October 2017 to October 2021 and as a director of CPA.com, a CPA firm solutions and strategies provider, since February 2018. Mr. Christen also served as director of the American Institute of CPAs from 2014 to 2017, serving as Chairman from 2015 to 2016, and since January 2021 serves as a trustee of the Financial Accounting Foundation. Mr. Christen holds a B.S. in accounting from the University of Wisconsin-Platteville and is a licensed certified public accountant. We believe that Mr. Christen is qualified to serve as a member of our board of directors due to his over 38 years of accounting expertise and substantial strategy, risk and management experience over his 16 years as the Chief Executive Officer of a national public accounting firm and membership on the board of a publicly traded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00"/>
          </w:cols>
          <w:pgMar w:left="320" w:top="1440" w:right="379" w:bottom="1440" w:gutter="0" w:footer="0" w:header="0"/>
        </w:sectPr>
      </w:pPr>
    </w:p>
    <w:bookmarkStart w:id="165" w:name="page166"/>
    <w:bookmarkEnd w:id="165"/>
    <w:p>
      <w:pPr>
        <w:spacing w:after="0" w:line="259" w:lineRule="auto"/>
        <w:rPr>
          <w:sz w:val="20"/>
          <w:szCs w:val="20"/>
          <w:color w:val="auto"/>
        </w:rPr>
      </w:pPr>
      <w:r>
        <w:rPr>
          <w:rFonts w:ascii="Arial" w:cs="Arial" w:eastAsia="Arial" w:hAnsi="Arial"/>
          <w:sz w:val="16"/>
          <w:szCs w:val="16"/>
          <w:b w:val="1"/>
          <w:bCs w:val="1"/>
          <w:i w:val="1"/>
          <w:iCs w:val="1"/>
          <w:color w:val="auto"/>
        </w:rPr>
        <w:t xml:space="preserve">Ying (Vivian) Liu </w:t>
      </w:r>
      <w:r>
        <w:rPr>
          <w:rFonts w:ascii="Arial" w:cs="Arial" w:eastAsia="Arial" w:hAnsi="Arial"/>
          <w:sz w:val="16"/>
          <w:szCs w:val="16"/>
          <w:color w:val="auto"/>
        </w:rPr>
        <w:t>is expected to serve on our board of directors upon the completion of this offering. Ms. Liu has served as Chief Financial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Shutterfly, Inc., a retailer and manufacturing platform for personalized products, since April 2020. Prior to Shutterfly, Inc. Ms. Liu served as the Chief Financial Officer and Senior Vice President of Lexmark Inc., a printing solutions company, from July 2017 to April 2020. Prior to Lexmark Inc., Ms. Lui served as VP, Finance of Huawei Technology, an enterprise networking solutions company, from October 2016 until July 2017. Prior to Huawei, Ms. Liu spent eight years at Cisco in multiple finance leadership positions. Earlier in her career, Ms. Liu worked at Deloitte &amp; Touche, Goldman Sachs and China Merchants Bank. Ms. Liu holds a B.A. in international finance from Shanghai University of Finance and Economics, an M.B.A from the University of Washington and is a licensed chartered financial analyst and certified public accountant. We believe that Ms. Liu is qualified to serve as a member of our board of directors due to her extensive finance and leadership experience.</w:t>
      </w:r>
    </w:p>
    <w:p>
      <w:pPr>
        <w:spacing w:after="0" w:line="9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 xml:space="preserve">Ellen Pao </w:t>
      </w:r>
      <w:r>
        <w:rPr>
          <w:rFonts w:ascii="Arial" w:cs="Arial" w:eastAsia="Arial" w:hAnsi="Arial"/>
          <w:sz w:val="16"/>
          <w:szCs w:val="16"/>
          <w:color w:val="auto"/>
        </w:rPr>
        <w:t>is expected to serve on our board of directors upon the completion of this offering. Ms. Pao cofounded and has lead Project Include, a nonprofit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advocating for diversity, equity and inclusion in technology companies, since December 2015. Ms. Pao has served as Chief Executive Officer and board member of Project Include since January 2017. Prior to Project Include, Ms. Pao served as Interim Chief Executive Officer and Executive Vice President of Buisness Development of Reddit, a social media platform, from April 2012 until July 2015. Prior to Reddit, Ms. Pao served as Chief Diversity and Inclusion Officer at Kapor Center and Venture Partner at Kapor Capital from January 2017 until March 2018. Ms. Pao holds a B.S.E in electrical engineering from Princeton University, a J.D. from Harvard Law School and an M.B.A from Harvard Business School. We believe that Ms. Pao is qualified to serve as a member of our board of directors due to her focus on diversity and inclusion and her experience as a board observer, board member, investor and advisor to technology startups since 2012.</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Family relationships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among any of our executive officers or directors.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Composition of our board of directors</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board of directors currently consists of four directors. However, Messrs. Bartlett and Lent will resign from our board of directors contingent upon, and effective immediately prior to, the completion of this offering. In addition, Mr. Christen will be elected to our board of directors contingent upon, and effective upon, the effectiveness of the registration statement of which this prospectus forms a part, and Messrs. Mills and Vidal and Mses. Muralidharan, Liu and Pao will be elected to our board of directors upon the completion of this offering. Accordingly, upon the completion of this offering, our board of directors will consist of eight members. We will not have a classified board of directors. Each of our directors will have a term expiring at the first annual meeting of stockholders following this offering. Commencing with that first annual meeting of stockholders, each of our directors will be elected by our stockholders to serve until the next annual meeting of our stockholders and until his or her successor is duly elected and qualified.</w:t>
      </w:r>
    </w:p>
    <w:p>
      <w:pPr>
        <w:spacing w:after="0" w:line="124"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164"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Prior to the completion of this offering, our board of directors undertook a review of the independence of our directors and considered whether any director has a material relationship with us that could compromise that director’s ability to exercise independent judgment in carrying out that director’s</w:t>
      </w:r>
    </w:p>
    <w:p>
      <w:pPr>
        <w:ind w:right="180"/>
        <w:spacing w:after="0" w:line="268" w:lineRule="auto"/>
        <w:rPr>
          <w:sz w:val="20"/>
          <w:szCs w:val="20"/>
          <w:color w:val="auto"/>
        </w:rPr>
      </w:pPr>
      <w:r>
        <w:rPr>
          <w:rFonts w:ascii="Arial" w:cs="Arial" w:eastAsia="Arial" w:hAnsi="Arial"/>
          <w:sz w:val="16"/>
          <w:szCs w:val="16"/>
          <w:color w:val="auto"/>
        </w:rPr>
        <w:t>responsibilities. Our board of directors has affirmatively determined that , and are each an “independent director,” as defined under the Exchange Act and the rules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40"/>
          </w:cols>
          <w:pgMar w:left="320" w:top="1422" w:right="339" w:bottom="1440" w:gutter="0" w:footer="0" w:header="0"/>
        </w:sectPr>
      </w:pPr>
    </w:p>
    <w:bookmarkStart w:id="166" w:name="page167"/>
    <w:bookmarkEnd w:id="166"/>
    <w:p>
      <w:pPr>
        <w:ind w:left="3"/>
        <w:spacing w:after="0"/>
        <w:rPr>
          <w:sz w:val="20"/>
          <w:szCs w:val="20"/>
          <w:color w:val="auto"/>
        </w:rPr>
      </w:pPr>
      <w:r>
        <w:rPr>
          <w:rFonts w:ascii="Arial" w:cs="Arial" w:eastAsia="Arial" w:hAnsi="Arial"/>
          <w:sz w:val="19"/>
          <w:szCs w:val="19"/>
          <w:b w:val="1"/>
          <w:bCs w:val="1"/>
          <w:color w:val="auto"/>
        </w:rPr>
        <w:t>Committees of our board of directors</w:t>
      </w:r>
    </w:p>
    <w:p>
      <w:pPr>
        <w:spacing w:after="0" w:line="152"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Our board of directors directs the management of our business and affairs, as provided by Delaware law, and conducts its business through meetings and actions by unanimous written consent of the board of directors and duly authorized committees of the board of directors. For as long as the Voting Trust controls a majority of the voting power of our outstanding common stock, we will have a standing executive committee and audit committee. As a “controlled company” under the Exchange’s rules and corporate governance standards, we are not required to have a Compensation or Nominating and Corporate Governance Committee. In addition, from time to time, other committees may be established by the board of directors when necessary.</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Executive Committee</w:t>
      </w:r>
    </w:p>
    <w:p>
      <w:pPr>
        <w:spacing w:after="0" w:line="165" w:lineRule="exact"/>
        <w:rPr>
          <w:sz w:val="20"/>
          <w:szCs w:val="20"/>
          <w:color w:val="auto"/>
        </w:rPr>
      </w:pPr>
    </w:p>
    <w:p>
      <w:pPr>
        <w:ind w:left="3" w:right="20"/>
        <w:spacing w:after="0" w:line="254" w:lineRule="auto"/>
        <w:rPr>
          <w:sz w:val="20"/>
          <w:szCs w:val="20"/>
          <w:color w:val="auto"/>
        </w:rPr>
      </w:pPr>
      <w:r>
        <w:rPr>
          <w:rFonts w:ascii="Arial" w:cs="Arial" w:eastAsia="Arial" w:hAnsi="Arial"/>
          <w:sz w:val="16"/>
          <w:szCs w:val="16"/>
          <w:color w:val="auto"/>
        </w:rPr>
        <w:t>Our amended and restated certificate of incorporation will provide that for as long as the Voting Trust holds securities representing at least 50% of the voting power of our outstanding capital stock, the Executive Committee will be authorized to exercise all of the powers and authority of the board of directors in the management of our business and affairs, except for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w:t>
      </w:r>
    </w:p>
    <w:p>
      <w:pPr>
        <w:spacing w:after="0" w:line="1" w:lineRule="exact"/>
        <w:rPr>
          <w:sz w:val="20"/>
          <w:szCs w:val="20"/>
          <w:color w:val="auto"/>
        </w:rPr>
      </w:pPr>
    </w:p>
    <w:p>
      <w:pPr>
        <w:ind w:left="3"/>
        <w:spacing w:after="0"/>
        <w:tabs>
          <w:tab w:leader="none" w:pos="7842" w:val="left"/>
          <w:tab w:leader="none" w:pos="8462" w:val="left"/>
          <w:tab w:leader="none" w:pos="9102" w:val="left"/>
          <w:tab w:leader="none" w:pos="9722" w:val="left"/>
          <w:tab w:leader="none" w:pos="10582" w:val="left"/>
        </w:tabs>
        <w:rPr>
          <w:sz w:val="20"/>
          <w:szCs w:val="20"/>
          <w:color w:val="auto"/>
        </w:rPr>
      </w:pPr>
      <w:r>
        <w:rPr>
          <w:rFonts w:ascii="Arial" w:cs="Arial" w:eastAsia="Arial" w:hAnsi="Arial"/>
          <w:sz w:val="16"/>
          <w:szCs w:val="16"/>
          <w:color w:val="auto"/>
        </w:rPr>
        <w:t>and the rules of Nasdaq. Upon the completion of this offering, our Executive Committee will consist of</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4"/>
          <w:szCs w:val="14"/>
          <w:color w:val="auto"/>
        </w:rPr>
        <w:t>.</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Audit Committee</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Audit Committee will be responsible for, among other things:</w:t>
      </w:r>
    </w:p>
    <w:p>
      <w:pPr>
        <w:spacing w:after="0" w:line="145" w:lineRule="exact"/>
        <w:rPr>
          <w:sz w:val="20"/>
          <w:szCs w:val="20"/>
          <w:color w:val="auto"/>
        </w:rPr>
      </w:pPr>
    </w:p>
    <w:p>
      <w:pPr>
        <w:ind w:left="283" w:hanging="283"/>
        <w:spacing w:after="0"/>
        <w:tabs>
          <w:tab w:leader="none" w:pos="2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appointing, compensating, retaining, evaluating, terminating and overseeing our independent registered public accounting firm;</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discussing with our independent registered public accounting firm its independence from management;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reviewing with our independent registered public accounting firm the scope and results of their audit;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approving all audit and permissible non-audit services to be performed by our independent registered public accounting firm;</w:t>
      </w:r>
    </w:p>
    <w:p>
      <w:pPr>
        <w:spacing w:after="0" w:line="132" w:lineRule="exact"/>
        <w:rPr>
          <w:rFonts w:ascii="Arial" w:cs="Arial" w:eastAsia="Arial" w:hAnsi="Arial"/>
          <w:sz w:val="16"/>
          <w:szCs w:val="16"/>
          <w:color w:val="auto"/>
        </w:rPr>
      </w:pPr>
    </w:p>
    <w:p>
      <w:pPr>
        <w:ind w:left="283" w:right="420" w:hanging="283"/>
        <w:spacing w:after="0" w:line="268" w:lineRule="auto"/>
        <w:tabs>
          <w:tab w:leader="none" w:pos="27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overseeing the financial reporting process and discussing with management and our independent registered public accounting firm the interim and annual financial statements that we file with the SEC;</w:t>
      </w:r>
    </w:p>
    <w:p>
      <w:pPr>
        <w:spacing w:after="0" w:line="11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reviewing and monitoring our accounting principles, accounting policies, financial and accounting controls and compliance with legal and regulatory requirements;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reviewing our policies on risk assessment and risk management;</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reviewing related party transactions;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establishing procedures for the confidential anonymous submission of concerns regarding questionable accounting, internal controls or auditing matters.</w:t>
      </w:r>
    </w:p>
    <w:p>
      <w:pPr>
        <w:spacing w:after="0" w:line="145" w:lineRule="exact"/>
        <w:rPr>
          <w:sz w:val="20"/>
          <w:szCs w:val="20"/>
          <w:color w:val="auto"/>
        </w:rPr>
      </w:pPr>
    </w:p>
    <w:p>
      <w:pPr>
        <w:ind w:left="3" w:right="20"/>
        <w:spacing w:after="0" w:line="254" w:lineRule="auto"/>
        <w:rPr>
          <w:sz w:val="20"/>
          <w:szCs w:val="20"/>
          <w:color w:val="auto"/>
        </w:rPr>
      </w:pPr>
      <w:r>
        <w:rPr>
          <w:rFonts w:ascii="Arial" w:cs="Arial" w:eastAsia="Arial" w:hAnsi="Arial"/>
          <w:sz w:val="16"/>
          <w:szCs w:val="16"/>
          <w:color w:val="auto"/>
        </w:rPr>
        <w:t>Upon the completion of this offering, our Audit Committee will consist of , and , with serving as chair. Rule 10A-3 of the Exchange Act and Nasdaq rules require that our audit committee have at least one independent member upon the listing of our common stock, have a majority of independent members within 90 days of the date of this prospectus and be composed entirely of independent members within one year of the</w:t>
      </w:r>
    </w:p>
    <w:p>
      <w:pPr>
        <w:ind w:left="3"/>
        <w:spacing w:after="0"/>
        <w:tabs>
          <w:tab w:leader="none" w:pos="6302" w:val="left"/>
          <w:tab w:leader="none" w:pos="6982" w:val="left"/>
          <w:tab w:leader="none" w:pos="7842" w:val="left"/>
        </w:tabs>
        <w:rPr>
          <w:sz w:val="20"/>
          <w:szCs w:val="20"/>
          <w:color w:val="auto"/>
        </w:rPr>
      </w:pPr>
      <w:r>
        <w:rPr>
          <w:rFonts w:ascii="Arial" w:cs="Arial" w:eastAsia="Arial" w:hAnsi="Arial"/>
          <w:sz w:val="16"/>
          <w:szCs w:val="16"/>
          <w:color w:val="auto"/>
        </w:rPr>
        <w:t>date of this prospectus. Our board of directors has affirmatively determined that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each meet the definition of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03"/>
          </w:cols>
          <w:pgMar w:left="317" w:top="1425" w:right="379" w:bottom="1440" w:gutter="0" w:footer="0" w:header="0"/>
        </w:sectPr>
      </w:pPr>
    </w:p>
    <w:bookmarkStart w:id="167" w:name="page168"/>
    <w:bookmarkEnd w:id="167"/>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director” for purposes of serving on the audit committee under Rule 10A-3 and Nasdaq rules. Each member of our audit committee meets the financial</w:t>
      </w:r>
    </w:p>
    <w:p>
      <w:pPr>
        <w:spacing w:after="0" w:line="1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literacy requirements of Nasdaq listing standards. In addition, our board of directors has determined that will qualify as an “audit committee financial expert,” as such term is defined in Item 407(d)(5) of Regulation S-K. Our board of directors will adopt a new written charter for the audit committee, which will be available on our principal corporate website at use.expensify.com substantially concurrently with the completion of this offering. The information on or accessed through our website is deemed not to be incorporated in this prospectus or to be part of this prospectus.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oversight</w:t>
      </w:r>
    </w:p>
    <w:p>
      <w:pPr>
        <w:spacing w:after="0" w:line="164"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Our board of directors is responsible for overseeing our risk management process. Our board of directors focuses on our general risk management strategy, the most significant risks facing us, our material ESG risks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Code of ethics and conduct</w:t>
      </w:r>
    </w:p>
    <w:p>
      <w:pPr>
        <w:spacing w:after="0" w:line="152"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color w:val="auto"/>
        </w:rPr>
        <w:t>Prior to the completion of this offering, we will adopt a written code of ethics and conduct that applies to our directors, officers and employees, including our principal executive officer, principal financial officer, principal accounting officer or controller, or persons performing similar functions. A copy of the code will be posted on our website, use.expensify.com. In addition, we intend to post on our website voluntary disclosures related to material ESG issues and all</w:t>
      </w:r>
    </w:p>
    <w:p>
      <w:pPr>
        <w:ind w:right="660"/>
        <w:spacing w:after="0" w:line="268" w:lineRule="auto"/>
        <w:rPr>
          <w:sz w:val="20"/>
          <w:szCs w:val="20"/>
          <w:color w:val="auto"/>
        </w:rPr>
      </w:pPr>
      <w:r>
        <w:rPr>
          <w:rFonts w:ascii="Arial" w:cs="Arial" w:eastAsia="Arial" w:hAnsi="Arial"/>
          <w:sz w:val="16"/>
          <w:szCs w:val="16"/>
          <w:color w:val="auto"/>
        </w:rPr>
        <w:t>disclosures that are required by law or the listing standards concerning any amendments to, or waivers from, any provision of the code. The information on or accessed through our website is deemed not to be incorporated in this prospectus or to be part of this prospectus.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liability and indemnification of and advancement of expenses to officers and directors</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Our amended and restated bylaws provide indemnification for our directors and officers to the fullest extent permitted by the DGCL, along with the right to have expenses incurred in defending proceedings paid in advance of their final disposition. Prior to the completion of this offering, we intend to enter into indemnification agreements with each of our directors and executive officers that may, in some cases, be broader than the specific indemnification and advancement provisions contained under our amended and restated bylaws and provided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to the extent permitted by Delaware law. The effect of this provision is to restrict our rights and the rights of our stockholders to recover monetary damages against a director for breach of fiduciary duties as a director.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40"/>
          </w:cols>
          <w:pgMar w:left="320" w:top="1440" w:right="339" w:bottom="1440" w:gutter="0" w:footer="0" w:header="0"/>
        </w:sectPr>
      </w:pPr>
    </w:p>
    <w:bookmarkStart w:id="168" w:name="page169"/>
    <w:bookmarkEnd w:id="168"/>
    <w:p>
      <w:pPr>
        <w:ind w:left="3"/>
        <w:spacing w:after="0"/>
        <w:rPr>
          <w:sz w:val="20"/>
          <w:szCs w:val="20"/>
          <w:color w:val="auto"/>
        </w:rPr>
      </w:pPr>
      <w:r>
        <w:rPr>
          <w:rFonts w:ascii="Arial" w:cs="Arial" w:eastAsia="Arial" w:hAnsi="Arial"/>
          <w:sz w:val="26"/>
          <w:szCs w:val="26"/>
          <w:b w:val="1"/>
          <w:bCs w:val="1"/>
          <w:color w:val="auto"/>
        </w:rPr>
        <w:t>Executive compensation</w:t>
      </w:r>
    </w:p>
    <w:p>
      <w:pPr>
        <w:spacing w:after="0" w:line="296"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The following is a discussion and analysis of compensation arrangements of our named executive officers, or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NEOs for fiscal year 2020 were as follows:</w:t>
      </w:r>
    </w:p>
    <w:p>
      <w:pPr>
        <w:spacing w:after="0" w:line="133" w:lineRule="exact"/>
        <w:rPr>
          <w:sz w:val="20"/>
          <w:szCs w:val="20"/>
          <w:color w:val="auto"/>
        </w:rPr>
      </w:pPr>
    </w:p>
    <w:p>
      <w:pPr>
        <w:ind w:left="283" w:hanging="283"/>
        <w:spacing w:after="0"/>
        <w:tabs>
          <w:tab w:leader="none" w:pos="28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David Barrett, our Chief Executive Officer;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Ryan Schaffer, our Chief Financial Officer;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Anuradha Muralidharan, our Chief Operating Officer.</w:t>
      </w:r>
    </w:p>
    <w:p>
      <w:pPr>
        <w:spacing w:after="0" w:line="11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2020 summary compensation table</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total compensation paid to our named executive officers for the fiscal year ending on December 31, 2020.</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58"/>
        </w:trPr>
        <w:tc>
          <w:tcPr>
            <w:tcW w:w="316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9"/>
              </w:rPr>
              <w:t>Year</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Salary ($)</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vMerge w:val="restart"/>
          </w:tcPr>
          <w:p>
            <w:pPr>
              <w:ind w:left="240"/>
              <w:spacing w:after="0"/>
              <w:rPr>
                <w:sz w:val="20"/>
                <w:szCs w:val="20"/>
                <w:color w:val="auto"/>
              </w:rPr>
            </w:pPr>
            <w:r>
              <w:rPr>
                <w:rFonts w:ascii="Arial" w:cs="Arial" w:eastAsia="Arial" w:hAnsi="Arial"/>
                <w:sz w:val="13"/>
                <w:szCs w:val="13"/>
                <w:b w:val="1"/>
                <w:bCs w:val="1"/>
                <w:color w:val="auto"/>
              </w:rPr>
              <w:t>Bonus ($)</w:t>
            </w:r>
            <w:r>
              <w:rPr>
                <w:rFonts w:ascii="Arial" w:cs="Arial" w:eastAsia="Arial" w:hAnsi="Arial"/>
                <w:sz w:val="16"/>
                <w:szCs w:val="16"/>
                <w:b w:val="1"/>
                <w:bCs w:val="1"/>
                <w:color w:val="auto"/>
                <w:vertAlign w:val="superscript"/>
              </w:rPr>
              <w:t>(1)</w:t>
            </w:r>
          </w:p>
        </w:tc>
        <w:tc>
          <w:tcPr>
            <w:tcW w:w="100" w:type="dxa"/>
            <w:vAlign w:val="bottom"/>
            <w:tcBorders>
              <w:top w:val="single" w:sz="8" w:color="auto"/>
            </w:tcBorders>
            <w:vMerge w:val="restart"/>
          </w:tcPr>
          <w:p>
            <w:pPr>
              <w:spacing w:after="0"/>
              <w:rPr>
                <w:sz w:val="13"/>
                <w:szCs w:val="13"/>
                <w:color w:val="auto"/>
              </w:rPr>
            </w:pPr>
          </w:p>
        </w:tc>
        <w:tc>
          <w:tcPr>
            <w:tcW w:w="980" w:type="dxa"/>
            <w:vAlign w:val="bottom"/>
            <w:tcBorders>
              <w:top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w w:val="87"/>
              </w:rPr>
              <w:t>Option awards</w:t>
            </w:r>
            <w:r>
              <w:rPr>
                <w:rFonts w:ascii="Arial" w:cs="Arial" w:eastAsia="Arial" w:hAnsi="Arial"/>
                <w:sz w:val="16"/>
                <w:szCs w:val="16"/>
                <w:b w:val="1"/>
                <w:bCs w:val="1"/>
                <w:color w:val="auto"/>
                <w:w w:val="87"/>
                <w:vertAlign w:val="subscript"/>
              </w:rPr>
              <w:t>(2)</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All other compensation</w:t>
            </w:r>
          </w:p>
        </w:tc>
        <w:tc>
          <w:tcPr>
            <w:tcW w:w="1220" w:type="dxa"/>
            <w:vAlign w:val="bottom"/>
            <w:tcBorders>
              <w:top w:val="single" w:sz="8" w:color="auto"/>
            </w:tcBorders>
            <w:vMerge w:val="restart"/>
          </w:tcPr>
          <w:p>
            <w:pPr>
              <w:ind w:left="36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58"/>
        </w:trPr>
        <w:tc>
          <w:tcPr>
            <w:tcW w:w="31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(3)</w:t>
            </w: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6"/>
                <w:szCs w:val="16"/>
                <w:color w:val="auto"/>
              </w:rPr>
              <w:t>David Barrett</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Chief Executive Officer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933,072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shd w:val="clear" w:color="auto" w:fill="CCEEFF"/>
          </w:tcPr>
          <w:p>
            <w:pPr>
              <w:jc w:val="center"/>
              <w:ind w:left="143"/>
              <w:spacing w:after="0"/>
              <w:rPr>
                <w:sz w:val="20"/>
                <w:szCs w:val="20"/>
                <w:color w:val="auto"/>
              </w:rPr>
            </w:pPr>
            <w:r>
              <w:rPr>
                <w:rFonts w:ascii="Arial" w:cs="Arial" w:eastAsia="Arial" w:hAnsi="Arial"/>
                <w:sz w:val="16"/>
                <w:szCs w:val="16"/>
                <w:color w:val="auto"/>
              </w:rPr>
              <w:t>126,851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1,059,923</w:t>
            </w:r>
          </w:p>
        </w:tc>
        <w:tc>
          <w:tcPr>
            <w:tcW w:w="0" w:type="dxa"/>
            <w:vAlign w:val="bottom"/>
          </w:tcPr>
          <w:p>
            <w:pPr>
              <w:spacing w:after="0"/>
              <w:rPr>
                <w:sz w:val="1"/>
                <w:szCs w:val="1"/>
                <w:color w:val="auto"/>
              </w:rPr>
            </w:pPr>
          </w:p>
        </w:tc>
      </w:tr>
      <w:tr>
        <w:trPr>
          <w:trHeight w:val="158"/>
        </w:trPr>
        <w:tc>
          <w:tcPr>
            <w:tcW w:w="326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Ryan Schaffer</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60" w:type="dxa"/>
            <w:vAlign w:val="bottom"/>
            <w:gridSpan w:val="2"/>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1200" w:type="dxa"/>
            <w:vAlign w:val="bottom"/>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6"/>
                <w:szCs w:val="16"/>
                <w:color w:val="auto"/>
              </w:rPr>
              <w:t>677,006</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109,751</w:t>
            </w:r>
          </w:p>
        </w:tc>
        <w:tc>
          <w:tcPr>
            <w:tcW w:w="100" w:type="dxa"/>
            <w:vAlign w:val="bottom"/>
          </w:tcPr>
          <w:p>
            <w:pPr>
              <w:spacing w:after="0"/>
              <w:rPr>
                <w:sz w:val="18"/>
                <w:szCs w:val="18"/>
                <w:color w:val="auto"/>
              </w:rPr>
            </w:pPr>
          </w:p>
        </w:tc>
        <w:tc>
          <w:tcPr>
            <w:tcW w:w="980" w:type="dxa"/>
            <w:vAlign w:val="bottom"/>
          </w:tcPr>
          <w:p>
            <w:pPr>
              <w:jc w:val="center"/>
              <w:ind w:left="143"/>
              <w:spacing w:after="0"/>
              <w:rPr>
                <w:sz w:val="20"/>
                <w:szCs w:val="20"/>
                <w:color w:val="auto"/>
              </w:rPr>
            </w:pPr>
            <w:r>
              <w:rPr>
                <w:rFonts w:ascii="Arial" w:cs="Arial" w:eastAsia="Arial" w:hAnsi="Arial"/>
                <w:sz w:val="16"/>
                <w:szCs w:val="16"/>
                <w:color w:val="auto"/>
                <w:w w:val="98"/>
              </w:rPr>
              <w:t>35,930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37,461</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860,148</w:t>
            </w:r>
          </w:p>
        </w:tc>
        <w:tc>
          <w:tcPr>
            <w:tcW w:w="0" w:type="dxa"/>
            <w:vAlign w:val="bottom"/>
          </w:tcPr>
          <w:p>
            <w:pPr>
              <w:spacing w:after="0"/>
              <w:rPr>
                <w:sz w:val="1"/>
                <w:szCs w:val="1"/>
                <w:color w:val="auto"/>
              </w:rPr>
            </w:pPr>
          </w:p>
        </w:tc>
      </w:tr>
      <w:tr>
        <w:trPr>
          <w:trHeight w:val="158"/>
        </w:trPr>
        <w:tc>
          <w:tcPr>
            <w:tcW w:w="32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Anuradha Muralidharan</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Chief Operating Officer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166,275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8,400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143"/>
              <w:spacing w:after="0"/>
              <w:rPr>
                <w:sz w:val="20"/>
                <w:szCs w:val="20"/>
                <w:color w:val="auto"/>
              </w:rPr>
            </w:pPr>
            <w:r>
              <w:rPr>
                <w:rFonts w:ascii="Arial" w:cs="Arial" w:eastAsia="Arial" w:hAnsi="Arial"/>
                <w:sz w:val="16"/>
                <w:szCs w:val="16"/>
                <w:color w:val="auto"/>
              </w:rPr>
              <w:t>214,465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18,778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407,918</w:t>
            </w:r>
          </w:p>
        </w:tc>
        <w:tc>
          <w:tcPr>
            <w:tcW w:w="0" w:type="dxa"/>
            <w:vAlign w:val="bottom"/>
          </w:tcPr>
          <w:p>
            <w:pPr>
              <w:spacing w:after="0"/>
              <w:rPr>
                <w:sz w:val="1"/>
                <w:szCs w:val="1"/>
                <w:color w:val="auto"/>
              </w:rPr>
            </w:pPr>
          </w:p>
        </w:tc>
      </w:tr>
      <w:tr>
        <w:trPr>
          <w:trHeight w:val="49"/>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3" w:right="80" w:hanging="283"/>
        <w:spacing w:after="0" w:line="254" w:lineRule="auto"/>
        <w:tabs>
          <w:tab w:leader="none" w:pos="273" w:val="left"/>
        </w:tabs>
        <w:numPr>
          <w:ilvl w:val="0"/>
          <w:numId w:val="107"/>
        </w:numPr>
        <w:rPr>
          <w:rFonts w:ascii="Arial" w:cs="Arial" w:eastAsia="Arial" w:hAnsi="Arial"/>
          <w:sz w:val="12"/>
          <w:szCs w:val="12"/>
          <w:color w:val="auto"/>
        </w:rPr>
      </w:pPr>
      <w:r>
        <w:rPr>
          <w:rFonts w:ascii="Arial" w:cs="Arial" w:eastAsia="Arial" w:hAnsi="Arial"/>
          <w:sz w:val="12"/>
          <w:szCs w:val="12"/>
          <w:color w:val="auto"/>
        </w:rPr>
        <w:t>$70,871 of the amount reported for Mr. Schaffer and all of the amount reported for Ms. Muralidharan constitutes a bonus paid to facilitate the exercise of stock options. The remaining $38,880 reported for Mr. Schaffer constitutes a bonus paid pursuant to our graduate perk program that rewarded employees who met certain eligiblity criteria by paying a one-time bonus equal to the exercise price of 10% of the employees’ vested stock options as of February 1, 2020.</w:t>
      </w:r>
    </w:p>
    <w:p>
      <w:pPr>
        <w:ind w:left="283" w:right="300" w:hanging="283"/>
        <w:spacing w:after="0" w:line="254" w:lineRule="auto"/>
        <w:tabs>
          <w:tab w:leader="none" w:pos="273" w:val="left"/>
        </w:tabs>
        <w:numPr>
          <w:ilvl w:val="0"/>
          <w:numId w:val="107"/>
        </w:numPr>
        <w:rPr>
          <w:rFonts w:ascii="Arial" w:cs="Arial" w:eastAsia="Arial" w:hAnsi="Arial"/>
          <w:sz w:val="12"/>
          <w:szCs w:val="12"/>
          <w:color w:val="auto"/>
        </w:rPr>
      </w:pPr>
      <w:r>
        <w:rPr>
          <w:rFonts w:ascii="Arial" w:cs="Arial" w:eastAsia="Arial" w:hAnsi="Arial"/>
          <w:sz w:val="12"/>
          <w:szCs w:val="12"/>
          <w:color w:val="auto"/>
        </w:rPr>
        <w:t>Amounts reported represent the grant date fair value of options granted during fiscal year 2020 and the incremental fair value of options repriced during fiscal year 2020, in each case, as calculated in accordance with ASC Topic 718. See Note 9 of the audited consolidated financial statements included in this registration statement for the assumptions used in calculating this amount.</w:t>
      </w:r>
    </w:p>
    <w:p>
      <w:pPr>
        <w:ind w:left="283" w:right="200" w:hanging="283"/>
        <w:spacing w:after="0" w:line="268" w:lineRule="auto"/>
        <w:tabs>
          <w:tab w:leader="none" w:pos="273" w:val="left"/>
        </w:tabs>
        <w:numPr>
          <w:ilvl w:val="0"/>
          <w:numId w:val="107"/>
        </w:numPr>
        <w:rPr>
          <w:rFonts w:ascii="Arial" w:cs="Arial" w:eastAsia="Arial" w:hAnsi="Arial"/>
          <w:sz w:val="12"/>
          <w:szCs w:val="12"/>
          <w:color w:val="auto"/>
        </w:rPr>
      </w:pPr>
      <w:r>
        <w:rPr>
          <w:rFonts w:ascii="Arial" w:cs="Arial" w:eastAsia="Arial" w:hAnsi="Arial"/>
          <w:sz w:val="12"/>
          <w:szCs w:val="12"/>
          <w:color w:val="auto"/>
        </w:rPr>
        <w:t>Amounts reported constitute gross ups for taxes incurred on the bonuses paid to Mr. Schaffer and Ms. Muralidharan to facilitate the exercise of stock options and, in the case of Ms. Muralidharan, taxes paid in connection with the exercise of stock options.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Narrative to summary compensation table</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Total compensation and base salaries</w:t>
      </w:r>
    </w:p>
    <w:p>
      <w:pPr>
        <w:spacing w:after="0" w:line="153" w:lineRule="exact"/>
        <w:rPr>
          <w:sz w:val="20"/>
          <w:szCs w:val="20"/>
          <w:color w:val="auto"/>
        </w:rPr>
      </w:pPr>
    </w:p>
    <w:p>
      <w:pPr>
        <w:ind w:left="3" w:right="60"/>
        <w:spacing w:after="0" w:line="256" w:lineRule="auto"/>
        <w:rPr>
          <w:sz w:val="20"/>
          <w:szCs w:val="20"/>
          <w:color w:val="auto"/>
        </w:rPr>
      </w:pPr>
      <w:r>
        <w:rPr>
          <w:rFonts w:ascii="Arial" w:cs="Arial" w:eastAsia="Arial" w:hAnsi="Arial"/>
          <w:sz w:val="16"/>
          <w:szCs w:val="16"/>
          <w:color w:val="auto"/>
        </w:rPr>
        <w:t>In setting the base salary and stock option eligibility of our NEOs, our board of directors first establishes a target total compensation amount for each NEO based on its assessment of the executive’s skill set, experience, role and responsibilities. Our board of directors then takes input from each NEO on his or her preference as to which portion of his or her total compensation he or she would like to receive in the form of cash and in the form of stock options. In the first half of 2020, our board of directors established total compensation targets of $4,461,099, $1,110,136 and $668,851 for Mr. Barrett, Mr. Schaffer and Ms. Muralidharan, respectively. In accordance with the stated preference of each NEO, our board of directors then set the portion of total compensation to be delivered in the form of base salary as approximately 21%, 61% and 25% for Mr. Barrett, Mr. Schaffer and Ms. Muralidharan, respectively. The amount of base salary paid to each NEO during 2020 is set forth above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63"/>
          </w:cols>
          <w:pgMar w:left="317" w:top="1407" w:right="319" w:bottom="1440" w:gutter="0" w:footer="0" w:header="0"/>
        </w:sectPr>
      </w:pPr>
    </w:p>
    <w:bookmarkStart w:id="169" w:name="page170"/>
    <w:bookmarkEnd w:id="169"/>
    <w:p>
      <w:pPr>
        <w:spacing w:after="0" w:line="2" w:lineRule="exact"/>
        <w:rPr>
          <w:sz w:val="20"/>
          <w:szCs w:val="20"/>
          <w:color w:val="auto"/>
        </w:rPr>
      </w:pPr>
    </w:p>
    <w:p>
      <w:pPr>
        <w:ind w:right="860"/>
        <w:spacing w:after="0" w:line="268" w:lineRule="auto"/>
        <w:rPr>
          <w:sz w:val="20"/>
          <w:szCs w:val="20"/>
          <w:color w:val="auto"/>
        </w:rPr>
      </w:pPr>
      <w:r>
        <w:rPr>
          <w:rFonts w:ascii="Arial" w:cs="Arial" w:eastAsia="Arial" w:hAnsi="Arial"/>
          <w:sz w:val="16"/>
          <w:szCs w:val="16"/>
          <w:color w:val="auto"/>
        </w:rPr>
        <w:t>In March 2021, our board of directors increased the total compensation target of Mr. Schaffer and Ms. Muralidharan to $1,221,150 and $836,064,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and executive committee may adjust base salaries from time to time in their discretion.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Bonuses</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During 2020, Mr. Schaffer was eligible for a bonus under our graduate perk program that rewarded employees who met certain eligibility criteria by paying a one-time bonus. The bonus earned by Mr. Schaffer equaled the exercise price of 10% of Mr. Schaffer’s vested stock options as of February 1, 2020.</w:t>
      </w:r>
    </w:p>
    <w:p>
      <w:pPr>
        <w:spacing w:after="0" w:line="10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Also during 2020, we paid Ms. Muralidharan a discretionary bonus that was intended to make her whole for exercise prices she paid in excess of the $15.97 fair market value for our common stock determined by our board of directors in June 2020. We also grossed up the bonus, as well as other taxes Ms. Muralidharan paid in connection with the exercise of her stock options.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 December 2020, we paid Mr. Schaffer a bonus equal to the aggregate exercise price paid by him to exercise stock options. We also provided gross up to Mr. Schaffer in connection with the bonus.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amount of each bonus is set forth in the Summary Compensation Table above.</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 June 2021, our board of directors awarded each of our NEOs a discretionary bonus having a value equal to the estimated amount it would cost the NEO to exercise 45% of the NEO’s options, including estimated tax obligations in connection with such exercise and the bonus, limited by the available number of options to exercise. While the purpose of the bonus was to encourage each NEO to exercise his or her options, none of the NEOs was required to exercise his or her options in order to be paid the bonus. Mr. Barrett, Mr. Schaffer and Ms. Muralidharan were paid $0, $566,516 and $634,414, respectively, of his or</w:t>
      </w:r>
    </w:p>
    <w:p>
      <w:pPr>
        <w:spacing w:after="0" w:line="1"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her bonus in June 2021 and is entitled to receive an additional $ , $ and $ , respectively, in early 2022 or such other date determined appropriate by our board of directors.</w:t>
      </w:r>
    </w:p>
    <w:p>
      <w:pPr>
        <w:spacing w:after="0" w:line="113"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Our board of directors and executive committee may provide additional discretionary bonuses to our NEOs whenever it determines it is necessary or appropriate to incentivize them or reward them for past performance.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Equity-based compensation</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February 2020, we granted Mr. Schaffer and Ms. Muralidharan an option to purchase 382 and 1,275 shares of our common stock, respectively. Each option had an exercise price equal to $32.88 per share, which our board of directors determined equaled fair market value on the date of grant, and vests and becomes exercisable as to 1/48th of the shares on each monthly anniversary of September 1, 2019 over a four-year period, subject to the applicable NEO’s continued service through the applicable vesting date. The exercise price of each of the options granted in February 2020 was repriced to $15.97 per share as described below.</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In June 2020, we granted each of Messrs. Barrett and Schaffer and Ms. Muralidharan an option to purchase 4,155, 454 and 1,875 shares of our common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stock, respectively, in each case, in accordance with the stated preference the NEO expressed for the portion of his or her total compensation to be taken in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form of stock options and determined using a formula determined appropriate by our board of directors. Each option had an exercise price equal to</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$15.97 per share, which our board of directors determined equaled fair market value on the date of grant, and vests and becomes exercisable as to 1/48th of</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shares on each monthly anniversary of March 1, 2020 over a four-year period, subject to the applicable NEO’s continued service through the applicable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vesting date.</w:t>
      </w:r>
    </w:p>
    <w:p>
      <w:pPr>
        <w:spacing w:after="0" w:line="145"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Also in June 2020, we repriced the exercise prices of options to purchase an aggregate of 382 and 4,012 shares of our common stock held by Mr. Schaffer and Ms. Muralidharan, respectively, to $15.97 per share, which our board of directors determined equaled fair market value on the date of the repricing. Each repriced option retained its original 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September 2021, our board of directors granted awards of 92,564, 25,104 and 20,278 restricted stock units to Mr. Barrett, Mr. Schaffer and Ms. Muralidharan, respectively, such grants effective immediately prior to the effectiveness of the registration statement on Form S-1, of which this prospectus is a part. Each restricted stock unit entitles the holder to receive half a share of our LT50 common stock and half a share of our Class A common stock. Each award vests as to 12.5% of the restricted stock units subject to the award on the first anniversary of the date of grant and in equal quarterly installments thereafter through the eighth anniversary of the date of grant, in each case, subject to continued employment with us.</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connection with this offering, we intend to adopt a 2021 Incentive Award Plan, referred to below as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We expect that the 2021 Plan will be effective on the day prior to the first public trading date of our Class A common stock, subject to approval of such plan by our stockholders. For additional information about the 2021 Plan, please see the section titled “Equity Incentive Plans” below.</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elements of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Retirement savings and health and welfare benefits</w:t>
      </w:r>
    </w:p>
    <w:p>
      <w:pPr>
        <w:spacing w:after="0" w:line="153"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The Company currently maintains a 401(k) retirement savings plan for our employees, including our named executive officers, who satisfy certain eligibility requirements. Our named executive officers are eligible to participate in the 401(k) plan on the same terms as other full-time employees.</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Perquisites and other personal benefits</w:t>
      </w:r>
    </w:p>
    <w:p>
      <w:pPr>
        <w:spacing w:after="0" w:line="153"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provide our NEOs perquisites and other personal benefits when we determine that the perquisites or personal benefits will act to incentivize our NEOs. As described above under "Bonuses," during fiscal year 2020, we provided a gross up on the taxes incurred by Mr. Schaffer and Ms. Muralidharan in connection with the payment of bonuses and the exercise of stock options, and, during fiscal year 2021, we provided a gross up on the taxes incurred by each of our NEOs in connection with bonuses we paid to the NEO.</w:t>
      </w:r>
    </w:p>
    <w:p>
      <w:pPr>
        <w:spacing w:after="0" w:line="12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Our executive committee from time to time may provide additional perquisites and personal benefits to our NEOs when it determines that it is necessary or advisable to fairly compensate or incentivize our NEOs.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Outstanding equity awards at 2020 fiscal year end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all outstanding equity awards held by our NEOs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7" w:lineRule="exact"/>
        <w:rPr>
          <w:sz w:val="20"/>
          <w:szCs w:val="20"/>
          <w:color w:val="auto"/>
        </w:rPr>
      </w:pPr>
    </w:p>
    <w:tbl>
      <w:tblPr>
        <w:tblLayout w:type="fixed"/>
        <w:tblInd w:w="3" w:type="dxa"/>
        <w:tblCellMar>
          <w:top w:w="0" w:type="dxa"/>
          <w:left w:w="0" w:type="dxa"/>
          <w:bottom w:w="0" w:type="dxa"/>
          <w:right w:w="0" w:type="dxa"/>
        </w:tblCellMar>
      </w:tblPr>
      <w:tr>
        <w:trPr>
          <w:trHeight w:val="180"/>
        </w:trPr>
        <w:tc>
          <w:tcPr>
            <w:tcW w:w="3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gridSpan w:val="3"/>
          </w:tcPr>
          <w:p>
            <w:pPr>
              <w:ind w:left="1100"/>
              <w:spacing w:after="0"/>
              <w:rPr>
                <w:sz w:val="20"/>
                <w:szCs w:val="20"/>
                <w:color w:val="auto"/>
              </w:rPr>
            </w:pPr>
            <w:r>
              <w:rPr>
                <w:rFonts w:ascii="Arial" w:cs="Arial" w:eastAsia="Arial" w:hAnsi="Arial"/>
                <w:sz w:val="11"/>
                <w:szCs w:val="11"/>
                <w:b w:val="1"/>
                <w:bCs w:val="1"/>
                <w:color w:val="auto"/>
              </w:rPr>
              <w:t>Option awards</w:t>
            </w: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Vesting commencement</w:t>
            </w:r>
          </w:p>
        </w:tc>
        <w:tc>
          <w:tcPr>
            <w:tcW w:w="80" w:type="dxa"/>
            <w:vAlign w:val="bottom"/>
          </w:tcPr>
          <w:p>
            <w:pPr>
              <w:spacing w:after="0"/>
              <w:rPr>
                <w:sz w:val="8"/>
                <w:szCs w:val="8"/>
                <w:color w:val="auto"/>
              </w:rPr>
            </w:pPr>
          </w:p>
        </w:tc>
        <w:tc>
          <w:tcPr>
            <w:tcW w:w="1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Number of securities</w:t>
            </w:r>
          </w:p>
        </w:tc>
        <w:tc>
          <w:tcPr>
            <w:tcW w:w="100" w:type="dxa"/>
            <w:vAlign w:val="bottom"/>
          </w:tcPr>
          <w:p>
            <w:pPr>
              <w:spacing w:after="0"/>
              <w:rPr>
                <w:sz w:val="8"/>
                <w:szCs w:val="8"/>
                <w:color w:val="auto"/>
              </w:rPr>
            </w:pPr>
          </w:p>
        </w:tc>
        <w:tc>
          <w:tcPr>
            <w:tcW w:w="1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Number of securities</w:t>
            </w: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underlying unexercised</w:t>
            </w:r>
          </w:p>
        </w:tc>
        <w:tc>
          <w:tcPr>
            <w:tcW w:w="100" w:type="dxa"/>
            <w:vAlign w:val="bottom"/>
          </w:tcPr>
          <w:p>
            <w:pPr>
              <w:spacing w:after="0"/>
              <w:rPr>
                <w:sz w:val="9"/>
                <w:szCs w:val="9"/>
                <w:color w:val="auto"/>
              </w:rPr>
            </w:pPr>
          </w:p>
        </w:tc>
        <w:tc>
          <w:tcPr>
            <w:tcW w:w="144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underlying unexercised</w:t>
            </w:r>
          </w:p>
        </w:tc>
        <w:tc>
          <w:tcPr>
            <w:tcW w:w="100" w:type="dxa"/>
            <w:vAlign w:val="bottom"/>
          </w:tcPr>
          <w:p>
            <w:pPr>
              <w:spacing w:after="0"/>
              <w:rPr>
                <w:sz w:val="9"/>
                <w:szCs w:val="9"/>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Option exercise price ($)</w:t>
            </w:r>
          </w:p>
        </w:tc>
        <w:tc>
          <w:tcPr>
            <w:tcW w:w="100" w:type="dxa"/>
            <w:vAlign w:val="bottom"/>
          </w:tcPr>
          <w:p>
            <w:pPr>
              <w:spacing w:after="0"/>
              <w:rPr>
                <w:sz w:val="9"/>
                <w:szCs w:val="9"/>
                <w:color w:val="auto"/>
              </w:rPr>
            </w:pPr>
          </w:p>
        </w:tc>
        <w:tc>
          <w:tcPr>
            <w:tcW w:w="14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Option expiration date</w:t>
            </w:r>
          </w:p>
        </w:tc>
        <w:tc>
          <w:tcPr>
            <w:tcW w:w="0" w:type="dxa"/>
            <w:vAlign w:val="bottom"/>
          </w:tcPr>
          <w:p>
            <w:pPr>
              <w:spacing w:after="0"/>
              <w:rPr>
                <w:sz w:val="1"/>
                <w:szCs w:val="1"/>
                <w:color w:val="auto"/>
              </w:rPr>
            </w:pPr>
          </w:p>
        </w:tc>
      </w:tr>
      <w:tr>
        <w:trPr>
          <w:trHeight w:val="158"/>
        </w:trPr>
        <w:tc>
          <w:tcPr>
            <w:tcW w:w="3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w w:val="96"/>
              </w:rPr>
              <w:t xml:space="preserve">date </w:t>
            </w:r>
            <w:r>
              <w:rPr>
                <w:rFonts w:ascii="Arial" w:cs="Arial" w:eastAsia="Arial" w:hAnsi="Arial"/>
                <w:sz w:val="14"/>
                <w:szCs w:val="14"/>
                <w:b w:val="1"/>
                <w:bCs w:val="1"/>
                <w:color w:val="auto"/>
                <w:w w:val="96"/>
                <w:vertAlign w:val="superscript"/>
              </w:rPr>
              <w:t>(1)</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options exercisable (#)</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options unexercisable (#)</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David Barrett</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10/30/2014</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9"/>
              </w:rPr>
              <w:t>158,564</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2.11</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11/24/2024</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9" w:lineRule="exact"/>
              <w:rPr>
                <w:sz w:val="20"/>
                <w:szCs w:val="20"/>
                <w:color w:val="auto"/>
              </w:rPr>
            </w:pPr>
            <w:r>
              <w:rPr>
                <w:rFonts w:ascii="Arial" w:cs="Arial" w:eastAsia="Arial" w:hAnsi="Arial"/>
                <w:sz w:val="15"/>
                <w:szCs w:val="15"/>
                <w:color w:val="auto"/>
                <w:w w:val="93"/>
              </w:rPr>
              <w:t xml:space="preserve">4/12/2019 </w:t>
            </w:r>
            <w:r>
              <w:rPr>
                <w:rFonts w:ascii="Arial" w:cs="Arial" w:eastAsia="Arial" w:hAnsi="Arial"/>
                <w:sz w:val="18"/>
                <w:szCs w:val="18"/>
                <w:color w:val="auto"/>
                <w:w w:val="93"/>
                <w:vertAlign w:val="superscript"/>
              </w:rPr>
              <w:t>(2)</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9"/>
              </w:rPr>
              <w:t>130,272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10.66</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4/12/2025</w:t>
            </w: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3/1/2020 </w:t>
            </w:r>
            <w:r>
              <w:rPr>
                <w:rFonts w:ascii="Arial" w:cs="Arial" w:eastAsia="Arial" w:hAnsi="Arial"/>
                <w:sz w:val="18"/>
                <w:szCs w:val="18"/>
                <w:color w:val="auto"/>
                <w:w w:val="93"/>
                <w:vertAlign w:val="superscript"/>
              </w:rPr>
              <w:t>(3)</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4,155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15.97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5"/>
                <w:szCs w:val="15"/>
                <w:color w:val="auto"/>
              </w:rPr>
              <w:t>Ryan Schaffer</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7/1/2014</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3,236</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1.92</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10/28/2024</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10/30/2014</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29,307</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1.92</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11/24/2024</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2/1/2015</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5,320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5.43</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5/30/2025</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7/1/2015</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3,260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5.43</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8/11/2025</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1/1/2016</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1,293</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5.30</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3/31/2026</w:t>
            </w: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1540" w:type="dxa"/>
            <w:vAlign w:val="bottom"/>
            <w:gridSpan w:val="2"/>
          </w:tcPr>
          <w:p>
            <w:pPr>
              <w:jc w:val="center"/>
              <w:ind w:left="27"/>
              <w:spacing w:after="0" w:line="199" w:lineRule="exact"/>
              <w:rPr>
                <w:sz w:val="20"/>
                <w:szCs w:val="20"/>
                <w:color w:val="auto"/>
              </w:rPr>
            </w:pPr>
            <w:r>
              <w:rPr>
                <w:rFonts w:ascii="Arial" w:cs="Arial" w:eastAsia="Arial" w:hAnsi="Arial"/>
                <w:sz w:val="15"/>
                <w:szCs w:val="15"/>
                <w:color w:val="auto"/>
                <w:w w:val="93"/>
              </w:rPr>
              <w:t xml:space="preserve">1/1/2017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351</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5.46</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3/22/2027</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10/30/2018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2,912</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1/10/2029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2/1/2019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699</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3/1/2019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1,591</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4/12/2019 </w:t>
            </w:r>
            <w:r>
              <w:rPr>
                <w:rFonts w:ascii="Arial" w:cs="Arial" w:eastAsia="Arial" w:hAnsi="Arial"/>
                <w:sz w:val="18"/>
                <w:szCs w:val="18"/>
                <w:color w:val="auto"/>
                <w:w w:val="93"/>
                <w:vertAlign w:val="superscript"/>
              </w:rPr>
              <w:t>(2)</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42,105</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9/1/2019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382</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15.97</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3/1/2020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454</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15.97</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0"/>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Anuradha Muralidharan</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9"/>
              </w:rPr>
              <w:t>7/1/2016</w:t>
            </w:r>
          </w:p>
        </w:tc>
        <w:tc>
          <w:tcPr>
            <w:tcW w:w="152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5.30</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9/12/2026</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9" w:lineRule="exact"/>
              <w:rPr>
                <w:sz w:val="20"/>
                <w:szCs w:val="20"/>
                <w:color w:val="auto"/>
              </w:rPr>
            </w:pPr>
            <w:r>
              <w:rPr>
                <w:rFonts w:ascii="Arial" w:cs="Arial" w:eastAsia="Arial" w:hAnsi="Arial"/>
                <w:sz w:val="15"/>
                <w:szCs w:val="15"/>
                <w:color w:val="auto"/>
                <w:w w:val="93"/>
              </w:rPr>
              <w:t xml:space="preserve">1/1/2017 </w:t>
            </w:r>
            <w:r>
              <w:rPr>
                <w:rFonts w:ascii="Arial" w:cs="Arial" w:eastAsia="Arial" w:hAnsi="Arial"/>
                <w:sz w:val="18"/>
                <w:szCs w:val="18"/>
                <w:color w:val="auto"/>
                <w:w w:val="93"/>
                <w:vertAlign w:val="superscript"/>
              </w:rPr>
              <w:t>(3)</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185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5.46</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3/21/2027</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1/1/2018 </w:t>
            </w:r>
            <w:r>
              <w:rPr>
                <w:rFonts w:ascii="Arial" w:cs="Arial" w:eastAsia="Arial" w:hAnsi="Arial"/>
                <w:sz w:val="18"/>
                <w:szCs w:val="18"/>
                <w:color w:val="auto"/>
                <w:w w:val="93"/>
                <w:vertAlign w:val="superscript"/>
              </w:rPr>
              <w:t>(3)</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350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5.46</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1/11/2028</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7/1/2018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1,308</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7/29/2028</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3/1/2019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1,084</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4/12/2019 </w:t>
            </w:r>
            <w:r>
              <w:rPr>
                <w:rFonts w:ascii="Arial" w:cs="Arial" w:eastAsia="Arial" w:hAnsi="Arial"/>
                <w:sz w:val="18"/>
                <w:szCs w:val="18"/>
                <w:color w:val="auto"/>
                <w:w w:val="93"/>
                <w:vertAlign w:val="superscript"/>
              </w:rPr>
              <w:t>(2)</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6,439</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4/16/2019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799</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6/10/2019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2,737</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9/1/2019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1,275</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3/1/2020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1,875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49"/>
        </w:trPr>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283" w:right="80" w:hanging="283"/>
        <w:spacing w:after="0" w:line="254" w:lineRule="auto"/>
        <w:tabs>
          <w:tab w:leader="none" w:pos="273" w:val="left"/>
        </w:tabs>
        <w:numPr>
          <w:ilvl w:val="0"/>
          <w:numId w:val="108"/>
        </w:numPr>
        <w:rPr>
          <w:rFonts w:ascii="Arial" w:cs="Arial" w:eastAsia="Arial" w:hAnsi="Arial"/>
          <w:sz w:val="12"/>
          <w:szCs w:val="12"/>
          <w:color w:val="auto"/>
        </w:rPr>
      </w:pPr>
      <w:r>
        <w:rPr>
          <w:rFonts w:ascii="Arial" w:cs="Arial" w:eastAsia="Arial" w:hAnsi="Arial"/>
          <w:sz w:val="12"/>
          <w:szCs w:val="12"/>
          <w:color w:val="auto"/>
        </w:rPr>
        <w:t>Except as otherwise noted, each option is exercisable immediately upon grant and vests as to 25% of the shares on the first anniversary of the vesting commencement date and as to 1/48th of the shares monthly thereafter,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283" w:right="200" w:hanging="283"/>
        <w:spacing w:after="0" w:line="254" w:lineRule="auto"/>
        <w:tabs>
          <w:tab w:leader="none" w:pos="273"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The option is exercisable immediately upon grant and vests as to 1/72nd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jc w:val="both"/>
        <w:ind w:left="283" w:right="40" w:hanging="283"/>
        <w:spacing w:after="0" w:line="261" w:lineRule="auto"/>
        <w:tabs>
          <w:tab w:leader="none" w:pos="273"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The option is exercisable immediately upon grant and vests as to 1/48th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Executive compensation arrangements</w:t>
      </w:r>
    </w:p>
    <w:p>
      <w:pPr>
        <w:spacing w:after="0" w:line="164"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We have entered into employment agreements with each of our NEOs that set forth the terms of their at-will employment with us. Under the employment agreements, the NEOs are not entitled to any payments or benefits upon an involuntary termination of employment. Each of our NEOs have also entered into standard confidential information and invention assignment agreements with us. In connection with this offering, we intend to enter into new employment agreements with our NEOs that are effective at the closing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63"/>
          </w:cols>
          <w:pgMar w:left="317" w:top="1440" w:right="319" w:bottom="1440" w:gutter="0" w:footer="0" w:header="0"/>
        </w:sectPr>
      </w:pPr>
    </w:p>
    <w:bookmarkStart w:id="172" w:name="page173"/>
    <w:bookmarkEnd w:id="172"/>
    <w:p>
      <w:pPr>
        <w:ind w:left="3"/>
        <w:spacing w:after="0"/>
        <w:rPr>
          <w:sz w:val="20"/>
          <w:szCs w:val="20"/>
          <w:color w:val="auto"/>
        </w:rPr>
      </w:pPr>
      <w:r>
        <w:rPr>
          <w:rFonts w:ascii="Arial" w:cs="Arial" w:eastAsia="Arial" w:hAnsi="Arial"/>
          <w:sz w:val="19"/>
          <w:szCs w:val="19"/>
          <w:b w:val="1"/>
          <w:bCs w:val="1"/>
          <w:color w:val="auto"/>
        </w:rPr>
        <w:t>Equity compensation plans</w:t>
      </w:r>
    </w:p>
    <w:p>
      <w:pPr>
        <w:spacing w:after="0" w:line="152" w:lineRule="exact"/>
        <w:rPr>
          <w:sz w:val="20"/>
          <w:szCs w:val="20"/>
          <w:color w:val="auto"/>
        </w:rPr>
      </w:pPr>
    </w:p>
    <w:p>
      <w:pPr>
        <w:ind w:left="3" w:right="280"/>
        <w:spacing w:after="0" w:line="261" w:lineRule="auto"/>
        <w:rPr>
          <w:sz w:val="20"/>
          <w:szCs w:val="20"/>
          <w:color w:val="auto"/>
        </w:rPr>
      </w:pPr>
      <w:r>
        <w:rPr>
          <w:rFonts w:ascii="Arial" w:cs="Arial" w:eastAsia="Arial" w:hAnsi="Arial"/>
          <w:sz w:val="16"/>
          <w:szCs w:val="16"/>
          <w:color w:val="auto"/>
        </w:rPr>
        <w:t>The following summarizes the material terms of our 2021 Plan, in which our named executive officers will be eligible to participate following the consummation of this offering, and our 2019 Stock Plan (the “2019 Plan”) and 2009 Stock Plan (the “2009 Plan”), under which we have previously made periodic grants of equity and equity-based awards to our NEOs and other key employees.</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2021 incentive award plan</w:t>
      </w:r>
    </w:p>
    <w:p>
      <w:pPr>
        <w:spacing w:after="0" w:line="165"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We intend to adopt the 2021 Plan, which will be effective on the day prior to the first public trading date of our Class A common stock. The principal purpose of the 2021 Plan is to attract, retain and motivate selected employees, consultants and directors through the granting of stock-based compensation awards and cash-based performance bonus awards. The material terms of the 2021 Plan, as it is currently contemplated, are summarized below.</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2021 Plan and the 2021 Non-Qualified Employee Stock Purchase and Matching Plan (the "2021 Purchase and Matching Plan" and,</w:t>
      </w:r>
    </w:p>
    <w:p>
      <w:pPr>
        <w:spacing w:after="0" w:line="27" w:lineRule="exact"/>
        <w:rPr>
          <w:sz w:val="20"/>
          <w:szCs w:val="20"/>
          <w:color w:val="auto"/>
        </w:rPr>
      </w:pPr>
    </w:p>
    <w:p>
      <w:pPr>
        <w:ind w:left="3"/>
        <w:spacing w:after="0" w:line="254" w:lineRule="auto"/>
        <w:rPr>
          <w:sz w:val="20"/>
          <w:szCs w:val="20"/>
          <w:color w:val="auto"/>
        </w:rPr>
      </w:pPr>
      <w:r>
        <w:rPr>
          <w:rFonts w:ascii="Arial" w:cs="Arial" w:eastAsia="Arial" w:hAnsi="Arial"/>
          <w:sz w:val="16"/>
          <w:szCs w:val="16"/>
          <w:color w:val="auto"/>
        </w:rPr>
        <w:t>together with the 2021 Plan, the "2021 Incentive Plans") use a combined share reserve. Under the 2021 Incentive Plans, shares of our Class A common stock will be initially reserved for issuance pursuant to a variety of stock-based compensation awards, including stock options, stock appreciation rights, or SARs, restricted stock awards, restricted stock unit awards and other stock-based awards under the 2021 Plan and purchase rights and matching awards under the 2021 Purchase and Matching Plan. The number of shares initially reserved for issuance or transfer pursuant to awards under the 2021 Incentive Plans will be increased by (i) the number of shares represented by awards outstanding under our 2012 Plan, or Prior Plan Awards, that become available for issuance under the counting provisions described below following the effective date and (ii) an annual increase on the first day of each fiscal year beginning in 2022 and ending in 2031, equal to the lesser of (A) 5% of the shares of our Class A common stock outstanding (on an as converted basis) on the last day of the immediately preceding fiscal year and (B) such smaller number of shares of stock as determined by our board of directors; provided,</w:t>
      </w:r>
    </w:p>
    <w:p>
      <w:pPr>
        <w:spacing w:after="0" w:line="1" w:lineRule="exact"/>
        <w:rPr>
          <w:sz w:val="20"/>
          <w:szCs w:val="20"/>
          <w:color w:val="auto"/>
        </w:rPr>
      </w:pPr>
    </w:p>
    <w:p>
      <w:pPr>
        <w:ind w:left="3"/>
        <w:spacing w:after="0"/>
        <w:tabs>
          <w:tab w:leader="none" w:pos="2442" w:val="left"/>
        </w:tabs>
        <w:rPr>
          <w:sz w:val="20"/>
          <w:szCs w:val="20"/>
          <w:color w:val="auto"/>
        </w:rPr>
      </w:pPr>
      <w:r>
        <w:rPr>
          <w:rFonts w:ascii="Arial" w:cs="Arial" w:eastAsia="Arial" w:hAnsi="Arial"/>
          <w:sz w:val="16"/>
          <w:szCs w:val="16"/>
          <w:color w:val="auto"/>
        </w:rPr>
        <w:t>however, that no more than</w:t>
      </w:r>
      <w:r>
        <w:rPr>
          <w:sz w:val="20"/>
          <w:szCs w:val="20"/>
          <w:color w:val="auto"/>
        </w:rPr>
        <w:tab/>
      </w:r>
      <w:r>
        <w:rPr>
          <w:rFonts w:ascii="Arial" w:cs="Arial" w:eastAsia="Arial" w:hAnsi="Arial"/>
          <w:sz w:val="16"/>
          <w:szCs w:val="16"/>
          <w:color w:val="auto"/>
        </w:rPr>
        <w:t>shares of stock may be issued upon the exercise of incentive stock options.</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counting provisions will be in effect for the share reserve under the 2021 Incentive Plans:</w:t>
      </w:r>
    </w:p>
    <w:p>
      <w:pPr>
        <w:spacing w:after="0" w:line="145" w:lineRule="exact"/>
        <w:rPr>
          <w:sz w:val="20"/>
          <w:szCs w:val="20"/>
          <w:color w:val="auto"/>
        </w:rPr>
      </w:pPr>
    </w:p>
    <w:p>
      <w:pPr>
        <w:ind w:left="283" w:right="700" w:hanging="283"/>
        <w:spacing w:after="0" w:line="268"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number of shares reserved for issuance under the 2021 Incentive Plans will be reduced by each share of Class A common stock issued or underlying an award granted under either 2021 Incentive Plan;</w:t>
      </w:r>
    </w:p>
    <w:p>
      <w:pPr>
        <w:spacing w:after="0" w:line="100"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the extent that an award (including a Prior Plan Award) terminates, expires or lapses for any reason or an award is settled in cash without the delivery of shares, any shares subject to the award at such time will be available for future grants under the 2021 Incentive Plans;</w:t>
      </w:r>
    </w:p>
    <w:p>
      <w:pPr>
        <w:spacing w:after="0" w:line="112" w:lineRule="exact"/>
        <w:rPr>
          <w:rFonts w:ascii="Arial" w:cs="Arial" w:eastAsia="Arial" w:hAnsi="Arial"/>
          <w:sz w:val="16"/>
          <w:szCs w:val="16"/>
          <w:color w:val="auto"/>
        </w:rPr>
      </w:pPr>
    </w:p>
    <w:p>
      <w:pPr>
        <w:ind w:left="283" w:right="140" w:hanging="283"/>
        <w:spacing w:after="0" w:line="268"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the extent shares are tendered or withheld to satisfy the grant, exercise price or tax withholding obligation with respect to any award under the 2021 Incentive Plans or Prior Plan Award, such tendered or withheld shares will be available for future grants under the 2021 Incentive Plans;</w:t>
      </w:r>
    </w:p>
    <w:p>
      <w:pPr>
        <w:spacing w:after="0" w:line="112" w:lineRule="exact"/>
        <w:rPr>
          <w:rFonts w:ascii="Arial" w:cs="Arial" w:eastAsia="Arial" w:hAnsi="Arial"/>
          <w:sz w:val="16"/>
          <w:szCs w:val="16"/>
          <w:color w:val="auto"/>
        </w:rPr>
      </w:pPr>
    </w:p>
    <w:p>
      <w:pPr>
        <w:ind w:left="283" w:right="200" w:hanging="283"/>
        <w:spacing w:after="0" w:line="268"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the extent shares subject to stock appreciation rights are not issued in connection with the stock settlement of stock appreciation rights on exercise thereof, such shares will be available for future grants under the 2021 Incentive Plans;</w:t>
      </w:r>
    </w:p>
    <w:p>
      <w:pPr>
        <w:spacing w:after="0" w:line="100" w:lineRule="exact"/>
        <w:rPr>
          <w:rFonts w:ascii="Arial" w:cs="Arial" w:eastAsia="Arial" w:hAnsi="Arial"/>
          <w:sz w:val="16"/>
          <w:szCs w:val="16"/>
          <w:color w:val="auto"/>
        </w:rPr>
      </w:pPr>
    </w:p>
    <w:p>
      <w:pPr>
        <w:ind w:left="283" w:right="60" w:hanging="283"/>
        <w:spacing w:after="0" w:line="268"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the extent that shares of our common stock are repurchased by us prior to vesting so that shares are returned to us, such shares will be available for future grants under the 2021 Incentive Plans;</w:t>
      </w:r>
    </w:p>
    <w:p>
      <w:pPr>
        <w:spacing w:after="0" w:line="112"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payment of dividend equivalents in cash in conjunction with any outstanding awards or Prior Plan Awards will not be counted against the shares available for issuance under the 2021 Incentive Plan; and</w:t>
      </w:r>
    </w:p>
    <w:p>
      <w:pPr>
        <w:spacing w:after="0" w:line="112"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the extent permitted by applicable law or any exchange rule, shares issued in assumption of, or in substitution for, any outstanding awards of any entity acquired in any form of combination by 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83"/>
          </w:cols>
          <w:pgMar w:left="317" w:top="1425" w:right="399" w:bottom="1440" w:gutter="0" w:footer="0" w:header="0"/>
        </w:sectPr>
      </w:pPr>
    </w:p>
    <w:bookmarkStart w:id="173" w:name="page174"/>
    <w:bookmarkEnd w:id="173"/>
    <w:p>
      <w:pPr>
        <w:spacing w:after="0" w:line="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any of our subsidiaries will not be counted against the shares available for issuance under the 2021 Incentive Plans.</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addition, the sum of the grant date fair value of all equity-based awards and the maximum that may become payable pursuant to all cash-based awards to</w:t>
      </w:r>
    </w:p>
    <w:p>
      <w:pPr>
        <w:spacing w:after="0" w:line="11" w:lineRule="exact"/>
        <w:rPr>
          <w:sz w:val="20"/>
          <w:szCs w:val="20"/>
          <w:color w:val="auto"/>
        </w:rPr>
      </w:pPr>
    </w:p>
    <w:p>
      <w:pPr>
        <w:ind w:left="3"/>
        <w:spacing w:after="0"/>
        <w:tabs>
          <w:tab w:leader="none" w:pos="7462" w:val="left"/>
        </w:tabs>
        <w:rPr>
          <w:sz w:val="20"/>
          <w:szCs w:val="20"/>
          <w:color w:val="auto"/>
        </w:rPr>
      </w:pPr>
      <w:r>
        <w:rPr>
          <w:rFonts w:ascii="Arial" w:cs="Arial" w:eastAsia="Arial" w:hAnsi="Arial"/>
          <w:sz w:val="16"/>
          <w:szCs w:val="16"/>
          <w:color w:val="auto"/>
        </w:rPr>
        <w:t>any individual for services as a non-employee director during any calendar year may not exceed $</w:t>
      </w:r>
      <w:r>
        <w:rPr>
          <w:sz w:val="20"/>
          <w:szCs w:val="20"/>
          <w:color w:val="auto"/>
        </w:rPr>
        <w:tab/>
      </w:r>
      <w:r>
        <w:rPr>
          <w:rFonts w:ascii="Arial" w:cs="Arial" w:eastAsia="Arial" w:hAnsi="Arial"/>
          <w:sz w:val="14"/>
          <w:szCs w:val="14"/>
          <w:color w:val="auto"/>
        </w:rPr>
        <w:t>.</w:t>
      </w:r>
    </w:p>
    <w:p>
      <w:pPr>
        <w:spacing w:after="0" w:line="129" w:lineRule="exact"/>
        <w:rPr>
          <w:sz w:val="20"/>
          <w:szCs w:val="20"/>
          <w:color w:val="auto"/>
        </w:rPr>
      </w:pPr>
    </w:p>
    <w:p>
      <w:pPr>
        <w:ind w:left="3" w:right="180"/>
        <w:spacing w:after="0" w:line="26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is expected to administer the 2021 Plan. The 2021 Plan provides that the board may delegate its authority to grant</w:t>
      </w:r>
      <w:r>
        <w:rPr>
          <w:rFonts w:ascii="Arial" w:cs="Arial" w:eastAsia="Arial" w:hAnsi="Arial"/>
          <w:sz w:val="16"/>
          <w:szCs w:val="16"/>
          <w:i w:val="1"/>
          <w:iCs w:val="1"/>
          <w:color w:val="auto"/>
        </w:rPr>
        <w:t xml:space="preserve"> </w:t>
      </w:r>
      <w:r>
        <w:rPr>
          <w:rFonts w:ascii="Arial" w:cs="Arial" w:eastAsia="Arial" w:hAnsi="Arial"/>
          <w:sz w:val="16"/>
          <w:szCs w:val="16"/>
          <w:color w:val="auto"/>
        </w:rPr>
        <w:t>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17"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w:t>
      </w:r>
    </w:p>
    <w:p>
      <w:pPr>
        <w:spacing w:after="0" w:line="94" w:lineRule="exact"/>
        <w:rPr>
          <w:sz w:val="20"/>
          <w:szCs w:val="20"/>
          <w:color w:val="auto"/>
        </w:rPr>
      </w:pPr>
    </w:p>
    <w:p>
      <w:pPr>
        <w:ind w:left="3"/>
        <w:spacing w:after="0" w:line="271"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Options, SARs, restricted stock and all other stock-based and cash-based awards under the 2021 Plan may be granted to individuals who are then</w:t>
      </w:r>
      <w:r>
        <w:rPr>
          <w:rFonts w:ascii="Arial" w:cs="Arial" w:eastAsia="Arial" w:hAnsi="Arial"/>
          <w:sz w:val="16"/>
          <w:szCs w:val="16"/>
          <w:i w:val="1"/>
          <w:iCs w:val="1"/>
          <w:color w:val="auto"/>
        </w:rPr>
        <w:t xml:space="preserve"> </w:t>
      </w:r>
      <w:r>
        <w:rPr>
          <w:rFonts w:ascii="Arial" w:cs="Arial" w:eastAsia="Arial" w:hAnsi="Arial"/>
          <w:sz w:val="16"/>
          <w:szCs w:val="16"/>
          <w:color w:val="auto"/>
        </w:rPr>
        <w:t>our officers, employees or 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95" w:lineRule="exact"/>
        <w:rPr>
          <w:sz w:val="20"/>
          <w:szCs w:val="20"/>
          <w:color w:val="auto"/>
        </w:rPr>
      </w:pPr>
    </w:p>
    <w:p>
      <w:pPr>
        <w:ind w:left="3" w:right="140"/>
        <w:spacing w:after="0" w:line="271"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2021 Plan provides that the administrator may grant or issue stock options, SARs, restricted stock, restricted stock units, other stock- or cash-based awards and dividend equivalents, or any combination thereof. Each award will be set forth in a separate agreement with the person receiving the award and will indicate the type, terms and conditions of the award.</w:t>
      </w:r>
    </w:p>
    <w:p>
      <w:pPr>
        <w:spacing w:after="0" w:line="95" w:lineRule="exact"/>
        <w:rPr>
          <w:sz w:val="20"/>
          <w:szCs w:val="20"/>
          <w:color w:val="auto"/>
        </w:rPr>
      </w:pPr>
    </w:p>
    <w:p>
      <w:pPr>
        <w:ind w:left="283" w:right="120" w:hanging="283"/>
        <w:spacing w:after="0" w:line="262" w:lineRule="auto"/>
        <w:tabs>
          <w:tab w:leader="none" w:pos="278"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Nonstatutory stock options</w:t>
      </w:r>
      <w:r>
        <w:rPr>
          <w:rFonts w:ascii="Arial" w:cs="Arial" w:eastAsia="Arial" w:hAnsi="Arial"/>
          <w:sz w:val="16"/>
          <w:szCs w:val="16"/>
          <w:color w:val="auto"/>
        </w:rPr>
        <w:t>, or NSOs, will provide for the right to purchase shares of our Class A common stock at a specified price which may not be</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91" w:lineRule="exact"/>
        <w:rPr>
          <w:rFonts w:ascii="Arial" w:cs="Arial" w:eastAsia="Arial" w:hAnsi="Arial"/>
          <w:sz w:val="16"/>
          <w:szCs w:val="16"/>
          <w:color w:val="auto"/>
        </w:rPr>
      </w:pPr>
    </w:p>
    <w:p>
      <w:pPr>
        <w:ind w:left="283" w:right="100" w:hanging="283"/>
        <w:spacing w:after="0" w:line="260" w:lineRule="auto"/>
        <w:tabs>
          <w:tab w:leader="none" w:pos="278"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or ISOs, will be designed in a manner intended to comply with the provisions of Section 422 of the Internal Revenue Code of</w:t>
      </w:r>
      <w:r>
        <w:rPr>
          <w:rFonts w:ascii="Arial" w:cs="Arial" w:eastAsia="Arial" w:hAnsi="Arial"/>
          <w:sz w:val="16"/>
          <w:szCs w:val="16"/>
          <w:i w:val="1"/>
          <w:iCs w:val="1"/>
          <w:color w:val="auto"/>
        </w:rPr>
        <w:t xml:space="preserve"> </w:t>
      </w:r>
      <w:r>
        <w:rPr>
          <w:rFonts w:ascii="Arial" w:cs="Arial" w:eastAsia="Arial" w:hAnsi="Arial"/>
          <w:sz w:val="16"/>
          <w:szCs w:val="16"/>
          <w:color w:val="auto"/>
        </w:rPr>
        <w:t>1986, as amended, or the Code, and will be subject to specified restrictions contained in the Code. Among such restrictions, ISOs must have an exercise price of not less than the fair market value of a share of Class A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Class A common stock on the date of grant and the ISO must not be exercisable after a period of five years measured from the date of grant.</w:t>
      </w:r>
    </w:p>
    <w:p>
      <w:pPr>
        <w:spacing w:after="0" w:line="102" w:lineRule="exact"/>
        <w:rPr>
          <w:rFonts w:ascii="Arial" w:cs="Arial" w:eastAsia="Arial" w:hAnsi="Arial"/>
          <w:sz w:val="16"/>
          <w:szCs w:val="16"/>
          <w:color w:val="auto"/>
        </w:rPr>
      </w:pPr>
    </w:p>
    <w:p>
      <w:pPr>
        <w:ind w:left="283" w:right="200" w:hanging="283"/>
        <w:spacing w:after="0" w:line="265" w:lineRule="auto"/>
        <w:tabs>
          <w:tab w:leader="none" w:pos="278"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may be granted to any eligible individual and made subject to such restrictions as may be determined by the administrator.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243"/>
          </w:cols>
          <w:pgMar w:left="317" w:top="1440" w:right="339" w:bottom="1440" w:gutter="0" w:footer="0" w:header="0"/>
        </w:sectPr>
      </w:pPr>
    </w:p>
    <w:bookmarkStart w:id="174" w:name="page175"/>
    <w:bookmarkEnd w:id="174"/>
    <w:p>
      <w:pPr>
        <w:spacing w:after="0" w:line="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restrictions lapse, however, extraordinary dividends will generally be placed in escrow, and will not be released until restrictions are removed or expire.</w:t>
      </w:r>
    </w:p>
    <w:p>
      <w:pPr>
        <w:spacing w:after="0" w:line="117" w:lineRule="exact"/>
        <w:rPr>
          <w:sz w:val="20"/>
          <w:szCs w:val="20"/>
          <w:color w:val="auto"/>
        </w:rPr>
      </w:pPr>
    </w:p>
    <w:p>
      <w:pPr>
        <w:ind w:left="283" w:hanging="283"/>
        <w:spacing w:after="0" w:line="262" w:lineRule="auto"/>
        <w:tabs>
          <w:tab w:leader="none" w:pos="278"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 conditions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04" w:lineRule="exact"/>
        <w:rPr>
          <w:rFonts w:ascii="Arial" w:cs="Arial" w:eastAsia="Arial" w:hAnsi="Arial"/>
          <w:sz w:val="16"/>
          <w:szCs w:val="16"/>
          <w:color w:val="auto"/>
        </w:rPr>
      </w:pPr>
    </w:p>
    <w:p>
      <w:pPr>
        <w:ind w:left="283" w:right="40" w:hanging="283"/>
        <w:spacing w:after="0" w:line="262" w:lineRule="auto"/>
        <w:tabs>
          <w:tab w:leader="none" w:pos="278"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or SARs, may be granted in connection with stock options or other awards, or separately. SARs granted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or other awards typically will provide for payments to the holder based upon increases in the price of our Class A common stock over a set exercise price. The exercise price of any SAR granted under the 2021 Plan must be at least 100% of the fair market value of a share of our Class A common stock on the date of grant. SARs under the 2021 Plan will be settled in cash or shares of our Class A common stock, or in a combination of both, at the election of the administrator.</w:t>
      </w:r>
    </w:p>
    <w:p>
      <w:pPr>
        <w:spacing w:after="0" w:line="104" w:lineRule="exact"/>
        <w:rPr>
          <w:rFonts w:ascii="Arial" w:cs="Arial" w:eastAsia="Arial" w:hAnsi="Arial"/>
          <w:sz w:val="16"/>
          <w:szCs w:val="16"/>
          <w:color w:val="auto"/>
        </w:rPr>
      </w:pPr>
    </w:p>
    <w:p>
      <w:pPr>
        <w:ind w:left="283" w:right="60" w:hanging="283"/>
        <w:spacing w:after="0" w:line="262" w:lineRule="auto"/>
        <w:tabs>
          <w:tab w:leader="none" w:pos="278"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Other stock or cash based awards </w:t>
      </w:r>
      <w:r>
        <w:rPr>
          <w:rFonts w:ascii="Arial" w:cs="Arial" w:eastAsia="Arial" w:hAnsi="Arial"/>
          <w:sz w:val="16"/>
          <w:szCs w:val="16"/>
          <w:color w:val="auto"/>
        </w:rPr>
        <w:t>are awards of cash, fully vested shares of our Class A common stock and other awards valued wholly or partially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referring to, or otherwise based on, shares of our Class A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91" w:lineRule="exact"/>
        <w:rPr>
          <w:rFonts w:ascii="Arial" w:cs="Arial" w:eastAsia="Arial" w:hAnsi="Arial"/>
          <w:sz w:val="16"/>
          <w:szCs w:val="16"/>
          <w:color w:val="auto"/>
        </w:rPr>
      </w:pPr>
    </w:p>
    <w:p>
      <w:pPr>
        <w:ind w:left="283" w:right="100" w:hanging="283"/>
        <w:spacing w:after="0" w:line="262" w:lineRule="auto"/>
        <w:tabs>
          <w:tab w:leader="none" w:pos="278"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represent the right to receive the equivalent value of dividends paid on shares of our Class A common stock and may be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20" w:lineRule="exact"/>
        <w:rPr>
          <w:sz w:val="20"/>
          <w:szCs w:val="20"/>
          <w:color w:val="auto"/>
        </w:rPr>
      </w:pPr>
    </w:p>
    <w:p>
      <w:pPr>
        <w:ind w:left="3" w:right="100"/>
        <w:spacing w:after="0" w:line="268" w:lineRule="auto"/>
        <w:rPr>
          <w:sz w:val="20"/>
          <w:szCs w:val="20"/>
          <w:color w:val="auto"/>
        </w:rPr>
      </w:pPr>
      <w:r>
        <w:rPr>
          <w:rFonts w:ascii="Arial" w:cs="Arial" w:eastAsia="Arial" w:hAnsi="Arial"/>
          <w:sz w:val="16"/>
          <w:szCs w:val="16"/>
          <w:color w:val="auto"/>
        </w:rPr>
        <w:t>Any award may be granted as a performance award, meaning that the award will be subject to vesting and/or payment based on the attainment of specified performance goals.</w:t>
      </w:r>
    </w:p>
    <w:p>
      <w:pPr>
        <w:spacing w:after="0" w:line="97" w:lineRule="exact"/>
        <w:rPr>
          <w:sz w:val="20"/>
          <w:szCs w:val="20"/>
          <w:color w:val="auto"/>
        </w:rPr>
      </w:pPr>
    </w:p>
    <w:p>
      <w:pPr>
        <w:ind w:left="3" w:right="140"/>
        <w:spacing w:after="0" w:line="260"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unless the plan administrator elects to terminate an award in exchange for cash, rights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91" w:lineRule="exact"/>
        <w:rPr>
          <w:sz w:val="20"/>
          <w:szCs w:val="20"/>
          <w:color w:val="auto"/>
        </w:rPr>
      </w:pPr>
    </w:p>
    <w:p>
      <w:pPr>
        <w:ind w:left="3" w:right="160"/>
        <w:spacing w:after="0" w:line="271" w:lineRule="auto"/>
        <w:rPr>
          <w:sz w:val="20"/>
          <w:szCs w:val="20"/>
          <w:color w:val="auto"/>
        </w:rPr>
      </w:pPr>
      <w:r>
        <w:rPr>
          <w:rFonts w:ascii="Arial" w:cs="Arial" w:eastAsia="Arial" w:hAnsi="Arial"/>
          <w:sz w:val="16"/>
          <w:szCs w:val="16"/>
          <w:i w:val="1"/>
          <w:iCs w:val="1"/>
          <w:color w:val="auto"/>
        </w:rPr>
        <w:t>Adjustments of awards</w:t>
      </w:r>
      <w:r>
        <w:rPr>
          <w:rFonts w:ascii="Arial" w:cs="Arial" w:eastAsia="Arial" w:hAnsi="Arial"/>
          <w:sz w:val="16"/>
          <w:szCs w:val="16"/>
          <w:color w:val="auto"/>
        </w:rPr>
        <w:t>. In the event of any stock dividend or other distribution, stock split, reverse stock split, reorganization, combination or exchange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merger, consolidation, split-up, spin-off, recapitalization, repurchase or any other corporate event affecting the number of outstanding shares of our common stock or the share price of our common stock that would require adjustments to the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243"/>
          </w:cols>
          <w:pgMar w:left="317" w:top="1440" w:right="339" w:bottom="1440" w:gutter="0" w:footer="0" w:header="0"/>
        </w:sectPr>
      </w:pPr>
    </w:p>
    <w:bookmarkStart w:id="175" w:name="page176"/>
    <w:bookmarkEnd w:id="175"/>
    <w:p>
      <w:pPr>
        <w:spacing w:after="0" w:line="2" w:lineRule="exact"/>
        <w:rPr>
          <w:sz w:val="20"/>
          <w:szCs w:val="20"/>
          <w:color w:val="auto"/>
        </w:rPr>
      </w:pPr>
    </w:p>
    <w:p>
      <w:pPr>
        <w:jc w:val="both"/>
        <w:ind w:right="160"/>
        <w:spacing w:after="0" w:line="258" w:lineRule="auto"/>
        <w:rPr>
          <w:sz w:val="20"/>
          <w:szCs w:val="20"/>
          <w:color w:val="auto"/>
        </w:rPr>
      </w:pPr>
      <w:r>
        <w:rPr>
          <w:rFonts w:ascii="Arial" w:cs="Arial" w:eastAsia="Arial" w:hAnsi="Arial"/>
          <w:sz w:val="16"/>
          <w:szCs w:val="16"/>
          <w:color w:val="auto"/>
        </w:rPr>
        <w:t>Plan or any awards under the 2021 Plan in order to prevent the dilution or enlargement of the potential benefits intended to be made available thereunder, the administrator will make appropriate, proportionate adjustments to: (i) the aggregate number and type of shares subject to the 2021 Incentive Plans;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94"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administrator may terminate, amend or modify the 2021 Plan at any time and from time to time. However, we must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2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No incentive stock options may be granted pursuant to the 2021 Plan after the tenth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non-qualified employee stock purchase and matching plan</w:t>
      </w:r>
    </w:p>
    <w:p>
      <w:pPr>
        <w:spacing w:after="0" w:line="15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We intend to adopt and ask our stockholders to approve the 2021 Purchase and Matching Plan, which will be effective upon the day prior to the effectiveness of the registration statement to which this prospectus relates. The 2021 Purchase and Matching Plan is designed to allow our eligible employees to purchase shares of our Class A common stock for fair market value at regular intervals, which we refer to as purchase periods, using accumulated payroll deductions and to receive matching shares of our Class A common stock for purchased and retained shares, which we refer to as matching shares. Participants may also purchase shares with cash, up to 100% of their gross compensation for a purchase period, and we may also issue shares under the 2021 Purchase and Matching Plan without requiring the payment of a purchase price. The material terms of the 2021 Purchase and Matching Plan, as it is currently contemplated, are summarized below.</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Subject to the terms and conditions of the 2021 Purchase and Matching Plan, our compensation committee will administer the 2021</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and Matching Plan. Our compensation committee can delegate administrative tasks under the 2021 Purchase and Matching Plan to the services of an agent and/or employees to assist in the administration of the 2021 Purchase and Matching Plan. The administrator will have the discretionary authority to administer and interpret the 2021 Purchase and Matching Plan. Interpretations and constructions of the administrator of any provision of the 2021 Purchase and Matching Plan or of any rights thereunder will be conclusive and binding on all persons. We will bear all expenses and liabilities incurred by the 2021 Purchase and Matching Plan administrator.</w:t>
      </w:r>
    </w:p>
    <w:p>
      <w:pPr>
        <w:spacing w:after="0" w:line="10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The 2021 Purchase and Matching Plan and 2021 Plan use a combined share reserve as described above under “Equity compensation plans</w:t>
      </w:r>
      <w:r>
        <w:rPr>
          <w:rFonts w:ascii="Arial" w:cs="Arial" w:eastAsia="Arial" w:hAnsi="Arial"/>
          <w:sz w:val="16"/>
          <w:szCs w:val="16"/>
          <w:i w:val="1"/>
          <w:iCs w:val="1"/>
          <w:color w:val="auto"/>
        </w:rPr>
        <w:t xml:space="preserve"> </w:t>
      </w:r>
      <w:r>
        <w:rPr>
          <w:rFonts w:ascii="Arial" w:cs="Arial" w:eastAsia="Arial" w:hAnsi="Arial"/>
          <w:sz w:val="16"/>
          <w:szCs w:val="16"/>
          <w:color w:val="auto"/>
        </w:rPr>
        <w:t>– 2021 incentive award plan – share reserve”.</w:t>
      </w:r>
    </w:p>
    <w:p>
      <w:pPr>
        <w:spacing w:after="0" w:line="68"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Employees eligible to participate in the 2021 Purchase and Matching Plan for a given purchase period generally include employees who are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employed by us or one of our subsidiaries on the first day of the purchase period.</w:t>
      </w:r>
    </w:p>
    <w:p>
      <w:pPr>
        <w:spacing w:after="0" w:line="81" w:lineRule="exact"/>
        <w:rPr>
          <w:sz w:val="20"/>
          <w:szCs w:val="20"/>
          <w:color w:val="auto"/>
        </w:rPr>
      </w:pPr>
    </w:p>
    <w:p>
      <w:pPr>
        <w:spacing w:after="0" w:line="262" w:lineRule="auto"/>
        <w:rPr>
          <w:sz w:val="20"/>
          <w:szCs w:val="20"/>
          <w:color w:val="auto"/>
        </w:rPr>
      </w:pPr>
      <w:r>
        <w:rPr>
          <w:rFonts w:ascii="Arial" w:cs="Arial" w:eastAsia="Arial" w:hAnsi="Arial"/>
          <w:sz w:val="16"/>
          <w:szCs w:val="16"/>
          <w:i w:val="1"/>
          <w:iCs w:val="1"/>
          <w:color w:val="auto"/>
        </w:rPr>
        <w:t xml:space="preserve">Participation. </w:t>
      </w:r>
      <w:r>
        <w:rPr>
          <w:rFonts w:ascii="Arial" w:cs="Arial" w:eastAsia="Arial" w:hAnsi="Arial"/>
          <w:sz w:val="16"/>
          <w:szCs w:val="16"/>
          <w:color w:val="auto"/>
        </w:rPr>
        <w:t>Employees will enroll under the 2021 Purchase and Matching Plan by completing a payroll deduction form prior to the commencement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purchase period that permits deductions from their compensation that are accumulated to purchase shares of our Class A common stock. Participants will also be permitted to purchase shares using cash, but the combined payroll deductions and cash paid by a participant may not exceed the participant’s gross compensation for the purchase period. In addition, we may issue shares to employees without requiring the employees to pay a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200"/>
          </w:cols>
          <w:pgMar w:left="320" w:top="1440" w:right="379" w:bottom="1440" w:gutter="0" w:footer="0" w:header="0"/>
        </w:sectPr>
      </w:pPr>
    </w:p>
    <w:bookmarkStart w:id="176" w:name="page177"/>
    <w:bookmarkEnd w:id="176"/>
    <w:p>
      <w:pPr>
        <w:ind w:right="80"/>
        <w:spacing w:after="0"/>
        <w:rPr>
          <w:sz w:val="20"/>
          <w:szCs w:val="20"/>
          <w:color w:val="auto"/>
        </w:rPr>
      </w:pPr>
      <w:r>
        <w:rPr>
          <w:rFonts w:ascii="Arial" w:cs="Arial" w:eastAsia="Arial" w:hAnsi="Arial"/>
          <w:sz w:val="16"/>
          <w:szCs w:val="16"/>
          <w:i w:val="1"/>
          <w:iCs w:val="1"/>
          <w:color w:val="auto"/>
        </w:rPr>
        <w:t xml:space="preserve">Matching shares. </w:t>
      </w:r>
      <w:r>
        <w:rPr>
          <w:rFonts w:ascii="Arial" w:cs="Arial" w:eastAsia="Arial" w:hAnsi="Arial"/>
          <w:sz w:val="16"/>
          <w:szCs w:val="16"/>
          <w:color w:val="auto"/>
        </w:rPr>
        <w:t>At the end of each purchase period, we will match a fractional share of our Class A common stock for each share of our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purchased, issued or previously acquired under the 2021 Purchase and Matching Plan that is retained through the end of the applicable purchase period. Initially, we intend to match 1/10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a share of Class A common stock for each share of Class A common stock purchased, issued or retained at the end of a purchase period; however, we may limit the aggregate number of matching shares we award at the end of any purchase period.</w:t>
      </w:r>
    </w:p>
    <w:p>
      <w:pPr>
        <w:spacing w:after="0" w:line="10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A participant may not assign, transfer, pledge or otherwise dispose of (other than by will or the laws of descent and distribution) payroll</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deductions credited to a participant’s account or any rights to purchase or otherwise receive shares of our Class A common stock under the 2021 Purchase and Matching Plan, and during a participant’s lifetime, purchase rights under the 2021 Purchase and Matching Plan are only exercisable only by such participant. Any such attempt at assignment, transfer, pledge or other disposition will not be given effect.</w:t>
      </w:r>
    </w:p>
    <w:p>
      <w:pPr>
        <w:spacing w:after="0" w:line="101"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 xml:space="preserve">Adjustments upon changes in recapitalization, dissolution, liquidation, merger or asset sale. </w:t>
      </w:r>
      <w:r>
        <w:rPr>
          <w:rFonts w:ascii="Arial" w:cs="Arial" w:eastAsia="Arial" w:hAnsi="Arial"/>
          <w:sz w:val="16"/>
          <w:szCs w:val="16"/>
          <w:color w:val="auto"/>
        </w:rPr>
        <w:t>In the event of any increase or decrease in the number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Class A common stock resulting from a stock split, reverse stock split, stock dividend, combination or reclassification of our common stock, or any other increase or decrease in the number of shares of common stock effected without receipt of consideration by us, we will proportionately adjust the aggregate number of shares of our Class A common stock offered under the 2021 Incentive Plans and the number and price of shares which any participant has elected to purchase under the 2021 Purchase and Matching Plan. If there is a proposal to dissolve or liquidate us, then the 2021 Purchase and Matching Plan will terminate immediately prior to the consummation of such proposed dissolution or liquidation, and any matching period and purchase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purchase right will be assumed or an equivalent purchase right substituted by the successor corporation or the parent or subsidiary of the successor corporation. If the successor corporation refuses to assume the outstanding purchase rights or substitute equivalent purchase rights, then any purchase period then in progress will be shortened by setting a new purchase date to take place before the date of our proposed sale or merger, and the vesting of all matching shares will be accelerated for employees who remain employed through the date of our proposed sale or merger. We will notify each participant of such change in writing at least ten business days prior to the new exercise date.</w:t>
      </w:r>
    </w:p>
    <w:p>
      <w:pPr>
        <w:spacing w:after="0" w:line="106"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of directors may amend, suspend or terminate the 2021 Purchase and Matching Plan at any time. However,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may not amend the 2021 Purchase and Matching Plan without obtaining stockholder approval within 12 months before or after such amendment to the extent required by applicable laws.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stock plan</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currently maintain the 2019 Plan, which became effective on April 12, 2019. We have previously granted stock options to our NEOs and other employees under the 2019 Plan. The principal purpose of the 2019 Plan is to enhance our ability to attract and retain the best available personnel for position of substantial responsibility, to provide additional incentive to our service providers and promote the success of our business.</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Following the completion of this offering, we will not make any further grants under the 2019 Plan. However, the 2019 Plan will continue to govern the terms and conditions of the outstanding awards granted under the 2019 Plan.</w:t>
      </w:r>
    </w:p>
    <w:p>
      <w:pPr>
        <w:spacing w:after="0" w:line="85"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2019 Plan provides for the grant of non-qualified options, restricted stock and restricted stock units to employees, non-employee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of the board of directors and consultants. The 2019 Plan provides for the grant of ISOs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240"/>
          </w:cols>
          <w:pgMar w:left="320" w:top="1426" w:right="339" w:bottom="1440" w:gutter="0" w:footer="0" w:header="0"/>
        </w:sectPr>
      </w:pPr>
    </w:p>
    <w:bookmarkStart w:id="177" w:name="page178"/>
    <w:bookmarkEnd w:id="177"/>
    <w:p>
      <w:pPr>
        <w:jc w:val="both"/>
        <w:ind w:right="160"/>
        <w:spacing w:after="0" w:line="261"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We have reserved an aggregate of shares of our LT50 and Class A common stock for issuance under the 2019 Plan, plus any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outstanding awards under the 2009 Stock Plan that ceased to be subject to such awards following the date of the effectiveness of the 2019 Plan other than by reason of exercise or settlement of the awards to the extent they are exercised for or settled in vested and nonforfeitable shares). As of</w:t>
      </w:r>
    </w:p>
    <w:p>
      <w:pPr>
        <w:ind w:right="40"/>
        <w:spacing w:after="0" w:line="254" w:lineRule="auto"/>
        <w:rPr>
          <w:sz w:val="20"/>
          <w:szCs w:val="20"/>
          <w:color w:val="auto"/>
        </w:rPr>
      </w:pPr>
      <w:r>
        <w:rPr>
          <w:rFonts w:ascii="Arial" w:cs="Arial" w:eastAsia="Arial" w:hAnsi="Arial"/>
          <w:sz w:val="16"/>
          <w:szCs w:val="16"/>
          <w:color w:val="auto"/>
        </w:rPr>
        <w:t>September 30, 2021, the aggregate number of shares of our LT50 and Class A common stock reserved for issuance under the 2019 Plan is . As of September 30, 2021, options to purchase a total of shares of our Class A common stock were outstanding restricted stock units covering shares of our</w:t>
      </w:r>
    </w:p>
    <w:p>
      <w:pPr>
        <w:spacing w:after="0"/>
        <w:rPr>
          <w:sz w:val="20"/>
          <w:szCs w:val="20"/>
          <w:color w:val="auto"/>
        </w:rPr>
      </w:pPr>
      <w:r>
        <w:rPr>
          <w:rFonts w:ascii="Arial" w:cs="Arial" w:eastAsia="Arial" w:hAnsi="Arial"/>
          <w:sz w:val="16"/>
          <w:szCs w:val="16"/>
          <w:color w:val="auto"/>
        </w:rPr>
        <w:t>LT50 and Class A common stock were approved to be granted immediately prior to the effectiveness of the registration statement on Form S-1 of which this</w:t>
      </w:r>
    </w:p>
    <w:p>
      <w:pPr>
        <w:spacing w:after="0" w:line="11"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color w:val="auto"/>
        </w:rPr>
        <w:t>prospectus is a part and</w:t>
      </w:r>
      <w:r>
        <w:rPr>
          <w:sz w:val="20"/>
          <w:szCs w:val="20"/>
          <w:color w:val="auto"/>
        </w:rPr>
        <w:tab/>
      </w:r>
      <w:r>
        <w:rPr>
          <w:rFonts w:ascii="Arial" w:cs="Arial" w:eastAsia="Arial" w:hAnsi="Arial"/>
          <w:sz w:val="16"/>
          <w:szCs w:val="16"/>
          <w:color w:val="auto"/>
        </w:rPr>
        <w:t>shares remained available for future grants.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committee appointed by our board of directors administers the 2019 Plan. The administrator has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 the service providers to whom options, restricted stock or restricted stock units will be granted under the 2019 Plan, the number of shares to be subject to those awards under the 2019 Plan and to determine the terms and conditions of the awards granted. In addition, the administrator has the authority to construe and interpret the 2019 Plan, to amend any outstanding award and to implement an option exchange program, provided that no amendment or option exchange program materially and adversely affects the rights of any participant.</w:t>
      </w:r>
    </w:p>
    <w:p>
      <w:pPr>
        <w:spacing w:after="0" w:line="104"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The exercise price of options or purchase price of restricted stock granted under the 2019 Plan may be paid in such form as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10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i w:val="1"/>
          <w:iCs w:val="1"/>
          <w:color w:val="auto"/>
        </w:rPr>
        <w:t>Transfer</w:t>
      </w:r>
      <w:r>
        <w:rPr>
          <w:rFonts w:ascii="Arial" w:cs="Arial" w:eastAsia="Arial" w:hAnsi="Arial"/>
          <w:sz w:val="16"/>
          <w:szCs w:val="16"/>
          <w:color w:val="auto"/>
        </w:rPr>
        <w:t>. The 2019 Plan does not allow for the transfer of awards other than by will or the laws of descent and distribution. The administrator may grant non-qualified options that may be transferred by instrument to an inter vivos or testamentary trust in which the non-qualified options are to be passed to beneficiaries upon the death of the trustor or by gift to qualified family members.</w:t>
      </w:r>
    </w:p>
    <w:p>
      <w:pPr>
        <w:spacing w:after="0" w:line="83"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In the event of a stock split, reverse stock split, stock dividend, combination, consolidation, recapitalization (including a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2019 Plan, the number of shares covered by each outstanding award agreement, and/or the exercise price or repurchase price under each outstanding award agreement. In the event that we are a party to a merger or change in control, outstanding awards may be assumed or substituted by the surviving corporation or its parent. In the event the successor corporation refuses to assume or substitute outstanding awards, outstanding awards will be forfeited, except that any forfeited restricted stock will be repurchased at a price per share equal to the original per share price.</w:t>
      </w:r>
    </w:p>
    <w:p>
      <w:pPr>
        <w:spacing w:after="0" w:line="103"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Our board of directors may amend or terminate the 2019 Plan or any portion thereof at any time; an amendment of the 2019 Plan</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subject to the approval of our stockholders only to the extent required by applicable laws. No awards may be granted under our 2019 Plan after it is terminated.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2009 stock plan</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currently maintain the 2009 Stock Plan (the “2009 Plan”), which became effective on May 26, 2009, and was last amended and on January 12, 2018. We have previously granted stock options to our NEOs and other employees under the 2009 Plan. The principal purpose of the 2009 Plan is to enhance our ability to attract and retain the best available personnel for position of substantial responsibility, to provide additional incentive to our service providers and promote the success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240"/>
          </w:cols>
          <w:pgMar w:left="320" w:top="1426" w:right="339" w:bottom="1440" w:gutter="0" w:footer="0" w:header="0"/>
        </w:sectPr>
      </w:pPr>
    </w:p>
    <w:bookmarkStart w:id="178" w:name="page179"/>
    <w:bookmarkEnd w:id="178"/>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Following the completion of this offering, we will not make any further grants under the 2009 Plan. However, the 2009 Plan will continue to govern the terms and conditions of the outstanding awards granted under the 2009 Plan.</w:t>
      </w:r>
    </w:p>
    <w:p>
      <w:pPr>
        <w:spacing w:after="0" w:line="85"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2009 Plan provides for the grant of non-qualified options and restricted stock to employees, non-employee members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consultants. The 2009 Plan provides for the grant of ISOs to employees.</w:t>
      </w:r>
    </w:p>
    <w:p>
      <w:pPr>
        <w:sectPr>
          <w:pgSz w:w="11900" w:h="16838" w:orient="portrait"/>
          <w:cols w:equalWidth="0" w:num="1">
            <w:col w:w="11240"/>
          </w:cols>
          <w:pgMar w:left="320" w:top="1440" w:right="339" w:bottom="1440" w:gutter="0" w:footer="0" w:header="0"/>
        </w:sectPr>
      </w:pP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As of September 30, 2021,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of September 30, 2021, options to purchase a total of future grants.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140" w:firstLine="397"/>
        <w:spacing w:after="0" w:line="268" w:lineRule="auto"/>
        <w:rPr>
          <w:sz w:val="20"/>
          <w:szCs w:val="20"/>
          <w:color w:val="auto"/>
        </w:rPr>
      </w:pPr>
      <w:r>
        <w:rPr>
          <w:rFonts w:ascii="Arial" w:cs="Arial" w:eastAsia="Arial" w:hAnsi="Arial"/>
          <w:sz w:val="16"/>
          <w:szCs w:val="16"/>
          <w:color w:val="auto"/>
        </w:rPr>
        <w:t>shares of our Class A common stock were reserved for issuance under the 2009 Plan. As shares of our Class A common stock were outstanding and no shares remained available for</w:t>
      </w:r>
    </w:p>
    <w:p>
      <w:pPr>
        <w:spacing w:after="0" w:line="291" w:lineRule="exact"/>
        <w:rPr>
          <w:sz w:val="20"/>
          <w:szCs w:val="20"/>
          <w:color w:val="auto"/>
        </w:rPr>
      </w:pPr>
    </w:p>
    <w:p>
      <w:pPr>
        <w:sectPr>
          <w:pgSz w:w="11900" w:h="16838" w:orient="portrait"/>
          <w:cols w:equalWidth="0" w:num="2">
            <w:col w:w="4220" w:space="60"/>
            <w:col w:w="6960"/>
          </w:cols>
          <w:pgMar w:left="320" w:top="1440" w:right="339" w:bottom="1440" w:gutter="0" w:footer="0" w:header="0"/>
          <w:type w:val="continuous"/>
        </w:sectPr>
      </w:pPr>
    </w:p>
    <w:p>
      <w:pPr>
        <w:ind w:right="160"/>
        <w:spacing w:after="0" w:line="262"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committee appointed by our board of directors administers the 2009 Plan. The administrator has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 the service providers to whom options, restricted stock or restricted stock units will be granted under the 2009 Plan, the number of shares to be subject to those awards under the 2009 Plan and to determine the terms and conditions of the awards granted. In addition, the administrator has the authority to construe and interpret the 2009 Plan, to amend any outstanding award and to implement an option exchange program, provided that no amendment or option exchange program materially and adversely affects the rights of any participant.</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The exercise price of options or purchase price of restricted stock granted under the 2009 Plan may be paid in such form as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10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i w:val="1"/>
          <w:iCs w:val="1"/>
          <w:color w:val="auto"/>
        </w:rPr>
        <w:t>Transfer</w:t>
      </w:r>
      <w:r>
        <w:rPr>
          <w:rFonts w:ascii="Arial" w:cs="Arial" w:eastAsia="Arial" w:hAnsi="Arial"/>
          <w:sz w:val="16"/>
          <w:szCs w:val="16"/>
          <w:color w:val="auto"/>
        </w:rPr>
        <w:t>. The 2009 Plan does not allow for the transfer of awards other than by will or the laws of descent and distribution. The administrator may grant non-qualified options that may be transferred by instrument to an inter vivos or testamentary trust in which the non-qualified options are to be passed to beneficiaries of the trustor or by gift to qualified family members.</w:t>
      </w:r>
    </w:p>
    <w:p>
      <w:pPr>
        <w:spacing w:after="0" w:line="9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In the event of a stock split, reverse stock split, stock dividend, combination, consolidation, recapitalization (including a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2009 Plan, the number of shares covered by each outstanding award agreement, and/or the exercise price or repurchase price under each outstanding award agreement. In the event that we are a party to a merger or change in control, outstanding options may be assumed or substituted by the surviving corporation or its parent. In the event the successor corporation refuses to assume or substitute options, outstanding options will be terminated.</w:t>
      </w:r>
    </w:p>
    <w:p>
      <w:pPr>
        <w:spacing w:after="0" w:line="290"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Our board of directors may amend or terminate the 2009 Plan or any portion thereof at any time; an amendment of the 2009 Plan</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subject to the approval of our stockholders only to the extent required by applicable laws. No awards may be granted under our 2009 Plan after it is terminated.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employee stock purchase plan</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intend to adopt and ask our stockholders to approve the 2021 Employee Stock Purchase Plan, which we refer to as our ESPP, which will be effective upon the day prior to the effectiveness of the registration statement to which this prospectus relates. The ESPP is designed to allow our eligible employees to purchase shares of our Class A common stock, at semi-annual intervals, with their accumulated payroll deductions. The ESPP is intended to qualify under Section 423 of the Code. The material terms of the ESPP, as it is currently contemplated,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240"/>
          </w:cols>
          <w:pgMar w:left="320" w:top="1440" w:right="339" w:bottom="1440" w:gutter="0" w:footer="0" w:header="0"/>
          <w:type w:val="continuous"/>
        </w:sectPr>
      </w:pPr>
    </w:p>
    <w:bookmarkStart w:id="179" w:name="page180"/>
    <w:bookmarkEnd w:id="179"/>
    <w:p>
      <w:pPr>
        <w:ind w:left="3" w:right="60"/>
        <w:spacing w:after="0" w:line="26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Subject to the terms and conditions of the ESPP, our executive committee will administer the ESPP. Our executive committee can delegate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89"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maximum number of shares of our Class A common stock which will be authorized for sale under the ESPP is equal to the sum of</w:t>
      </w:r>
    </w:p>
    <w:p>
      <w:pPr>
        <w:spacing w:after="0" w:line="27" w:lineRule="exact"/>
        <w:rPr>
          <w:sz w:val="20"/>
          <w:szCs w:val="20"/>
          <w:color w:val="auto"/>
        </w:rPr>
      </w:pPr>
    </w:p>
    <w:p>
      <w:pPr>
        <w:ind w:left="643" w:hanging="643"/>
        <w:spacing w:after="0"/>
        <w:tabs>
          <w:tab w:leader="none" w:pos="64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shares of Class A common stock and (b) an annual increase on the first day of each fiscal year beginning in 2022 and ending in 2031, equal to the</w:t>
      </w:r>
    </w:p>
    <w:p>
      <w:pPr>
        <w:spacing w:after="0" w:line="10" w:lineRule="exact"/>
        <w:rPr>
          <w:rFonts w:ascii="Arial" w:cs="Arial" w:eastAsia="Arial" w:hAnsi="Arial"/>
          <w:sz w:val="16"/>
          <w:szCs w:val="16"/>
          <w:color w:val="auto"/>
        </w:rPr>
      </w:pPr>
    </w:p>
    <w:p>
      <w:pPr>
        <w:ind w:left="3"/>
        <w:spacing w:after="0"/>
        <w:rPr>
          <w:rFonts w:ascii="Arial" w:cs="Arial" w:eastAsia="Arial" w:hAnsi="Arial"/>
          <w:sz w:val="16"/>
          <w:szCs w:val="16"/>
          <w:color w:val="auto"/>
        </w:rPr>
      </w:pPr>
      <w:r>
        <w:rPr>
          <w:rFonts w:ascii="Arial" w:cs="Arial" w:eastAsia="Arial" w:hAnsi="Arial"/>
          <w:sz w:val="16"/>
          <w:szCs w:val="16"/>
          <w:color w:val="auto"/>
        </w:rPr>
        <w:t>lesser of (i)% of the shares of our Class A common stock outstanding (on an as converted basis) on the last day of the immediately preceding fiscal</w:t>
      </w:r>
    </w:p>
    <w:p>
      <w:pPr>
        <w:spacing w:after="0" w:line="11"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year and (ii) such number of shares of Class A common stock as determined by our board of directors; provided, however, no more than shares of our Class A common stock may be issued under the ESPP. The shares reserved for issuance under the ESPP may be authorized but unissued shares or reacquired shares.</w:t>
      </w:r>
    </w:p>
    <w:p>
      <w:pPr>
        <w:spacing w:after="0" w:line="102" w:lineRule="exact"/>
        <w:rPr>
          <w:sz w:val="20"/>
          <w:szCs w:val="20"/>
          <w:color w:val="auto"/>
        </w:rPr>
      </w:pPr>
    </w:p>
    <w:p>
      <w:pPr>
        <w:ind w:left="3" w:right="80"/>
        <w:spacing w:after="0" w:line="26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Employees eligible to participate in the ESPP for a given offering period generally include employees who are employed by us or one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04"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i w:val="1"/>
          <w:iCs w:val="1"/>
          <w:color w:val="auto"/>
        </w:rPr>
        <w:t>Participation</w:t>
      </w:r>
      <w:r>
        <w:rPr>
          <w:rFonts w:ascii="Arial" w:cs="Arial" w:eastAsia="Arial" w:hAnsi="Arial"/>
          <w:sz w:val="16"/>
          <w:szCs w:val="16"/>
          <w:color w:val="auto"/>
        </w:rPr>
        <w:t>. Employees will enroll under the ESPP by completing a payroll deduction form permitting the deduction from their compensation of at least 1%</w:t>
      </w:r>
      <w:r>
        <w:rPr>
          <w:rFonts w:ascii="Arial" w:cs="Arial" w:eastAsia="Arial" w:hAnsi="Arial"/>
          <w:sz w:val="16"/>
          <w:szCs w:val="16"/>
          <w:i w:val="1"/>
          <w:iCs w:val="1"/>
          <w:color w:val="auto"/>
        </w:rPr>
        <w:t xml:space="preserve"> </w:t>
      </w:r>
      <w:r>
        <w:rPr>
          <w:rFonts w:ascii="Arial" w:cs="Arial" w:eastAsia="Arial" w:hAnsi="Arial"/>
          <w:sz w:val="16"/>
          <w:szCs w:val="16"/>
          <w:color w:val="auto"/>
        </w:rPr>
        <w:t>of their compensation but not more than the lesser of 15% of their compensation or $ 50,000. Such payroll deductions may be expressed as either a whole number percentage or a fixed dollar amount, and the accumulated deductions will be applied to the purchase of shares on each purchase date. However, a participant may not purchase more than 50,000 shares in each offering period and may not subscribe for more than $25,000 in fair market value of shares of our Class A common stock (determined at the time the option is granted) during any calendar year. The ESPP administrator has the authority to change these limitations for any subsequent offering period.</w:t>
      </w:r>
    </w:p>
    <w:p>
      <w:pPr>
        <w:spacing w:after="0" w:line="90" w:lineRule="exact"/>
        <w:rPr>
          <w:sz w:val="20"/>
          <w:szCs w:val="20"/>
          <w:color w:val="auto"/>
        </w:rPr>
      </w:pPr>
    </w:p>
    <w:p>
      <w:pPr>
        <w:ind w:left="3" w:right="100"/>
        <w:spacing w:after="0" w:line="271" w:lineRule="auto"/>
        <w:rPr>
          <w:sz w:val="20"/>
          <w:szCs w:val="20"/>
          <w:color w:val="auto"/>
        </w:rPr>
      </w:pPr>
      <w:r>
        <w:rPr>
          <w:rFonts w:ascii="Arial" w:cs="Arial" w:eastAsia="Arial" w:hAnsi="Arial"/>
          <w:sz w:val="16"/>
          <w:szCs w:val="16"/>
          <w:i w:val="1"/>
          <w:iCs w:val="1"/>
          <w:color w:val="auto"/>
        </w:rPr>
        <w:t>Offering</w:t>
      </w:r>
      <w:r>
        <w:rPr>
          <w:rFonts w:ascii="Arial" w:cs="Arial" w:eastAsia="Arial" w:hAnsi="Arial"/>
          <w:sz w:val="16"/>
          <w:szCs w:val="16"/>
          <w:color w:val="auto"/>
        </w:rPr>
        <w:t>. Under the ESPP, participants are offered the option to purchase shares of our Class A common stock at a discount during a series of successive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periods, the duration and timing of which will be determined by the ESPP administrator. However, in no event may an offering period be longer than 27 months in length.</w:t>
      </w:r>
    </w:p>
    <w:p>
      <w:pPr>
        <w:spacing w:after="0" w:line="111"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The option purchase price will be the lower of 85% of the closing trading price per share of our Class A common stock on the first trading date of an offering period in which a participant is enrolled or 85% of the closing trading price per share on the purchase date, which will occur on the last trading day of each offering period.</w:t>
      </w:r>
    </w:p>
    <w:p>
      <w:pPr>
        <w:spacing w:after="0" w:line="118"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06"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Class A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243"/>
          </w:cols>
          <w:pgMar w:left="317" w:top="1426" w:right="339" w:bottom="1440" w:gutter="0" w:footer="0" w:header="0"/>
        </w:sectPr>
      </w:pPr>
    </w:p>
    <w:bookmarkStart w:id="180" w:name="page181"/>
    <w:bookmarkEnd w:id="180"/>
    <w:p>
      <w:pPr>
        <w:spacing w:after="0" w:line="2"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withholding, he or she may do so effective for the next offering period by submitting a new form before the offering period for which such change is to be effective.</w:t>
      </w:r>
    </w:p>
    <w:p>
      <w:pPr>
        <w:spacing w:after="0" w:line="101"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A participant may not assign, transfer, pledge or otherwise dispose of (other than by will or the laws of descent and distribution) payroll deductions credited to a participant’s account or any rights to exercise an option or to receive shares of our Class A common stock under the ESPP, and during a participant’s lifetime, options in the ESPP shall be exercisable only by such participant. Any such attempt at assignment, transfer, pledge or other disposition will not be given effect.</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Adjustments upon changes in recapitalization, dissolution, liquidation, merger or asset sale</w:t>
      </w:r>
      <w:r>
        <w:rPr>
          <w:rFonts w:ascii="Arial" w:cs="Arial" w:eastAsia="Arial" w:hAnsi="Arial"/>
          <w:sz w:val="16"/>
          <w:szCs w:val="16"/>
          <w:color w:val="auto"/>
        </w:rPr>
        <w:t>. In the event of any increase or decrease in the number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Class A common stock resulting from a stock split, reverse stock split, stock dividend, combination or reclassification of our common stock, or any other increase or decrease in the number of shares of common stock effected without receipt of consideration by us, we will proportionately adjust the aggregate number of shares of our Class A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108"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amend, suspend or terminate the ESPP at any time. However, the board of directors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amend the ESPP without obtaining stockholder approval within 12 months before or after such amendment to the extent required by applicable laws.</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compensation</w:t>
      </w:r>
    </w:p>
    <w:p>
      <w:pPr>
        <w:spacing w:after="0" w:line="164"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Historically, we have not had a formalized non-employee director compensation program, and we did not provide any compensation to our non-employee directors during the year ended December 31, 2020. We reimburse our non-employee directors for travel and other necessary business expenses incurred in the performance of their services for us.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We intend to approve and implement a compensation policy for our non-employee directors to be effective on the consummation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220"/>
          </w:cols>
          <w:pgMar w:left="320" w:top="1440" w:right="359" w:bottom="1440" w:gutter="0" w:footer="0" w:header="0"/>
        </w:sectPr>
      </w:pPr>
    </w:p>
    <w:bookmarkStart w:id="181" w:name="page182"/>
    <w:bookmarkEnd w:id="181"/>
    <w:p>
      <w:pPr>
        <w:spacing w:after="0"/>
        <w:rPr>
          <w:sz w:val="20"/>
          <w:szCs w:val="20"/>
          <w:color w:val="auto"/>
        </w:rPr>
      </w:pPr>
      <w:r>
        <w:rPr>
          <w:rFonts w:ascii="Arial" w:cs="Arial" w:eastAsia="Arial" w:hAnsi="Arial"/>
          <w:sz w:val="26"/>
          <w:szCs w:val="26"/>
          <w:b w:val="1"/>
          <w:bCs w:val="1"/>
          <w:color w:val="auto"/>
        </w:rPr>
        <w:t>Certain relationships and related party transactions</w:t>
      </w:r>
    </w:p>
    <w:p>
      <w:pPr>
        <w:spacing w:after="0" w:line="296" w:lineRule="exact"/>
        <w:rPr>
          <w:sz w:val="20"/>
          <w:szCs w:val="20"/>
          <w:color w:val="auto"/>
        </w:rPr>
      </w:pPr>
    </w:p>
    <w:p>
      <w:pPr>
        <w:jc w:val="both"/>
        <w:ind w:right="60"/>
        <w:spacing w:after="0" w:line="258" w:lineRule="auto"/>
        <w:rPr>
          <w:sz w:val="20"/>
          <w:szCs w:val="20"/>
          <w:color w:val="auto"/>
        </w:rPr>
      </w:pPr>
      <w:r>
        <w:rPr>
          <w:rFonts w:ascii="Arial" w:cs="Arial" w:eastAsia="Arial" w:hAnsi="Arial"/>
          <w:sz w:val="16"/>
          <w:szCs w:val="16"/>
          <w:color w:val="auto"/>
        </w:rPr>
        <w:t>The following includes a summary of transactions since January 1, 2018 and any currently proposed transactions to which we were or are expected to be a participant in which (i) the amount involved exceeded or will exceed $120,000,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redemption agreement</w:t>
      </w:r>
    </w:p>
    <w:p>
      <w:pPr>
        <w:spacing w:after="0" w:line="152"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 March 2018, we entered into a Stock Redemption Agreement with Redpoint Associates IV, LLC and Redpoint Ventures IV, L.P. (together, “Redpoint”) pursuant to which we repurchased 1,616,947 shares of our Series B Preferred Stock, 46,952 shares of our Series B-1 Preferred Stock and 118,251 shares of our Series C Preferred Stock from Redpoint for an aggregate purchase price of $43,605,464. As a result of the repurchase, Redpoint no longer beneficially owned more than 5% of our capital stock or had the right to designate a member of our 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2018 convertible note financing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April 2018, we issued and sold convertible promissory notes in the aggregate principal amount of $20,000,072 to certain investors. The convertible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notes accrued interest at 13% annually and were paid off in November 2018 with funds from our non-amortizing term loan from CIBC. OpenView</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Venture Partners IV, L.P. and OpenView Affiliates Fund IV, L.P. (together, “OpenView”), a beneficial owner of more than 5% of our capital stock, purchased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convertible promissory notes in the aggregate principal amount of $10,000,000 in the financing. Mr. Bartlett, a member of our board of directors, is an affiliate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of OpenView. Point Judith Venture Fund IV, L.P. and PJC-DV II, LLC purchased convertible promissory notes in the aggregate principal amount of</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$1,700,673 in the financing. Point Judith Venture Fund IV, L.P., PJC-DV II, LLC and affiliated entities (together, "Point Judith") beneficially own more than 5%</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of our capital stock.</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loan</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September 2018, we loaned $600,000 to Mr. Barrett, our founder, Chief Executive Officer and a member of our board of directors. The loan was made pursuant to a secured promissory note with interest at a rate of 6% per annum. Unless the loan is accelerated in accordance with its terms, the loan matures upon the earliest to occur of (i) September 18, 2023, (ii) immediately prior to a Change of Control (as defined in the secured promissory note), (iii) upon receipt by Mr. Barrett (or his family trust or other controlled entities) of at least an aggregate of $2,000,000 pursuant to one or more sales or redemptions of our stock and (iv) immediately prior to the completion of this offering. During 2020, as part of the sale of common stock from certain employees, including Mr. Barrett, to new investors, Mr. Barrett received more than $2,000,000 as a result of the transaction. As a result, the loan amount became due immediately during 2020. Our board of directors unanimously consented to provide a waiver of the accelerated term clause in relation to the 2020 sale of stock on April 22, 2021.</w:t>
      </w:r>
    </w:p>
    <w:p>
      <w:pPr>
        <w:spacing w:after="0" w:line="319"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connection with the secured promissory note, Mr. Barrett and entities affiliated with Mr. Barrett pledged and assigned to us a security interest in all shares of our common stock held by him or such affiliated entities.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Mr. Barrett repaid the loan in full on 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240"/>
          </w:cols>
          <w:pgMar w:left="320" w:top="1407" w:right="339" w:bottom="1440" w:gutter="0" w:footer="0" w:header="0"/>
        </w:sectPr>
      </w:pPr>
    </w:p>
    <w:bookmarkStart w:id="182" w:name="page183"/>
    <w:bookmarkEnd w:id="182"/>
    <w:p>
      <w:pPr>
        <w:spacing w:after="0"/>
        <w:rPr>
          <w:sz w:val="20"/>
          <w:szCs w:val="20"/>
          <w:color w:val="auto"/>
        </w:rPr>
      </w:pPr>
      <w:r>
        <w:rPr>
          <w:rFonts w:ascii="Arial" w:cs="Arial" w:eastAsia="Arial" w:hAnsi="Arial"/>
          <w:sz w:val="19"/>
          <w:szCs w:val="19"/>
          <w:b w:val="1"/>
          <w:bCs w:val="1"/>
          <w:color w:val="auto"/>
        </w:rPr>
        <w:t>2019 tender offer</w:t>
      </w:r>
    </w:p>
    <w:p>
      <w:pPr>
        <w:spacing w:after="0" w:line="15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In October 2019, we conducted a tender offer in which we repurchased from certain then-current employees an aggregate of 5,692 shares of our common stock at $325.41 per share, for an aggregate purchase price of $1,852,234.</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The table below sets forth the number of shares of common stock repurchased from beneficial owners of more than 5% of our capital stock, our directors, officers or their respective affiliates: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0" w:type="dxa"/>
            <w:vAlign w:val="bottom"/>
            <w:tcBorders>
              <w:top w:val="single" w:sz="8" w:color="auto"/>
            </w:tcBorders>
          </w:tcPr>
          <w:p>
            <w:pPr>
              <w:spacing w:after="0"/>
              <w:rPr>
                <w:sz w:val="13"/>
                <w:szCs w:val="13"/>
                <w:color w:val="auto"/>
              </w:rPr>
            </w:pPr>
          </w:p>
        </w:tc>
        <w:tc>
          <w:tcPr>
            <w:tcW w:w="36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rPr>
              <w:t>Shares of common</w:t>
            </w:r>
          </w:p>
        </w:tc>
        <w:tc>
          <w:tcPr>
            <w:tcW w:w="3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Total repurchase price</w:t>
            </w: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3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stock repurchased</w:t>
            </w:r>
          </w:p>
        </w:tc>
        <w:tc>
          <w:tcPr>
            <w:tcW w:w="3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Entities affiliated with David Barrett</w:t>
            </w: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460</w:t>
            </w:r>
          </w:p>
        </w:tc>
        <w:tc>
          <w:tcPr>
            <w:tcW w:w="10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$149,689</w:t>
            </w:r>
          </w:p>
        </w:tc>
        <w:tc>
          <w:tcPr>
            <w:tcW w:w="0" w:type="dxa"/>
            <w:vAlign w:val="bottom"/>
          </w:tcPr>
          <w:p>
            <w:pPr>
              <w:spacing w:after="0"/>
              <w:rPr>
                <w:sz w:val="1"/>
                <w:szCs w:val="1"/>
                <w:color w:val="auto"/>
              </w:rPr>
            </w:pPr>
          </w:p>
        </w:tc>
      </w:tr>
      <w:tr>
        <w:trPr>
          <w:trHeight w:val="206"/>
        </w:trPr>
        <w:tc>
          <w:tcPr>
            <w:tcW w:w="4000" w:type="dxa"/>
            <w:vAlign w:val="bottom"/>
          </w:tcPr>
          <w:p>
            <w:pPr>
              <w:ind w:left="20"/>
              <w:spacing w:after="0"/>
              <w:rPr>
                <w:sz w:val="20"/>
                <w:szCs w:val="20"/>
                <w:color w:val="auto"/>
              </w:rPr>
            </w:pPr>
            <w:r>
              <w:rPr>
                <w:rFonts w:ascii="Arial" w:cs="Arial" w:eastAsia="Arial" w:hAnsi="Arial"/>
                <w:sz w:val="16"/>
                <w:szCs w:val="16"/>
                <w:color w:val="auto"/>
              </w:rPr>
              <w:t>Ryan Schaffer</w:t>
            </w:r>
          </w:p>
        </w:tc>
        <w:tc>
          <w:tcPr>
            <w:tcW w:w="3580" w:type="dxa"/>
            <w:vAlign w:val="bottom"/>
          </w:tcPr>
          <w:p>
            <w:pPr>
              <w:jc w:val="center"/>
              <w:spacing w:after="0"/>
              <w:rPr>
                <w:sz w:val="20"/>
                <w:szCs w:val="20"/>
                <w:color w:val="auto"/>
              </w:rPr>
            </w:pPr>
            <w:r>
              <w:rPr>
                <w:rFonts w:ascii="Arial" w:cs="Arial" w:eastAsia="Arial" w:hAnsi="Arial"/>
                <w:sz w:val="16"/>
                <w:szCs w:val="16"/>
                <w:color w:val="auto"/>
                <w:w w:val="97"/>
              </w:rPr>
              <w:t>460</w:t>
            </w:r>
          </w:p>
        </w:tc>
        <w:tc>
          <w:tcPr>
            <w:tcW w:w="1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rPr>
              <w:t>$149,689</w:t>
            </w:r>
          </w:p>
        </w:tc>
        <w:tc>
          <w:tcPr>
            <w:tcW w:w="0" w:type="dxa"/>
            <w:vAlign w:val="bottom"/>
          </w:tcPr>
          <w:p>
            <w:pPr>
              <w:spacing w:after="0"/>
              <w:rPr>
                <w:sz w:val="1"/>
                <w:szCs w:val="1"/>
                <w:color w:val="auto"/>
              </w:rPr>
            </w:pPr>
          </w:p>
        </w:tc>
      </w:tr>
      <w:tr>
        <w:trPr>
          <w:trHeight w:val="49"/>
        </w:trPr>
        <w:tc>
          <w:tcPr>
            <w:tcW w:w="400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Mr. Schaffer is our chief financial officer and a member of our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2020 tender offer</w:t>
      </w:r>
    </w:p>
    <w:p>
      <w:pPr>
        <w:spacing w:after="0" w:line="15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September 2020, entities affiliated with Mr. Barrett sold 178,361 shares of our common stock at a price of $112.13266 per share to EXP 2020 SPV LP, for an aggregate purchase price of $20,000,093. In a related transaction in November 2020, certain then-current employees sold an aggregate of 104,863 shares of our common stock to EXP 2020 SPV, LP via a tender offer, at a price per share of $112.13266, for an aggregate purchase price of $11,758,567. EXP 2020 SPV, LP purchased 21,999 shares of our common stock from Mr. Schaffer for an aggregate purchase price of $2,466,806 and 3,571 shares of our common stock from William Barrett, the brother of Mr. Barrett, for an aggregate purchase price of $400,426. As part of that transaction, we paid an aggregate of $1,507,163 in cash bonuses to certain employees who tendered shares that they obtained by exercising options in connection with the transaction, including a cash bonus of $108,322 to Mr. Schaffer and $58,659 to William Barrett.</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agreement</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are party to an Amended and Restated Voting Agreement, dated as of January 22, 2015, as amended on February 25, 2019 (the “Investor Voting Agreement”), under which certain holders of our capital stock, including Mr. Barrett, OpenView, Point Judith, RedPoint and Hillsven LLC agreed to vote their shares on certain matters, including with respect to the election of directors.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 5% of our capital stock. The Investor Voting Agreement will terminate upon the completion of this offering. For more information on the voting rights of our common stock following the completion of this offering, see “Description of capital stock— Common stock—Voting.”</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 of first refusal and co-sale agreement</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are party to an Amended and Restated Right of First Refusal and Co-Sale Agreement, dated as of January 22, 2015, as amended on February 25, 2019 (the “Right of First Refusal and Co-Sale Agreement”), with certain holders of our capital stock, including Mr. Barrett, Redpoint, Point Judith, OpenView and Hillsven LLC.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 5% of our capital stock. This agreement provides for rights of first refusal and co -sale relating to the shares of our common stock held by certain parties to the agreement. The Right of First Refusal and Co-Sale Agreement will terminate upon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260"/>
          </w:cols>
          <w:pgMar w:left="320" w:top="1425" w:right="319" w:bottom="1440" w:gutter="0" w:footer="0" w:header="0"/>
        </w:sectPr>
      </w:pPr>
    </w:p>
    <w:bookmarkStart w:id="183" w:name="page184"/>
    <w:bookmarkEnd w:id="183"/>
    <w:p>
      <w:pPr>
        <w:spacing w:after="0"/>
        <w:rPr>
          <w:sz w:val="20"/>
          <w:szCs w:val="20"/>
          <w:color w:val="auto"/>
        </w:rPr>
      </w:pPr>
      <w:r>
        <w:rPr>
          <w:rFonts w:ascii="Arial" w:cs="Arial" w:eastAsia="Arial" w:hAnsi="Arial"/>
          <w:sz w:val="19"/>
          <w:szCs w:val="19"/>
          <w:b w:val="1"/>
          <w:bCs w:val="1"/>
          <w:color w:val="auto"/>
        </w:rPr>
        <w:t>Investors’ rights agreement</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party to an Amended and Restated Investors’ Rights Agreement, dated as of January 22, 2015 (the “Investors’ Rights Agreement”), with certain holders of our capital stock, including Redpoint, Point Judith and OpenView. Point Judith and OpenView are beneficial owners of more than 5% of our capital stock. Mr. Bartlett, a member of our board of directors, is an affiliate of OpenView. Redpoint is a former beneficial owner of more than 5% of our capital stock. This agreement provides, among other things, that certain holders of our capital stock have the right to request that we file a registration statement, and/or request that their shares be covered by a registration statement that we are otherwise filing, subject to certain exceptions. Certain provisions of this agreement will terminate upon the completion of this offering, though the registration rights will continue. For more information, see the section titled “Description of capital stock—Registration rights.”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agreements</w:t>
      </w:r>
    </w:p>
    <w:p>
      <w:pPr>
        <w:spacing w:after="0" w:line="164"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have entered into indemnification agreements with certain of our current directors and officers and intend to enter into new indemnification agreements with each of our current directors and officers upon the completion of this offering. Our amended and restated certificate of incorporation and our bylaws provide that we will indemnify our directors and officers to the fullest extent permitted by applicable law. For more information, see the section titled “Management— Limitations on liability and indemnification of and advancement of expenses to officers and directors.”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 and transfer rights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In connection with preferred stock financings in June 2010, May 2014 and January 2015, we entered into management rights agreements with each of Redpoint, Point Judith and OpenView pursuant to which we agreed to provide certain information and other rights. In April 2018, in connection with Point Judith’s purchase of certain shares of our capital stock from Redpoint, we entered into a letter agreement with Point Judith pursuant to which we agreed to provide certain support to Point Judith in the event of Point Judith’s future transfer of such shares. Redpoint is a former beneficial owner of more than 5% of our capital stock. Point Judith and OpenView are beneficial owners of more than 5% of our capital stock. Mr. Bartlett, a member of our board of directors, is an affiliate of OpenView. These management and transfer rights agreements will terminate upon the completion of this offering.</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Expensify.org</w:t>
      </w:r>
    </w:p>
    <w:p>
      <w:pPr>
        <w:spacing w:after="0" w:line="152"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In November 2019, Expensify.org was formed as a 501(c)(3) non-profit public benefit corporation to empower individuals and communities to eliminate injustice around the world by making giving and volunteering more convenient, meaningful and collaborative. We have the right to designate the members and terms of office of Expensify.org’s board of directors, and we have designated Messrs. Barrett and Schaffer as members of the board. We support Expensify.org through our charitable commitments and initiatives, including the donation of a portion of our interchange amount from our Expensify Card.</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Employment arrangement</w:t>
      </w:r>
    </w:p>
    <w:p>
      <w:pPr>
        <w:spacing w:after="0" w:line="164"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From January 1, 2018 through September 1, 2021, William Barrett, the brother of Mr. Barrett, has received an aggregate of $419,099 cash compensation and $372,280 stock based compensation in connection with his employment with us as a Success Coach. William Barrett’s compensation is commensurate with other employees with his title and tenure. Mr. Barrett plays no personal role in determining his brother’s compensation or reviewing his brother’s performance.</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Exchange offer and voting trust</w:t>
      </w:r>
    </w:p>
    <w:p>
      <w:pPr>
        <w:spacing w:after="0" w:line="164" w:lineRule="exact"/>
        <w:rPr>
          <w:sz w:val="20"/>
          <w:szCs w:val="20"/>
          <w:color w:val="auto"/>
        </w:rPr>
      </w:pPr>
    </w:p>
    <w:p>
      <w:pPr>
        <w:ind w:right="540"/>
        <w:spacing w:after="0" w:line="261" w:lineRule="auto"/>
        <w:rPr>
          <w:sz w:val="20"/>
          <w:szCs w:val="20"/>
          <w:color w:val="auto"/>
        </w:rPr>
      </w:pPr>
      <w:r>
        <w:rPr>
          <w:rFonts w:ascii="Arial" w:cs="Arial" w:eastAsia="Arial" w:hAnsi="Arial"/>
          <w:sz w:val="16"/>
          <w:szCs w:val="16"/>
          <w:color w:val="auto"/>
        </w:rPr>
        <w:t>Immediately prior to the effectiveness of the registration statement on Form S-1, of which this prospectus is a part, we completed the Exchange Offer, pursuant to which each current employee and other service provider holding our common stock, including Messrs. Barrett and Schaffer and Ms. Muralidharan,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240"/>
          </w:cols>
          <w:pgMar w:left="320" w:top="1425" w:right="339" w:bottom="1440" w:gutter="0" w:footer="0" w:header="0"/>
        </w:sectPr>
      </w:pPr>
    </w:p>
    <w:bookmarkStart w:id="184" w:name="page185"/>
    <w:bookmarkEnd w:id="184"/>
    <w:p>
      <w:pPr>
        <w:spacing w:after="0" w:line="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offered the opportunity to exchange shares of common stock owned by such employee or service provider for newly issued shares of LT10 and/or LT50 common stock on a one-for-one basis, subject to certain limitations. All shares of our LT10 and LT50 common stock issued in the Exchange Offer were required to be deposited in the Voting Trust formed pursuant to the Voting Agreement. Messrs. Barrett and Schaffer and Ms. Muralidharan have made irrevocable elections to exchange shares of common stock for shares of LT10 and/or LT50 common stock, on a one-for-one basis, in the Exchange Offer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86360</wp:posOffset>
            </wp:positionV>
            <wp:extent cx="714565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41" w:lineRule="exact"/>
        <w:rPr>
          <w:sz w:val="20"/>
          <w:szCs w:val="20"/>
          <w:color w:val="auto"/>
        </w:rPr>
      </w:pPr>
    </w:p>
    <w:p>
      <w:pPr>
        <w:ind w:left="8640"/>
        <w:spacing w:after="0"/>
        <w:tabs>
          <w:tab w:leader="none" w:pos="10300" w:val="left"/>
        </w:tabs>
        <w:rPr>
          <w:sz w:val="20"/>
          <w:szCs w:val="20"/>
          <w:color w:val="auto"/>
        </w:rPr>
      </w:pPr>
      <w:r>
        <w:rPr>
          <w:rFonts w:ascii="Arial" w:cs="Arial" w:eastAsia="Arial" w:hAnsi="Arial"/>
          <w:sz w:val="13"/>
          <w:szCs w:val="13"/>
          <w:b w:val="1"/>
          <w:bCs w:val="1"/>
          <w:color w:val="auto"/>
        </w:rPr>
        <w:t>LT10</w:t>
      </w:r>
      <w:r>
        <w:rPr>
          <w:sz w:val="20"/>
          <w:szCs w:val="20"/>
          <w:color w:val="auto"/>
        </w:rPr>
        <w:tab/>
      </w:r>
      <w:r>
        <w:rPr>
          <w:rFonts w:ascii="Arial" w:cs="Arial" w:eastAsia="Arial" w:hAnsi="Arial"/>
          <w:sz w:val="13"/>
          <w:szCs w:val="13"/>
          <w:b w:val="1"/>
          <w:bCs w:val="1"/>
          <w:color w:val="auto"/>
        </w:rPr>
        <w:t>LT50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45655" cy="131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Mr. Barrett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Mr.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Ms.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wp:posOffset>
            </wp:positionV>
            <wp:extent cx="714565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Messrs. Barrett and Schaffer will also be two of the three initial Trustees of the Voting Trust.</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will enter into the Voting Trust Agreement with the Trustees and the Trust Beneficiaries upon the completion of the Exchange Offer. Pursuant to the Voting Trust Agreement, the Trustees will have the right to vote the shares of our common stock deposited by the Trust Beneficiaries, together with any future voting securities received in respect of such common stock by way of a stock dividend, distribution, conversion or exchange, in their sole and absolute discretion on any manner, with no responsibility under the Voting Trust Agreement as stockholder, trustee or otherwise, except for his or her own individual malfeasance. For more information, see “Risk factors—Risks relating to the multiple class structure of our common stock and the Voting Trust Agreement” and “Description of capital stock.”</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Policies and procedures for related party transactions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Prior to the completion of this offering, we intend to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220"/>
          </w:cols>
          <w:pgMar w:left="320" w:top="1440" w:right="359" w:bottom="1440" w:gutter="0" w:footer="0" w:header="0"/>
        </w:sectPr>
      </w:pPr>
    </w:p>
    <w:bookmarkStart w:id="185" w:name="page186"/>
    <w:bookmarkEnd w:id="185"/>
    <w:p>
      <w:pPr>
        <w:ind w:left="3"/>
        <w:spacing w:after="0"/>
        <w:rPr>
          <w:sz w:val="20"/>
          <w:szCs w:val="20"/>
          <w:color w:val="auto"/>
        </w:rPr>
      </w:pPr>
      <w:r>
        <w:rPr>
          <w:rFonts w:ascii="Arial" w:cs="Arial" w:eastAsia="Arial" w:hAnsi="Arial"/>
          <w:sz w:val="26"/>
          <w:szCs w:val="26"/>
          <w:b w:val="1"/>
          <w:bCs w:val="1"/>
          <w:color w:val="auto"/>
        </w:rPr>
        <w:t>Principal and selling stockholders</w:t>
      </w:r>
    </w:p>
    <w:p>
      <w:pPr>
        <w:spacing w:after="0" w:line="296"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The following table sets forth information with respect to the beneficial ownership of our common stock as of , 2021 (i) reflecting (a) the exercise of options pursuant to the Option Exercise, (b) the reclassification of all outstanding shares of our common stock into shares of Class A common stock followed by the completion of the Exchange Offer immediately prior to the effectiveness of the registration statement on Form S-1, of which this prospectus is a part, and (c) the conversion of all outstanding shares of our preferred stock into shares of Class A common stock immediately prior to the completion of this offering, and (ii) as adjusted to give effect to this offering, for:</w:t>
      </w:r>
    </w:p>
    <w:p>
      <w:pPr>
        <w:spacing w:after="0" w:line="123" w:lineRule="exact"/>
        <w:rPr>
          <w:sz w:val="20"/>
          <w:szCs w:val="20"/>
          <w:color w:val="auto"/>
        </w:rPr>
      </w:pPr>
    </w:p>
    <w:p>
      <w:pPr>
        <w:ind w:left="283" w:hanging="283"/>
        <w:spacing w:after="0"/>
        <w:tabs>
          <w:tab w:leader="none" w:pos="2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person known by us to be the beneficial owner of more than five percent of any class of our voting securities;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of the selling stockholders.</w:t>
      </w:r>
    </w:p>
    <w:p>
      <w:pPr>
        <w:spacing w:after="0" w:line="145" w:lineRule="exact"/>
        <w:rPr>
          <w:sz w:val="20"/>
          <w:szCs w:val="20"/>
          <w:color w:val="auto"/>
        </w:rPr>
      </w:pPr>
    </w:p>
    <w:p>
      <w:pPr>
        <w:ind w:left="3" w:right="300"/>
        <w:spacing w:after="0" w:line="254"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w:t>
      </w:r>
    </w:p>
    <w:p>
      <w:pPr>
        <w:ind w:left="3" w:right="40"/>
        <w:spacing w:after="0" w:line="254" w:lineRule="auto"/>
        <w:rPr>
          <w:sz w:val="20"/>
          <w:szCs w:val="20"/>
          <w:color w:val="auto"/>
        </w:rPr>
      </w:pPr>
      <w:r>
        <w:rPr>
          <w:rFonts w:ascii="Arial" w:cs="Arial" w:eastAsia="Arial" w:hAnsi="Arial"/>
          <w:sz w:val="16"/>
          <w:szCs w:val="16"/>
          <w:color w:val="auto"/>
        </w:rPr>
        <w:t>investment power with respect to all shares that they beneficially owned as of , 2021, subject to community property laws where applicable. We have deemed shares of our common stock subject to stock options that are currently exercisable or will be exercisable within 60 days of , 2021 or net issuable pursuant to RSUs which are subject to vesting and settlement conditions expected to occur within 60 days of , 2021 to be outstanding and to</w:t>
      </w:r>
    </w:p>
    <w:p>
      <w:pPr>
        <w:ind w:left="3"/>
        <w:spacing w:after="0" w:line="261" w:lineRule="auto"/>
        <w:rPr>
          <w:sz w:val="20"/>
          <w:szCs w:val="20"/>
          <w:color w:val="auto"/>
        </w:rPr>
      </w:pPr>
      <w:r>
        <w:rPr>
          <w:rFonts w:ascii="Arial" w:cs="Arial" w:eastAsia="Arial" w:hAnsi="Arial"/>
          <w:sz w:val="16"/>
          <w:szCs w:val="16"/>
          <w:color w:val="auto"/>
        </w:rPr>
        <w:t>be beneficially owned by the person holding the stock option or 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w:t>
      </w:r>
    </w:p>
    <w:p>
      <w:pPr>
        <w:spacing w:after="0" w:line="118" w:lineRule="exact"/>
        <w:rPr>
          <w:sz w:val="20"/>
          <w:szCs w:val="20"/>
          <w:color w:val="auto"/>
        </w:rPr>
      </w:pPr>
    </w:p>
    <w:p>
      <w:pPr>
        <w:ind w:left="3" w:right="220"/>
        <w:spacing w:after="0" w:line="261" w:lineRule="auto"/>
        <w:rPr>
          <w:sz w:val="20"/>
          <w:szCs w:val="20"/>
          <w:color w:val="auto"/>
        </w:rPr>
      </w:pPr>
      <w:r>
        <w:rPr>
          <w:rFonts w:ascii="Arial" w:cs="Arial" w:eastAsia="Arial" w:hAnsi="Arial"/>
          <w:sz w:val="16"/>
          <w:szCs w:val="16"/>
          <w:color w:val="auto"/>
        </w:rPr>
        <w:t>The percentage ownership of our common stock after this offering also assumes the foregoing and the issuance and sale of shares by us in this offering, the sale of shares by the selling stockholders and no exercise of the underwriters’ option to purchase from us and the selling stockholders additional shares of our Class A common stock.</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Unless otherwise indicated, the address of each beneficial owner listed in the table below is c/o Expensify, Inc., 401 SW 5th Ave, Portland, Oregon 97204.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243"/>
          </w:cols>
          <w:pgMar w:left="317" w:top="1407" w:right="339" w:bottom="1440" w:gutter="0" w:footer="0" w:header="0"/>
        </w:sectPr>
      </w:pPr>
    </w:p>
    <w:bookmarkStart w:id="186" w:name="page187"/>
    <w:bookmarkEnd w:id="186"/>
    <w:p>
      <w:pPr>
        <w:spacing w:after="0" w:line="3"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Each of the stockholders listed has sole voting and investment power with respect to the shares beneficially owned by the stockholder unless noted otherwise, subject to community property laws where applicable.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8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2720" w:type="dxa"/>
            <w:vAlign w:val="bottom"/>
            <w:tcBorders>
              <w:top w:val="single" w:sz="8" w:color="auto"/>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rPr>
              <w:t>Shares beneficially owned prior to this offering</w:t>
            </w:r>
          </w:p>
        </w:tc>
        <w:tc>
          <w:tcPr>
            <w:tcW w:w="3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780" w:type="dxa"/>
            <w:vAlign w:val="bottom"/>
            <w:tcBorders>
              <w:top w:val="single" w:sz="8" w:color="auto"/>
              <w:bottom w:val="single" w:sz="8" w:color="auto"/>
            </w:tcBorders>
            <w:gridSpan w:val="6"/>
          </w:tcPr>
          <w:p>
            <w:pPr>
              <w:jc w:val="center"/>
              <w:ind w:right="206"/>
              <w:spacing w:after="0"/>
              <w:rPr>
                <w:sz w:val="20"/>
                <w:szCs w:val="20"/>
                <w:color w:val="auto"/>
              </w:rPr>
            </w:pPr>
            <w:r>
              <w:rPr>
                <w:rFonts w:ascii="Arial" w:cs="Arial" w:eastAsia="Arial" w:hAnsi="Arial"/>
                <w:sz w:val="11"/>
                <w:szCs w:val="11"/>
                <w:b w:val="1"/>
                <w:bCs w:val="1"/>
                <w:color w:val="auto"/>
                <w:w w:val="98"/>
              </w:rPr>
              <w:t>Shares beneficially owned after this offering</w:t>
            </w:r>
          </w:p>
        </w:tc>
        <w:tc>
          <w:tcPr>
            <w:tcW w:w="3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380" w:type="dxa"/>
            <w:vAlign w:val="bottom"/>
          </w:tcPr>
          <w:p>
            <w:pPr>
              <w:spacing w:after="0"/>
              <w:rPr>
                <w:sz w:val="11"/>
                <w:szCs w:val="11"/>
                <w:color w:val="auto"/>
              </w:rPr>
            </w:pPr>
          </w:p>
        </w:tc>
        <w:tc>
          <w:tcPr>
            <w:tcW w:w="1220" w:type="dxa"/>
            <w:vAlign w:val="bottom"/>
            <w:gridSpan w:val="3"/>
          </w:tcPr>
          <w:p>
            <w:pPr>
              <w:ind w:left="360"/>
              <w:spacing w:after="0"/>
              <w:rPr>
                <w:sz w:val="20"/>
                <w:szCs w:val="20"/>
                <w:color w:val="auto"/>
              </w:rPr>
            </w:pPr>
            <w:r>
              <w:rPr>
                <w:rFonts w:ascii="Arial" w:cs="Arial" w:eastAsia="Arial" w:hAnsi="Arial"/>
                <w:sz w:val="11"/>
                <w:szCs w:val="11"/>
                <w:b w:val="1"/>
                <w:bCs w:val="1"/>
                <w:color w:val="auto"/>
              </w:rPr>
              <w:t>Class A</w:t>
            </w:r>
          </w:p>
        </w:tc>
        <w:tc>
          <w:tcPr>
            <w:tcW w:w="780" w:type="dxa"/>
            <w:vAlign w:val="bottom"/>
          </w:tcPr>
          <w:p>
            <w:pPr>
              <w:ind w:left="440"/>
              <w:spacing w:after="0"/>
              <w:rPr>
                <w:sz w:val="20"/>
                <w:szCs w:val="20"/>
                <w:color w:val="auto"/>
              </w:rPr>
            </w:pPr>
            <w:r>
              <w:rPr>
                <w:rFonts w:ascii="Arial" w:cs="Arial" w:eastAsia="Arial" w:hAnsi="Arial"/>
                <w:sz w:val="11"/>
                <w:szCs w:val="11"/>
                <w:b w:val="1"/>
                <w:bCs w:val="1"/>
                <w:color w:val="auto"/>
              </w:rPr>
              <w:t>LT10</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40"/>
              <w:spacing w:after="0"/>
              <w:rPr>
                <w:sz w:val="20"/>
                <w:szCs w:val="20"/>
                <w:color w:val="auto"/>
              </w:rPr>
            </w:pPr>
            <w:r>
              <w:rPr>
                <w:rFonts w:ascii="Arial" w:cs="Arial" w:eastAsia="Arial" w:hAnsi="Arial"/>
                <w:sz w:val="11"/>
                <w:szCs w:val="11"/>
                <w:b w:val="1"/>
                <w:bCs w:val="1"/>
                <w:color w:val="auto"/>
              </w:rPr>
              <w:t>LT50</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gridSpan w:val="3"/>
          </w:tcPr>
          <w:p>
            <w:pPr>
              <w:ind w:left="400"/>
              <w:spacing w:after="0"/>
              <w:rPr>
                <w:sz w:val="20"/>
                <w:szCs w:val="20"/>
                <w:color w:val="auto"/>
              </w:rPr>
            </w:pPr>
            <w:r>
              <w:rPr>
                <w:rFonts w:ascii="Arial" w:cs="Arial" w:eastAsia="Arial" w:hAnsi="Arial"/>
                <w:sz w:val="11"/>
                <w:szCs w:val="11"/>
                <w:b w:val="1"/>
                <w:bCs w:val="1"/>
                <w:color w:val="auto"/>
              </w:rPr>
              <w:t>Class A</w:t>
            </w:r>
          </w:p>
        </w:tc>
        <w:tc>
          <w:tcPr>
            <w:tcW w:w="820" w:type="dxa"/>
            <w:vAlign w:val="bottom"/>
          </w:tcPr>
          <w:p>
            <w:pPr>
              <w:jc w:val="center"/>
              <w:ind w:left="306"/>
              <w:spacing w:after="0"/>
              <w:rPr>
                <w:sz w:val="20"/>
                <w:szCs w:val="20"/>
                <w:color w:val="auto"/>
              </w:rPr>
            </w:pPr>
            <w:r>
              <w:rPr>
                <w:rFonts w:ascii="Arial" w:cs="Arial" w:eastAsia="Arial" w:hAnsi="Arial"/>
                <w:sz w:val="11"/>
                <w:szCs w:val="11"/>
                <w:b w:val="1"/>
                <w:bCs w:val="1"/>
                <w:color w:val="auto"/>
              </w:rPr>
              <w:t>LT10</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460"/>
              <w:spacing w:after="0"/>
              <w:rPr>
                <w:sz w:val="20"/>
                <w:szCs w:val="20"/>
                <w:color w:val="auto"/>
              </w:rPr>
            </w:pPr>
            <w:r>
              <w:rPr>
                <w:rFonts w:ascii="Arial" w:cs="Arial" w:eastAsia="Arial" w:hAnsi="Arial"/>
                <w:sz w:val="11"/>
                <w:szCs w:val="11"/>
                <w:b w:val="1"/>
                <w:bCs w:val="1"/>
                <w:color w:val="auto"/>
              </w:rPr>
              <w:t>LT50</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80" w:type="dxa"/>
            <w:vAlign w:val="bottom"/>
            <w:vMerge w:val="restart"/>
          </w:tcPr>
          <w:p>
            <w:pPr>
              <w:ind w:left="20"/>
              <w:spacing w:after="0"/>
              <w:rPr>
                <w:sz w:val="20"/>
                <w:szCs w:val="20"/>
                <w:color w:val="auto"/>
              </w:rPr>
            </w:pPr>
            <w:r>
              <w:rPr>
                <w:rFonts w:ascii="Arial" w:cs="Arial" w:eastAsia="Arial" w:hAnsi="Arial"/>
                <w:sz w:val="11"/>
                <w:szCs w:val="11"/>
                <w:color w:val="auto"/>
              </w:rPr>
              <w:t>Name of</w:t>
            </w:r>
          </w:p>
        </w:tc>
        <w:tc>
          <w:tcPr>
            <w:tcW w:w="5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40" w:type="dxa"/>
            <w:vAlign w:val="bottom"/>
            <w:vMerge w:val="restart"/>
          </w:tcPr>
          <w:p>
            <w:pPr>
              <w:jc w:val="center"/>
              <w:ind w:left="6"/>
              <w:spacing w:after="0"/>
              <w:rPr>
                <w:sz w:val="20"/>
                <w:szCs w:val="20"/>
                <w:color w:val="auto"/>
              </w:rPr>
            </w:pPr>
            <w:r>
              <w:rPr>
                <w:rFonts w:ascii="Arial" w:cs="Arial" w:eastAsia="Arial" w:hAnsi="Arial"/>
                <w:sz w:val="11"/>
                <w:szCs w:val="11"/>
                <w:color w:val="auto"/>
                <w:w w:val="99"/>
              </w:rPr>
              <w:t>% of voting</w:t>
            </w:r>
          </w:p>
        </w:tc>
        <w:tc>
          <w:tcPr>
            <w:tcW w:w="860" w:type="dxa"/>
            <w:vAlign w:val="bottom"/>
          </w:tcPr>
          <w:p>
            <w:pPr>
              <w:jc w:val="center"/>
              <w:spacing w:after="0" w:line="93" w:lineRule="exact"/>
              <w:rPr>
                <w:sz w:val="20"/>
                <w:szCs w:val="20"/>
                <w:color w:val="auto"/>
              </w:rPr>
            </w:pPr>
            <w:r>
              <w:rPr>
                <w:rFonts w:ascii="Arial" w:cs="Arial" w:eastAsia="Arial" w:hAnsi="Arial"/>
                <w:sz w:val="10"/>
                <w:szCs w:val="10"/>
                <w:color w:val="auto"/>
              </w:rPr>
              <w:t>Number of</w:t>
            </w:r>
          </w:p>
        </w:tc>
        <w:tc>
          <w:tcPr>
            <w:tcW w:w="6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0" w:type="dxa"/>
            <w:vAlign w:val="bottom"/>
            <w:vMerge w:val="restart"/>
          </w:tcPr>
          <w:p>
            <w:pPr>
              <w:ind w:left="180"/>
              <w:spacing w:after="0"/>
              <w:rPr>
                <w:sz w:val="20"/>
                <w:szCs w:val="20"/>
                <w:color w:val="auto"/>
              </w:rPr>
            </w:pPr>
            <w:r>
              <w:rPr>
                <w:rFonts w:ascii="Arial" w:cs="Arial" w:eastAsia="Arial" w:hAnsi="Arial"/>
                <w:sz w:val="11"/>
                <w:szCs w:val="11"/>
                <w:color w:val="auto"/>
              </w:rPr>
              <w:t>% of voting</w:t>
            </w:r>
          </w:p>
        </w:tc>
        <w:tc>
          <w:tcPr>
            <w:tcW w:w="0" w:type="dxa"/>
            <w:vAlign w:val="bottom"/>
          </w:tcPr>
          <w:p>
            <w:pPr>
              <w:spacing w:after="0"/>
              <w:rPr>
                <w:sz w:val="1"/>
                <w:szCs w:val="1"/>
                <w:color w:val="auto"/>
              </w:rPr>
            </w:pPr>
          </w:p>
        </w:tc>
      </w:tr>
      <w:tr>
        <w:trPr>
          <w:trHeight w:val="97"/>
        </w:trPr>
        <w:tc>
          <w:tcPr>
            <w:tcW w:w="13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60" w:type="dxa"/>
            <w:vAlign w:val="bottom"/>
          </w:tcPr>
          <w:p>
            <w:pPr>
              <w:jc w:val="center"/>
              <w:ind w:right="7"/>
              <w:spacing w:after="0" w:line="97" w:lineRule="exact"/>
              <w:rPr>
                <w:sz w:val="20"/>
                <w:szCs w:val="20"/>
                <w:color w:val="auto"/>
              </w:rPr>
            </w:pPr>
            <w:r>
              <w:rPr>
                <w:rFonts w:ascii="Arial" w:cs="Arial" w:eastAsia="Arial" w:hAnsi="Arial"/>
                <w:sz w:val="11"/>
                <w:szCs w:val="11"/>
                <w:color w:val="auto"/>
                <w:w w:val="97"/>
              </w:rPr>
              <w:t>shares of</w:t>
            </w: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380" w:type="dxa"/>
            <w:vAlign w:val="bottom"/>
          </w:tcPr>
          <w:p>
            <w:pPr>
              <w:ind w:left="20"/>
              <w:spacing w:after="0" w:line="97" w:lineRule="exact"/>
              <w:rPr>
                <w:sz w:val="20"/>
                <w:szCs w:val="20"/>
                <w:color w:val="auto"/>
              </w:rPr>
            </w:pPr>
            <w:r>
              <w:rPr>
                <w:rFonts w:ascii="Arial" w:cs="Arial" w:eastAsia="Arial" w:hAnsi="Arial"/>
                <w:sz w:val="11"/>
                <w:szCs w:val="11"/>
                <w:color w:val="auto"/>
              </w:rPr>
              <w:t>Beneficial</w:t>
            </w:r>
          </w:p>
        </w:tc>
        <w:tc>
          <w:tcPr>
            <w:tcW w:w="54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78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36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36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Pr>
          <w:p>
            <w:pPr>
              <w:jc w:val="center"/>
              <w:spacing w:after="0" w:line="97" w:lineRule="exact"/>
              <w:rPr>
                <w:sz w:val="20"/>
                <w:szCs w:val="20"/>
                <w:color w:val="auto"/>
              </w:rPr>
            </w:pPr>
            <w:r>
              <w:rPr>
                <w:rFonts w:ascii="Arial" w:cs="Arial" w:eastAsia="Arial" w:hAnsi="Arial"/>
                <w:sz w:val="11"/>
                <w:szCs w:val="11"/>
                <w:color w:val="auto"/>
                <w:w w:val="99"/>
              </w:rPr>
              <w:t>power before</w:t>
            </w:r>
          </w:p>
        </w:tc>
        <w:tc>
          <w:tcPr>
            <w:tcW w:w="860" w:type="dxa"/>
            <w:vAlign w:val="bottom"/>
          </w:tcPr>
          <w:p>
            <w:pPr>
              <w:jc w:val="center"/>
              <w:ind w:right="7"/>
              <w:spacing w:after="0" w:line="97" w:lineRule="exact"/>
              <w:rPr>
                <w:sz w:val="20"/>
                <w:szCs w:val="20"/>
                <w:color w:val="auto"/>
              </w:rPr>
            </w:pPr>
            <w:r>
              <w:rPr>
                <w:rFonts w:ascii="Arial" w:cs="Arial" w:eastAsia="Arial" w:hAnsi="Arial"/>
                <w:sz w:val="11"/>
                <w:szCs w:val="11"/>
                <w:color w:val="auto"/>
              </w:rPr>
              <w:t>Class A being</w:t>
            </w:r>
          </w:p>
        </w:tc>
        <w:tc>
          <w:tcPr>
            <w:tcW w:w="620" w:type="dxa"/>
            <w:vAlign w:val="bottom"/>
            <w:vMerge w:val="restart"/>
          </w:tcPr>
          <w:p>
            <w:pPr>
              <w:ind w:left="160"/>
              <w:spacing w:after="0"/>
              <w:rPr>
                <w:sz w:val="20"/>
                <w:szCs w:val="20"/>
                <w:color w:val="auto"/>
              </w:rPr>
            </w:pPr>
            <w:r>
              <w:rPr>
                <w:rFonts w:ascii="Arial" w:cs="Arial" w:eastAsia="Arial" w:hAnsi="Arial"/>
                <w:sz w:val="11"/>
                <w:szCs w:val="11"/>
                <w:color w:val="auto"/>
              </w:rPr>
              <w:t>Shares</w:t>
            </w: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2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36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2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36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800" w:type="dxa"/>
            <w:vAlign w:val="bottom"/>
          </w:tcPr>
          <w:p>
            <w:pPr>
              <w:ind w:left="180"/>
              <w:spacing w:after="0" w:line="97" w:lineRule="exact"/>
              <w:rPr>
                <w:sz w:val="20"/>
                <w:szCs w:val="20"/>
                <w:color w:val="auto"/>
              </w:rPr>
            </w:pPr>
            <w:r>
              <w:rPr>
                <w:rFonts w:ascii="Arial" w:cs="Arial" w:eastAsia="Arial" w:hAnsi="Arial"/>
                <w:sz w:val="11"/>
                <w:szCs w:val="11"/>
                <w:color w:val="auto"/>
              </w:rPr>
              <w:t>power after</w:t>
            </w:r>
          </w:p>
        </w:tc>
        <w:tc>
          <w:tcPr>
            <w:tcW w:w="0" w:type="dxa"/>
            <w:vAlign w:val="bottom"/>
          </w:tcPr>
          <w:p>
            <w:pPr>
              <w:spacing w:after="0"/>
              <w:rPr>
                <w:sz w:val="1"/>
                <w:szCs w:val="1"/>
                <w:color w:val="auto"/>
              </w:rPr>
            </w:pPr>
          </w:p>
        </w:tc>
      </w:tr>
      <w:tr>
        <w:trPr>
          <w:trHeight w:val="130"/>
        </w:trPr>
        <w:tc>
          <w:tcPr>
            <w:tcW w:w="1380" w:type="dxa"/>
            <w:vAlign w:val="bottom"/>
          </w:tcPr>
          <w:p>
            <w:pPr>
              <w:ind w:left="20"/>
              <w:spacing w:after="0"/>
              <w:rPr>
                <w:sz w:val="20"/>
                <w:szCs w:val="20"/>
                <w:color w:val="auto"/>
              </w:rPr>
            </w:pPr>
            <w:r>
              <w:rPr>
                <w:rFonts w:ascii="Arial" w:cs="Arial" w:eastAsia="Arial" w:hAnsi="Arial"/>
                <w:sz w:val="11"/>
                <w:szCs w:val="11"/>
                <w:color w:val="auto"/>
              </w:rPr>
              <w:t>Owner</w:t>
            </w:r>
          </w:p>
        </w:tc>
        <w:tc>
          <w:tcPr>
            <w:tcW w:w="5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8"/>
              </w:rPr>
              <w:t>this offering</w:t>
            </w:r>
          </w:p>
        </w:tc>
        <w:tc>
          <w:tcPr>
            <w:tcW w:w="860" w:type="dxa"/>
            <w:vAlign w:val="bottom"/>
          </w:tcPr>
          <w:p>
            <w:pPr>
              <w:jc w:val="center"/>
              <w:spacing w:after="0"/>
              <w:rPr>
                <w:sz w:val="20"/>
                <w:szCs w:val="20"/>
                <w:color w:val="auto"/>
              </w:rPr>
            </w:pPr>
            <w:r>
              <w:rPr>
                <w:rFonts w:ascii="Arial" w:cs="Arial" w:eastAsia="Arial" w:hAnsi="Arial"/>
                <w:sz w:val="11"/>
                <w:szCs w:val="11"/>
                <w:color w:val="auto"/>
                <w:w w:val="99"/>
              </w:rPr>
              <w:t>offered</w:t>
            </w: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800" w:type="dxa"/>
            <w:vAlign w:val="bottom"/>
          </w:tcPr>
          <w:p>
            <w:pPr>
              <w:ind w:left="160"/>
              <w:spacing w:after="0"/>
              <w:rPr>
                <w:sz w:val="20"/>
                <w:szCs w:val="20"/>
                <w:color w:val="auto"/>
              </w:rPr>
            </w:pPr>
            <w:r>
              <w:rPr>
                <w:rFonts w:ascii="Arial" w:cs="Arial" w:eastAsia="Arial" w:hAnsi="Arial"/>
                <w:sz w:val="11"/>
                <w:szCs w:val="11"/>
                <w:color w:val="auto"/>
              </w:rPr>
              <w:t>this 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7145655" cy="2476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5655" cy="2476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Named Executive</w:t>
      </w:r>
    </w:p>
    <w:p>
      <w:pPr>
        <w:ind w:left="20"/>
        <w:spacing w:after="0" w:line="207" w:lineRule="auto"/>
        <w:rPr>
          <w:sz w:val="20"/>
          <w:szCs w:val="20"/>
          <w:color w:val="auto"/>
        </w:rPr>
      </w:pPr>
      <w:r>
        <w:rPr>
          <w:rFonts w:ascii="Arial" w:cs="Arial" w:eastAsia="Arial" w:hAnsi="Arial"/>
          <w:sz w:val="11"/>
          <w:szCs w:val="11"/>
          <w:b w:val="1"/>
          <w:bCs w:val="1"/>
          <w:color w:val="auto"/>
        </w:rPr>
        <w:t>Officers, Directors 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Director Nominees: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David</w:t>
      </w:r>
    </w:p>
    <w:p>
      <w:pPr>
        <w:ind w:left="20"/>
        <w:spacing w:after="0"/>
        <w:rPr>
          <w:sz w:val="20"/>
          <w:szCs w:val="20"/>
          <w:color w:val="auto"/>
        </w:rPr>
      </w:pPr>
      <w:r>
        <w:rPr>
          <w:rFonts w:ascii="Arial" w:cs="Arial" w:eastAsia="Arial" w:hAnsi="Arial"/>
          <w:sz w:val="11"/>
          <w:szCs w:val="11"/>
          <w:color w:val="auto"/>
        </w:rPr>
        <w:t>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70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5655" cy="1701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Ryan</w:t>
      </w:r>
    </w:p>
    <w:p>
      <w:pPr>
        <w:ind w:left="20"/>
        <w:spacing w:after="0"/>
        <w:rPr>
          <w:sz w:val="20"/>
          <w:szCs w:val="20"/>
          <w:color w:val="auto"/>
        </w:rPr>
      </w:pPr>
      <w:r>
        <w:rPr>
          <w:rFonts w:ascii="Arial" w:cs="Arial" w:eastAsia="Arial" w:hAnsi="Arial"/>
          <w:sz w:val="11"/>
          <w:szCs w:val="11"/>
          <w:color w:val="auto"/>
        </w:rPr>
        <w:t>Schaffer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70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5655" cy="1701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Blake</w:t>
      </w:r>
    </w:p>
    <w:p>
      <w:pPr>
        <w:ind w:left="20"/>
        <w:spacing w:after="0"/>
        <w:rPr>
          <w:sz w:val="20"/>
          <w:szCs w:val="20"/>
          <w:color w:val="auto"/>
        </w:rPr>
      </w:pPr>
      <w:r>
        <w:rPr>
          <w:rFonts w:ascii="Arial" w:cs="Arial" w:eastAsia="Arial" w:hAnsi="Arial"/>
          <w:sz w:val="11"/>
          <w:szCs w:val="11"/>
          <w:color w:val="auto"/>
        </w:rPr>
        <w:t>Bartlett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Robert</w:t>
      </w:r>
    </w:p>
    <w:p>
      <w:pPr>
        <w:ind w:left="20"/>
        <w:spacing w:after="0"/>
        <w:rPr>
          <w:sz w:val="20"/>
          <w:szCs w:val="20"/>
          <w:color w:val="auto"/>
        </w:rPr>
      </w:pPr>
      <w:r>
        <w:rPr>
          <w:rFonts w:ascii="Arial" w:cs="Arial" w:eastAsia="Arial" w:hAnsi="Arial"/>
          <w:sz w:val="11"/>
          <w:szCs w:val="11"/>
          <w:color w:val="auto"/>
        </w:rPr>
        <w:t>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003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5655" cy="10033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1"/>
          <w:szCs w:val="11"/>
          <w:color w:val="auto"/>
        </w:rPr>
        <w:t>Jason Mills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003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5655" cy="10033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1"/>
          <w:szCs w:val="11"/>
          <w:color w:val="auto"/>
        </w:rPr>
        <w:t>Timothy L. Christen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Ying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003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5655" cy="10033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1"/>
          <w:szCs w:val="11"/>
          <w:color w:val="auto"/>
        </w:rPr>
        <w:t>Ellen Pao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All current executive</w:t>
      </w:r>
    </w:p>
    <w:p>
      <w:pPr>
        <w:ind w:left="20"/>
        <w:spacing w:after="0" w:line="207" w:lineRule="auto"/>
        <w:rPr>
          <w:sz w:val="20"/>
          <w:szCs w:val="20"/>
          <w:color w:val="auto"/>
        </w:rPr>
      </w:pPr>
      <w:r>
        <w:rPr>
          <w:rFonts w:ascii="Arial" w:cs="Arial" w:eastAsia="Arial" w:hAnsi="Arial"/>
          <w:sz w:val="11"/>
          <w:szCs w:val="11"/>
          <w:color w:val="auto"/>
        </w:rPr>
        <w:t>officers, directors and</w:t>
      </w:r>
    </w:p>
    <w:p>
      <w:pPr>
        <w:ind w:left="20"/>
        <w:spacing w:after="0" w:line="208" w:lineRule="auto"/>
        <w:rPr>
          <w:sz w:val="20"/>
          <w:szCs w:val="20"/>
          <w:color w:val="auto"/>
        </w:rPr>
      </w:pPr>
      <w:r>
        <w:rPr>
          <w:rFonts w:ascii="Arial" w:cs="Arial" w:eastAsia="Arial" w:hAnsi="Arial"/>
          <w:sz w:val="11"/>
          <w:szCs w:val="11"/>
          <w:color w:val="auto"/>
        </w:rPr>
        <w:t>director nominees as a</w:t>
      </w:r>
    </w:p>
    <w:p>
      <w:pPr>
        <w:spacing w:after="0" w:line="1"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1"/>
          <w:szCs w:val="11"/>
          <w:color w:val="auto"/>
        </w:rPr>
        <w:t>group (</w:t>
      </w:r>
      <w:r>
        <w:rPr>
          <w:sz w:val="20"/>
          <w:szCs w:val="20"/>
          <w:color w:val="auto"/>
        </w:rPr>
        <w:tab/>
      </w:r>
      <w:r>
        <w:rPr>
          <w:rFonts w:ascii="Arial" w:cs="Arial" w:eastAsia="Arial" w:hAnsi="Arial"/>
          <w:sz w:val="11"/>
          <w:szCs w:val="11"/>
          <w:color w:val="auto"/>
        </w:rPr>
        <w:t>persons)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145655" cy="170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5655" cy="1701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Stockholders: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Expensify Voting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162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5655" cy="11620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1"/>
          <w:szCs w:val="11"/>
          <w:color w:val="auto"/>
        </w:rPr>
        <w:t>Hillsven LLC</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1"/>
          <w:szCs w:val="11"/>
          <w:color w:val="auto"/>
        </w:rPr>
        <w:t>Entities affiliated with</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1"/>
          <w:szCs w:val="11"/>
          <w:color w:val="auto"/>
        </w:rPr>
        <w:t>OpenView Venture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1"/>
          <w:szCs w:val="11"/>
          <w:color w:val="auto"/>
        </w:rPr>
        <w:t>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7145655" cy="2012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5655" cy="20129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color w:val="auto"/>
        </w:rPr>
        <w:t>Entities affiliated with</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1"/>
          <w:szCs w:val="11"/>
          <w:color w:val="auto"/>
        </w:rPr>
        <w:t>PJC</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1"/>
          <w:szCs w:val="11"/>
          <w:color w:val="auto"/>
        </w:rPr>
        <w:t>Octopus Head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7145655" cy="2012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5655" cy="20129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Other Selling</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54610</wp:posOffset>
            </wp:positionV>
            <wp:extent cx="714565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260"/>
          </w:cols>
          <w:pgMar w:left="320" w:top="1440" w:right="319" w:bottom="1440" w:gutter="0" w:footer="0" w:header="0"/>
        </w:sectPr>
      </w:pPr>
    </w:p>
    <w:bookmarkStart w:id="187" w:name="page188"/>
    <w:bookmarkEnd w:id="187"/>
    <w:p>
      <w:pPr>
        <w:ind w:left="3"/>
        <w:spacing w:after="0"/>
        <w:rPr>
          <w:sz w:val="20"/>
          <w:szCs w:val="20"/>
          <w:color w:val="auto"/>
        </w:rPr>
      </w:pPr>
      <w:r>
        <w:rPr>
          <w:rFonts w:ascii="Arial" w:cs="Arial" w:eastAsia="Arial" w:hAnsi="Arial"/>
          <w:sz w:val="26"/>
          <w:szCs w:val="26"/>
          <w:b w:val="1"/>
          <w:bCs w:val="1"/>
          <w:color w:val="auto"/>
        </w:rPr>
        <w:t>Description of capital stock</w:t>
      </w:r>
    </w:p>
    <w:p>
      <w:pPr>
        <w:spacing w:after="0" w:line="280" w:lineRule="exact"/>
        <w:rPr>
          <w:sz w:val="20"/>
          <w:szCs w:val="20"/>
          <w:color w:val="auto"/>
        </w:rPr>
      </w:pPr>
    </w:p>
    <w:p>
      <w:pPr>
        <w:ind w:left="3"/>
        <w:spacing w:after="0" w:line="262" w:lineRule="auto"/>
        <w:rPr>
          <w:sz w:val="20"/>
          <w:szCs w:val="20"/>
          <w:color w:val="auto"/>
        </w:rPr>
      </w:pPr>
      <w:r>
        <w:rPr>
          <w:rFonts w:ascii="Arial" w:cs="Arial" w:eastAsia="Arial" w:hAnsi="Arial"/>
          <w:sz w:val="16"/>
          <w:szCs w:val="16"/>
          <w:i w:val="1"/>
          <w:iCs w:val="1"/>
          <w:color w:val="auto"/>
        </w:rPr>
        <w:t>The following summary describes our capital stock and the material provisions of our amended and restated certificate of incorporation and our amended and restated bylaws, each of which will become effective immediately prior to the completion of this offering, and the Delaware General Corporation Law (“DGCL”). Because the following is only a summary, it does not contain all of the information that may be important to you and is qualified in its entirety by our amended and restated certificate of incorporation and amended and restated bylaws, copies of which will be filed as exhibits to the registration statement of which this prospectus is a part.</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General</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6"/>
          <w:szCs w:val="16"/>
          <w:color w:val="auto"/>
        </w:rPr>
        <w:t>Upon the filing of our amended and restated certificate of incorporation and the completion of this offering, the total number of shares of all classes of stock</w:t>
      </w:r>
    </w:p>
    <w:p>
      <w:pPr>
        <w:spacing w:after="0" w:line="11" w:lineRule="exact"/>
        <w:rPr>
          <w:sz w:val="20"/>
          <w:szCs w:val="20"/>
          <w:color w:val="auto"/>
        </w:rPr>
      </w:pPr>
    </w:p>
    <w:p>
      <w:pPr>
        <w:ind w:left="3"/>
        <w:spacing w:after="0"/>
        <w:tabs>
          <w:tab w:leader="none" w:pos="3142" w:val="left"/>
        </w:tabs>
        <w:rPr>
          <w:sz w:val="20"/>
          <w:szCs w:val="20"/>
          <w:color w:val="auto"/>
        </w:rPr>
      </w:pPr>
      <w:r>
        <w:rPr>
          <w:rFonts w:ascii="Arial" w:cs="Arial" w:eastAsia="Arial" w:hAnsi="Arial"/>
          <w:sz w:val="16"/>
          <w:szCs w:val="16"/>
          <w:color w:val="auto"/>
        </w:rPr>
        <w:t>we are authorized to issue will be</w:t>
      </w:r>
      <w:r>
        <w:rPr>
          <w:sz w:val="20"/>
          <w:szCs w:val="20"/>
          <w:color w:val="auto"/>
        </w:rPr>
        <w:tab/>
      </w:r>
      <w:r>
        <w:rPr>
          <w:rFonts w:ascii="Arial" w:cs="Arial" w:eastAsia="Arial" w:hAnsi="Arial"/>
          <w:sz w:val="16"/>
          <w:szCs w:val="16"/>
          <w:color w:val="auto"/>
        </w:rPr>
        <w:t>, consisting of:</w:t>
      </w:r>
    </w:p>
    <w:p>
      <w:pPr>
        <w:spacing w:after="0" w:line="145" w:lineRule="exact"/>
        <w:rPr>
          <w:sz w:val="20"/>
          <w:szCs w:val="20"/>
          <w:color w:val="auto"/>
        </w:rPr>
      </w:pPr>
    </w:p>
    <w:p>
      <w:pPr>
        <w:ind w:left="883" w:hanging="883"/>
        <w:spacing w:after="0"/>
        <w:tabs>
          <w:tab w:leader="none" w:pos="8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shares of Class A common stock, par value $0.0001 per share;</w:t>
      </w:r>
    </w:p>
    <w:p>
      <w:pPr>
        <w:spacing w:after="0" w:line="144" w:lineRule="exact"/>
        <w:rPr>
          <w:rFonts w:ascii="Arial" w:cs="Arial" w:eastAsia="Arial" w:hAnsi="Arial"/>
          <w:sz w:val="16"/>
          <w:szCs w:val="16"/>
          <w:color w:val="auto"/>
        </w:rPr>
      </w:pPr>
    </w:p>
    <w:p>
      <w:pPr>
        <w:ind w:left="883" w:hanging="883"/>
        <w:spacing w:after="0"/>
        <w:tabs>
          <w:tab w:leader="none" w:pos="8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shares of LT10 common stock, par value $0.0001 per share;</w:t>
      </w:r>
    </w:p>
    <w:p>
      <w:pPr>
        <w:spacing w:after="0" w:line="132" w:lineRule="exact"/>
        <w:rPr>
          <w:rFonts w:ascii="Arial" w:cs="Arial" w:eastAsia="Arial" w:hAnsi="Arial"/>
          <w:sz w:val="16"/>
          <w:szCs w:val="16"/>
          <w:color w:val="auto"/>
        </w:rPr>
      </w:pPr>
    </w:p>
    <w:p>
      <w:pPr>
        <w:ind w:left="883" w:hanging="883"/>
        <w:spacing w:after="0"/>
        <w:tabs>
          <w:tab w:leader="none" w:pos="8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shares of LT50 common stock, par value $0.0001 per share; and</w:t>
      </w:r>
    </w:p>
    <w:p>
      <w:pPr>
        <w:spacing w:after="0" w:line="144" w:lineRule="exact"/>
        <w:rPr>
          <w:rFonts w:ascii="Arial" w:cs="Arial" w:eastAsia="Arial" w:hAnsi="Arial"/>
          <w:sz w:val="16"/>
          <w:szCs w:val="16"/>
          <w:color w:val="auto"/>
        </w:rPr>
      </w:pPr>
    </w:p>
    <w:p>
      <w:pPr>
        <w:ind w:left="883" w:hanging="883"/>
        <w:spacing w:after="0"/>
        <w:tabs>
          <w:tab w:leader="none" w:pos="8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shares of preferred stock, par value $0.0001 per share.</w:t>
      </w:r>
    </w:p>
    <w:p>
      <w:pPr>
        <w:spacing w:after="0" w:line="145" w:lineRule="exact"/>
        <w:rPr>
          <w:sz w:val="20"/>
          <w:szCs w:val="20"/>
          <w:color w:val="auto"/>
        </w:rPr>
      </w:pPr>
    </w:p>
    <w:p>
      <w:pPr>
        <w:jc w:val="both"/>
        <w:ind w:left="3" w:right="360"/>
        <w:spacing w:after="0" w:line="268" w:lineRule="auto"/>
        <w:rPr>
          <w:sz w:val="20"/>
          <w:szCs w:val="20"/>
          <w:color w:val="auto"/>
        </w:rPr>
      </w:pPr>
      <w:r>
        <w:rPr>
          <w:rFonts w:ascii="Arial" w:cs="Arial" w:eastAsia="Arial" w:hAnsi="Arial"/>
          <w:sz w:val="16"/>
          <w:szCs w:val="16"/>
          <w:color w:val="auto"/>
        </w:rPr>
        <w:t>We are selling shares of Class A common stock in this offering ( shares if the underwriters exercise in full their option to purchase additional shares of our Class A common stock). All shares of our common stock outstanding upon completion of this offering will be fully paid and non-assessable.</w:t>
      </w:r>
    </w:p>
    <w:p>
      <w:pPr>
        <w:spacing w:after="0" w:line="295"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13"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Common stock</w:t>
      </w:r>
    </w:p>
    <w:p>
      <w:pPr>
        <w:spacing w:after="0" w:line="152"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We have three classes of authorized common stock: Class A common stock, LT10 common stock and LT50 common stock. The rights of the holders of Class A common stock, LT10 common stock and LT50 common stock are identical, except with respect to voting, conversion and transfer rights.</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Voting</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Each holder of our Class A common stock is entitled to one vote per share, each holder of our LT10 common stock is entitled to 10 votes per share and each holder of our LT50 common stock is entitled to 50 votes per share on all matters submitted to a vote of the 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LT10 or LT50 common stock to vote separately as a single class in the following circumstances:</w:t>
      </w:r>
    </w:p>
    <w:p>
      <w:pPr>
        <w:spacing w:after="0" w:line="111" w:lineRule="exact"/>
        <w:rPr>
          <w:sz w:val="20"/>
          <w:szCs w:val="20"/>
          <w:color w:val="auto"/>
        </w:rPr>
      </w:pPr>
    </w:p>
    <w:p>
      <w:pPr>
        <w:ind w:left="283" w:right="180" w:hanging="283"/>
        <w:spacing w:after="0" w:line="268" w:lineRule="auto"/>
        <w:tabs>
          <w:tab w:leader="none" w:pos="27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243"/>
          </w:cols>
          <w:pgMar w:left="317" w:top="1407" w:right="339" w:bottom="1440" w:gutter="0" w:footer="0" w:header="0"/>
        </w:sectPr>
      </w:pPr>
    </w:p>
    <w:bookmarkStart w:id="188" w:name="page189"/>
    <w:bookmarkEnd w:id="188"/>
    <w:p>
      <w:pPr>
        <w:spacing w:after="0" w:line="2" w:lineRule="exact"/>
        <w:rPr>
          <w:sz w:val="20"/>
          <w:szCs w:val="20"/>
          <w:color w:val="auto"/>
        </w:rPr>
      </w:pPr>
    </w:p>
    <w:p>
      <w:pPr>
        <w:ind w:left="283" w:right="40" w:hanging="283"/>
        <w:spacing w:after="0" w:line="258" w:lineRule="auto"/>
        <w:tabs>
          <w:tab w:leader="none" w:pos="27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we were to seek to amend our amended and restated certificate of incorporation in a manner that alters or changes the powers, preferences or special rights of a class of 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spacing w:after="0" w:line="305"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amended and restated certificate of incorporation will not provide for cumulative voting for the election of directors.</w:t>
      </w:r>
    </w:p>
    <w:p>
      <w:pPr>
        <w:spacing w:after="0" w:line="145"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Upon the completion of this offering, we expect that the Voting Trust will control approximately % of the combined voting power of our common stock as a result of the shares of LT10 and LT50 common stock that will be contributed to it prior to the completion of this offering. Accordingly, the Voting Trust will, for the foreseeable future, have significant influence over our corporate management and affairs, and will be able to control virtually all matters requiring stockholder approval. The Voting Trust will be able to, subject to applicable law, elect all of the members of our board of directors and control actions to be taken by us and our board of directors, including amendments to our certificate of incorporation and bylaws, compensation matters and approval of significant corporate transactions, including mergers and sales of substantially all of our assets. The directors so elected will have the authority, subject to the terms of our indebtedness and applicable laws, rules and regulations, to issue additional stock, implement stock repurchase programs, declare dividends and make other decisions. This concentrated control will limit the ability of holders of our Class A common stock to influence corporate matters for the foreseeable future. For more information about the Voting Trust see “—The Voting Trust” below.</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Dividend rights</w:t>
      </w:r>
    </w:p>
    <w:p>
      <w:pPr>
        <w:spacing w:after="0" w:line="15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The holders of our Class A, LT10 and LT50 common stock are entitled to receive dividends if, as and when declared from time to time by our board of directors out of legally available funds. Subject to applicable law and the rights, if any, of the holders of any outstanding series of our preferred stock or any class or series having a preference over or the right to participate with the Class A, LT10 or LT50 common stock with respect to the payment of dividends in cash, our property or our shares of capital stock, dividends may be declared and paid on the shares of Class A, LT10 or LT50 common stock out of any assets of ours legally available therefore at such time and in such amounts as our board of directors shall determine; provided that if a dividend or distribution is paid in the form of Class A common stock, LT10 common stock or LT50 common stock, respectively (or in rights to acquire, or securities convertible into or exchangeable for, such shares), then holders of Class A common stock shall be entitled to receive shares of Class A common stock (or rights to acquire, or securities convertible into or exchangeable for, such shares), holders of LT10 common stock shall be entitled to receive shares of LT10 common stock (or rights to acquire, or securities convertible into or exchangeable for, such shares), and holders of Lt50 common stock shall be entitled to receive shares of LT50 common stock (or rights to acquire, or securities convertible into or exchangeable for, such shares), with holders of shares of Class A, LT10 and LT50 common stock receiving, on a per share basis, an identical number of shares of Class A, LT10 or LT50 common stock (or rights to acquire, or securities convertible into or exchangeable for, such shares, as the case may be), as applicable. Notwithstanding the foregoing, our board of directors may declare and we may pay a disparate dividend per share of Class A, LT10 or LT50 common stock (whether the disparity shall be in the amount of such dividend payable per share, the form in which such dividend is payable (whether it shall be payable in cash, shares of our capital stock, other of our securities or any combination of the foregoing), the timing of the payment or otherwise).</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6"/>
          <w:szCs w:val="16"/>
          <w:color w:val="auto"/>
        </w:rPr>
        <w:t>See the section titled “Dividend policy”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243"/>
          </w:cols>
          <w:pgMar w:left="317" w:top="1440" w:right="339" w:bottom="1440" w:gutter="0" w:footer="0" w:header="0"/>
        </w:sectPr>
      </w:pPr>
    </w:p>
    <w:bookmarkStart w:id="189" w:name="page190"/>
    <w:bookmarkEnd w:id="189"/>
    <w:p>
      <w:pPr>
        <w:spacing w:after="0"/>
        <w:rPr>
          <w:sz w:val="20"/>
          <w:szCs w:val="20"/>
          <w:color w:val="auto"/>
        </w:rPr>
      </w:pPr>
      <w:r>
        <w:rPr>
          <w:rFonts w:ascii="Arial" w:cs="Arial" w:eastAsia="Arial" w:hAnsi="Arial"/>
          <w:sz w:val="16"/>
          <w:szCs w:val="16"/>
          <w:b w:val="1"/>
          <w:bCs w:val="1"/>
          <w:i w:val="1"/>
          <w:iCs w:val="1"/>
          <w:color w:val="auto"/>
        </w:rPr>
        <w:t>Conversion and transfer</w:t>
      </w:r>
    </w:p>
    <w:p>
      <w:pPr>
        <w:spacing w:after="0" w:line="153"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Shares of our Class A common stock are not convertible. Each share of Class A common stock will be freely transferable, subject to compliance with any applicable lock-up, vesting requirements under our equity plans, laws, rules and regulations, and our post-IPO insider trading policy.</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Each share of our LT10 and LT50 common stock is convertible into one share of our Class A common stock at the option of the holder solely upon the satisfaction of and subject to certain requirements described in our amended and restated certificate of incorporation. Shares of LT10 and LT50 common stock may be sold or transferred only upon satisfaction of and subject to certain requirements described in our amended and restated certificate of incorporation. Each share of LT10 or LT50 common stock will automatically convert into one share of Class A common stock upon the occurrence of a transfer in accordance with such requirements unless such transfer is a "Non-Converting Transfer." A "Non-Converting Transfer" means a transfer (i) to the Voting Trust, (ii) in an LT Exchange (as defined below) or (iii) approved by the affirmative vote of a majority of the members of our board of directors. Our amended and restated certificate of incorporation will also permit a majority of the members of our board of directors to waive other requirements applicable to transfer or conversion of LT10 and LT50 common stock, including the notice period described below. Additionally, our amended and restated certificate of incorporation will provide that upon the death of a holder of LT10 and/or LT50 common stock, the transfer of the decedent's shares of LT10 and/or LT50 common stock to the decedent's estate will not be deemed a "transfer," and so will not be subject to the transfer requirements described in our amended and restated certificate of incorporation, and such shares will remain shares of LT10 and/or LT50 common stock. Any transfer of shares of LT10 or LT50 common stock not made in accordance with the requirements set forth in our amended and restated certificate of incorporation, unless such requirements are waived by the board of directors, will be void, and we will not treat the transferee in such a transaction as a holder of such shares for any purpose.</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If a holder proposes to convert or transfer any shares of LT10 or LT50 common stock, the holder (or the beneficial holder if such shares are held in the Voting Trust) must first provide written notice to us and a copy of such notice to the Trustees (the “Notice”). The notice period following delivery and receipt of the Notice for each share of LT10 and LT50 common stock shall be 10 months and 50 months, respectively. During the applicable notice period, the Trustees will attempt to identify a holder of shares of Class A common stock who is currently an employee of or other service provider to our company or one of our subsidiaries (a "Class A Transferor") interested in exchanging shares of Class A common stock held by the Class A Transferor for the shares of LT10, or LT50 common stock subject to the Notice, on a one-for-one basis (each, an “LT Exchange”). If a Class A Transferor is identified, the Trustees will provide written notice to the holder of shares of LT10 and/or LT50 common stock who is seeking to convert or transfer the shares of LT common stock specified in the Notice, the Class A Transferor and us, specifying the participants in the LT Exchange, the date on which the applicable notice period expires (the "notice Expiration Date"), and any applicable instructions to facilitate the LT Exchange. If the Class A Transferor is not a party to the Voting Trust Agreement, the Class A Transferor must become a party to the Voting Trust Agreement and the shares of LT10 and/or LT50 common stock subject to the LT Exchange will remain in the Voting Trust, and will not convert into shares of Class A common stock. The LT Exchange will be deemed effective immediately prior to the close of business on the first business day following the Notice Expiration Date, subject to extension by us of up to five days if necessary to effectuate the Exchange. If the Trustees are unable to identify a Class A Transferor to participate in an LT Exchange prior to the Notice Expiration Date, then the shares of LT10 or LT50 common stock subject to the Notice will be converted into shares of Class A common stock on a one-for-one basis immediately following the Notice Expiration Date, as set forth in the amended and restated certificate of incorporation. In the event of a sale or transfer, such shares of Class A common stock received in an LT Exchange or conversion will be the subject of such sale or transfer.</w:t>
      </w:r>
    </w:p>
    <w:p>
      <w:pPr>
        <w:spacing w:after="0" w:line="11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Our amended and restated certificate of incorporation will provide that, from and after the time that a holder of shares of LT10 or LT50 common stock is no longer an employee of or service provider to Expensify, we will have the right to submit a written notice of conversion on such former employee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240"/>
          </w:cols>
          <w:pgMar w:left="320" w:top="1422" w:right="339" w:bottom="1440" w:gutter="0" w:footer="0" w:header="0"/>
        </w:sectPr>
      </w:pPr>
    </w:p>
    <w:bookmarkStart w:id="190" w:name="page191"/>
    <w:bookmarkEnd w:id="190"/>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service provider's behalf, such that the shares of LT10 or LT50 common stock held by such former employee or service provider will be the subject of an LT Exchange or will convert into shares of Class A common stock following the applicable notice period.</w:t>
      </w:r>
    </w:p>
    <w:p>
      <w:pPr>
        <w:spacing w:after="0" w:line="101"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When all of the then-outstanding shares of LT10 and LT50 common stock represent, in the aggregate, less than 2% of all then-outstanding shares of common stock, each outstanding share of LT10 and LT50 common stock will automatically convert into one share of Class A common stock.</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Once converted into Class A common stock, the LT10 or LT50 common stock will not be reissued. Except for the issuance of shares of LT10 or LT50 common stock issuable in respect of any restricted stock unit outstanding immediately prior to the completion of this offering, a dividend payable in shares of LT10 or LT50 common stock as permitted by the amended and restated certificate of incorporation, or a reclassification, subdivision, or combination of such shares, we will not be permitted at any time after the completion of this offering to issue any additional shares of LT10 or LT50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 dissolution and winding Up</w:t>
      </w:r>
    </w:p>
    <w:p>
      <w:pPr>
        <w:spacing w:after="0" w:line="15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preemptive or similar rights</w:t>
      </w:r>
    </w:p>
    <w:p>
      <w:pPr>
        <w:spacing w:after="0" w:line="165"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Holders of shares of our common stock do not have preemptive, subscription or redemption rights. There will be no redemption or sinking fund provisions applicable to our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Fully paid and non-assessable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All of the outstanding shares of our Class A, LT10 and LT50 common stock are fully paid and non-assessable.</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Preferred stock</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Upon the completion of this offering and the effectiveness of our amended and restated certificate of incorporation that will become effective immediately</w:t>
      </w:r>
    </w:p>
    <w:p>
      <w:pPr>
        <w:spacing w:after="0" w:line="1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prior to the completion of this offering, the total of our authorized shares of preferred stock will be shares. Upon the completion of this offering, we will have no shares of preferred stock outstanding.</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Under the terms of our amended and restated certificate of incorporation that will become effective immediately prior to the completion of this offering, our board of directors is authorized to provide for the issuance of shares of preferred stock in one or more series without stockholder approval,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options</w:t>
      </w:r>
    </w:p>
    <w:p>
      <w:pPr>
        <w:spacing w:after="0" w:line="15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As of June 30, 2021, without giving effect to the exercise of options pursuant to the Option Exercise, we had outstanding options to purchase an aggregate of 856,523 shares of our common stock,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3"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weighted-average exercise price of $12.65 per share. For more information regarding the terms of our equity incentive plans, see “Executive and director compensation.”</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had no outstanding RSUs.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Warrants</w:t>
      </w:r>
    </w:p>
    <w:p>
      <w:pPr>
        <w:spacing w:after="0" w:line="152" w:lineRule="exact"/>
        <w:rPr>
          <w:sz w:val="20"/>
          <w:szCs w:val="20"/>
          <w:color w:val="auto"/>
        </w:rPr>
      </w:pPr>
    </w:p>
    <w:p>
      <w:pPr>
        <w:jc w:val="both"/>
        <w:ind w:right="140"/>
        <w:spacing w:after="0" w:line="258" w:lineRule="auto"/>
        <w:rPr>
          <w:sz w:val="20"/>
          <w:szCs w:val="20"/>
          <w:color w:val="auto"/>
        </w:rPr>
      </w:pPr>
      <w:r>
        <w:rPr>
          <w:rFonts w:ascii="Arial" w:cs="Arial" w:eastAsia="Arial" w:hAnsi="Arial"/>
          <w:sz w:val="16"/>
          <w:szCs w:val="16"/>
          <w:color w:val="auto"/>
        </w:rPr>
        <w:t>As of June 30, 2021, we had outstanding warrants to purchase 30,000 shares of our Class A common stock, with an exercise price of 0.683 per share, and 13,008 shares of our Class A common stock, with an exercise price of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Voting Trust</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Immediately prior to the effectiveness of the registration statement on Form S-1, of which this prospectus is a part, we consummated the Exchange Offer, pursuant to which all of our current employees and other service providers were offered the opportunity to exchange any common stock beneficially owned by such employee or service provider for newly issued shares of LT10 and/or LT50 common stock on a one-for-one basis, subject to certain limitations. Any shares not so exchanged remain shares of Class A common stock following this offering. All participants in the Exchange Offer were required to become parties to the Voting Trust Agreement, and all shares of LT10 and LT50 common stock issued in the Exchange Offer were irrevocably deposited in the Voting Trust. The transactions contemplated by the Exchange Offer and the Voting Trust Agreement are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From time to time following the completion of this offering, employees and other service providers may deposit additional voting securities of the company in the Voting Trust, including Class A common stock, and will enter into a joinder agreement to become a party to the Voting Trust Agreement if such employee is not then a party. In the event of an LT Exchange, or other Non-Converting Transfer, the shares of LT10 or LT50 common stock involved in such transfer will remain in the Voting Trust, and a transferee who is not already a party to the Voting Trust Agreement will become a party pursuant to a joinder agreement, unless the requirement to become a party is expressly waived in writing by a majority of the Trustees. A holder may not withdraw shares of LT10 or LT50 common stock from the Voting Trust. A holder who beneficially owns shares of Class A common stock held in the Voting Trust may withdraw some or all of such shares of Class A common stock upon 30 days' prior written notice to the Trustees, provided, however, that (i) any shares of Class A common stock received in connection with an LT Exchange that are held in the Voting Trust at the time of the LT Exchange may be immediately withdrawn from the Voting Trust, and (ii) Class A common stock stock resulting from the conversion of LT10 or LT50 common stock in accordance with our amended and restated certificate of incorporation shall be deemed withdrawn from the Voting Trust automatically at the time of conversion.</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initial Trustees of the Voting Trust will be David Barrett, our CEO, Ryan Schaffer, our CFO, and Jason Mills, our Chief Product Officer. 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shall be to offer the opportunity to serve as such Trustee to the holder of voting securities held by the Voting Trust who is then an employee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service provider to Expensify and beneficially owns voting securities with the highest voting power (other than the then-existing Trustees). The policy of the Trustees shall be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Under the Voting Trust Agreement, the Trustees will make all decisions with respect to the voting (but not the disposition) of the shares of common stock contributed to the Voting Trust in connection with the Exchange Offer, together with any future voting securities received in respect of such common stock by way of a stock dividend, distribution, conversion or exchange and any shares of common stock that may be contributed from time to time,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will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w:t>
      </w:r>
    </w:p>
    <w:p>
      <w:pPr>
        <w:spacing w:after="0" w:line="126" w:lineRule="exact"/>
        <w:rPr>
          <w:sz w:val="20"/>
          <w:szCs w:val="20"/>
          <w:color w:val="auto"/>
        </w:rPr>
      </w:pPr>
    </w:p>
    <w:p>
      <w:pPr>
        <w:jc w:val="both"/>
        <w:ind w:right="160"/>
        <w:spacing w:after="0" w:line="254" w:lineRule="auto"/>
        <w:rPr>
          <w:sz w:val="20"/>
          <w:szCs w:val="20"/>
          <w:color w:val="auto"/>
        </w:rPr>
      </w:pPr>
      <w:r>
        <w:rPr>
          <w:rFonts w:ascii="Arial" w:cs="Arial" w:eastAsia="Arial" w:hAnsi="Arial"/>
          <w:sz w:val="16"/>
          <w:szCs w:val="16"/>
          <w:color w:val="auto"/>
        </w:rPr>
        <w:t>Upon the completion of this offering, approximately shares of LT10 common stock and shares of LT50 common stock will be held directly by the Voting Trust, representing approximately % of the combined voting power and of the economic interest in us immediately following the</w:t>
      </w:r>
    </w:p>
    <w:p>
      <w:pPr>
        <w:ind w:right="260"/>
        <w:spacing w:after="0" w:line="268" w:lineRule="auto"/>
        <w:rPr>
          <w:sz w:val="20"/>
          <w:szCs w:val="20"/>
          <w:color w:val="auto"/>
        </w:rPr>
      </w:pPr>
      <w:r>
        <w:rPr>
          <w:rFonts w:ascii="Arial" w:cs="Arial" w:eastAsia="Arial" w:hAnsi="Arial"/>
          <w:sz w:val="16"/>
          <w:szCs w:val="16"/>
          <w:color w:val="auto"/>
        </w:rPr>
        <w:t>completion of this offering. Employees of ours who are not Trust Beneficiaries upon the completion of this offering may become parties to the Voting Trust Agreement under certain circumstances following the completion of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party to the Investors’ Rights Agreement that provides certain holders of our capital stock, including certain holders of at least 5% of our capital stock and entities affiliated with certain of our directors, with certain registration rights. The registration of shares of our common stock by the exercise of registration rights described below would enable the holders to sell these shares without restrictions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(a) the fifth anniversary of the completion of this offering or (b) with respect to any particular stockholder, such time as (i) such holder can sell all of its shares under Rule 144 of the Securities Act, or (ii) such stockholder holds less than 1% of our then-outstanding common stock and such stockholder can sell all of its shares under Rule 144 under the Securities Act during any three-month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1240"/>
          </w:cols>
          <w:pgMar w:left="320" w:top="1440" w:right="33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i w:val="1"/>
          <w:iCs w:val="1"/>
          <w:color w:val="auto"/>
        </w:rPr>
        <w:t>Demand registration rights</w:t>
      </w:r>
    </w:p>
    <w:p>
      <w:pPr>
        <w:spacing w:after="0" w:line="149" w:lineRule="exact"/>
        <w:rPr>
          <w:sz w:val="20"/>
          <w:szCs w:val="20"/>
          <w:color w:val="auto"/>
        </w:rPr>
      </w:pPr>
    </w:p>
    <w:p>
      <w:pPr>
        <w:spacing w:after="0"/>
        <w:tabs>
          <w:tab w:leader="none" w:pos="2780" w:val="left"/>
          <w:tab w:leader="none" w:pos="6420" w:val="left"/>
        </w:tabs>
        <w:rPr>
          <w:sz w:val="20"/>
          <w:szCs w:val="20"/>
          <w:color w:val="auto"/>
        </w:rPr>
      </w:pPr>
      <w:r>
        <w:rPr>
          <w:rFonts w:ascii="Arial" w:cs="Arial" w:eastAsia="Arial" w:hAnsi="Arial"/>
          <w:sz w:val="16"/>
          <w:szCs w:val="16"/>
          <w:color w:val="auto"/>
        </w:rPr>
        <w:t>The holders of an aggregate of</w:t>
      </w:r>
      <w:r>
        <w:rPr>
          <w:sz w:val="20"/>
          <w:szCs w:val="20"/>
          <w:color w:val="auto"/>
        </w:rPr>
        <w:tab/>
      </w:r>
      <w:r>
        <w:rPr>
          <w:rFonts w:ascii="Arial" w:cs="Arial" w:eastAsia="Arial" w:hAnsi="Arial"/>
          <w:sz w:val="16"/>
          <w:szCs w:val="16"/>
          <w:color w:val="auto"/>
        </w:rPr>
        <w:t>shares of our Class A common stock as of</w:t>
      </w:r>
      <w:r>
        <w:rPr>
          <w:sz w:val="20"/>
          <w:szCs w:val="20"/>
          <w:color w:val="auto"/>
        </w:rPr>
        <w:tab/>
      </w:r>
      <w:r>
        <w:rPr>
          <w:rFonts w:ascii="Arial" w:cs="Arial" w:eastAsia="Arial" w:hAnsi="Arial"/>
          <w:sz w:val="16"/>
          <w:szCs w:val="16"/>
          <w:color w:val="auto"/>
        </w:rPr>
        <w:t>, 2021 (after giving effect to sales by selling stockholders in this</w:t>
      </w:r>
    </w:p>
    <w:p>
      <w:pPr>
        <w:spacing w:after="0" w:line="1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offering, assuming no exercise of the underwriters’ option to purchase additional shares from the selling stockholders) will be entitled to certain demand registration rights. At any time beginning 180 days after the effective date of the registration statement, of which this prospectus is a part, such holders are entitled to registration rights under the Investors’ Rights Agreement, on not more than two occasions, provided that such request for registration must cover shares with an anticipated aggregate offering price, net of underwriting discounts and commissions, of at least $10 million.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Piggyback registration rights</w:t>
      </w:r>
    </w:p>
    <w:p>
      <w:pPr>
        <w:spacing w:after="0" w:line="161" w:lineRule="exact"/>
        <w:rPr>
          <w:sz w:val="20"/>
          <w:szCs w:val="20"/>
          <w:color w:val="auto"/>
        </w:rPr>
      </w:pPr>
    </w:p>
    <w:p>
      <w:pPr>
        <w:spacing w:after="0"/>
        <w:tabs>
          <w:tab w:leader="none" w:pos="5000" w:val="left"/>
          <w:tab w:leader="none" w:pos="8680" w:val="left"/>
        </w:tabs>
        <w:rPr>
          <w:sz w:val="20"/>
          <w:szCs w:val="20"/>
          <w:color w:val="auto"/>
        </w:rPr>
      </w:pPr>
      <w:r>
        <w:rPr>
          <w:rFonts w:ascii="Arial" w:cs="Arial" w:eastAsia="Arial" w:hAnsi="Arial"/>
          <w:sz w:val="16"/>
          <w:szCs w:val="16"/>
          <w:color w:val="auto"/>
        </w:rPr>
        <w:t>In connection with this offering, the holders of an aggregate of</w:t>
      </w:r>
      <w:r>
        <w:rPr>
          <w:sz w:val="20"/>
          <w:szCs w:val="20"/>
          <w:color w:val="auto"/>
        </w:rPr>
        <w:tab/>
      </w:r>
      <w:r>
        <w:rPr>
          <w:rFonts w:ascii="Arial" w:cs="Arial" w:eastAsia="Arial" w:hAnsi="Arial"/>
          <w:sz w:val="16"/>
          <w:szCs w:val="16"/>
          <w:color w:val="auto"/>
        </w:rPr>
        <w:t>shares of our Class A common stock, as of</w:t>
      </w:r>
      <w:r>
        <w:rPr>
          <w:sz w:val="20"/>
          <w:szCs w:val="20"/>
          <w:color w:val="auto"/>
        </w:rPr>
        <w:tab/>
      </w:r>
      <w:r>
        <w:rPr>
          <w:rFonts w:ascii="Arial" w:cs="Arial" w:eastAsia="Arial" w:hAnsi="Arial"/>
          <w:sz w:val="16"/>
          <w:szCs w:val="16"/>
          <w:color w:val="auto"/>
        </w:rPr>
        <w:t>, 2021 were entitled to their rights</w:t>
      </w:r>
    </w:p>
    <w:p>
      <w:pPr>
        <w:spacing w:after="0" w:line="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 S-3 registration rights</w:t>
      </w:r>
    </w:p>
    <w:p>
      <w:pPr>
        <w:spacing w:after="0" w:line="161" w:lineRule="exact"/>
        <w:rPr>
          <w:sz w:val="20"/>
          <w:szCs w:val="20"/>
          <w:color w:val="auto"/>
        </w:rPr>
      </w:pPr>
    </w:p>
    <w:p>
      <w:pPr>
        <w:spacing w:after="0"/>
        <w:tabs>
          <w:tab w:leader="none" w:pos="2780" w:val="left"/>
          <w:tab w:leader="none" w:pos="6140" w:val="left"/>
        </w:tabs>
        <w:rPr>
          <w:sz w:val="20"/>
          <w:szCs w:val="20"/>
          <w:color w:val="auto"/>
        </w:rPr>
      </w:pPr>
      <w:r>
        <w:rPr>
          <w:rFonts w:ascii="Arial" w:cs="Arial" w:eastAsia="Arial" w:hAnsi="Arial"/>
          <w:sz w:val="16"/>
          <w:szCs w:val="16"/>
          <w:color w:val="auto"/>
        </w:rPr>
        <w:t>The holders of an aggregate of</w:t>
      </w:r>
      <w:r>
        <w:rPr>
          <w:sz w:val="20"/>
          <w:szCs w:val="20"/>
          <w:color w:val="auto"/>
        </w:rPr>
        <w:tab/>
      </w:r>
      <w:r>
        <w:rPr>
          <w:rFonts w:ascii="Arial" w:cs="Arial" w:eastAsia="Arial" w:hAnsi="Arial"/>
          <w:sz w:val="16"/>
          <w:szCs w:val="16"/>
          <w:color w:val="auto"/>
        </w:rPr>
        <w:t>shares of Class A common stock as of</w:t>
      </w:r>
      <w:r>
        <w:rPr>
          <w:sz w:val="20"/>
          <w:szCs w:val="20"/>
          <w:color w:val="auto"/>
        </w:rPr>
        <w:tab/>
      </w:r>
      <w:r>
        <w:rPr>
          <w:rFonts w:ascii="Arial" w:cs="Arial" w:eastAsia="Arial" w:hAnsi="Arial"/>
          <w:sz w:val="16"/>
          <w:szCs w:val="16"/>
          <w:color w:val="auto"/>
        </w:rPr>
        <w:t>(after giving effect to sales by selling stockholders in this offering,</w:t>
      </w:r>
    </w:p>
    <w:p>
      <w:pPr>
        <w:spacing w:after="0" w:line="1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assuming no exercise of the underwriters’ option to purchase additional shares from the selling stockholders) will be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of such shares, net of underwriting discounts and commissions, is at least $3 million, subject to exceptions set forth in the Investors’ Rights Agreement.</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Forum selection</w:t>
      </w:r>
    </w:p>
    <w:p>
      <w:pPr>
        <w:spacing w:after="0" w:line="15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amended and restated certificate of incorporation will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the federal district courts of the United States will, to the fullest extent permitted by law, be the sole and exclusive forum for the resolution of any complaint asserting a cause of action arising under the Securities Act; and (iii) any person or entity purchasing or otherwise acquiring or holding any interest in shares of capital stock of the company will be deemed to have notice of and consented to these provisions. Nothing in our current certificate of incorporation or bylaws or our amended and restated certificate of incorporation or amended and restated bylaws precludes stockholders that assert claims under the Exchange Act, from bringing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1240"/>
          </w:cols>
          <w:pgMar w:left="320" w:top="1426" w:right="339" w:bottom="1440" w:gutter="0" w:footer="0" w:header="0"/>
        </w:sectPr>
      </w:pPr>
    </w:p>
    <w:bookmarkStart w:id="194" w:name="page195"/>
    <w:bookmarkEnd w:id="194"/>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such claims in federal court to the extent that the Exchange Act confers exclusive federal jurisdiction over such claims, subject to applicable law.</w:t>
      </w:r>
    </w:p>
    <w:p>
      <w:pPr>
        <w:spacing w:after="0" w:line="133"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Anti-takeover provisions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amended and restated certificate of incorporation and amended and restated bylaws, as they will be in effect immediately prior to the completion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Section 203 of the DGCL</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Multi-series stock</w:t>
      </w:r>
    </w:p>
    <w:p>
      <w:pPr>
        <w:spacing w:after="0" w:line="153"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As described above in the subsection titled “Common Stock—Voting,” our amended and restated certificate of incorporation will provide for a multi-class stock structure, which will provide our executive officers, employees and the Trustees with significant influence over all matters requiring stockholder approval, including the election of directors and significant corporate transactions, such as a merger or other sale of our company or its assets.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Undesignated preferred stock</w:t>
      </w:r>
    </w:p>
    <w:p>
      <w:pPr>
        <w:spacing w:after="0" w:line="165"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ability to authorize undesignated preferred stock will make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amended and restated certificate of incorporation will provide that from and after the date the Voting Trust holds less than a majority of the voting power of our capital stock, no action may be taken by our stockholders by consent. Our amended and restated certificate of incorporation will also provide that a special meeting of stockholders may only be called by our board of directors, the chairperson of our board of directors, our chief executive officer or, for so long as the Voting Trust holds at least a majority of the voting power of our capital stock, the holders of a majority of the total voting power of the outstanding shares of our capital stock, thus limiting the ability of a stockholder to call a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1220"/>
          </w:cols>
          <w:pgMar w:left="320" w:top="1440" w:right="359" w:bottom="1440" w:gutter="0" w:footer="0" w:header="0"/>
        </w:sectPr>
      </w:pPr>
    </w:p>
    <w:bookmarkStart w:id="195" w:name="page196"/>
    <w:bookmarkEnd w:id="195"/>
    <w:p>
      <w:pPr>
        <w:spacing w:after="0"/>
        <w:rPr>
          <w:sz w:val="20"/>
          <w:szCs w:val="20"/>
          <w:color w:val="auto"/>
        </w:rPr>
      </w:pPr>
      <w:r>
        <w:rPr>
          <w:rFonts w:ascii="Arial" w:cs="Arial" w:eastAsia="Arial" w:hAnsi="Arial"/>
          <w:sz w:val="16"/>
          <w:szCs w:val="16"/>
          <w:b w:val="1"/>
          <w:bCs w:val="1"/>
          <w:i w:val="1"/>
          <w:iCs w:val="1"/>
          <w:color w:val="auto"/>
        </w:rPr>
        <w:t>Advance notice requirements for stockholder proposals and director nominations</w:t>
      </w:r>
    </w:p>
    <w:p>
      <w:pPr>
        <w:spacing w:after="0" w:line="153"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Election and removal of directors; filling vacancies</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Because our stockholders do not have cumulative voting rights, our stockholders holding a majority of the voting power of the then outstanding capital stock will be able to elect all of our directors. Our amended and restated certificate of incorporation will provide for the removal of any of our directors at any time, with or without cause, by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of certificate of incorporation or bylaws</w:t>
      </w:r>
    </w:p>
    <w:p>
      <w:pPr>
        <w:spacing w:after="0" w:line="165"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Upon completion of this offering, our bylaws may be amended or repealed by our board of directors or by the affirmative vote of the holders a majority in voting power of the outstanding shares of stock entitled to vote generally in the election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liability and indemnification of and advancement of expenses to officers and directors</w:t>
      </w:r>
    </w:p>
    <w:p>
      <w:pPr>
        <w:spacing w:after="0" w:line="152"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For a discussion of the limitation on liability and indemnification, see the section titled “Management— Limitations on liability and indemnification of and advancement of expenses to officers and directors.”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registrar</w:t>
      </w:r>
    </w:p>
    <w:p>
      <w:pPr>
        <w:spacing w:after="0" w:line="164" w:lineRule="exact"/>
        <w:rPr>
          <w:sz w:val="20"/>
          <w:szCs w:val="20"/>
          <w:color w:val="auto"/>
        </w:rPr>
      </w:pPr>
    </w:p>
    <w:p>
      <w:pPr>
        <w:spacing w:after="0"/>
        <w:tabs>
          <w:tab w:leader="none" w:pos="4980" w:val="left"/>
          <w:tab w:leader="none" w:pos="8700" w:val="left"/>
        </w:tabs>
        <w:rPr>
          <w:sz w:val="20"/>
          <w:szCs w:val="20"/>
          <w:color w:val="auto"/>
        </w:rPr>
      </w:pPr>
      <w:r>
        <w:rPr>
          <w:rFonts w:ascii="Arial" w:cs="Arial" w:eastAsia="Arial" w:hAnsi="Arial"/>
          <w:sz w:val="16"/>
          <w:szCs w:val="16"/>
          <w:color w:val="auto"/>
        </w:rPr>
        <w:t>The transfer agent and registrar for our common stock is</w:t>
      </w:r>
      <w:r>
        <w:rPr>
          <w:sz w:val="20"/>
          <w:szCs w:val="20"/>
          <w:color w:val="auto"/>
        </w:rPr>
        <w:tab/>
      </w:r>
      <w:r>
        <w:rPr>
          <w:rFonts w:ascii="Arial" w:cs="Arial" w:eastAsia="Arial" w:hAnsi="Arial"/>
          <w:sz w:val="16"/>
          <w:szCs w:val="16"/>
          <w:color w:val="auto"/>
        </w:rPr>
        <w:t>. The transfer agent and registrar’s address is</w:t>
      </w:r>
      <w:r>
        <w:rPr>
          <w:sz w:val="20"/>
          <w:szCs w:val="20"/>
          <w:color w:val="auto"/>
        </w:rPr>
        <w:tab/>
      </w:r>
      <w:r>
        <w:rPr>
          <w:rFonts w:ascii="Arial" w:cs="Arial" w:eastAsia="Arial" w:hAnsi="Arial"/>
          <w:sz w:val="14"/>
          <w:szCs w:val="14"/>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Listing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We have applied to list our Class A common stock on Nasdaq under the symbol “EXFY.”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1140"/>
          </w:cols>
          <w:pgMar w:left="320" w:top="1422" w:right="439" w:bottom="1440" w:gutter="0" w:footer="0" w:header="0"/>
        </w:sectPr>
      </w:pPr>
    </w:p>
    <w:bookmarkStart w:id="196" w:name="page197"/>
    <w:bookmarkEnd w:id="196"/>
    <w:p>
      <w:pPr>
        <w:spacing w:after="0"/>
        <w:rPr>
          <w:sz w:val="20"/>
          <w:szCs w:val="20"/>
          <w:color w:val="auto"/>
        </w:rPr>
      </w:pPr>
      <w:r>
        <w:rPr>
          <w:rFonts w:ascii="Arial" w:cs="Arial" w:eastAsia="Arial" w:hAnsi="Arial"/>
          <w:sz w:val="26"/>
          <w:szCs w:val="26"/>
          <w:b w:val="1"/>
          <w:bCs w:val="1"/>
          <w:color w:val="auto"/>
        </w:rPr>
        <w:t>Shares eligible for future sale</w:t>
      </w:r>
    </w:p>
    <w:p>
      <w:pPr>
        <w:spacing w:after="0" w:line="296"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Prior to this offering, there has been no public market for our Class A common stock, and a liquid trading market for our Class A common stock may not develop or be sustained after this offering. Sales of substantial amounts of our Class A common stock in the public market after this offering, or the perception that such sales could occur, could adversely affect the trading price of our Class A common stock and may make it more difficult for you to sell your Class A common stock at a time and price that you deem appropriate.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Upon the completion of this offering, based on the number of shares of our common stock outstanding as of June 30, 2021, we will have a total of</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gridSpan w:val="4"/>
          </w:tcPr>
          <w:p>
            <w:pPr>
              <w:spacing w:after="0"/>
              <w:rPr>
                <w:sz w:val="20"/>
                <w:szCs w:val="20"/>
                <w:color w:val="auto"/>
              </w:rPr>
            </w:pPr>
            <w:r>
              <w:rPr>
                <w:rFonts w:ascii="Arial" w:cs="Arial" w:eastAsia="Arial" w:hAnsi="Arial"/>
                <w:sz w:val="16"/>
                <w:szCs w:val="16"/>
                <w:color w:val="auto"/>
              </w:rPr>
              <w:t>shares of our Class A common stock (or</w:t>
            </w:r>
          </w:p>
        </w:tc>
        <w:tc>
          <w:tcPr>
            <w:tcW w:w="8040" w:type="dxa"/>
            <w:vAlign w:val="bottom"/>
            <w:gridSpan w:val="4"/>
          </w:tcPr>
          <w:p>
            <w:pPr>
              <w:ind w:left="160"/>
              <w:spacing w:after="0"/>
              <w:rPr>
                <w:sz w:val="20"/>
                <w:szCs w:val="20"/>
                <w:color w:val="auto"/>
              </w:rPr>
            </w:pPr>
            <w:r>
              <w:rPr>
                <w:rFonts w:ascii="Arial" w:cs="Arial" w:eastAsia="Arial" w:hAnsi="Arial"/>
                <w:sz w:val="16"/>
                <w:szCs w:val="16"/>
                <w:color w:val="auto"/>
              </w:rPr>
              <w:t>shares if the underwriters exercise their option to purchase additional shares of Class A common stock in</w:t>
            </w:r>
          </w:p>
        </w:tc>
      </w:tr>
      <w:tr>
        <w:trPr>
          <w:trHeight w:val="195"/>
        </w:trPr>
        <w:tc>
          <w:tcPr>
            <w:tcW w:w="580" w:type="dxa"/>
            <w:vAlign w:val="bottom"/>
          </w:tcPr>
          <w:p>
            <w:pPr>
              <w:spacing w:after="0"/>
              <w:rPr>
                <w:sz w:val="20"/>
                <w:szCs w:val="20"/>
                <w:color w:val="auto"/>
              </w:rPr>
            </w:pPr>
            <w:r>
              <w:rPr>
                <w:rFonts w:ascii="Arial" w:cs="Arial" w:eastAsia="Arial" w:hAnsi="Arial"/>
                <w:sz w:val="16"/>
                <w:szCs w:val="16"/>
                <w:color w:val="auto"/>
              </w:rPr>
              <w:t>full),</w:t>
            </w:r>
          </w:p>
        </w:tc>
        <w:tc>
          <w:tcPr>
            <w:tcW w:w="3020" w:type="dxa"/>
            <w:vAlign w:val="bottom"/>
            <w:gridSpan w:val="4"/>
          </w:tcPr>
          <w:p>
            <w:pPr>
              <w:ind w:left="260"/>
              <w:spacing w:after="0"/>
              <w:rPr>
                <w:sz w:val="20"/>
                <w:szCs w:val="20"/>
                <w:color w:val="auto"/>
              </w:rPr>
            </w:pPr>
            <w:r>
              <w:rPr>
                <w:rFonts w:ascii="Arial" w:cs="Arial" w:eastAsia="Arial" w:hAnsi="Arial"/>
                <w:sz w:val="16"/>
                <w:szCs w:val="16"/>
                <w:color w:val="auto"/>
              </w:rPr>
              <w:t>shares of our LT10 common stock and</w:t>
            </w:r>
          </w:p>
        </w:tc>
        <w:tc>
          <w:tcPr>
            <w:tcW w:w="46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6"/>
                <w:szCs w:val="16"/>
                <w:color w:val="auto"/>
              </w:rPr>
              <w:t>shares of our LT50 common stock outstanding, assuming (i) the conversion of all outstanding</w:t>
            </w:r>
          </w:p>
        </w:tc>
      </w:tr>
      <w:tr>
        <w:trPr>
          <w:trHeight w:val="195"/>
        </w:trPr>
        <w:tc>
          <w:tcPr>
            <w:tcW w:w="4060" w:type="dxa"/>
            <w:vAlign w:val="bottom"/>
            <w:gridSpan w:val="6"/>
          </w:tcPr>
          <w:p>
            <w:pPr>
              <w:spacing w:after="0"/>
              <w:rPr>
                <w:sz w:val="20"/>
                <w:szCs w:val="20"/>
                <w:color w:val="auto"/>
              </w:rPr>
            </w:pPr>
            <w:r>
              <w:rPr>
                <w:rFonts w:ascii="Arial" w:cs="Arial" w:eastAsia="Arial" w:hAnsi="Arial"/>
                <w:sz w:val="16"/>
                <w:szCs w:val="16"/>
                <w:color w:val="auto"/>
              </w:rPr>
              <w:t>shares of our preferred stock on a one-for-one basis into</w:t>
            </w:r>
          </w:p>
        </w:tc>
        <w:tc>
          <w:tcPr>
            <w:tcW w:w="7160" w:type="dxa"/>
            <w:vAlign w:val="bottom"/>
            <w:gridSpan w:val="2"/>
          </w:tcPr>
          <w:p>
            <w:pPr>
              <w:ind w:left="520"/>
              <w:spacing w:after="0"/>
              <w:rPr>
                <w:sz w:val="20"/>
                <w:szCs w:val="20"/>
                <w:color w:val="auto"/>
              </w:rPr>
            </w:pPr>
            <w:r>
              <w:rPr>
                <w:rFonts w:ascii="Arial" w:cs="Arial" w:eastAsia="Arial" w:hAnsi="Arial"/>
                <w:sz w:val="16"/>
                <w:szCs w:val="16"/>
                <w:color w:val="auto"/>
              </w:rPr>
              <w:t>shares of our Class A common stock, (ii) the reclassification of all outstanding shares of our</w:t>
            </w:r>
          </w:p>
        </w:tc>
      </w:tr>
      <w:tr>
        <w:trPr>
          <w:trHeight w:val="195"/>
        </w:trPr>
        <w:tc>
          <w:tcPr>
            <w:tcW w:w="3180" w:type="dxa"/>
            <w:vAlign w:val="bottom"/>
            <w:gridSpan w:val="4"/>
          </w:tcPr>
          <w:p>
            <w:pPr>
              <w:spacing w:after="0"/>
              <w:rPr>
                <w:sz w:val="20"/>
                <w:szCs w:val="20"/>
                <w:color w:val="auto"/>
              </w:rPr>
            </w:pPr>
            <w:r>
              <w:rPr>
                <w:rFonts w:ascii="Arial" w:cs="Arial" w:eastAsia="Arial" w:hAnsi="Arial"/>
                <w:sz w:val="16"/>
                <w:szCs w:val="16"/>
                <w:color w:val="auto"/>
              </w:rPr>
              <w:t>common stock on a one-for-one basis into</w:t>
            </w:r>
          </w:p>
        </w:tc>
        <w:tc>
          <w:tcPr>
            <w:tcW w:w="4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shares of our Class A common stock, based on</w:t>
            </w:r>
          </w:p>
        </w:tc>
        <w:tc>
          <w:tcPr>
            <w:tcW w:w="3820" w:type="dxa"/>
            <w:vAlign w:val="bottom"/>
          </w:tcPr>
          <w:p>
            <w:pPr>
              <w:ind w:left="60"/>
              <w:spacing w:after="0"/>
              <w:rPr>
                <w:sz w:val="20"/>
                <w:szCs w:val="20"/>
                <w:color w:val="auto"/>
              </w:rPr>
            </w:pPr>
            <w:r>
              <w:rPr>
                <w:rFonts w:ascii="Arial" w:cs="Arial" w:eastAsia="Arial" w:hAnsi="Arial"/>
                <w:sz w:val="16"/>
                <w:szCs w:val="16"/>
                <w:color w:val="auto"/>
              </w:rPr>
              <w:t>shares of common stock outstanding as of June 30,</w:t>
            </w:r>
          </w:p>
        </w:tc>
      </w:tr>
      <w:tr>
        <w:trPr>
          <w:trHeight w:val="195"/>
        </w:trPr>
        <w:tc>
          <w:tcPr>
            <w:tcW w:w="1960" w:type="dxa"/>
            <w:vAlign w:val="bottom"/>
            <w:gridSpan w:val="2"/>
          </w:tcPr>
          <w:p>
            <w:pPr>
              <w:spacing w:after="0"/>
              <w:rPr>
                <w:sz w:val="20"/>
                <w:szCs w:val="20"/>
                <w:color w:val="auto"/>
              </w:rPr>
            </w:pPr>
            <w:r>
              <w:rPr>
                <w:rFonts w:ascii="Arial" w:cs="Arial" w:eastAsia="Arial" w:hAnsi="Arial"/>
                <w:sz w:val="16"/>
                <w:szCs w:val="16"/>
                <w:color w:val="auto"/>
              </w:rPr>
              <w:t>2021, (iii) the issuance of</w:t>
            </w:r>
          </w:p>
        </w:tc>
        <w:tc>
          <w:tcPr>
            <w:tcW w:w="5440" w:type="dxa"/>
            <w:vAlign w:val="bottom"/>
            <w:gridSpan w:val="5"/>
          </w:tcPr>
          <w:p>
            <w:pPr>
              <w:ind w:left="300"/>
              <w:spacing w:after="0"/>
              <w:rPr>
                <w:sz w:val="20"/>
                <w:szCs w:val="20"/>
                <w:color w:val="auto"/>
              </w:rPr>
            </w:pPr>
            <w:r>
              <w:rPr>
                <w:rFonts w:ascii="Arial" w:cs="Arial" w:eastAsia="Arial" w:hAnsi="Arial"/>
                <w:sz w:val="16"/>
                <w:szCs w:val="16"/>
                <w:color w:val="auto"/>
              </w:rPr>
              <w:t>shares of our Class A common stock in connection with the exercise of</w:t>
            </w:r>
          </w:p>
        </w:tc>
        <w:tc>
          <w:tcPr>
            <w:tcW w:w="3820" w:type="dxa"/>
            <w:vAlign w:val="bottom"/>
          </w:tcPr>
          <w:p>
            <w:pPr>
              <w:ind w:left="520"/>
              <w:spacing w:after="0"/>
              <w:rPr>
                <w:sz w:val="20"/>
                <w:szCs w:val="20"/>
                <w:color w:val="auto"/>
              </w:rPr>
            </w:pPr>
            <w:r>
              <w:rPr>
                <w:rFonts w:ascii="Arial" w:cs="Arial" w:eastAsia="Arial" w:hAnsi="Arial"/>
                <w:sz w:val="16"/>
                <w:szCs w:val="16"/>
                <w:color w:val="auto"/>
              </w:rPr>
              <w:t>stock options pursuant to the Option Exercise,</w:t>
            </w:r>
          </w:p>
        </w:tc>
      </w:tr>
      <w:tr>
        <w:trPr>
          <w:trHeight w:val="195"/>
        </w:trPr>
        <w:tc>
          <w:tcPr>
            <w:tcW w:w="1960" w:type="dxa"/>
            <w:vAlign w:val="bottom"/>
            <w:gridSpan w:val="2"/>
          </w:tcPr>
          <w:p>
            <w:pPr>
              <w:spacing w:after="0"/>
              <w:rPr>
                <w:sz w:val="20"/>
                <w:szCs w:val="20"/>
                <w:color w:val="auto"/>
              </w:rPr>
            </w:pPr>
            <w:r>
              <w:rPr>
                <w:rFonts w:ascii="Arial" w:cs="Arial" w:eastAsia="Arial" w:hAnsi="Arial"/>
                <w:sz w:val="16"/>
                <w:szCs w:val="16"/>
                <w:color w:val="auto"/>
              </w:rPr>
              <w:t>and (iv) the issuance of</w:t>
            </w:r>
          </w:p>
        </w:tc>
        <w:tc>
          <w:tcPr>
            <w:tcW w:w="660" w:type="dxa"/>
            <w:vAlign w:val="bottom"/>
          </w:tcPr>
          <w:p>
            <w:pPr>
              <w:ind w:left="160"/>
              <w:spacing w:after="0"/>
              <w:rPr>
                <w:sz w:val="20"/>
                <w:szCs w:val="20"/>
                <w:color w:val="auto"/>
              </w:rPr>
            </w:pPr>
            <w:r>
              <w:rPr>
                <w:rFonts w:ascii="Arial" w:cs="Arial" w:eastAsia="Arial" w:hAnsi="Arial"/>
                <w:sz w:val="16"/>
                <w:szCs w:val="16"/>
                <w:color w:val="auto"/>
              </w:rPr>
              <w:t>and</w:t>
            </w:r>
          </w:p>
        </w:tc>
        <w:tc>
          <w:tcPr>
            <w:tcW w:w="4780" w:type="dxa"/>
            <w:vAlign w:val="bottom"/>
            <w:gridSpan w:val="4"/>
          </w:tcPr>
          <w:p>
            <w:pPr>
              <w:ind w:left="220"/>
              <w:spacing w:after="0"/>
              <w:rPr>
                <w:sz w:val="20"/>
                <w:szCs w:val="20"/>
                <w:color w:val="auto"/>
              </w:rPr>
            </w:pPr>
            <w:r>
              <w:rPr>
                <w:rFonts w:ascii="Arial" w:cs="Arial" w:eastAsia="Arial" w:hAnsi="Arial"/>
                <w:sz w:val="16"/>
                <w:szCs w:val="16"/>
                <w:color w:val="auto"/>
              </w:rPr>
              <w:t>shares of our LT10 and LT50 common stock in exchange for</w:t>
            </w:r>
          </w:p>
        </w:tc>
        <w:tc>
          <w:tcPr>
            <w:tcW w:w="3820" w:type="dxa"/>
            <w:vAlign w:val="bottom"/>
          </w:tcPr>
          <w:p>
            <w:pPr>
              <w:ind w:left="220"/>
              <w:spacing w:after="0"/>
              <w:rPr>
                <w:sz w:val="20"/>
                <w:szCs w:val="20"/>
                <w:color w:val="auto"/>
              </w:rPr>
            </w:pPr>
            <w:r>
              <w:rPr>
                <w:rFonts w:ascii="Arial" w:cs="Arial" w:eastAsia="Arial" w:hAnsi="Arial"/>
                <w:sz w:val="16"/>
                <w:szCs w:val="16"/>
                <w:color w:val="auto"/>
              </w:rPr>
              <w:t>shares of Class A common stock pursuant to the</w:t>
            </w:r>
          </w:p>
        </w:tc>
      </w:tr>
    </w:tbl>
    <w:p>
      <w:pPr>
        <w:ind w:right="100"/>
        <w:spacing w:after="0" w:line="258" w:lineRule="auto"/>
        <w:rPr>
          <w:sz w:val="20"/>
          <w:szCs w:val="20"/>
          <w:color w:val="auto"/>
        </w:rPr>
      </w:pPr>
      <w:r>
        <w:rPr>
          <w:rFonts w:ascii="Arial" w:cs="Arial" w:eastAsia="Arial" w:hAnsi="Arial"/>
          <w:sz w:val="16"/>
          <w:szCs w:val="16"/>
          <w:color w:val="auto"/>
        </w:rPr>
        <w:t>completion of the Exchange Offer. Of these shares, all of the Class A common stock sold in this offering by us or the selling stockholders, plus any shares sold by us or the selling stockholders upon exercise, if any, of the underwriters’ option to purchase shares of Class A common stock, will be freely tradeable in the public market without restriction or further registration under the Securities Act, unless these shares are purchased by one of our “affiliates,” as that term is defined in Rule 144 under the Securities Act (“Rule 144”).</w:t>
      </w:r>
    </w:p>
    <w:p>
      <w:pPr>
        <w:spacing w:after="0" w:line="110"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remaining shares of Class A, LT10 and LT50 common stock will be, and shares of Class A and common stock underlying outstanding RSUs, or subject to stock options will be on issuance, deemed “restricted securities,” as defined in Rule 144. Restricted securities may be sold in the public market only if they are registered or if they qualify for an exemption from registration under Rule 144 or Rule 701 under the Securities Act (“Rule 701”), which rules are summarized below.</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Rule 144</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w:t>
      </w:r>
    </w:p>
    <w:p>
      <w:pPr>
        <w:spacing w:after="0" w:line="111"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ectPr>
          <w:pgSz w:w="11900" w:h="16838" w:orient="portrait"/>
          <w:cols w:equalWidth="0" w:num="1">
            <w:col w:w="11240"/>
          </w:cols>
          <w:pgMar w:left="320" w:top="1407" w:right="3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hanging="3"/>
        <w:spacing w:after="0" w:line="268" w:lineRule="auto"/>
        <w:rPr>
          <w:sz w:val="20"/>
          <w:szCs w:val="20"/>
          <w:color w:val="auto"/>
        </w:rPr>
      </w:pPr>
      <w:r>
        <w:rPr>
          <w:rFonts w:ascii="Arial" w:cs="Arial" w:eastAsia="Arial" w:hAnsi="Arial"/>
          <w:sz w:val="16"/>
          <w:szCs w:val="16"/>
          <w:color w:val="auto"/>
        </w:rPr>
        <w:t>1% of the number of shares of our Class A common stock then outstanding, which will equal approximately of this offering; or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 completion</w:t>
      </w:r>
    </w:p>
    <w:p>
      <w:pPr>
        <w:spacing w:after="0" w:line="426" w:lineRule="exact"/>
        <w:rPr>
          <w:sz w:val="20"/>
          <w:szCs w:val="20"/>
          <w:color w:val="auto"/>
        </w:rPr>
      </w:pPr>
    </w:p>
    <w:p>
      <w:pPr>
        <w:sectPr>
          <w:pgSz w:w="11900" w:h="16838" w:orient="portrait"/>
          <w:cols w:equalWidth="0" w:num="3">
            <w:col w:w="60" w:space="220"/>
            <w:col w:w="7680" w:space="400"/>
            <w:col w:w="2880"/>
          </w:cols>
          <w:pgMar w:left="320" w:top="14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1240"/>
          </w:cols>
          <w:pgMar w:left="320" w:top="1407" w:right="339" w:bottom="1440" w:gutter="0" w:footer="0" w:header="0"/>
          <w:type w:val="continuous"/>
        </w:sectPr>
      </w:pPr>
    </w:p>
    <w:bookmarkStart w:id="197" w:name="page198"/>
    <w:bookmarkEnd w:id="197"/>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hanging="3"/>
        <w:spacing w:after="0" w:line="268" w:lineRule="auto"/>
        <w:rPr>
          <w:sz w:val="20"/>
          <w:szCs w:val="20"/>
          <w:color w:val="auto"/>
        </w:rPr>
      </w:pPr>
      <w:r>
        <w:rPr>
          <w:rFonts w:ascii="Arial" w:cs="Arial" w:eastAsia="Arial" w:hAnsi="Arial"/>
          <w:sz w:val="16"/>
          <w:szCs w:val="16"/>
          <w:color w:val="auto"/>
        </w:rPr>
        <w:t>the average weekly trading volume of our Class A common stock on the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during the four calendar weeks preceding the filing of a notice on Form</w:t>
      </w:r>
    </w:p>
    <w:p>
      <w:pPr>
        <w:spacing w:after="0" w:line="327" w:lineRule="exact"/>
        <w:rPr>
          <w:sz w:val="20"/>
          <w:szCs w:val="20"/>
          <w:color w:val="auto"/>
        </w:rPr>
      </w:pPr>
    </w:p>
    <w:p>
      <w:pPr>
        <w:sectPr>
          <w:pgSz w:w="11900" w:h="16838" w:orient="portrait"/>
          <w:cols w:equalWidth="0" w:num="3">
            <w:col w:w="63" w:space="220"/>
            <w:col w:w="5160" w:space="460"/>
            <w:col w:w="5340"/>
          </w:cols>
          <w:pgMar w:left="317" w:top="1440" w:right="339" w:bottom="1440" w:gutter="0" w:footer="0" w:header="0"/>
        </w:sectPr>
      </w:pPr>
    </w:p>
    <w:p>
      <w:pPr>
        <w:ind w:left="3" w:right="440"/>
        <w:spacing w:after="0" w:line="268" w:lineRule="auto"/>
        <w:rPr>
          <w:sz w:val="20"/>
          <w:szCs w:val="20"/>
          <w:color w:val="auto"/>
        </w:rPr>
      </w:pPr>
      <w:r>
        <w:rPr>
          <w:rFonts w:ascii="Arial" w:cs="Arial" w:eastAsia="Arial" w:hAnsi="Arial"/>
          <w:sz w:val="16"/>
          <w:szCs w:val="16"/>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Rule 701</w:t>
      </w:r>
    </w:p>
    <w:p>
      <w:pPr>
        <w:spacing w:after="0" w:line="164" w:lineRule="exact"/>
        <w:rPr>
          <w:sz w:val="20"/>
          <w:szCs w:val="20"/>
          <w:color w:val="auto"/>
        </w:rPr>
      </w:pPr>
    </w:p>
    <w:p>
      <w:pPr>
        <w:ind w:left="3" w:right="100"/>
        <w:spacing w:after="0" w:line="255"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Lock-up agreements and other transfer restrictions</w:t>
      </w:r>
    </w:p>
    <w:p>
      <w:pPr>
        <w:spacing w:after="0" w:line="164"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We, our officers and directors and substantially all of our security holders have agreed or will agree that, without the prior written consent of J.P. Morgan Securities LLC, as representative of the underwriters, we and they will not, among other things, subject to certain exceptions, during the period ending 180 days after the date of this prospectus, subject to earlier termination as described below (such period, the "restricted period"):</w:t>
      </w:r>
    </w:p>
    <w:p>
      <w:pPr>
        <w:spacing w:after="0" w:line="118" w:lineRule="exact"/>
        <w:rPr>
          <w:sz w:val="20"/>
          <w:szCs w:val="20"/>
          <w:color w:val="auto"/>
        </w:rPr>
      </w:pPr>
    </w:p>
    <w:p>
      <w:pPr>
        <w:ind w:left="283" w:right="500" w:hanging="283"/>
        <w:spacing w:after="0" w:line="268" w:lineRule="auto"/>
        <w:tabs>
          <w:tab w:leader="none" w:pos="27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offer, pledge, sell,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100"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enter into any hedging, swap or other agreement or transaction that transfers, in whole or in part, any of the economic consequences of ownership of our common stock or any securities convertible into or exercisable or exchangeable for shares of our common stock; or</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publicly disclose the intent to do any of the foregoing,</w:t>
      </w:r>
    </w:p>
    <w:p>
      <w:pPr>
        <w:spacing w:after="0" w:line="145" w:lineRule="exact"/>
        <w:rPr>
          <w:sz w:val="20"/>
          <w:szCs w:val="20"/>
          <w:color w:val="auto"/>
        </w:rPr>
      </w:pPr>
    </w:p>
    <w:p>
      <w:pPr>
        <w:ind w:left="3" w:right="1520"/>
        <w:spacing w:after="0" w:line="420" w:lineRule="auto"/>
        <w:rPr>
          <w:sz w:val="20"/>
          <w:szCs w:val="20"/>
          <w:color w:val="auto"/>
        </w:rPr>
      </w:pPr>
      <w:r>
        <w:rPr>
          <w:rFonts w:ascii="Arial" w:cs="Arial" w:eastAsia="Arial" w:hAnsi="Arial"/>
          <w:sz w:val="16"/>
          <w:szCs w:val="16"/>
          <w:color w:val="auto"/>
        </w:rPr>
        <w:t>whether any transaction described above is to be settled by delivery of our common stock or such other securities, in cash or otherwise. Notwithstanding the foregoing,</w:t>
      </w:r>
    </w:p>
    <w:p>
      <w:pPr>
        <w:spacing w:after="0" w:line="2" w:lineRule="exact"/>
        <w:rPr>
          <w:sz w:val="20"/>
          <w:szCs w:val="20"/>
          <w:color w:val="auto"/>
        </w:rPr>
      </w:pPr>
    </w:p>
    <w:p>
      <w:pPr>
        <w:ind w:left="283" w:hanging="283"/>
        <w:spacing w:after="0"/>
        <w:tabs>
          <w:tab w:leader="none" w:pos="28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the holder is a current employee of our company or our subsidiaries (including current contractor, consultant or other service provider but excluding</w:t>
      </w:r>
    </w:p>
    <w:p>
      <w:pPr>
        <w:spacing w:after="0" w:line="11" w:lineRule="exact"/>
        <w:rPr>
          <w:sz w:val="20"/>
          <w:szCs w:val="20"/>
          <w:color w:val="auto"/>
        </w:rPr>
      </w:pPr>
    </w:p>
    <w:p>
      <w:pPr>
        <w:ind w:left="283"/>
        <w:spacing w:after="0"/>
        <w:rPr>
          <w:sz w:val="20"/>
          <w:szCs w:val="20"/>
          <w:color w:val="auto"/>
        </w:rPr>
      </w:pPr>
      <w:r>
        <w:rPr>
          <w:rFonts w:ascii="Arial" w:cs="Arial" w:eastAsia="Arial" w:hAnsi="Arial"/>
          <w:sz w:val="16"/>
          <w:szCs w:val="16"/>
          <w:color w:val="auto"/>
        </w:rPr>
        <w:t>any of our directors, director nominees or officers), 15% of that holder's securities shall not be subject to a lock-up agreement or other transfer</w:t>
      </w:r>
    </w:p>
    <w:p>
      <w:pPr>
        <w:spacing w:after="0" w:line="11" w:lineRule="exact"/>
        <w:rPr>
          <w:sz w:val="20"/>
          <w:szCs w:val="20"/>
          <w:color w:val="auto"/>
        </w:rPr>
      </w:pPr>
    </w:p>
    <w:p>
      <w:pPr>
        <w:ind w:left="283"/>
        <w:spacing w:after="0"/>
        <w:tabs>
          <w:tab w:leader="none" w:pos="5622" w:val="left"/>
        </w:tabs>
        <w:rPr>
          <w:sz w:val="20"/>
          <w:szCs w:val="20"/>
          <w:color w:val="auto"/>
        </w:rPr>
      </w:pPr>
      <w:r>
        <w:rPr>
          <w:rFonts w:ascii="Arial" w:cs="Arial" w:eastAsia="Arial" w:hAnsi="Arial"/>
          <w:sz w:val="16"/>
          <w:szCs w:val="16"/>
          <w:color w:val="auto"/>
        </w:rPr>
        <w:t>restrictions (in the aggregate, this will represent up to approximately</w:t>
      </w:r>
      <w:r>
        <w:rPr>
          <w:sz w:val="20"/>
          <w:szCs w:val="20"/>
          <w:color w:val="auto"/>
        </w:rPr>
        <w:tab/>
      </w:r>
      <w:r>
        <w:rPr>
          <w:rFonts w:ascii="Arial" w:cs="Arial" w:eastAsia="Arial" w:hAnsi="Arial"/>
          <w:sz w:val="16"/>
          <w:szCs w:val="16"/>
          <w:color w:val="auto"/>
        </w:rPr>
        <w:t>shares); and</w:t>
      </w:r>
    </w:p>
    <w:p>
      <w:pPr>
        <w:spacing w:after="0" w:line="145" w:lineRule="exact"/>
        <w:rPr>
          <w:sz w:val="20"/>
          <w:szCs w:val="20"/>
          <w:color w:val="auto"/>
        </w:rPr>
      </w:pPr>
    </w:p>
    <w:p>
      <w:pPr>
        <w:ind w:left="283" w:right="60" w:hanging="283"/>
        <w:spacing w:after="0" w:line="257" w:lineRule="auto"/>
        <w:tabs>
          <w:tab w:leader="none" w:pos="27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if (i) at least 120 days have elapsed since the date of this prospectus, and (ii) the 180-day restricted period is scheduled to end during a broadly applicable period during which trading in our securities would not be permitted under our insider trading policy, or a blackout period, or within five trading days prior to a blackout period, the restricted period shall end ten trading days prior to the commencement of the blackout period, provided that at least two trading days in advance of the blackout-related release, we shall announce the date of the expected blackout-related release through a major news service or on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1243"/>
          </w:cols>
          <w:pgMar w:left="317" w:top="1440" w:right="339" w:bottom="1440" w:gutter="0" w:footer="0" w:header="0"/>
          <w:type w:val="continuous"/>
        </w:sectPr>
      </w:pPr>
    </w:p>
    <w:bookmarkStart w:id="198" w:name="page199"/>
    <w:bookmarkEnd w:id="198"/>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Upon the expiration of the applicable lock-up periods, substantially all of the shares of Class A common stock subject to such lock-up restrictions will become eligible for sale, subject to the limitations discussed. Shares of our LT10 and LT50 common stock will remain subject to the transfer restrictions contained in our charter, as described under “Description of capital stock— Common stock—Conversion and transfer.”</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statements on form S-8</w:t>
      </w:r>
    </w:p>
    <w:p>
      <w:pPr>
        <w:spacing w:after="0" w:line="164"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the offer and sale of all shares of Class A common stock reserved for issuance under our 2021 Plan. Shares covered by such registration statement will be eligible for sale in the public market, subject to the Rule 144 limitations and vesting restrictions.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152"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Upon the completion of this offering, the holders of up to shares of our Class A common stock (assuming no exercise of the underwriters’ option to purchase additional shares from the selling stockholders) as of , 2021 will be entitled to certain rights with respect to the registration of the offer and</w:t>
      </w:r>
    </w:p>
    <w:p>
      <w:pPr>
        <w:ind w:right="340"/>
        <w:spacing w:after="0" w:line="261" w:lineRule="auto"/>
        <w:rPr>
          <w:sz w:val="20"/>
          <w:szCs w:val="20"/>
          <w:color w:val="auto"/>
        </w:rPr>
      </w:pPr>
      <w:r>
        <w:rPr>
          <w:rFonts w:ascii="Arial" w:cs="Arial" w:eastAsia="Arial" w:hAnsi="Arial"/>
          <w:sz w:val="16"/>
          <w:szCs w:val="16"/>
          <w:color w:val="auto"/>
        </w:rPr>
        <w:t>sale of their shares under the Securities Act. Registration of these shares under the Securities Act would result in the shares becoming freely tradable without restriction under the Securities Act immediately on the effectiveness of the registration. See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1240"/>
          </w:cols>
          <w:pgMar w:left="320" w:top="1440" w:right="339" w:bottom="1440" w:gutter="0" w:footer="0" w:header="0"/>
        </w:sectPr>
      </w:pPr>
    </w:p>
    <w:bookmarkStart w:id="199" w:name="page200"/>
    <w:bookmarkEnd w:id="199"/>
    <w:p>
      <w:pPr>
        <w:ind w:left="3"/>
        <w:spacing w:after="0"/>
        <w:rPr>
          <w:sz w:val="20"/>
          <w:szCs w:val="20"/>
          <w:color w:val="auto"/>
        </w:rPr>
      </w:pPr>
      <w:r>
        <w:rPr>
          <w:rFonts w:ascii="Arial" w:cs="Arial" w:eastAsia="Arial" w:hAnsi="Arial"/>
          <w:sz w:val="26"/>
          <w:szCs w:val="26"/>
          <w:b w:val="1"/>
          <w:bCs w:val="1"/>
          <w:color w:val="auto"/>
        </w:rPr>
        <w:t>Material U.S. federal income tax consequences to Non-U.S. Holders</w:t>
      </w:r>
    </w:p>
    <w:p>
      <w:pPr>
        <w:spacing w:after="0" w:line="296"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318"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10" w:lineRule="exact"/>
        <w:rPr>
          <w:sz w:val="20"/>
          <w:szCs w:val="20"/>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U.S. expatriates and former citizens or long-term residents of the United States;</w:t>
      </w:r>
    </w:p>
    <w:p>
      <w:pPr>
        <w:spacing w:after="0" w:line="144"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persons holding our Class A common stock as part of a hedge, straddle, synthetic security, or other risk reduction strategy or as part of a conversion transaction or other integrated investment;</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banks, insurance companies, and other financial institutions;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brokers, dealers, or traders in securities;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persons deemed to sell our Class A common stock under the constructive sale provisions of the Code;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in exchange or in conversion of shares of LT10 or LT50 common stock;</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tax-qualified retirement plans; and</w:t>
      </w:r>
    </w:p>
    <w:p>
      <w:pPr>
        <w:spacing w:after="0" w:line="144" w:lineRule="exact"/>
        <w:rPr>
          <w:rFonts w:ascii="Arial" w:cs="Arial" w:eastAsia="Arial" w:hAnsi="Arial"/>
          <w:sz w:val="16"/>
          <w:szCs w:val="16"/>
          <w:color w:val="auto"/>
        </w:rPr>
      </w:pPr>
    </w:p>
    <w:p>
      <w:pPr>
        <w:ind w:left="283" w:right="60" w:hanging="283"/>
        <w:spacing w:after="0" w:line="268" w:lineRule="auto"/>
        <w:tabs>
          <w:tab w:leader="none" w:pos="27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“qualified foreign pension funds” as defined in Section 897(l)(2) of the Code and entities all of the interests of which are held by qualified foreign pension funds.</w:t>
      </w:r>
    </w:p>
    <w:p>
      <w:pPr>
        <w:spacing w:after="0" w:line="101" w:lineRule="exact"/>
        <w:rPr>
          <w:sz w:val="20"/>
          <w:szCs w:val="20"/>
          <w:color w:val="auto"/>
        </w:rPr>
      </w:pPr>
    </w:p>
    <w:p>
      <w:pPr>
        <w:ind w:left="3" w:right="360"/>
        <w:spacing w:after="0" w:line="261" w:lineRule="auto"/>
        <w:rPr>
          <w:sz w:val="20"/>
          <w:szCs w:val="20"/>
          <w:color w:val="auto"/>
        </w:rPr>
      </w:pPr>
      <w:r>
        <w:rPr>
          <w:rFonts w:ascii="Arial" w:cs="Arial" w:eastAsia="Arial" w:hAnsi="Arial"/>
          <w:sz w:val="16"/>
          <w:szCs w:val="16"/>
          <w:color w:val="auto"/>
        </w:rPr>
        <w:t>If an entity or arrangement treated as a partnership for U.S. federal income tax purposes holds our Class A common stock, the U.S. federal income tax treatment of a partner in the partnership will depend on the status of the partner, the activities of the partnership, and certain determinations made at the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1243"/>
          </w:cols>
          <w:pgMar w:left="317" w:top="1407" w:right="339" w:bottom="1440" w:gutter="0" w:footer="0" w:header="0"/>
        </w:sectPr>
      </w:pPr>
    </w:p>
    <w:bookmarkStart w:id="200" w:name="page201"/>
    <w:bookmarkEnd w:id="200"/>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level. Accordingly, partnerships holding our Class A common stock and the partners in such partnerships should consult their tax advisors regarding the U.S.</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federal income tax consequences to them.</w:t>
      </w:r>
    </w:p>
    <w:p>
      <w:pPr>
        <w:spacing w:after="0" w:line="113" w:lineRule="exact"/>
        <w:rPr>
          <w:sz w:val="20"/>
          <w:szCs w:val="20"/>
          <w:color w:val="auto"/>
        </w:rPr>
      </w:pPr>
    </w:p>
    <w:p>
      <w:pPr>
        <w:ind w:left="3" w:right="60"/>
        <w:spacing w:after="0" w:line="264"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Definition of a Non-U.S. Holder</w:t>
      </w:r>
    </w:p>
    <w:p>
      <w:pPr>
        <w:spacing w:after="0" w:line="164"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106" w:lineRule="exact"/>
        <w:rPr>
          <w:sz w:val="20"/>
          <w:szCs w:val="20"/>
          <w:color w:val="auto"/>
        </w:rPr>
      </w:pPr>
    </w:p>
    <w:p>
      <w:pPr>
        <w:ind w:left="283" w:hanging="283"/>
        <w:spacing w:after="0"/>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corporation created or organized under the laws of the United States, any state thereof, or the District of Columbia;</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132" w:lineRule="exact"/>
        <w:rPr>
          <w:rFonts w:ascii="Arial" w:cs="Arial" w:eastAsia="Arial" w:hAnsi="Arial"/>
          <w:sz w:val="16"/>
          <w:szCs w:val="16"/>
          <w:color w:val="auto"/>
        </w:rPr>
      </w:pPr>
    </w:p>
    <w:p>
      <w:pPr>
        <w:ind w:left="283" w:right="40" w:hanging="283"/>
        <w:spacing w:after="0" w:line="268" w:lineRule="auto"/>
        <w:tabs>
          <w:tab w:leader="none" w:pos="27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Distributions</w:t>
      </w:r>
    </w:p>
    <w:p>
      <w:pPr>
        <w:spacing w:after="0" w:line="164"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09"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Subject to the discussion below on effectively connected income, backup withholding and Sections 1471 to 1474 of the Code (such Sections commonly referred to as the Foreign Account Tax Compliance Act, or "FATCA"),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 -U.S.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8"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1243"/>
          </w:cols>
          <w:pgMar w:left="317" w:top="1440" w:right="339" w:bottom="1440" w:gutter="0" w:footer="0" w:header="0"/>
        </w:sectPr>
      </w:pPr>
    </w:p>
    <w:bookmarkStart w:id="201" w:name="page202"/>
    <w:bookmarkEnd w:id="201"/>
    <w:p>
      <w:pPr>
        <w:spacing w:after="0" w:line="3"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06" w:lineRule="exact"/>
        <w:rPr>
          <w:sz w:val="20"/>
          <w:szCs w:val="20"/>
          <w:color w:val="auto"/>
        </w:rPr>
      </w:pPr>
    </w:p>
    <w:p>
      <w:pPr>
        <w:jc w:val="both"/>
        <w:ind w:left="3" w:right="140"/>
        <w:spacing w:after="0" w:line="258" w:lineRule="auto"/>
        <w:rPr>
          <w:sz w:val="20"/>
          <w:szCs w:val="20"/>
          <w:color w:val="auto"/>
        </w:rPr>
      </w:pPr>
      <w:r>
        <w:rPr>
          <w:rFonts w:ascii="Arial" w:cs="Arial" w:eastAsia="Arial" w:hAnsi="Arial"/>
          <w:sz w:val="16"/>
          <w:szCs w:val="16"/>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Sale or other taxable disposition</w:t>
      </w:r>
    </w:p>
    <w:p>
      <w:pPr>
        <w:spacing w:after="0" w:line="164" w:lineRule="exact"/>
        <w:rPr>
          <w:sz w:val="20"/>
          <w:szCs w:val="20"/>
          <w:color w:val="auto"/>
        </w:rPr>
      </w:pPr>
    </w:p>
    <w:p>
      <w:pPr>
        <w:ind w:left="3" w:right="280"/>
        <w:spacing w:after="0" w:line="268" w:lineRule="auto"/>
        <w:rPr>
          <w:sz w:val="20"/>
          <w:szCs w:val="20"/>
          <w:color w:val="auto"/>
        </w:rPr>
      </w:pPr>
      <w:r>
        <w:rPr>
          <w:rFonts w:ascii="Arial" w:cs="Arial" w:eastAsia="Arial" w:hAnsi="Arial"/>
          <w:sz w:val="16"/>
          <w:szCs w:val="16"/>
          <w:color w:val="auto"/>
        </w:rPr>
        <w:t>Subject to the discussions below regarding backup withholding and FATCA, a Non-U.S. Holder will generally not be subject to U.S. federal income tax on any gain realized upon the sale or other taxable disposition of our Class A common stock unless:</w:t>
      </w:r>
    </w:p>
    <w:p>
      <w:pPr>
        <w:spacing w:after="0" w:line="101" w:lineRule="exact"/>
        <w:rPr>
          <w:sz w:val="20"/>
          <w:szCs w:val="20"/>
          <w:color w:val="auto"/>
        </w:rPr>
      </w:pPr>
    </w:p>
    <w:p>
      <w:pPr>
        <w:ind w:left="283" w:right="320" w:hanging="283"/>
        <w:spacing w:after="0" w:line="268" w:lineRule="auto"/>
        <w:tabs>
          <w:tab w:leader="none" w:pos="27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61"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present in the United States for 183 days or more during the taxable year of the disposition and certain other requirements are met; or</w:t>
      </w:r>
    </w:p>
    <w:p>
      <w:pPr>
        <w:spacing w:after="0" w:line="112" w:lineRule="exact"/>
        <w:rPr>
          <w:rFonts w:ascii="Arial" w:cs="Arial" w:eastAsia="Arial" w:hAnsi="Arial"/>
          <w:sz w:val="16"/>
          <w:szCs w:val="16"/>
          <w:color w:val="auto"/>
        </w:rPr>
      </w:pPr>
    </w:p>
    <w:p>
      <w:pPr>
        <w:ind w:left="283" w:right="620" w:hanging="283"/>
        <w:spacing w:after="0" w:line="268" w:lineRule="auto"/>
        <w:tabs>
          <w:tab w:leader="none" w:pos="27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our Class A common stock constitutes a U.S. real property interest (“USRPI”) by reason of our status as a U.S. real property holding corporation (“USRPHC”) for U.S. federal income tax purposes.</w:t>
      </w:r>
    </w:p>
    <w:p>
      <w:pPr>
        <w:spacing w:after="0" w:line="101" w:lineRule="exact"/>
        <w:rPr>
          <w:sz w:val="20"/>
          <w:szCs w:val="20"/>
          <w:color w:val="auto"/>
        </w:rPr>
      </w:pPr>
    </w:p>
    <w:p>
      <w:pPr>
        <w:jc w:val="both"/>
        <w:ind w:left="3" w:right="60"/>
        <w:spacing w:after="0" w:line="26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rates applicable to U.S. persons. A Non-U.S. Holder that is a corporation also may be subject to an additional branch profits tax at a rate of 30% (or such lower rate specified by an applicable income tax treaty) on such effectively connected gain, as adjusted for certain items.</w:t>
      </w:r>
    </w:p>
    <w:p>
      <w:pPr>
        <w:spacing w:after="0" w:line="118"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 -U.S. Holder (even though the individual is not considered a resident of the United States), provided the Non-U.S. Holder has timely filed U.S. federal income tax returns with respect to such losses.</w:t>
      </w:r>
    </w:p>
    <w:p>
      <w:pPr>
        <w:spacing w:after="0" w:line="122"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12" w:lineRule="exact"/>
        <w:rPr>
          <w:sz w:val="20"/>
          <w:szCs w:val="20"/>
          <w:color w:val="auto"/>
        </w:rPr>
      </w:pPr>
    </w:p>
    <w:p>
      <w:pPr>
        <w:ind w:left="3"/>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Information reporting and backup withholding</w:t>
      </w:r>
    </w:p>
    <w:p>
      <w:pPr>
        <w:spacing w:after="0" w:line="164" w:lineRule="exact"/>
        <w:rPr>
          <w:sz w:val="20"/>
          <w:szCs w:val="20"/>
          <w:color w:val="auto"/>
        </w:rPr>
      </w:pPr>
    </w:p>
    <w:p>
      <w:pPr>
        <w:ind w:left="3" w:right="340"/>
        <w:spacing w:after="0" w:line="268" w:lineRule="auto"/>
        <w:rPr>
          <w:sz w:val="20"/>
          <w:szCs w:val="20"/>
          <w:color w:val="auto"/>
        </w:rPr>
      </w:pPr>
      <w:r>
        <w:rPr>
          <w:rFonts w:ascii="Arial" w:cs="Arial" w:eastAsia="Arial" w:hAnsi="Arial"/>
          <w:sz w:val="16"/>
          <w:szCs w:val="16"/>
          <w:color w:val="auto"/>
        </w:rPr>
        <w:t>Payments of dividends on our Class A common stock will not be subject to backup withholding, provided the applicable withholding agent does not have actual knowledge or reason to know the holder is a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1243"/>
          </w:cols>
          <w:pgMar w:left="317" w:top="1440" w:right="339" w:bottom="1440" w:gutter="0" w:footer="0" w:header="0"/>
        </w:sectPr>
      </w:pPr>
    </w:p>
    <w:bookmarkStart w:id="202" w:name="page203"/>
    <w:bookmarkEnd w:id="202"/>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11"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withholding tax on payments made to foreign accounts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Withholding taxes may be imposed under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7" w:lineRule="exact"/>
        <w:rPr>
          <w:sz w:val="20"/>
          <w:szCs w:val="20"/>
          <w:color w:val="auto"/>
        </w:rPr>
      </w:pPr>
    </w:p>
    <w:p>
      <w:pPr>
        <w:jc w:val="both"/>
        <w:ind w:right="120"/>
        <w:spacing w:after="0" w:line="258"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22"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1240"/>
          </w:cols>
          <w:pgMar w:left="320" w:top="1440" w:right="339" w:bottom="1440" w:gutter="0" w:footer="0" w:header="0"/>
        </w:sectPr>
      </w:pPr>
    </w:p>
    <w:bookmarkStart w:id="203" w:name="page204"/>
    <w:bookmarkEnd w:id="203"/>
    <w:p>
      <w:pPr>
        <w:spacing w:after="0"/>
        <w:rPr>
          <w:sz w:val="20"/>
          <w:szCs w:val="20"/>
          <w:color w:val="auto"/>
        </w:rPr>
      </w:pPr>
      <w:r>
        <w:rPr>
          <w:rFonts w:ascii="Arial" w:cs="Arial" w:eastAsia="Arial" w:hAnsi="Arial"/>
          <w:sz w:val="26"/>
          <w:szCs w:val="26"/>
          <w:b w:val="1"/>
          <w:bCs w:val="1"/>
          <w:color w:val="auto"/>
        </w:rPr>
        <w:t>Underwriting</w:t>
      </w:r>
    </w:p>
    <w:p>
      <w:pPr>
        <w:spacing w:after="0" w:line="29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and the selling stockholders are offering the shares of common stock described in this prospectus through a number of underwriters. J.P. Morgan Securities LLC, Citigroup Global Markets Inc. and BofA Securities, Inc.are acting as joint book-running managers of the offering and as representatives of the underwriters. We and the selling stockholders have entered into an underwriting agreement with the representative.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14565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51" w:lineRule="exact"/>
        <w:rPr>
          <w:sz w:val="20"/>
          <w:szCs w:val="20"/>
          <w:color w:val="auto"/>
        </w:rPr>
      </w:pPr>
    </w:p>
    <w:p>
      <w:pPr>
        <w:ind w:left="20"/>
        <w:spacing w:after="0"/>
        <w:tabs>
          <w:tab w:leader="none" w:pos="9900" w:val="left"/>
        </w:tabs>
        <w:rPr>
          <w:sz w:val="20"/>
          <w:szCs w:val="20"/>
          <w:color w:val="auto"/>
        </w:rPr>
      </w:pPr>
      <w:r>
        <w:rPr>
          <w:rFonts w:ascii="Arial" w:cs="Arial" w:eastAsia="Arial" w:hAnsi="Arial"/>
          <w:sz w:val="13"/>
          <w:szCs w:val="13"/>
          <w:b w:val="1"/>
          <w:bCs w:val="1"/>
          <w:color w:val="auto"/>
        </w:rPr>
        <w:t>Name</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45655" cy="139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J.P. Morgan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JMP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wp:posOffset>
            </wp:positionV>
            <wp:extent cx="71456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15240</wp:posOffset>
            </wp:positionV>
            <wp:extent cx="99758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97585" cy="7620"/>
                    </a:xfrm>
                    <a:prstGeom prst="rect">
                      <a:avLst/>
                    </a:prstGeom>
                    <a:noFill/>
                  </pic:spPr>
                </pic:pic>
              </a:graphicData>
            </a:graphic>
          </wp:anchor>
        </w:drawing>
      </w:r>
    </w:p>
    <w:p>
      <w:pPr>
        <w:spacing w:after="0" w:line="25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underwriters are committed to purchase all the shares of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propose to offer the common stock directly to the public at the initial public offering price set forth on the cover page of this prospectus and</w:t>
      </w:r>
    </w:p>
    <w:p>
      <w:pPr>
        <w:spacing w:after="0" w:line="11"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to certain dealers at that price less a concession not in excess of $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spacing w:after="0" w:line="106"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w:t>
      </w:r>
    </w:p>
    <w:p>
      <w:pPr>
        <w:spacing w:after="0" w:line="11" w:lineRule="exact"/>
        <w:rPr>
          <w:sz w:val="20"/>
          <w:szCs w:val="20"/>
          <w:color w:val="auto"/>
        </w:rPr>
      </w:pPr>
    </w:p>
    <w:p>
      <w:pPr>
        <w:spacing w:after="0"/>
        <w:tabs>
          <w:tab w:leader="none" w:pos="2680" w:val="left"/>
        </w:tabs>
        <w:rPr>
          <w:sz w:val="20"/>
          <w:szCs w:val="20"/>
          <w:color w:val="auto"/>
        </w:rPr>
      </w:pPr>
      <w:r>
        <w:rPr>
          <w:rFonts w:ascii="Arial" w:cs="Arial" w:eastAsia="Arial" w:hAnsi="Arial"/>
          <w:sz w:val="16"/>
          <w:szCs w:val="16"/>
          <w:color w:val="auto"/>
        </w:rPr>
        <w:t>stock. The underwriting fee is $</w:t>
      </w:r>
      <w:r>
        <w:rPr>
          <w:sz w:val="20"/>
          <w:szCs w:val="20"/>
          <w:color w:val="auto"/>
        </w:rPr>
        <w:tab/>
      </w:r>
      <w:r>
        <w:rPr>
          <w:rFonts w:ascii="Arial" w:cs="Arial" w:eastAsia="Arial" w:hAnsi="Arial"/>
          <w:sz w:val="16"/>
          <w:szCs w:val="16"/>
          <w:color w:val="auto"/>
        </w:rPr>
        <w:t>per share. The following table shows the per share and total underwriting discounts and commissions to be paid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1200"/>
          </w:cols>
          <w:pgMar w:left="320" w:top="1407" w:right="379" w:bottom="1440" w:gutter="0" w:footer="0" w:header="0"/>
        </w:sectPr>
      </w:pPr>
    </w:p>
    <w:bookmarkStart w:id="204" w:name="page205"/>
    <w:bookmarkEnd w:id="204"/>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and the selling stockholders to the underwriters assuming both no exercise and full exercise of the underwriters’ option to purchase additional shares from us.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center"/>
              <w:ind w:right="400"/>
              <w:spacing w:after="0"/>
              <w:rPr>
                <w:sz w:val="20"/>
                <w:szCs w:val="20"/>
                <w:color w:val="auto"/>
              </w:rPr>
            </w:pPr>
            <w:r>
              <w:rPr>
                <w:rFonts w:ascii="Arial" w:cs="Arial" w:eastAsia="Arial" w:hAnsi="Arial"/>
                <w:sz w:val="13"/>
                <w:szCs w:val="13"/>
                <w:b w:val="1"/>
                <w:bCs w:val="1"/>
                <w:color w:val="auto"/>
                <w:w w:val="99"/>
              </w:rPr>
              <w:t>Paid by us without</w:t>
            </w:r>
          </w:p>
        </w:tc>
        <w:tc>
          <w:tcPr>
            <w:tcW w:w="15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Paid by us with full</w:t>
            </w: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3"/>
          </w:tcPr>
          <w:p>
            <w:pPr>
              <w:jc w:val="center"/>
              <w:ind w:right="400"/>
              <w:spacing w:after="0" w:line="122" w:lineRule="exact"/>
              <w:rPr>
                <w:sz w:val="20"/>
                <w:szCs w:val="20"/>
                <w:color w:val="auto"/>
              </w:rPr>
            </w:pPr>
            <w:r>
              <w:rPr>
                <w:rFonts w:ascii="Arial" w:cs="Arial" w:eastAsia="Arial" w:hAnsi="Arial"/>
                <w:sz w:val="13"/>
                <w:szCs w:val="13"/>
                <w:b w:val="1"/>
                <w:bCs w:val="1"/>
                <w:color w:val="auto"/>
              </w:rPr>
              <w:t>option to purchase</w:t>
            </w:r>
          </w:p>
        </w:tc>
        <w:tc>
          <w:tcPr>
            <w:tcW w:w="15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9"/>
              </w:rPr>
              <w:t>option to purchase</w:t>
            </w:r>
          </w:p>
        </w:tc>
        <w:tc>
          <w:tcPr>
            <w:tcW w:w="1580" w:type="dxa"/>
            <w:vAlign w:val="bottom"/>
            <w:vMerge w:val="restart"/>
          </w:tcPr>
          <w:p>
            <w:pPr>
              <w:jc w:val="right"/>
              <w:ind w:right="147"/>
              <w:spacing w:after="0"/>
              <w:rPr>
                <w:sz w:val="20"/>
                <w:szCs w:val="20"/>
                <w:color w:val="auto"/>
              </w:rPr>
            </w:pPr>
            <w:r>
              <w:rPr>
                <w:rFonts w:ascii="Arial" w:cs="Arial" w:eastAsia="Arial" w:hAnsi="Arial"/>
                <w:sz w:val="13"/>
                <w:szCs w:val="13"/>
                <w:b w:val="1"/>
                <w:bCs w:val="1"/>
                <w:color w:val="auto"/>
              </w:rPr>
              <w:t>Paid by the selling</w:t>
            </w:r>
          </w:p>
        </w:tc>
        <w:tc>
          <w:tcPr>
            <w:tcW w:w="0" w:type="dxa"/>
            <w:vAlign w:val="bottom"/>
          </w:tcPr>
          <w:p>
            <w:pPr>
              <w:spacing w:after="0"/>
              <w:rPr>
                <w:sz w:val="1"/>
                <w:szCs w:val="1"/>
                <w:color w:val="auto"/>
              </w:rPr>
            </w:pPr>
          </w:p>
        </w:tc>
      </w:tr>
      <w:tr>
        <w:trPr>
          <w:trHeight w:val="122"/>
        </w:trPr>
        <w:tc>
          <w:tcPr>
            <w:tcW w:w="6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3"/>
          </w:tcPr>
          <w:p>
            <w:pPr>
              <w:jc w:val="center"/>
              <w:ind w:right="400"/>
              <w:spacing w:after="0" w:line="122" w:lineRule="exact"/>
              <w:rPr>
                <w:sz w:val="20"/>
                <w:szCs w:val="20"/>
                <w:color w:val="auto"/>
              </w:rPr>
            </w:pPr>
            <w:r>
              <w:rPr>
                <w:rFonts w:ascii="Arial" w:cs="Arial" w:eastAsia="Arial" w:hAnsi="Arial"/>
                <w:sz w:val="13"/>
                <w:szCs w:val="13"/>
                <w:b w:val="1"/>
                <w:bCs w:val="1"/>
                <w:color w:val="auto"/>
                <w:w w:val="99"/>
              </w:rPr>
              <w:t>additional shares</w:t>
            </w:r>
          </w:p>
        </w:tc>
        <w:tc>
          <w:tcPr>
            <w:tcW w:w="15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additional share</w:t>
            </w: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9"/>
              </w:rPr>
              <w:t>exercise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9"/>
              </w:rPr>
              <w:t>exercise</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327"/>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7"/>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6"/>
        </w:trPr>
        <w:tc>
          <w:tcPr>
            <w:tcW w:w="63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1407"/>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49"/>
        </w:trPr>
        <w:tc>
          <w:tcPr>
            <w:tcW w:w="6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w:t>
      </w:r>
    </w:p>
    <w:p>
      <w:pPr>
        <w:spacing w:after="0" w:line="11"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excluding the underwriting discounts and commissions, will be approximately $ million. We have also agreed to reimburse the underwriters for expenses relating to the clearance of this offering with the Financial Industry Regulatory Authority, Inc. in an amount up to $ .</w:t>
      </w:r>
    </w:p>
    <w:p>
      <w:pPr>
        <w:spacing w:after="0" w:line="10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2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have agreed that we will not, subject to certain exceptions, (i) offer, pledge, announce the intention to sell,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hedge, loan, disposition or filing, or (ii) enter into any swap, hedging,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in this offering.</w:t>
      </w:r>
    </w:p>
    <w:p>
      <w:pPr>
        <w:spacing w:after="0" w:line="31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Our directors and executive officers, the selling stockholders and substantially all of our securityholders (such persons, the “lock-up parties”) have entered into lock-up agreements with the underwriters prior to the commencement of this offering pursuant to which each lock-up party, with limited exceptions, for a period of 180 days after the date of this prospectus, subject to earlier termination as described below (such period, the “restricted period”), may not and may not cause any of their direct or indirect affiliates to, without the prior written consent of J.P. Morgan Securities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1260"/>
          </w:cols>
          <w:pgMar w:left="320" w:top="1440" w:right="319" w:bottom="1440" w:gutter="0" w:footer="0" w:header="0"/>
        </w:sectPr>
      </w:pPr>
    </w:p>
    <w:bookmarkStart w:id="205" w:name="page206"/>
    <w:bookmarkEnd w:id="205"/>
    <w:p>
      <w:pPr>
        <w:spacing w:after="0" w:line="2"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09" w:lineRule="exact"/>
        <w:rPr>
          <w:sz w:val="20"/>
          <w:szCs w:val="20"/>
          <w:color w:val="auto"/>
        </w:rPr>
      </w:pPr>
    </w:p>
    <w:p>
      <w:pPr>
        <w:ind w:left="3"/>
        <w:spacing w:after="0" w:line="254" w:lineRule="auto"/>
        <w:rPr>
          <w:sz w:val="20"/>
          <w:szCs w:val="20"/>
          <w:color w:val="auto"/>
        </w:rPr>
      </w:pPr>
      <w:r>
        <w:rPr>
          <w:rFonts w:ascii="Arial" w:cs="Arial" w:eastAsia="Arial" w:hAnsi="Arial"/>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Notwithstanding the foregoing,</w:t>
      </w:r>
    </w:p>
    <w:p>
      <w:pPr>
        <w:spacing w:after="0" w:line="145" w:lineRule="exact"/>
        <w:rPr>
          <w:sz w:val="20"/>
          <w:szCs w:val="20"/>
          <w:color w:val="auto"/>
        </w:rPr>
      </w:pPr>
    </w:p>
    <w:p>
      <w:pPr>
        <w:ind w:left="283" w:right="300" w:hanging="283"/>
        <w:spacing w:after="0" w:line="254" w:lineRule="auto"/>
        <w:tabs>
          <w:tab w:leader="none" w:pos="27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the holder is a current employee of our company or our subsidiaries (including current contractor, consultant or other service provider but excluding any of our directors, director nominees or officers), 15% of that holder's securities shall not be subject to a lock-up agreement or other transfer</w:t>
      </w:r>
    </w:p>
    <w:p>
      <w:pPr>
        <w:ind w:left="283"/>
        <w:spacing w:after="0"/>
        <w:tabs>
          <w:tab w:leader="none" w:pos="5622" w:val="left"/>
        </w:tabs>
        <w:rPr>
          <w:sz w:val="20"/>
          <w:szCs w:val="20"/>
          <w:color w:val="auto"/>
        </w:rPr>
      </w:pPr>
      <w:r>
        <w:rPr>
          <w:rFonts w:ascii="Arial" w:cs="Arial" w:eastAsia="Arial" w:hAnsi="Arial"/>
          <w:sz w:val="16"/>
          <w:szCs w:val="16"/>
          <w:color w:val="auto"/>
        </w:rPr>
        <w:t>restrictions (in the aggregate, this will represent up to approximately</w:t>
      </w:r>
      <w:r>
        <w:rPr>
          <w:sz w:val="20"/>
          <w:szCs w:val="20"/>
          <w:color w:val="auto"/>
        </w:rPr>
        <w:tab/>
      </w:r>
      <w:r>
        <w:rPr>
          <w:rFonts w:ascii="Arial" w:cs="Arial" w:eastAsia="Arial" w:hAnsi="Arial"/>
          <w:sz w:val="16"/>
          <w:szCs w:val="16"/>
          <w:color w:val="auto"/>
        </w:rPr>
        <w:t>shares); and</w:t>
      </w:r>
    </w:p>
    <w:p>
      <w:pPr>
        <w:spacing w:after="0" w:line="133" w:lineRule="exact"/>
        <w:rPr>
          <w:sz w:val="20"/>
          <w:szCs w:val="20"/>
          <w:color w:val="auto"/>
        </w:rPr>
      </w:pPr>
    </w:p>
    <w:p>
      <w:pPr>
        <w:ind w:left="283" w:right="60" w:hanging="283"/>
        <w:spacing w:after="0" w:line="257" w:lineRule="auto"/>
        <w:tabs>
          <w:tab w:leader="none" w:pos="27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if (i) at least 120 days have elapsed since the date of this prospectus, and (ii) the 180-day restricted period is scheduled to end during a broadly applicable period during which trading in our securities would not be permitted under our insider trading policy, or a blackout period, or within five trading days prior to a blackout period, the restricted period shall end ten trading days prior to the commencement of the blackout period, provided that at least two trading days in advance of the blackout-related release, we shall announce the date of the expected blackout-related release through a major news service or on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192</w:t>
      </w:r>
    </w:p>
    <w:p>
      <w:pPr>
        <w:sectPr>
          <w:pgSz w:w="11900" w:h="16838" w:orient="portrait"/>
          <w:cols w:equalWidth="0" w:num="1">
            <w:col w:w="11243"/>
          </w:cols>
          <w:pgMar w:left="317" w:top="1440" w:right="339" w:bottom="1440" w:gutter="0" w:footer="0" w:header="0"/>
        </w:sectPr>
      </w:pPr>
    </w:p>
    <w:bookmarkStart w:id="206" w:name="page207"/>
    <w:bookmarkEnd w:id="206"/>
    <w:p>
      <w:pPr>
        <w:spacing w:after="0" w:line="2"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J.P. Morgan Securities LLC, in its sole discretion, may release the securities subject to any of the lock-up agreements with the underwriters described above, in whole or in part at any time.</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and the selling stockholders have agreed to indemnify the underwriters against certain liabilities, including liabilities under the Securities Act.</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have applied to list our Class A common stock on Nasdaq under the symbol “EXFY”.</w:t>
      </w:r>
    </w:p>
    <w:p>
      <w:pPr>
        <w:spacing w:after="0" w:line="145"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from us and the selling stockholders referred to above, or may be “naked” shorts, which are short positions in excess of that amount. The underwriters may close out any covered short position either by exercising their option to purchase additional shares from us and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from us and the selling stockholders.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14"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22" w:lineRule="exact"/>
        <w:rPr>
          <w:sz w:val="20"/>
          <w:szCs w:val="20"/>
          <w:color w:val="auto"/>
        </w:rPr>
      </w:pPr>
    </w:p>
    <w:p>
      <w:pPr>
        <w:ind w:left="3"/>
        <w:spacing w:after="0" w:line="254" w:lineRule="auto"/>
        <w:rPr>
          <w:sz w:val="20"/>
          <w:szCs w:val="20"/>
          <w:color w:val="auto"/>
        </w:rPr>
      </w:pPr>
      <w:r>
        <w:rPr>
          <w:rFonts w:ascii="Arial" w:cs="Arial" w:eastAsia="Arial" w:hAnsi="Arial"/>
          <w:sz w:val="16"/>
          <w:szCs w:val="16"/>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w:t>
      </w:r>
    </w:p>
    <w:p>
      <w:pPr>
        <w:ind w:left="3" w:right="80"/>
        <w:spacing w:after="0" w:line="268" w:lineRule="auto"/>
        <w:rPr>
          <w:sz w:val="20"/>
          <w:szCs w:val="20"/>
          <w:color w:val="auto"/>
        </w:rPr>
      </w:pPr>
      <w:r>
        <w:rPr>
          <w:rFonts w:ascii="Arial" w:cs="Arial" w:eastAsia="Arial" w:hAnsi="Arial"/>
          <w:sz w:val="16"/>
          <w:szCs w:val="16"/>
          <w:color w:val="auto"/>
        </w:rPr>
        <w:t>underwriters commence these activities, they may discontinue them at any time. The underwriters may carry out these transactions on the , in the over-the-counter market or otherwise.</w:t>
      </w:r>
    </w:p>
    <w:p>
      <w:pPr>
        <w:spacing w:after="0" w:line="113"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6" w:lineRule="exact"/>
        <w:rPr>
          <w:sz w:val="20"/>
          <w:szCs w:val="20"/>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information set forth in this prospectus and otherwise available to the representatives;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our prospects and the history and prospects for the industry in which we compete;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 assessment of our management;</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our prospects for future earnings;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general condition of the securities markets at the time of this offering;</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recent market prices of, and demand for, publicly traded common stock of generally comparable companies;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193</w:t>
      </w:r>
    </w:p>
    <w:p>
      <w:pPr>
        <w:sectPr>
          <w:pgSz w:w="11900" w:h="16838" w:orient="portrait"/>
          <w:cols w:equalWidth="0" w:num="1">
            <w:col w:w="11223"/>
          </w:cols>
          <w:pgMar w:left="317" w:top="1440" w:right="359" w:bottom="1440" w:gutter="0" w:footer="0" w:header="0"/>
        </w:sectPr>
      </w:pPr>
    </w:p>
    <w:bookmarkStart w:id="207" w:name="page208"/>
    <w:bookmarkEnd w:id="207"/>
    <w:p>
      <w:pPr>
        <w:spacing w:after="0" w:line="2" w:lineRule="exact"/>
        <w:rPr>
          <w:sz w:val="20"/>
          <w:szCs w:val="20"/>
          <w:color w:val="auto"/>
        </w:rPr>
      </w:pPr>
    </w:p>
    <w:p>
      <w:pPr>
        <w:ind w:left="3"/>
        <w:spacing w:after="0"/>
        <w:tabs>
          <w:tab w:leader="none" w:pos="262" w:val="left"/>
        </w:tabs>
        <w:rPr>
          <w:sz w:val="20"/>
          <w:szCs w:val="20"/>
          <w:color w:val="auto"/>
        </w:rPr>
      </w:pPr>
      <w:r>
        <w:rPr>
          <w:rFonts w:ascii="Arial" w:cs="Arial" w:eastAsia="Arial" w:hAnsi="Arial"/>
          <w:sz w:val="16"/>
          <w:szCs w:val="16"/>
          <w:color w:val="auto"/>
        </w:rPr>
        <w:t>7.</w:t>
        <w:tab/>
        <w:t>other factors deemed relevant by the underwriters and us.</w:t>
      </w:r>
    </w:p>
    <w:p>
      <w:pPr>
        <w:spacing w:after="0" w:line="133" w:lineRule="exact"/>
        <w:rPr>
          <w:sz w:val="20"/>
          <w:szCs w:val="20"/>
          <w:color w:val="auto"/>
        </w:rPr>
      </w:pPr>
    </w:p>
    <w:p>
      <w:pPr>
        <w:ind w:left="3" w:right="80"/>
        <w:spacing w:after="0" w:line="268" w:lineRule="auto"/>
        <w:rPr>
          <w:sz w:val="20"/>
          <w:szCs w:val="20"/>
          <w:color w:val="auto"/>
        </w:rPr>
      </w:pPr>
      <w:r>
        <w:rPr>
          <w:rFonts w:ascii="Arial" w:cs="Arial" w:eastAsia="Arial" w:hAnsi="Arial"/>
          <w:sz w:val="16"/>
          <w:szCs w:val="16"/>
          <w:color w:val="auto"/>
        </w:rPr>
        <w:t>Neither we nor the underwriters can assure investors that an active trading market will develop for shares of our common stock, or that the shares will trade in the public market at or above the initial public offering price.</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Other relationships</w:t>
      </w:r>
    </w:p>
    <w:p>
      <w:pPr>
        <w:spacing w:after="0" w:line="164"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the selling stockholders, and may provide from time to time in the future certain commercial banking, financial advisory, investment banking and other services for us and such affiliates, and such selling stockholders,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9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Selling restrictions</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General</w:t>
      </w:r>
    </w:p>
    <w:p>
      <w:pPr>
        <w:spacing w:after="0" w:line="165" w:lineRule="exact"/>
        <w:rPr>
          <w:sz w:val="20"/>
          <w:szCs w:val="20"/>
          <w:color w:val="auto"/>
        </w:rPr>
      </w:pPr>
    </w:p>
    <w:p>
      <w:pPr>
        <w:ind w:left="3" w:right="80"/>
        <w:spacing w:after="0" w:line="256"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9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European Economic Area</w:t>
      </w:r>
    </w:p>
    <w:p>
      <w:pPr>
        <w:spacing w:after="0" w:line="165" w:lineRule="exact"/>
        <w:rPr>
          <w:sz w:val="20"/>
          <w:szCs w:val="20"/>
          <w:color w:val="auto"/>
        </w:rPr>
      </w:pPr>
    </w:p>
    <w:p>
      <w:pPr>
        <w:ind w:left="3" w:right="120"/>
        <w:spacing w:after="0" w:line="258"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22" w:lineRule="exact"/>
        <w:rPr>
          <w:sz w:val="20"/>
          <w:szCs w:val="20"/>
          <w:color w:val="auto"/>
        </w:rPr>
      </w:pPr>
    </w:p>
    <w:p>
      <w:pPr>
        <w:ind w:left="283" w:hanging="283"/>
        <w:spacing w:after="0"/>
        <w:tabs>
          <w:tab w:leader="none" w:pos="28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Prospectus Regulation;</w:t>
      </w:r>
    </w:p>
    <w:p>
      <w:pPr>
        <w:spacing w:after="0" w:line="132" w:lineRule="exact"/>
        <w:rPr>
          <w:rFonts w:ascii="Arial" w:cs="Arial" w:eastAsia="Arial" w:hAnsi="Arial"/>
          <w:sz w:val="16"/>
          <w:szCs w:val="16"/>
          <w:color w:val="auto"/>
        </w:rPr>
      </w:pPr>
    </w:p>
    <w:p>
      <w:pPr>
        <w:ind w:left="283" w:right="200" w:hanging="283"/>
        <w:spacing w:after="0" w:line="268" w:lineRule="auto"/>
        <w:tabs>
          <w:tab w:leader="none" w:pos="28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Prospectus Regulation), subject to obtaining the prior consent of the representatives for any such offer; or</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45"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01" w:lineRule="exact"/>
        <w:rPr>
          <w:sz w:val="20"/>
          <w:szCs w:val="20"/>
          <w:color w:val="auto"/>
        </w:rPr>
      </w:pPr>
    </w:p>
    <w:p>
      <w:pPr>
        <w:ind w:left="3" w:right="220"/>
        <w:spacing w:after="0" w:line="261" w:lineRule="auto"/>
        <w:rPr>
          <w:sz w:val="20"/>
          <w:szCs w:val="20"/>
          <w:color w:val="auto"/>
        </w:rPr>
      </w:pPr>
      <w:r>
        <w:rPr>
          <w:rFonts w:ascii="Arial" w:cs="Arial" w:eastAsia="Arial" w:hAnsi="Arial"/>
          <w:sz w:val="16"/>
          <w:szCs w:val="16"/>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1223"/>
          </w:cols>
          <w:pgMar w:left="317" w:top="1440" w:right="359" w:bottom="1440" w:gutter="0" w:footer="0" w:header="0"/>
        </w:sectPr>
      </w:pPr>
    </w:p>
    <w:bookmarkStart w:id="208" w:name="page209"/>
    <w:bookmarkEnd w:id="208"/>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United Kingdom</w:t>
      </w:r>
    </w:p>
    <w:p>
      <w:pPr>
        <w:spacing w:after="0" w:line="153" w:lineRule="exact"/>
        <w:rPr>
          <w:sz w:val="20"/>
          <w:szCs w:val="20"/>
          <w:color w:val="auto"/>
        </w:rPr>
      </w:pPr>
    </w:p>
    <w:p>
      <w:pPr>
        <w:jc w:val="both"/>
        <w:ind w:left="3" w:right="40"/>
        <w:spacing w:after="0" w:line="261" w:lineRule="auto"/>
        <w:rPr>
          <w:sz w:val="20"/>
          <w:szCs w:val="20"/>
          <w:color w:val="auto"/>
        </w:rPr>
      </w:pPr>
      <w:r>
        <w:rPr>
          <w:rFonts w:ascii="Arial" w:cs="Arial" w:eastAsia="Arial" w:hAnsi="Arial"/>
          <w:sz w:val="16"/>
          <w:szCs w:val="16"/>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8" w:lineRule="exact"/>
        <w:rPr>
          <w:sz w:val="20"/>
          <w:szCs w:val="20"/>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UK Prospectus Regulation;</w:t>
      </w:r>
    </w:p>
    <w:p>
      <w:pPr>
        <w:spacing w:after="0" w:line="144" w:lineRule="exact"/>
        <w:rPr>
          <w:rFonts w:ascii="Arial" w:cs="Arial" w:eastAsia="Arial" w:hAnsi="Arial"/>
          <w:sz w:val="16"/>
          <w:szCs w:val="16"/>
          <w:color w:val="auto"/>
        </w:rPr>
      </w:pPr>
    </w:p>
    <w:p>
      <w:pPr>
        <w:ind w:left="283" w:right="660" w:hanging="283"/>
        <w:spacing w:after="0" w:line="268" w:lineRule="auto"/>
        <w:tabs>
          <w:tab w:leader="none" w:pos="28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 any other circumstances falling within Section 86 of the FSMA.</w:t>
      </w:r>
    </w:p>
    <w:p>
      <w:pPr>
        <w:spacing w:after="0" w:line="145" w:lineRule="exact"/>
        <w:rPr>
          <w:sz w:val="20"/>
          <w:szCs w:val="20"/>
          <w:color w:val="auto"/>
        </w:rPr>
      </w:pPr>
    </w:p>
    <w:p>
      <w:pPr>
        <w:ind w:left="3" w:right="60"/>
        <w:spacing w:after="0" w:line="257" w:lineRule="auto"/>
        <w:rPr>
          <w:sz w:val="20"/>
          <w:szCs w:val="20"/>
          <w:color w:val="auto"/>
        </w:rPr>
      </w:pPr>
      <w:r>
        <w:rPr>
          <w:rFonts w:ascii="Arial" w:cs="Arial" w:eastAsia="Arial" w:hAnsi="Arial"/>
          <w:sz w:val="16"/>
          <w:szCs w:val="16"/>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Canada</w:t>
      </w:r>
    </w:p>
    <w:p>
      <w:pPr>
        <w:spacing w:after="0" w:line="153"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2"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2"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Switzerland</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23" w:lineRule="exact"/>
        <w:rPr>
          <w:sz w:val="20"/>
          <w:szCs w:val="20"/>
          <w:color w:val="auto"/>
        </w:rPr>
      </w:pPr>
    </w:p>
    <w:p>
      <w:pPr>
        <w:ind w:left="3" w:right="380"/>
        <w:spacing w:after="0" w:line="261"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195</w:t>
      </w:r>
    </w:p>
    <w:p>
      <w:pPr>
        <w:sectPr>
          <w:pgSz w:w="11900" w:h="16838" w:orient="portrait"/>
          <w:cols w:equalWidth="0" w:num="1">
            <w:col w:w="11243"/>
          </w:cols>
          <w:pgMar w:left="317" w:top="1422" w:right="339" w:bottom="1440" w:gutter="0" w:footer="0" w:header="0"/>
        </w:sectPr>
      </w:pPr>
    </w:p>
    <w:bookmarkStart w:id="209" w:name="page210"/>
    <w:bookmarkEnd w:id="209"/>
    <w:p>
      <w:pPr>
        <w:spacing w:after="0" w:line="2" w:lineRule="exact"/>
        <w:rPr>
          <w:sz w:val="20"/>
          <w:szCs w:val="20"/>
          <w:color w:val="auto"/>
        </w:rPr>
      </w:pPr>
    </w:p>
    <w:p>
      <w:pPr>
        <w:ind w:left="3" w:right="140"/>
        <w:spacing w:after="0" w:line="261" w:lineRule="auto"/>
        <w:rPr>
          <w:sz w:val="20"/>
          <w:szCs w:val="20"/>
          <w:color w:val="auto"/>
        </w:rPr>
      </w:pPr>
      <w:r>
        <w:rPr>
          <w:rFonts w:ascii="Arial" w:cs="Arial" w:eastAsia="Arial" w:hAnsi="Arial"/>
          <w:sz w:val="16"/>
          <w:szCs w:val="16"/>
          <w:color w:val="auto"/>
        </w:rPr>
        <w:t>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Dubai International Financial Centre</w:t>
      </w:r>
    </w:p>
    <w:p>
      <w:pPr>
        <w:spacing w:after="0" w:line="165"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21"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United Arab Emirates</w:t>
      </w:r>
    </w:p>
    <w:p>
      <w:pPr>
        <w:spacing w:after="0" w:line="165"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Australia</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This prospectus:</w:t>
      </w:r>
    </w:p>
    <w:p>
      <w:pPr>
        <w:spacing w:after="0" w:line="145" w:lineRule="exact"/>
        <w:rPr>
          <w:sz w:val="20"/>
          <w:szCs w:val="20"/>
          <w:color w:val="auto"/>
        </w:rPr>
      </w:pPr>
    </w:p>
    <w:p>
      <w:pPr>
        <w:ind w:left="283" w:hanging="283"/>
        <w:spacing w:after="0"/>
        <w:tabs>
          <w:tab w:leader="none" w:pos="28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44" w:lineRule="exact"/>
        <w:rPr>
          <w:rFonts w:ascii="Arial" w:cs="Arial" w:eastAsia="Arial" w:hAnsi="Arial"/>
          <w:sz w:val="16"/>
          <w:szCs w:val="16"/>
          <w:color w:val="auto"/>
        </w:rPr>
      </w:pPr>
    </w:p>
    <w:p>
      <w:pPr>
        <w:ind w:left="283" w:right="140" w:hanging="283"/>
        <w:spacing w:after="0" w:line="268" w:lineRule="auto"/>
        <w:tabs>
          <w:tab w:leader="none" w:pos="27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00" w:lineRule="exact"/>
        <w:rPr>
          <w:rFonts w:ascii="Arial" w:cs="Arial" w:eastAsia="Arial" w:hAnsi="Arial"/>
          <w:sz w:val="16"/>
          <w:szCs w:val="16"/>
          <w:color w:val="auto"/>
        </w:rPr>
      </w:pPr>
    </w:p>
    <w:p>
      <w:pPr>
        <w:ind w:left="283" w:right="660" w:hanging="283"/>
        <w:spacing w:after="0" w:line="268" w:lineRule="auto"/>
        <w:tabs>
          <w:tab w:leader="none" w:pos="27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may only be provided in Australia to select investors who are able to demonstrate that they fall within one or more of the categories of investors, available under section 708 of the Corporations Act (Exempt Investors).</w:t>
      </w:r>
    </w:p>
    <w:p>
      <w:pPr>
        <w:spacing w:after="0" w:line="113"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22"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1243"/>
          </w:cols>
          <w:pgMar w:left="317" w:top="1440" w:right="339" w:bottom="1440" w:gutter="0" w:footer="0" w:header="0"/>
        </w:sectPr>
      </w:pPr>
    </w:p>
    <w:bookmarkStart w:id="210" w:name="page211"/>
    <w:bookmarkEnd w:id="210"/>
    <w:p>
      <w:pPr>
        <w:spacing w:after="0" w:line="2" w:lineRule="exact"/>
        <w:rPr>
          <w:sz w:val="20"/>
          <w:szCs w:val="20"/>
          <w:color w:val="auto"/>
        </w:rPr>
      </w:pPr>
    </w:p>
    <w:p>
      <w:pPr>
        <w:ind w:left="3" w:right="60"/>
        <w:spacing w:after="0" w:line="261" w:lineRule="auto"/>
        <w:rPr>
          <w:sz w:val="20"/>
          <w:szCs w:val="20"/>
          <w:color w:val="auto"/>
        </w:rPr>
      </w:pPr>
      <w:r>
        <w:rPr>
          <w:rFonts w:ascii="Arial" w:cs="Arial" w:eastAsia="Arial" w:hAnsi="Arial"/>
          <w:sz w:val="16"/>
          <w:szCs w:val="16"/>
          <w:color w:val="auto"/>
        </w:rPr>
        <w:t>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Japan</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Hong Kong</w:t>
      </w:r>
    </w:p>
    <w:p>
      <w:pPr>
        <w:spacing w:after="0" w:line="153" w:lineRule="exact"/>
        <w:rPr>
          <w:sz w:val="20"/>
          <w:szCs w:val="20"/>
          <w:color w:val="auto"/>
        </w:rPr>
      </w:pPr>
    </w:p>
    <w:p>
      <w:pPr>
        <w:jc w:val="both"/>
        <w:ind w:left="3" w:right="140"/>
        <w:spacing w:after="0" w:line="254"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w:t>
      </w:r>
    </w:p>
    <w:p>
      <w:pPr>
        <w:ind w:left="3" w:right="80"/>
        <w:spacing w:after="0" w:line="257" w:lineRule="auto"/>
        <w:rPr>
          <w:sz w:val="20"/>
          <w:szCs w:val="20"/>
          <w:color w:val="auto"/>
        </w:rPr>
      </w:pPr>
      <w:r>
        <w:rPr>
          <w:rFonts w:ascii="Arial" w:cs="Arial" w:eastAsia="Arial" w:hAnsi="Arial"/>
          <w:sz w:val="16"/>
          <w:szCs w:val="16"/>
          <w:color w:val="auto"/>
        </w:rPr>
        <w:t>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Singapore</w:t>
      </w:r>
    </w:p>
    <w:p>
      <w:pPr>
        <w:spacing w:after="0" w:line="165" w:lineRule="exact"/>
        <w:rPr>
          <w:sz w:val="20"/>
          <w:szCs w:val="20"/>
          <w:color w:val="auto"/>
        </w:rPr>
      </w:pPr>
    </w:p>
    <w:p>
      <w:pPr>
        <w:ind w:left="3" w:right="80"/>
        <w:spacing w:after="0" w:line="257"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1" w:lineRule="exact"/>
        <w:rPr>
          <w:sz w:val="20"/>
          <w:szCs w:val="20"/>
          <w:color w:val="auto"/>
        </w:rPr>
      </w:pPr>
    </w:p>
    <w:p>
      <w:pPr>
        <w:ind w:left="283" w:right="120" w:hanging="283"/>
        <w:spacing w:after="0" w:line="268" w:lineRule="auto"/>
        <w:tabs>
          <w:tab w:leader="none" w:pos="2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an institutional investor (as defined in Section 4A of the Securities and Futures Act (Chapter 289) of Singapore, as modified or amended from time to time, or the SFA) pursuant to Section 274 of the SFA;</w:t>
      </w:r>
    </w:p>
    <w:p>
      <w:pPr>
        <w:spacing w:after="0" w:line="112" w:lineRule="exact"/>
        <w:rPr>
          <w:rFonts w:ascii="Arial" w:cs="Arial" w:eastAsia="Arial" w:hAnsi="Arial"/>
          <w:sz w:val="16"/>
          <w:szCs w:val="16"/>
          <w:color w:val="auto"/>
        </w:rPr>
      </w:pPr>
    </w:p>
    <w:p>
      <w:pPr>
        <w:ind w:left="283" w:right="180" w:hanging="283"/>
        <w:spacing w:after="0" w:line="268" w:lineRule="auto"/>
        <w:tabs>
          <w:tab w:leader="none" w:pos="2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197</w:t>
      </w:r>
    </w:p>
    <w:p>
      <w:pPr>
        <w:sectPr>
          <w:pgSz w:w="11900" w:h="16838" w:orient="portrait"/>
          <w:cols w:equalWidth="0" w:num="1">
            <w:col w:w="11243"/>
          </w:cols>
          <w:pgMar w:left="317" w:top="1440" w:right="339" w:bottom="1440" w:gutter="0" w:footer="0" w:header="0"/>
        </w:sectPr>
      </w:pPr>
    </w:p>
    <w:bookmarkStart w:id="211" w:name="page212"/>
    <w:bookmarkEnd w:id="211"/>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w:t>
      </w:r>
    </w:p>
    <w:p>
      <w:pPr>
        <w:spacing w:after="0" w:line="133" w:lineRule="exact"/>
        <w:rPr>
          <w:sz w:val="20"/>
          <w:szCs w:val="20"/>
          <w:color w:val="auto"/>
        </w:rPr>
      </w:pPr>
    </w:p>
    <w:p>
      <w:pPr>
        <w:ind w:left="283" w:right="60" w:hanging="283"/>
        <w:spacing w:after="0" w:line="268" w:lineRule="auto"/>
        <w:tabs>
          <w:tab w:leader="none" w:pos="2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2" w:lineRule="exact"/>
        <w:rPr>
          <w:rFonts w:ascii="Arial" w:cs="Arial" w:eastAsia="Arial" w:hAnsi="Arial"/>
          <w:sz w:val="16"/>
          <w:szCs w:val="16"/>
          <w:color w:val="auto"/>
        </w:rPr>
      </w:pPr>
    </w:p>
    <w:p>
      <w:pPr>
        <w:ind w:left="283" w:right="100" w:hanging="283"/>
        <w:spacing w:after="0" w:line="268" w:lineRule="auto"/>
        <w:tabs>
          <w:tab w:leader="none" w:pos="2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w:t>
      </w:r>
    </w:p>
    <w:p>
      <w:pPr>
        <w:spacing w:after="0" w:line="113" w:lineRule="exact"/>
        <w:rPr>
          <w:sz w:val="20"/>
          <w:szCs w:val="20"/>
          <w:color w:val="auto"/>
        </w:rPr>
      </w:pPr>
    </w:p>
    <w:p>
      <w:pPr>
        <w:ind w:left="3" w:right="120"/>
        <w:spacing w:after="0" w:line="261" w:lineRule="auto"/>
        <w:rPr>
          <w:sz w:val="20"/>
          <w:szCs w:val="20"/>
          <w:color w:val="auto"/>
        </w:rPr>
      </w:pPr>
      <w:r>
        <w:rPr>
          <w:rFonts w:ascii="Arial" w:cs="Arial" w:eastAsia="Arial" w:hAnsi="Arial"/>
          <w:sz w:val="16"/>
          <w:szCs w:val="16"/>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6" w:lineRule="exact"/>
        <w:rPr>
          <w:sz w:val="20"/>
          <w:szCs w:val="20"/>
          <w:color w:val="auto"/>
        </w:rPr>
      </w:pPr>
    </w:p>
    <w:p>
      <w:pPr>
        <w:ind w:left="283" w:hanging="283"/>
        <w:spacing w:after="0"/>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276(4)(i)(B) of the SFA;</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as specified in Section 276(7) of the SFA; or</w:t>
      </w:r>
    </w:p>
    <w:p>
      <w:pPr>
        <w:spacing w:after="0" w:line="144" w:lineRule="exact"/>
        <w:rPr>
          <w:rFonts w:ascii="Arial" w:cs="Arial" w:eastAsia="Arial" w:hAnsi="Arial"/>
          <w:sz w:val="16"/>
          <w:szCs w:val="16"/>
          <w:color w:val="auto"/>
        </w:rPr>
      </w:pPr>
    </w:p>
    <w:p>
      <w:pPr>
        <w:ind w:left="283" w:right="20" w:hanging="283"/>
        <w:spacing w:after="0" w:line="268" w:lineRule="auto"/>
        <w:tabs>
          <w:tab w:leader="none" w:pos="27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as specified in Regulation 37A of the Securities and Futures (Offers of Investments) (Securities and Securities-based Derivatives Contracts) Regulations 2018.</w:t>
      </w:r>
    </w:p>
    <w:p>
      <w:pPr>
        <w:spacing w:after="0" w:line="113"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Singapore SFA Product Classification—In connection with Section 309B of the SFA and the CMP Regulations 2018, unless otherwise specified before an offer of the shares, the company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Bermuda</w:t>
      </w:r>
    </w:p>
    <w:p>
      <w:pPr>
        <w:spacing w:after="0" w:line="165"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Saudi Arabia</w:t>
      </w:r>
    </w:p>
    <w:p>
      <w:pPr>
        <w:spacing w:after="0" w:line="15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British Virgin Islands</w:t>
      </w:r>
    </w:p>
    <w:p>
      <w:pPr>
        <w:spacing w:after="0" w:line="165" w:lineRule="exact"/>
        <w:rPr>
          <w:sz w:val="20"/>
          <w:szCs w:val="20"/>
          <w:color w:val="auto"/>
        </w:rPr>
      </w:pPr>
    </w:p>
    <w:p>
      <w:pPr>
        <w:ind w:left="3" w:right="220"/>
        <w:spacing w:after="0" w:line="268"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or BVI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198</w:t>
      </w:r>
    </w:p>
    <w:p>
      <w:pPr>
        <w:sectPr>
          <w:pgSz w:w="11900" w:h="16838" w:orient="portrait"/>
          <w:cols w:equalWidth="0" w:num="1">
            <w:col w:w="11223"/>
          </w:cols>
          <w:pgMar w:left="317" w:top="1440" w:right="359" w:bottom="1440" w:gutter="0" w:footer="0" w:header="0"/>
        </w:sectPr>
      </w:pPr>
    </w:p>
    <w:bookmarkStart w:id="212" w:name="page213"/>
    <w:bookmarkEnd w:id="212"/>
    <w:p>
      <w:pPr>
        <w:spacing w:after="0" w:line="2" w:lineRule="exact"/>
        <w:rPr>
          <w:sz w:val="20"/>
          <w:szCs w:val="20"/>
          <w:color w:val="auto"/>
        </w:rPr>
      </w:pPr>
    </w:p>
    <w:p>
      <w:pPr>
        <w:ind w:left="3" w:right="1140"/>
        <w:spacing w:after="0" w:line="420" w:lineRule="auto"/>
        <w:rPr>
          <w:sz w:val="20"/>
          <w:szCs w:val="20"/>
          <w:color w:val="auto"/>
        </w:rPr>
      </w:pPr>
      <w:r>
        <w:rPr>
          <w:rFonts w:ascii="Arial" w:cs="Arial" w:eastAsia="Arial" w:hAnsi="Arial"/>
          <w:sz w:val="16"/>
          <w:szCs w:val="16"/>
          <w:color w:val="auto"/>
        </w:rPr>
        <w:t xml:space="preserve">Companies, but only where the offer will be made to, and received by, the relevant BVI Company entirely outside of the British Virgin Islands. </w:t>
      </w:r>
      <w:r>
        <w:rPr>
          <w:rFonts w:ascii="Arial" w:cs="Arial" w:eastAsia="Arial" w:hAnsi="Arial"/>
          <w:sz w:val="16"/>
          <w:szCs w:val="16"/>
          <w:b w:val="1"/>
          <w:bCs w:val="1"/>
          <w:i w:val="1"/>
          <w:iCs w:val="1"/>
          <w:color w:val="auto"/>
        </w:rPr>
        <w:t>Notice to prospective investors in China</w:t>
      </w:r>
    </w:p>
    <w:p>
      <w:pPr>
        <w:spacing w:after="0" w:line="2" w:lineRule="exact"/>
        <w:rPr>
          <w:sz w:val="20"/>
          <w:szCs w:val="20"/>
          <w:color w:val="auto"/>
        </w:rPr>
      </w:pPr>
    </w:p>
    <w:p>
      <w:pPr>
        <w:ind w:left="3" w:right="80"/>
        <w:spacing w:after="0" w:line="258" w:lineRule="auto"/>
        <w:rPr>
          <w:sz w:val="20"/>
          <w:szCs w:val="20"/>
          <w:color w:val="auto"/>
        </w:rPr>
      </w:pPr>
      <w:r>
        <w:rPr>
          <w:rFonts w:ascii="Arial" w:cs="Arial" w:eastAsia="Arial" w:hAnsi="Arial"/>
          <w:sz w:val="16"/>
          <w:szCs w:val="16"/>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Korea</w:t>
      </w:r>
    </w:p>
    <w:p>
      <w:pPr>
        <w:spacing w:after="0" w:line="153"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Malaysia</w:t>
      </w:r>
    </w:p>
    <w:p>
      <w:pPr>
        <w:spacing w:after="0" w:line="165" w:lineRule="exact"/>
        <w:rPr>
          <w:sz w:val="20"/>
          <w:szCs w:val="20"/>
          <w:color w:val="auto"/>
        </w:rPr>
      </w:pPr>
    </w:p>
    <w:p>
      <w:pPr>
        <w:ind w:left="3" w:right="40"/>
        <w:spacing w:after="0" w:line="255"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115" w:lineRule="exact"/>
        <w:rPr>
          <w:sz w:val="20"/>
          <w:szCs w:val="20"/>
          <w:color w:val="auto"/>
        </w:rPr>
      </w:pPr>
    </w:p>
    <w:p>
      <w:pPr>
        <w:ind w:left="3" w:right="40" w:hanging="3"/>
        <w:spacing w:after="0" w:line="257" w:lineRule="auto"/>
        <w:tabs>
          <w:tab w:leader="none" w:pos="34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1223"/>
          </w:cols>
          <w:pgMar w:left="317" w:top="1440" w:right="359" w:bottom="1440" w:gutter="0" w:footer="0" w:header="0"/>
        </w:sectPr>
      </w:pPr>
    </w:p>
    <w:bookmarkStart w:id="213" w:name="page214"/>
    <w:bookmarkEnd w:id="213"/>
    <w:p>
      <w:pPr>
        <w:spacing w:after="0" w:line="2" w:lineRule="exact"/>
        <w:rPr>
          <w:sz w:val="20"/>
          <w:szCs w:val="20"/>
          <w:color w:val="auto"/>
        </w:rPr>
      </w:pPr>
    </w:p>
    <w:p>
      <w:pPr>
        <w:ind w:right="240"/>
        <w:spacing w:after="0" w:line="420" w:lineRule="auto"/>
        <w:rPr>
          <w:sz w:val="20"/>
          <w:szCs w:val="20"/>
          <w:color w:val="auto"/>
        </w:rPr>
      </w:pPr>
      <w:r>
        <w:rPr>
          <w:rFonts w:ascii="Arial" w:cs="Arial" w:eastAsia="Arial" w:hAnsi="Arial"/>
          <w:sz w:val="16"/>
          <w:szCs w:val="16"/>
          <w:color w:val="auto"/>
        </w:rPr>
        <w:t xml:space="preserve">subscribe for or purchase any securities requiring the registration of a prospectus with the Commission under the Capital Markets and Services Act 2007. </w:t>
      </w:r>
      <w:r>
        <w:rPr>
          <w:rFonts w:ascii="Arial" w:cs="Arial" w:eastAsia="Arial" w:hAnsi="Arial"/>
          <w:sz w:val="16"/>
          <w:szCs w:val="16"/>
          <w:b w:val="1"/>
          <w:bCs w:val="1"/>
          <w:i w:val="1"/>
          <w:iCs w:val="1"/>
          <w:color w:val="auto"/>
        </w:rPr>
        <w:t>Notice to prospective investors in Taiwan</w:t>
      </w:r>
    </w:p>
    <w:p>
      <w:pPr>
        <w:spacing w:after="0" w:line="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South Africa</w:t>
      </w:r>
    </w:p>
    <w:p>
      <w:pPr>
        <w:spacing w:after="0" w:line="13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Due to restrictions under the securities laws of South Africa, no “</w:t>
      </w:r>
      <w:r>
        <w:rPr>
          <w:rFonts w:ascii="Arial" w:cs="Arial" w:eastAsia="Arial" w:hAnsi="Arial"/>
          <w:sz w:val="16"/>
          <w:szCs w:val="16"/>
          <w:i w:val="1"/>
          <w:iCs w:val="1"/>
          <w:color w:val="auto"/>
        </w:rPr>
        <w:t>offer to the public</w:t>
      </w:r>
      <w:r>
        <w:rPr>
          <w:rFonts w:ascii="Arial" w:cs="Arial" w:eastAsia="Arial" w:hAnsi="Arial"/>
          <w:sz w:val="16"/>
          <w:szCs w:val="16"/>
          <w:color w:val="auto"/>
        </w:rPr>
        <w:t>”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6"/>
          <w:szCs w:val="16"/>
          <w:i w:val="1"/>
          <w:iCs w:val="1"/>
          <w:color w:val="auto"/>
        </w:rPr>
        <w:t>registered prospectus</w:t>
      </w:r>
      <w:r>
        <w:rPr>
          <w:rFonts w:ascii="Arial" w:cs="Arial" w:eastAsia="Arial" w:hAnsi="Arial"/>
          <w:sz w:val="16"/>
          <w:szCs w:val="16"/>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220"/>
          </w:cols>
          <w:pgMar w:left="320" w:top="1440" w:right="359" w:bottom="1440" w:gutter="0" w:footer="0" w:header="0"/>
        </w:sectPr>
      </w:pP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Section 96</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Section 96</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(b)</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offer, transfer, sale, renunciation or delivery is to:</w:t>
      </w:r>
    </w:p>
    <w:p>
      <w:pPr>
        <w:spacing w:after="0" w:line="278" w:lineRule="exact"/>
        <w:rPr>
          <w:sz w:val="20"/>
          <w:szCs w:val="20"/>
          <w:color w:val="auto"/>
        </w:rPr>
      </w:pPr>
    </w:p>
    <w:p>
      <w:pPr>
        <w:ind w:left="300" w:hanging="294"/>
        <w:spacing w:after="0"/>
        <w:tabs>
          <w:tab w:leader="none" w:pos="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persons whose ordinary business, or part of whose ordinary business, is to deal in securities, as principal or agent,</w:t>
      </w:r>
    </w:p>
    <w:p>
      <w:pPr>
        <w:ind w:left="300" w:hanging="294"/>
        <w:spacing w:after="0" w:line="206" w:lineRule="auto"/>
        <w:tabs>
          <w:tab w:leader="none" w:pos="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South African Public Investment Corporation,</w:t>
      </w:r>
    </w:p>
    <w:p>
      <w:pPr>
        <w:ind w:left="300" w:hanging="294"/>
        <w:spacing w:after="0" w:line="206" w:lineRule="auto"/>
        <w:tabs>
          <w:tab w:leader="none" w:pos="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persons or entities regulated by the Reserve Bank of South Africa,</w:t>
      </w:r>
    </w:p>
    <w:p>
      <w:pPr>
        <w:ind w:left="300" w:hanging="294"/>
        <w:spacing w:after="0" w:line="206" w:lineRule="auto"/>
        <w:tabs>
          <w:tab w:leader="none" w:pos="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authorised financial service providers under South African law,</w:t>
      </w:r>
    </w:p>
    <w:p>
      <w:pPr>
        <w:ind w:left="300" w:hanging="294"/>
        <w:spacing w:after="0" w:line="206" w:lineRule="auto"/>
        <w:tabs>
          <w:tab w:leader="none" w:pos="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financial institutions recognised as such under South African law,</w:t>
      </w:r>
    </w:p>
    <w:p>
      <w:pPr>
        <w:ind w:left="300" w:right="60" w:hanging="294"/>
        <w:spacing w:after="0" w:line="206" w:lineRule="auto"/>
        <w:tabs>
          <w:tab w:leader="none" w:pos="29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6"/>
          <w:szCs w:val="16"/>
          <w:color w:val="auto"/>
        </w:rPr>
      </w:pPr>
    </w:p>
    <w:p>
      <w:pPr>
        <w:ind w:left="300" w:hanging="294"/>
        <w:spacing w:after="0"/>
        <w:tabs>
          <w:tab w:leader="none" w:pos="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any combination of the person in (i) to (vi); or</w:t>
      </w:r>
    </w:p>
    <w:p>
      <w:pPr>
        <w:spacing w:after="0" w:line="23" w:lineRule="exact"/>
        <w:rPr>
          <w:sz w:val="20"/>
          <w:szCs w:val="20"/>
          <w:color w:val="auto"/>
        </w:rPr>
      </w:pPr>
    </w:p>
    <w:p>
      <w:pPr>
        <w:jc w:val="both"/>
        <w:ind w:right="400"/>
        <w:spacing w:after="0" w:line="222" w:lineRule="auto"/>
        <w:rPr>
          <w:sz w:val="20"/>
          <w:szCs w:val="20"/>
          <w:color w:val="auto"/>
        </w:rPr>
      </w:pPr>
      <w:r>
        <w:rPr>
          <w:rFonts w:ascii="Arial" w:cs="Arial" w:eastAsia="Arial" w:hAnsi="Arial"/>
          <w:sz w:val="16"/>
          <w:szCs w:val="16"/>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226" w:lineRule="exact"/>
        <w:rPr>
          <w:sz w:val="20"/>
          <w:szCs w:val="20"/>
          <w:color w:val="auto"/>
        </w:rPr>
      </w:pPr>
    </w:p>
    <w:p>
      <w:pPr>
        <w:sectPr>
          <w:pgSz w:w="11900" w:h="16838" w:orient="portrait"/>
          <w:cols w:equalWidth="0" w:num="2">
            <w:col w:w="980" w:space="720"/>
            <w:col w:w="9520"/>
          </w:cols>
          <w:pgMar w:left="320" w:top="1440" w:right="359" w:bottom="1440" w:gutter="0" w:footer="0" w:header="0"/>
          <w:type w:val="continuous"/>
        </w:sectPr>
      </w:pPr>
    </w:p>
    <w:p>
      <w:pPr>
        <w:spacing w:after="0" w:line="18"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Information made available in this prospectus should not be considered as “advice” as defined in the South African Financial Advisory and Intermediary Services Act,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1220"/>
          </w:cols>
          <w:pgMar w:left="320" w:top="1440" w:right="359" w:bottom="1440" w:gutter="0" w:footer="0" w:header="0"/>
          <w:type w:val="continuous"/>
        </w:sectPr>
      </w:pPr>
    </w:p>
    <w:bookmarkStart w:id="214" w:name="page215"/>
    <w:bookmarkEnd w:id="214"/>
    <w:p>
      <w:pPr>
        <w:spacing w:after="0"/>
        <w:rPr>
          <w:sz w:val="20"/>
          <w:szCs w:val="20"/>
          <w:color w:val="auto"/>
        </w:rPr>
      </w:pPr>
      <w:r>
        <w:rPr>
          <w:rFonts w:ascii="Arial" w:cs="Arial" w:eastAsia="Arial" w:hAnsi="Arial"/>
          <w:sz w:val="26"/>
          <w:szCs w:val="26"/>
          <w:b w:val="1"/>
          <w:bCs w:val="1"/>
          <w:color w:val="auto"/>
        </w:rPr>
        <w:t>Legal matters</w:t>
      </w:r>
    </w:p>
    <w:p>
      <w:pPr>
        <w:spacing w:after="0" w:line="29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validity of the shares of Class A common stock offered hereby will be passed upon for us by Latham &amp; Watkins LLP, Menlo Park, California. Cooley LLP, San Francisco, California, is acting as counsel for the underwriters in connection with certain legal matters related to this offering.</w:t>
      </w:r>
    </w:p>
    <w:p>
      <w:pPr>
        <w:spacing w:after="0" w:line="7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Experts</w:t>
      </w:r>
    </w:p>
    <w:p>
      <w:pPr>
        <w:spacing w:after="0" w:line="29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consolidated financial statements of Expensify, Inc. at December 31, 2019 and December 31, 2020 and for each of the two years in the period ended December 31, 2020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auditing and accounting.</w:t>
      </w:r>
    </w:p>
    <w:p>
      <w:pPr>
        <w:spacing w:after="0" w:line="8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Where you can find more information</w:t>
      </w:r>
    </w:p>
    <w:p>
      <w:pPr>
        <w:spacing w:after="0" w:line="29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use.expensify.com,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1240"/>
          </w:cols>
          <w:pgMar w:left="320" w:top="1407" w:right="339" w:bottom="1440" w:gutter="0" w:footer="0" w:header="0"/>
        </w:sectPr>
      </w:pPr>
    </w:p>
    <w:bookmarkStart w:id="215" w:name="page216"/>
    <w:bookmarkEnd w:id="215"/>
    <w:p>
      <w:pPr>
        <w:spacing w:after="0" w:line="16" w:lineRule="exact"/>
        <w:rPr>
          <w:sz w:val="20"/>
          <w:szCs w:val="20"/>
          <w:color w:val="auto"/>
        </w:rPr>
      </w:pPr>
    </w:p>
    <w:p>
      <w:pPr>
        <w:ind w:left="20"/>
        <w:spacing w:after="0"/>
        <w:rPr>
          <w:sz w:val="20"/>
          <w:szCs w:val="20"/>
          <w:color w:val="auto"/>
        </w:rPr>
      </w:pPr>
      <w:r>
        <w:rPr>
          <w:rFonts w:ascii="Arial" w:cs="Arial" w:eastAsia="Arial" w:hAnsi="Arial"/>
          <w:sz w:val="26"/>
          <w:szCs w:val="2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-182245</wp:posOffset>
            </wp:positionV>
            <wp:extent cx="714565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580" w:type="dxa"/>
            <w:vAlign w:val="bottom"/>
            <w:gridSpan w:val="8"/>
          </w:tcPr>
          <w:p>
            <w:pPr>
              <w:spacing w:after="0"/>
              <w:rPr>
                <w:rFonts w:ascii="Arial" w:cs="Arial" w:eastAsia="Arial" w:hAnsi="Arial"/>
                <w:sz w:val="16"/>
                <w:szCs w:val="16"/>
                <w:color w:val="0000FF"/>
              </w:rPr>
            </w:pPr>
            <w:hyperlink w:anchor="page216">
              <w:r>
                <w:rPr>
                  <w:rFonts w:ascii="Arial" w:cs="Arial" w:eastAsia="Arial" w:hAnsi="Arial"/>
                  <w:sz w:val="16"/>
                  <w:szCs w:val="16"/>
                  <w:color w:val="0000FF"/>
                </w:rPr>
                <w:t>Report of Independent Registered Public Accounting Firm</w:t>
              </w:r>
            </w:hyperlink>
          </w:p>
        </w:tc>
        <w:tc>
          <w:tcPr>
            <w:tcW w:w="2660" w:type="dxa"/>
            <w:vAlign w:val="bottom"/>
            <w:gridSpan w:val="3"/>
          </w:tcPr>
          <w:p>
            <w:pPr>
              <w:ind w:left="2400"/>
              <w:spacing w:after="0"/>
              <w:rPr>
                <w:rFonts w:ascii="Arial" w:cs="Arial" w:eastAsia="Arial" w:hAnsi="Arial"/>
                <w:sz w:val="16"/>
                <w:szCs w:val="16"/>
                <w:color w:val="0000FF"/>
                <w:w w:val="99"/>
              </w:rPr>
            </w:pPr>
            <w:hyperlink w:anchor="page216">
              <w:r>
                <w:rPr>
                  <w:rFonts w:ascii="Arial" w:cs="Arial" w:eastAsia="Arial" w:hAnsi="Arial"/>
                  <w:sz w:val="16"/>
                  <w:szCs w:val="16"/>
                  <w:color w:val="0000FF"/>
                  <w:w w:val="99"/>
                </w:rPr>
                <w:t>F-2</w:t>
              </w:r>
            </w:hyperlink>
          </w:p>
        </w:tc>
      </w:tr>
      <w:tr>
        <w:trPr>
          <w:trHeight w:val="223"/>
        </w:trPr>
        <w:tc>
          <w:tcPr>
            <w:tcW w:w="20" w:type="dxa"/>
            <w:vAlign w:val="bottom"/>
          </w:tcPr>
          <w:p>
            <w:pPr>
              <w:spacing w:after="0"/>
              <w:rPr>
                <w:sz w:val="19"/>
                <w:szCs w:val="19"/>
                <w:color w:val="auto"/>
              </w:rPr>
            </w:pPr>
          </w:p>
        </w:tc>
        <w:tc>
          <w:tcPr>
            <w:tcW w:w="4140" w:type="dxa"/>
            <w:vAlign w:val="bottom"/>
            <w:tcBorders>
              <w:top w:val="single" w:sz="8" w:color="0000FF"/>
            </w:tcBorders>
            <w:gridSpan w:val="6"/>
          </w:tcPr>
          <w:p>
            <w:pPr>
              <w:spacing w:after="0"/>
              <w:rPr>
                <w:sz w:val="20"/>
                <w:szCs w:val="20"/>
                <w:color w:val="auto"/>
              </w:rPr>
            </w:pPr>
            <w:r>
              <w:rPr>
                <w:rFonts w:ascii="Arial" w:cs="Arial" w:eastAsia="Arial" w:hAnsi="Arial"/>
                <w:sz w:val="16"/>
                <w:szCs w:val="16"/>
                <w:b w:val="1"/>
                <w:bCs w:val="1"/>
                <w:color w:val="auto"/>
              </w:rPr>
              <w:t>Consolidated Financial Statements</w:t>
            </w:r>
          </w:p>
        </w:tc>
        <w:tc>
          <w:tcPr>
            <w:tcW w:w="4440" w:type="dxa"/>
            <w:vAlign w:val="bottom"/>
            <w:gridSpan w:val="2"/>
          </w:tcPr>
          <w:p>
            <w:pPr>
              <w:spacing w:after="0"/>
              <w:rPr>
                <w:sz w:val="19"/>
                <w:szCs w:val="19"/>
                <w:color w:val="auto"/>
              </w:rPr>
            </w:pPr>
          </w:p>
        </w:tc>
        <w:tc>
          <w:tcPr>
            <w:tcW w:w="240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40" w:type="dxa"/>
            <w:vAlign w:val="bottom"/>
            <w:gridSpan w:val="7"/>
          </w:tcPr>
          <w:p>
            <w:pPr>
              <w:spacing w:after="0" w:line="171" w:lineRule="exact"/>
              <w:rPr>
                <w:rFonts w:ascii="Arial" w:cs="Arial" w:eastAsia="Arial" w:hAnsi="Arial"/>
                <w:sz w:val="16"/>
                <w:szCs w:val="16"/>
                <w:color w:val="0000FF"/>
              </w:rPr>
            </w:pPr>
            <w:hyperlink w:anchor="page217">
              <w:r>
                <w:rPr>
                  <w:rFonts w:ascii="Arial" w:cs="Arial" w:eastAsia="Arial" w:hAnsi="Arial"/>
                  <w:sz w:val="16"/>
                  <w:szCs w:val="16"/>
                  <w:color w:val="0000FF"/>
                </w:rPr>
                <w:t>Consolidated Balance Sheets</w:t>
              </w:r>
            </w:hyperlink>
          </w:p>
        </w:tc>
        <w:tc>
          <w:tcPr>
            <w:tcW w:w="2660" w:type="dxa"/>
            <w:vAlign w:val="bottom"/>
            <w:gridSpan w:val="3"/>
          </w:tcPr>
          <w:p>
            <w:pPr>
              <w:ind w:left="2400"/>
              <w:spacing w:after="0" w:line="171" w:lineRule="exact"/>
              <w:rPr>
                <w:rFonts w:ascii="Arial" w:cs="Arial" w:eastAsia="Arial" w:hAnsi="Arial"/>
                <w:sz w:val="16"/>
                <w:szCs w:val="16"/>
                <w:color w:val="0000FF"/>
                <w:w w:val="99"/>
              </w:rPr>
            </w:pPr>
            <w:hyperlink w:anchor="page217">
              <w:r>
                <w:rPr>
                  <w:rFonts w:ascii="Arial" w:cs="Arial" w:eastAsia="Arial" w:hAnsi="Arial"/>
                  <w:sz w:val="16"/>
                  <w:szCs w:val="16"/>
                  <w:color w:val="0000FF"/>
                  <w:w w:val="99"/>
                </w:rPr>
                <w:t>F-3</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40" w:type="dxa"/>
            <w:vAlign w:val="bottom"/>
            <w:gridSpan w:val="7"/>
          </w:tcPr>
          <w:p>
            <w:pPr>
              <w:spacing w:after="0"/>
              <w:rPr>
                <w:rFonts w:ascii="Arial" w:cs="Arial" w:eastAsia="Arial" w:hAnsi="Arial"/>
                <w:sz w:val="16"/>
                <w:szCs w:val="16"/>
                <w:color w:val="0000FF"/>
              </w:rPr>
            </w:pPr>
            <w:hyperlink w:anchor="page218">
              <w:r>
                <w:rPr>
                  <w:rFonts w:ascii="Arial" w:cs="Arial" w:eastAsia="Arial" w:hAnsi="Arial"/>
                  <w:sz w:val="16"/>
                  <w:szCs w:val="16"/>
                  <w:color w:val="0000FF"/>
                </w:rPr>
                <w:t>Consolidated Statements of Income</w:t>
              </w:r>
            </w:hyperlink>
          </w:p>
        </w:tc>
        <w:tc>
          <w:tcPr>
            <w:tcW w:w="2660" w:type="dxa"/>
            <w:vAlign w:val="bottom"/>
            <w:gridSpan w:val="3"/>
          </w:tcPr>
          <w:p>
            <w:pPr>
              <w:ind w:left="2400"/>
              <w:spacing w:after="0"/>
              <w:rPr>
                <w:rFonts w:ascii="Arial" w:cs="Arial" w:eastAsia="Arial" w:hAnsi="Arial"/>
                <w:sz w:val="16"/>
                <w:szCs w:val="16"/>
                <w:color w:val="0000FF"/>
                <w:w w:val="99"/>
              </w:rPr>
            </w:pPr>
            <w:hyperlink w:anchor="page218">
              <w:r>
                <w:rPr>
                  <w:rFonts w:ascii="Arial" w:cs="Arial" w:eastAsia="Arial" w:hAnsi="Arial"/>
                  <w:sz w:val="16"/>
                  <w:szCs w:val="16"/>
                  <w:color w:val="0000FF"/>
                  <w:w w:val="99"/>
                </w:rPr>
                <w:t>F-4</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60" w:type="dxa"/>
            <w:vAlign w:val="bottom"/>
            <w:gridSpan w:val="6"/>
          </w:tcPr>
          <w:p>
            <w:pPr>
              <w:spacing w:after="0"/>
              <w:rPr>
                <w:rFonts w:ascii="Arial" w:cs="Arial" w:eastAsia="Arial" w:hAnsi="Arial"/>
                <w:sz w:val="16"/>
                <w:szCs w:val="16"/>
                <w:color w:val="0000FF"/>
              </w:rPr>
            </w:pPr>
            <w:hyperlink w:anchor="page219">
              <w:r>
                <w:rPr>
                  <w:rFonts w:ascii="Arial" w:cs="Arial" w:eastAsia="Arial" w:hAnsi="Arial"/>
                  <w:sz w:val="16"/>
                  <w:szCs w:val="16"/>
                  <w:color w:val="0000FF"/>
                </w:rPr>
                <w:t>Consolidated Statements of Convertible Preferred Stock and Stockholders’ Deficit</w:t>
              </w:r>
            </w:hyperlink>
          </w:p>
        </w:tc>
        <w:tc>
          <w:tcPr>
            <w:tcW w:w="2380" w:type="dxa"/>
            <w:vAlign w:val="bottom"/>
          </w:tcPr>
          <w:p>
            <w:pPr>
              <w:spacing w:after="0"/>
              <w:rPr>
                <w:sz w:val="16"/>
                <w:szCs w:val="16"/>
                <w:color w:val="auto"/>
              </w:rPr>
            </w:pPr>
          </w:p>
        </w:tc>
        <w:tc>
          <w:tcPr>
            <w:tcW w:w="2660" w:type="dxa"/>
            <w:vAlign w:val="bottom"/>
            <w:gridSpan w:val="3"/>
          </w:tcPr>
          <w:p>
            <w:pPr>
              <w:ind w:left="2400"/>
              <w:spacing w:after="0"/>
              <w:rPr>
                <w:rFonts w:ascii="Arial" w:cs="Arial" w:eastAsia="Arial" w:hAnsi="Arial"/>
                <w:sz w:val="16"/>
                <w:szCs w:val="16"/>
                <w:color w:val="0000FF"/>
                <w:w w:val="99"/>
              </w:rPr>
            </w:pPr>
            <w:hyperlink w:anchor="page219">
              <w:r>
                <w:rPr>
                  <w:rFonts w:ascii="Arial" w:cs="Arial" w:eastAsia="Arial" w:hAnsi="Arial"/>
                  <w:sz w:val="16"/>
                  <w:szCs w:val="16"/>
                  <w:color w:val="0000FF"/>
                  <w:w w:val="99"/>
                </w:rPr>
                <w:t>F-5</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60" w:type="dxa"/>
            <w:vAlign w:val="bottom"/>
            <w:gridSpan w:val="6"/>
          </w:tcPr>
          <w:p>
            <w:pPr>
              <w:spacing w:after="0"/>
              <w:rPr>
                <w:rFonts w:ascii="Arial" w:cs="Arial" w:eastAsia="Arial" w:hAnsi="Arial"/>
                <w:sz w:val="16"/>
                <w:szCs w:val="16"/>
                <w:color w:val="0000FF"/>
              </w:rPr>
            </w:pPr>
            <w:hyperlink w:anchor="page221">
              <w:r>
                <w:rPr>
                  <w:rFonts w:ascii="Arial" w:cs="Arial" w:eastAsia="Arial" w:hAnsi="Arial"/>
                  <w:sz w:val="16"/>
                  <w:szCs w:val="16"/>
                  <w:color w:val="0000FF"/>
                </w:rPr>
                <w:t>Consolidated Statements of Cash Flows</w:t>
              </w:r>
            </w:hyperlink>
          </w:p>
        </w:tc>
        <w:tc>
          <w:tcPr>
            <w:tcW w:w="2380" w:type="dxa"/>
            <w:vAlign w:val="bottom"/>
          </w:tcPr>
          <w:p>
            <w:pPr>
              <w:spacing w:after="0"/>
              <w:rPr>
                <w:sz w:val="16"/>
                <w:szCs w:val="16"/>
                <w:color w:val="auto"/>
              </w:rPr>
            </w:pPr>
          </w:p>
        </w:tc>
        <w:tc>
          <w:tcPr>
            <w:tcW w:w="2660" w:type="dxa"/>
            <w:vAlign w:val="bottom"/>
            <w:gridSpan w:val="3"/>
          </w:tcPr>
          <w:p>
            <w:pPr>
              <w:ind w:left="2400"/>
              <w:spacing w:after="0"/>
              <w:rPr>
                <w:rFonts w:ascii="Arial" w:cs="Arial" w:eastAsia="Arial" w:hAnsi="Arial"/>
                <w:sz w:val="16"/>
                <w:szCs w:val="16"/>
                <w:color w:val="0000FF"/>
                <w:w w:val="99"/>
              </w:rPr>
            </w:pPr>
            <w:hyperlink w:anchor="page221">
              <w:r>
                <w:rPr>
                  <w:rFonts w:ascii="Arial" w:cs="Arial" w:eastAsia="Arial" w:hAnsi="Arial"/>
                  <w:sz w:val="16"/>
                  <w:szCs w:val="16"/>
                  <w:color w:val="0000FF"/>
                  <w:w w:val="99"/>
                </w:rPr>
                <w:t>F-7</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40" w:type="dxa"/>
            <w:vAlign w:val="bottom"/>
            <w:gridSpan w:val="7"/>
          </w:tcPr>
          <w:p>
            <w:pPr>
              <w:spacing w:after="0"/>
              <w:rPr>
                <w:rFonts w:ascii="Arial" w:cs="Arial" w:eastAsia="Arial" w:hAnsi="Arial"/>
                <w:sz w:val="16"/>
                <w:szCs w:val="16"/>
                <w:color w:val="0000FF"/>
              </w:rPr>
            </w:pPr>
            <w:hyperlink w:anchor="page223">
              <w:r>
                <w:rPr>
                  <w:rFonts w:ascii="Arial" w:cs="Arial" w:eastAsia="Arial" w:hAnsi="Arial"/>
                  <w:sz w:val="16"/>
                  <w:szCs w:val="16"/>
                  <w:color w:val="0000FF"/>
                </w:rPr>
                <w:t>Notes to Consolidated Financial Statements</w:t>
              </w:r>
            </w:hyperlink>
          </w:p>
        </w:tc>
        <w:tc>
          <w:tcPr>
            <w:tcW w:w="2660" w:type="dxa"/>
            <w:vAlign w:val="bottom"/>
            <w:gridSpan w:val="3"/>
          </w:tcPr>
          <w:p>
            <w:pPr>
              <w:ind w:left="2400"/>
              <w:spacing w:after="0"/>
              <w:rPr>
                <w:rFonts w:ascii="Arial" w:cs="Arial" w:eastAsia="Arial" w:hAnsi="Arial"/>
                <w:sz w:val="16"/>
                <w:szCs w:val="16"/>
                <w:color w:val="0000FF"/>
                <w:w w:val="99"/>
              </w:rPr>
            </w:pPr>
            <w:hyperlink w:anchor="page223">
              <w:r>
                <w:rPr>
                  <w:rFonts w:ascii="Arial" w:cs="Arial" w:eastAsia="Arial" w:hAnsi="Arial"/>
                  <w:sz w:val="16"/>
                  <w:szCs w:val="16"/>
                  <w:color w:val="0000FF"/>
                  <w:w w:val="99"/>
                </w:rPr>
                <w:t>F-9</w:t>
              </w:r>
            </w:hyperlink>
          </w:p>
        </w:tc>
      </w:tr>
      <w:tr>
        <w:trPr>
          <w:trHeight w:val="65"/>
        </w:trPr>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120" w:type="dxa"/>
            <w:vAlign w:val="bottom"/>
            <w:tcBorders>
              <w:top w:val="single" w:sz="8" w:color="0000FF"/>
              <w:bottom w:val="single" w:sz="8" w:color="auto"/>
            </w:tcBorders>
          </w:tcPr>
          <w:p>
            <w:pPr>
              <w:spacing w:after="0"/>
              <w:rPr>
                <w:sz w:val="5"/>
                <w:szCs w:val="5"/>
                <w:color w:val="auto"/>
              </w:rPr>
            </w:pPr>
          </w:p>
        </w:tc>
        <w:tc>
          <w:tcPr>
            <w:tcW w:w="440" w:type="dxa"/>
            <w:vAlign w:val="bottom"/>
            <w:tcBorders>
              <w:top w:val="single" w:sz="8" w:color="0000FF"/>
              <w:bottom w:val="single" w:sz="8" w:color="auto"/>
            </w:tcBorders>
          </w:tcPr>
          <w:p>
            <w:pPr>
              <w:spacing w:after="0"/>
              <w:rPr>
                <w:sz w:val="5"/>
                <w:szCs w:val="5"/>
                <w:color w:val="auto"/>
              </w:rPr>
            </w:pPr>
          </w:p>
        </w:tc>
        <w:tc>
          <w:tcPr>
            <w:tcW w:w="32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40" w:type="dxa"/>
            <w:vAlign w:val="bottom"/>
            <w:tcBorders>
              <w:top w:val="single" w:sz="8" w:color="0000FF"/>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16" w:name="page217"/>
    <w:bookmarkEnd w:id="216"/>
    <w:p>
      <w:pPr>
        <w:spacing w:after="0"/>
        <w:rPr>
          <w:sz w:val="20"/>
          <w:szCs w:val="20"/>
          <w:color w:val="auto"/>
        </w:rPr>
      </w:pPr>
      <w:r>
        <w:rPr>
          <w:rFonts w:ascii="Arial" w:cs="Arial" w:eastAsia="Arial" w:hAnsi="Arial"/>
          <w:sz w:val="26"/>
          <w:szCs w:val="26"/>
          <w:b w:val="1"/>
          <w:bCs w:val="1"/>
          <w:color w:val="auto"/>
        </w:rPr>
        <w:t>Report of Independent Registered Public Accounting Firm</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the Stockholders and Board of Directors of Expensify, Inc.</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audited the accompanying consolidated balance sheets of Expensify, Inc. (the Company) as of December 31, 2020 and 2019, the related consolidated statements of income, convertible preferred stock and stockholders'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6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served as the Company’s auditor since 2020.</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San Francisco, California</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28, 2021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Except for the reclassification of employee and employee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related expenses disclosed in Note 1, as to which the date is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September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0"/>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14565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Balance Sheets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2"/>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4520"/>
              <w:spacing w:after="0"/>
              <w:rPr>
                <w:sz w:val="20"/>
                <w:szCs w:val="20"/>
                <w:color w:val="auto"/>
              </w:rPr>
            </w:pPr>
            <w:r>
              <w:rPr>
                <w:rFonts w:ascii="Arial" w:cs="Arial" w:eastAsia="Arial" w:hAnsi="Arial"/>
                <w:sz w:val="16"/>
                <w:szCs w:val="16"/>
                <w:b w:val="1"/>
                <w:bCs w:val="1"/>
                <w:color w:val="auto"/>
              </w:rPr>
              <w:t>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9,990</w:t>
            </w:r>
          </w:p>
        </w:tc>
        <w:tc>
          <w:tcPr>
            <w:tcW w:w="100" w:type="dxa"/>
            <w:vAlign w:val="bottom"/>
          </w:tcPr>
          <w:p>
            <w:pPr>
              <w:spacing w:after="0"/>
              <w:rPr>
                <w:sz w:val="17"/>
                <w:szCs w:val="17"/>
                <w:color w:val="auto"/>
              </w:rPr>
            </w:pPr>
          </w:p>
        </w:tc>
        <w:tc>
          <w:tcPr>
            <w:tcW w:w="580" w:type="dxa"/>
            <w:vAlign w:val="bottom"/>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34,401</w:t>
            </w:r>
          </w:p>
        </w:tc>
        <w:tc>
          <w:tcPr>
            <w:tcW w:w="100" w:type="dxa"/>
            <w:vAlign w:val="bottom"/>
          </w:tcPr>
          <w:p>
            <w:pPr>
              <w:spacing w:after="0"/>
              <w:rPr>
                <w:sz w:val="17"/>
                <w:szCs w:val="17"/>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45,429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13,402</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Settlement assets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30,856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21,509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2,469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Related party loan receivable, current</w:t>
            </w:r>
          </w:p>
        </w:tc>
        <w:tc>
          <w:tcPr>
            <w:tcW w:w="9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891</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8,412</w:t>
            </w:r>
          </w:p>
        </w:tc>
      </w:tr>
      <w:tr>
        <w:trPr>
          <w:trHeight w:val="199"/>
        </w:trPr>
        <w:tc>
          <w:tcPr>
            <w:tcW w:w="6340" w:type="dxa"/>
            <w:vAlign w:val="bottom"/>
          </w:tcPr>
          <w:p>
            <w:pPr>
              <w:ind w:left="700"/>
              <w:spacing w:after="0"/>
              <w:rPr>
                <w:sz w:val="20"/>
                <w:szCs w:val="20"/>
                <w:color w:val="auto"/>
              </w:rPr>
            </w:pPr>
            <w:r>
              <w:rPr>
                <w:rFonts w:ascii="Arial" w:cs="Arial" w:eastAsia="Arial" w:hAnsi="Arial"/>
                <w:sz w:val="16"/>
                <w:szCs w:val="16"/>
                <w:color w:val="auto"/>
              </w:rPr>
              <w:t>Total current assets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50,510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63,664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92,112</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net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4,306</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14,262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16,173</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2,972</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2,855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418</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loan receivable, non-current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814</w:t>
            </w:r>
          </w:p>
        </w:tc>
      </w:tr>
      <w:tr>
        <w:trPr>
          <w:trHeight w:val="225"/>
        </w:trPr>
        <w:tc>
          <w:tcPr>
            <w:tcW w:w="6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76,596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116,795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7280" w:type="dxa"/>
            <w:vAlign w:val="bottom"/>
            <w:gridSpan w:val="2"/>
          </w:tcPr>
          <w:p>
            <w:pPr>
              <w:ind w:left="2400"/>
              <w:spacing w:after="0" w:line="152" w:lineRule="exact"/>
              <w:rPr>
                <w:sz w:val="20"/>
                <w:szCs w:val="20"/>
                <w:color w:val="auto"/>
              </w:rPr>
            </w:pPr>
            <w:r>
              <w:rPr>
                <w:rFonts w:ascii="Arial" w:cs="Arial" w:eastAsia="Arial" w:hAnsi="Arial"/>
                <w:sz w:val="16"/>
                <w:szCs w:val="16"/>
                <w:b w:val="1"/>
                <w:bCs w:val="1"/>
                <w:color w:val="auto"/>
              </w:rPr>
              <w:t>Liabilities, convertible preferred stock and stockholders' deficit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993</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11,124</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line of credit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15,000</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Current portion of long-term debt, net of issuance costs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2,457</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current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1,555</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Settlement liabilities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30,856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21,409</w:t>
            </w:r>
          </w:p>
        </w:tc>
      </w:tr>
      <w:tr>
        <w:trPr>
          <w:trHeight w:val="200"/>
        </w:trPr>
        <w:tc>
          <w:tcPr>
            <w:tcW w:w="63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current liabilities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44,605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52,538</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Lease liabilities, non-current</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2,792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1,579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916</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9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1,348</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issuance costs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32,558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29,102</w:t>
            </w:r>
          </w:p>
        </w:tc>
      </w:tr>
      <w:tr>
        <w:trPr>
          <w:trHeight w:val="199"/>
        </w:trPr>
        <w:tc>
          <w:tcPr>
            <w:tcW w:w="634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Total liabilities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79,955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73,664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85,483</w:t>
            </w:r>
          </w:p>
        </w:tc>
      </w:tr>
      <w:tr>
        <w:trPr>
          <w:trHeight w:val="18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73"/>
        </w:trPr>
        <w:tc>
          <w:tcPr>
            <w:tcW w:w="6340" w:type="dxa"/>
            <w:vAlign w:val="bottom"/>
          </w:tcPr>
          <w:p>
            <w:pPr>
              <w:ind w:left="20"/>
              <w:spacing w:after="0" w:line="173" w:lineRule="exact"/>
              <w:rPr>
                <w:sz w:val="20"/>
                <w:szCs w:val="20"/>
                <w:color w:val="auto"/>
              </w:rPr>
            </w:pPr>
            <w:r>
              <w:rPr>
                <w:rFonts w:ascii="Arial" w:cs="Arial" w:eastAsia="Arial" w:hAnsi="Arial"/>
                <w:sz w:val="16"/>
                <w:szCs w:val="16"/>
                <w:color w:val="auto"/>
              </w:rPr>
              <w:t>Convertible preferred stock, par value $.0001; 4,203,139 shares authorized, issued and</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6340" w:type="dxa"/>
            <w:vAlign w:val="bottom"/>
          </w:tcPr>
          <w:p>
            <w:pPr>
              <w:ind w:left="160"/>
              <w:spacing w:after="0" w:line="158" w:lineRule="exact"/>
              <w:rPr>
                <w:sz w:val="20"/>
                <w:szCs w:val="20"/>
                <w:color w:val="auto"/>
              </w:rPr>
            </w:pPr>
            <w:r>
              <w:rPr>
                <w:rFonts w:ascii="Arial" w:cs="Arial" w:eastAsia="Arial" w:hAnsi="Arial"/>
                <w:sz w:val="16"/>
                <w:szCs w:val="16"/>
                <w:color w:val="auto"/>
                <w:w w:val="99"/>
              </w:rPr>
              <w:t>outstanding at December 31, 2019, December 31, 2020 and June 30, 2021 (unaudited)</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8"/>
        </w:trPr>
        <w:tc>
          <w:tcPr>
            <w:tcW w:w="6340" w:type="dxa"/>
            <w:vAlign w:val="bottom"/>
          </w:tcPr>
          <w:p>
            <w:pPr>
              <w:ind w:left="160"/>
              <w:spacing w:after="0" w:line="158" w:lineRule="exact"/>
              <w:rPr>
                <w:sz w:val="20"/>
                <w:szCs w:val="20"/>
                <w:color w:val="auto"/>
              </w:rPr>
            </w:pPr>
            <w:r>
              <w:rPr>
                <w:rFonts w:ascii="Arial" w:cs="Arial" w:eastAsia="Arial" w:hAnsi="Arial"/>
                <w:sz w:val="16"/>
                <w:szCs w:val="16"/>
                <w:color w:val="auto"/>
              </w:rPr>
              <w:t>(aggregate liquidation preference of $24,929,457 at December 31, 2019 , December</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2"/>
        </w:trPr>
        <w:tc>
          <w:tcPr>
            <w:tcW w:w="6340" w:type="dxa"/>
            <w:vAlign w:val="bottom"/>
          </w:tcPr>
          <w:p>
            <w:pPr>
              <w:ind w:left="160"/>
              <w:spacing w:after="0"/>
              <w:rPr>
                <w:sz w:val="20"/>
                <w:szCs w:val="20"/>
                <w:color w:val="auto"/>
              </w:rPr>
            </w:pPr>
            <w:r>
              <w:rPr>
                <w:rFonts w:ascii="Arial" w:cs="Arial" w:eastAsia="Arial" w:hAnsi="Arial"/>
                <w:sz w:val="16"/>
                <w:szCs w:val="16"/>
                <w:color w:val="auto"/>
              </w:rPr>
              <w:t>31, 2020 and June 30, 2021 (unaudited)</w:t>
            </w:r>
          </w:p>
        </w:tc>
        <w:tc>
          <w:tcPr>
            <w:tcW w:w="94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45,105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45,105</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73"/>
        </w:trPr>
        <w:tc>
          <w:tcPr>
            <w:tcW w:w="6340" w:type="dxa"/>
            <w:vAlign w:val="bottom"/>
          </w:tcPr>
          <w:p>
            <w:pPr>
              <w:ind w:left="20"/>
              <w:spacing w:after="0" w:line="173" w:lineRule="exact"/>
              <w:rPr>
                <w:sz w:val="20"/>
                <w:szCs w:val="20"/>
                <w:color w:val="auto"/>
              </w:rPr>
            </w:pPr>
            <w:r>
              <w:rPr>
                <w:rFonts w:ascii="Arial" w:cs="Arial" w:eastAsia="Arial" w:hAnsi="Arial"/>
                <w:sz w:val="16"/>
                <w:szCs w:val="16"/>
                <w:color w:val="auto"/>
              </w:rPr>
              <w:t>Common stock, par value $.0001; 9,500,000 shares authorized: 2,658,993, 2,936,694,</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6340" w:type="dxa"/>
            <w:vAlign w:val="bottom"/>
          </w:tcPr>
          <w:p>
            <w:pPr>
              <w:ind w:left="160"/>
              <w:spacing w:after="0" w:line="158" w:lineRule="exact"/>
              <w:rPr>
                <w:sz w:val="20"/>
                <w:szCs w:val="20"/>
                <w:color w:val="auto"/>
              </w:rPr>
            </w:pPr>
            <w:r>
              <w:rPr>
                <w:rFonts w:ascii="Arial" w:cs="Arial" w:eastAsia="Arial" w:hAnsi="Arial"/>
                <w:sz w:val="16"/>
                <w:szCs w:val="16"/>
                <w:color w:val="auto"/>
              </w:rPr>
              <w:t>and 3,478,052 shares issued and outstanding at December 31, 2019, December 31,</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2"/>
        </w:trPr>
        <w:tc>
          <w:tcPr>
            <w:tcW w:w="6340" w:type="dxa"/>
            <w:vAlign w:val="bottom"/>
          </w:tcPr>
          <w:p>
            <w:pPr>
              <w:ind w:left="160"/>
              <w:spacing w:after="0"/>
              <w:rPr>
                <w:sz w:val="20"/>
                <w:szCs w:val="20"/>
                <w:color w:val="auto"/>
              </w:rPr>
            </w:pPr>
            <w:r>
              <w:rPr>
                <w:rFonts w:ascii="Arial" w:cs="Arial" w:eastAsia="Arial" w:hAnsi="Arial"/>
                <w:sz w:val="16"/>
                <w:szCs w:val="16"/>
                <w:color w:val="auto"/>
              </w:rPr>
              <w:t>2020 and June 30, 2021 (unaudited), respectively</w:t>
            </w:r>
          </w:p>
        </w:tc>
        <w:tc>
          <w:tcPr>
            <w:tcW w:w="9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25,641</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Subscriptions receivable (including accrued interest of $0)</w:t>
            </w:r>
          </w:p>
        </w:tc>
        <w:tc>
          <w:tcPr>
            <w:tcW w:w="9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(1,760)</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(50,638)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(37,674)</w:t>
            </w:r>
          </w:p>
        </w:tc>
      </w:tr>
      <w:tr>
        <w:trPr>
          <w:trHeight w:val="199"/>
        </w:trPr>
        <w:tc>
          <w:tcPr>
            <w:tcW w:w="63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deficit</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(48,464)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(13,793)</w:t>
            </w:r>
          </w:p>
        </w:tc>
      </w:tr>
      <w:tr>
        <w:trPr>
          <w:trHeight w:val="225"/>
        </w:trPr>
        <w:tc>
          <w:tcPr>
            <w:tcW w:w="6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76,596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116,795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6"/>
          <w:szCs w:val="16"/>
          <w:color w:val="auto"/>
        </w:rPr>
        <w:t>F-3</w:t>
      </w:r>
      <w:r>
        <w:rPr>
          <w:sz w:val="20"/>
          <w:szCs w:val="20"/>
          <w:color w:val="auto"/>
        </w:rPr>
        <w:tab/>
      </w:r>
      <w:r>
        <w:rPr>
          <w:rFonts w:ascii="Arial" w:cs="Arial" w:eastAsia="Arial" w:hAnsi="Arial"/>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4565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Income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 net</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87"/>
        </w:trPr>
        <w:tc>
          <w:tcPr>
            <w:tcW w:w="46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7"/>
        </w:trPr>
        <w:tc>
          <w:tcPr>
            <w:tcW w:w="46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199"/>
        </w:trPr>
        <w:tc>
          <w:tcPr>
            <w:tcW w:w="46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200"/>
        </w:trPr>
        <w:tc>
          <w:tcPr>
            <w:tcW w:w="46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8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stockholders: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2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net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6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160"/>
              <w:spacing w:after="0"/>
              <w:rPr>
                <w:sz w:val="20"/>
                <w:szCs w:val="20"/>
                <w:color w:val="auto"/>
              </w:rPr>
            </w:pPr>
            <w:r>
              <w:rPr>
                <w:rFonts w:ascii="Arial" w:cs="Arial" w:eastAsia="Arial" w:hAnsi="Arial"/>
                <w:sz w:val="16"/>
                <w:szCs w:val="16"/>
                <w:color w:val="auto"/>
              </w:rPr>
              <w:t>income (loss) per share attributable to common stockholders: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3,549,511</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4,121,642</w:t>
            </w:r>
          </w:p>
        </w:tc>
        <w:tc>
          <w:tcPr>
            <w:tcW w:w="0" w:type="dxa"/>
            <w:vAlign w:val="bottom"/>
          </w:tcPr>
          <w:p>
            <w:pPr>
              <w:spacing w:after="0"/>
              <w:rPr>
                <w:sz w:val="1"/>
                <w:szCs w:val="1"/>
                <w:color w:val="auto"/>
              </w:rPr>
            </w:pPr>
          </w:p>
        </w:tc>
      </w:tr>
      <w:tr>
        <w:trPr>
          <w:trHeight w:val="20"/>
        </w:trPr>
        <w:tc>
          <w:tcPr>
            <w:tcW w:w="4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40" w:type="dxa"/>
            <w:vAlign w:val="bottom"/>
          </w:tcPr>
          <w:p>
            <w:pPr>
              <w:ind w:left="20"/>
              <w:spacing w:after="0"/>
              <w:rPr>
                <w:sz w:val="20"/>
                <w:szCs w:val="20"/>
                <w:color w:val="auto"/>
              </w:rPr>
            </w:pPr>
            <w:r>
              <w:rPr>
                <w:rFonts w:ascii="Arial" w:cs="Arial" w:eastAsia="Arial" w:hAnsi="Arial"/>
                <w:sz w:val="16"/>
                <w:szCs w:val="16"/>
                <w:color w:val="auto"/>
              </w:rPr>
              <w:t>See accompanying notes.</w:t>
            </w:r>
          </w:p>
        </w:tc>
        <w:tc>
          <w:tcPr>
            <w:tcW w:w="4820" w:type="dxa"/>
            <w:vAlign w:val="bottom"/>
          </w:tcPr>
          <w:p>
            <w:pPr>
              <w:ind w:left="4560"/>
              <w:spacing w:after="0"/>
              <w:rPr>
                <w:sz w:val="20"/>
                <w:szCs w:val="20"/>
                <w:color w:val="auto"/>
              </w:rPr>
            </w:pPr>
            <w:r>
              <w:rPr>
                <w:rFonts w:ascii="Arial" w:cs="Arial" w:eastAsia="Arial" w:hAnsi="Arial"/>
                <w:sz w:val="16"/>
                <w:szCs w:val="16"/>
                <w:color w:val="auto"/>
                <w:w w:val="99"/>
              </w:rPr>
              <w:t>F-4</w:t>
            </w:r>
          </w:p>
        </w:tc>
      </w:tr>
      <w:tr>
        <w:trPr>
          <w:trHeight w:val="159"/>
        </w:trPr>
        <w:tc>
          <w:tcPr>
            <w:tcW w:w="644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r>
    </w:tbl>
    <w:p>
      <w:pPr>
        <w:sectPr>
          <w:pgSz w:w="11900" w:h="16838" w:orient="portrait"/>
          <w:cols w:equalWidth="0" w:num="1">
            <w:col w:w="11260"/>
          </w:cols>
          <w:pgMar w:left="320" w:top="122" w:right="3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Convertible Preferred Stock and Stockholders’ Deficit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Years Ended December 31,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1097915</wp:posOffset>
            </wp:positionV>
            <wp:extent cx="714565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2320" w:type="dxa"/>
            <w:vAlign w:val="bottom"/>
            <w:gridSpan w:val="5"/>
          </w:tcPr>
          <w:p>
            <w:pPr>
              <w:ind w:left="240"/>
              <w:spacing w:after="0"/>
              <w:rPr>
                <w:sz w:val="20"/>
                <w:szCs w:val="20"/>
                <w:color w:val="auto"/>
              </w:rPr>
            </w:pPr>
            <w:r>
              <w:rPr>
                <w:rFonts w:ascii="Arial" w:cs="Arial" w:eastAsia="Arial" w:hAnsi="Arial"/>
                <w:sz w:val="13"/>
                <w:szCs w:val="13"/>
                <w:b w:val="1"/>
                <w:bCs w:val="1"/>
                <w:color w:val="auto"/>
              </w:rPr>
              <w:t>Convertible preferred stock</w:t>
            </w:r>
          </w:p>
        </w:tc>
        <w:tc>
          <w:tcPr>
            <w:tcW w:w="1900" w:type="dxa"/>
            <w:vAlign w:val="bottom"/>
            <w:gridSpan w:val="3"/>
          </w:tcPr>
          <w:p>
            <w:pPr>
              <w:jc w:val="right"/>
              <w:ind w:right="28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9"/>
        </w:trPr>
        <w:tc>
          <w:tcPr>
            <w:tcW w:w="31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restart"/>
          </w:tcPr>
          <w:p>
            <w:pPr>
              <w:ind w:left="60"/>
              <w:spacing w:after="0" w:line="123" w:lineRule="exact"/>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4"/>
                <w:szCs w:val="4"/>
                <w:color w:val="auto"/>
              </w:rPr>
            </w:pPr>
          </w:p>
        </w:tc>
        <w:tc>
          <w:tcPr>
            <w:tcW w:w="1080" w:type="dxa"/>
            <w:vAlign w:val="bottom"/>
            <w:gridSpan w:val="2"/>
            <w:vMerge w:val="restart"/>
          </w:tcPr>
          <w:p>
            <w:pPr>
              <w:ind w:left="40"/>
              <w:spacing w:after="0" w:line="123"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4"/>
                <w:szCs w:val="4"/>
                <w:color w:val="auto"/>
              </w:rPr>
            </w:pPr>
          </w:p>
        </w:tc>
        <w:tc>
          <w:tcPr>
            <w:tcW w:w="1020" w:type="dxa"/>
            <w:vAlign w:val="bottom"/>
            <w:vMerge w:val="restart"/>
          </w:tcPr>
          <w:p>
            <w:pPr>
              <w:jc w:val="center"/>
              <w:ind w:right="103"/>
              <w:spacing w:after="0" w:line="123"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Amount</w:t>
            </w:r>
          </w:p>
        </w:tc>
        <w:tc>
          <w:tcPr>
            <w:tcW w:w="16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1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in 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98"/>
              </w:rPr>
              <w:t>(deficit) equity</w:t>
            </w:r>
          </w:p>
        </w:tc>
        <w:tc>
          <w:tcPr>
            <w:tcW w:w="0" w:type="dxa"/>
            <w:vAlign w:val="bottom"/>
          </w:tcPr>
          <w:p>
            <w:pPr>
              <w:spacing w:after="0"/>
              <w:rPr>
                <w:sz w:val="1"/>
                <w:szCs w:val="1"/>
                <w:color w:val="auto"/>
              </w:rPr>
            </w:pPr>
          </w:p>
        </w:tc>
      </w:tr>
      <w:tr>
        <w:trPr>
          <w:trHeight w:val="205"/>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4,203,139</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2,452,232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(51,879)</w:t>
            </w:r>
          </w:p>
        </w:tc>
        <w:tc>
          <w:tcPr>
            <w:tcW w:w="0" w:type="dxa"/>
            <w:vAlign w:val="bottom"/>
          </w:tcPr>
          <w:p>
            <w:pPr>
              <w:spacing w:after="0"/>
              <w:rPr>
                <w:sz w:val="1"/>
                <w:szCs w:val="1"/>
                <w:color w:val="auto"/>
              </w:rPr>
            </w:pPr>
          </w:p>
        </w:tc>
      </w:tr>
      <w:tr>
        <w:trPr>
          <w:trHeight w:val="170"/>
        </w:trPr>
        <w:tc>
          <w:tcPr>
            <w:tcW w:w="3180" w:type="dxa"/>
            <w:vAlign w:val="bottom"/>
          </w:tcPr>
          <w:p>
            <w:pPr>
              <w:ind w:left="40"/>
              <w:spacing w:after="0" w:line="170" w:lineRule="exact"/>
              <w:rPr>
                <w:sz w:val="20"/>
                <w:szCs w:val="20"/>
                <w:color w:val="auto"/>
              </w:rPr>
            </w:pPr>
            <w:r>
              <w:rPr>
                <w:rFonts w:ascii="Arial" w:cs="Arial" w:eastAsia="Arial" w:hAnsi="Arial"/>
                <w:sz w:val="16"/>
                <w:szCs w:val="16"/>
                <w:color w:val="auto"/>
              </w:rPr>
              <w:t>Issuance of common stock upon exercise</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80" w:type="dxa"/>
            <w:vAlign w:val="bottom"/>
          </w:tcPr>
          <w:p>
            <w:pPr>
              <w:ind w:left="12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212,281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(5,520)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4,203,139</w:t>
            </w:r>
          </w:p>
        </w:tc>
        <w:tc>
          <w:tcPr>
            <w:tcW w:w="6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45,105</w:t>
            </w:r>
          </w:p>
        </w:tc>
        <w:tc>
          <w:tcPr>
            <w:tcW w:w="16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2,658,993</w:t>
            </w:r>
          </w:p>
        </w:tc>
        <w:tc>
          <w:tcPr>
            <w:tcW w:w="80" w:type="dxa"/>
            <w:vAlign w:val="bottom"/>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Arial" w:cs="Arial" w:eastAsia="Arial" w:hAnsi="Arial"/>
                <w:sz w:val="16"/>
                <w:szCs w:val="16"/>
                <w:color w:val="auto"/>
                <w:w w:val="89"/>
              </w:rPr>
              <w:t>$</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2,174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(50,638)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(48,464)</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180" w:type="dxa"/>
            <w:vAlign w:val="bottom"/>
            <w:shd w:val="clear" w:color="auto" w:fill="CCEEFF"/>
          </w:tcPr>
          <w:p>
            <w:pPr>
              <w:ind w:left="40"/>
              <w:spacing w:after="0" w:line="134" w:lineRule="exact"/>
              <w:rPr>
                <w:sz w:val="20"/>
                <w:szCs w:val="20"/>
                <w:color w:val="auto"/>
              </w:rPr>
            </w:pPr>
            <w:r>
              <w:rPr>
                <w:rFonts w:ascii="Arial" w:cs="Arial" w:eastAsia="Arial" w:hAnsi="Arial"/>
                <w:sz w:val="15"/>
                <w:szCs w:val="15"/>
                <w:color w:val="auto"/>
              </w:rPr>
              <w:t>Issuance of common stock upon exercise</w:t>
            </w: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277,701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17,837</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4,203,139</w:t>
            </w:r>
          </w:p>
        </w:tc>
        <w:tc>
          <w:tcPr>
            <w:tcW w:w="6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45,105</w:t>
            </w:r>
          </w:p>
        </w:tc>
        <w:tc>
          <w:tcPr>
            <w:tcW w:w="16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2,936,694</w:t>
            </w:r>
          </w:p>
        </w:tc>
        <w:tc>
          <w:tcPr>
            <w:tcW w:w="80" w:type="dxa"/>
            <w:vAlign w:val="bottom"/>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Arial" w:cs="Arial" w:eastAsia="Arial" w:hAnsi="Arial"/>
                <w:sz w:val="16"/>
                <w:szCs w:val="16"/>
                <w:color w:val="auto"/>
                <w:w w:val="89"/>
              </w:rPr>
              <w:t>$</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21,312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(52,348)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(31,036)</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6"/>
          <w:szCs w:val="16"/>
          <w:color w:val="auto"/>
        </w:rPr>
        <w:t>F-5</w:t>
      </w:r>
      <w:r>
        <w:rPr>
          <w:sz w:val="20"/>
          <w:szCs w:val="20"/>
          <w:color w:val="auto"/>
        </w:rPr>
        <w:tab/>
      </w:r>
      <w:r>
        <w:rPr>
          <w:rFonts w:ascii="Arial" w:cs="Arial" w:eastAsia="Arial" w:hAnsi="Arial"/>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565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9"/>
          <w:szCs w:val="19"/>
          <w:b w:val="1"/>
          <w:bCs w:val="1"/>
          <w:color w:val="auto"/>
        </w:rPr>
        <w:t>Expensify, Inc.</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Convertible Preferred Stock and Stockholders’ Deficit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Six Months Ended June 30, (unaudited)</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4"/>
            <w:vMerge w:val="restart"/>
          </w:tcPr>
          <w:p>
            <w:pPr>
              <w:jc w:val="right"/>
              <w:ind w:right="148"/>
              <w:spacing w:after="0"/>
              <w:rPr>
                <w:sz w:val="20"/>
                <w:szCs w:val="20"/>
                <w:color w:val="auto"/>
              </w:rPr>
            </w:pPr>
            <w:r>
              <w:rPr>
                <w:rFonts w:ascii="Arial" w:cs="Arial" w:eastAsia="Arial" w:hAnsi="Arial"/>
                <w:sz w:val="13"/>
                <w:szCs w:val="13"/>
                <w:b w:val="1"/>
                <w:bCs w:val="1"/>
                <w:color w:val="auto"/>
              </w:rPr>
              <w:t>Convertible preferred stock</w:t>
            </w:r>
          </w:p>
        </w:tc>
        <w:tc>
          <w:tcPr>
            <w:tcW w:w="100" w:type="dxa"/>
            <w:vAlign w:val="bottom"/>
            <w:tcBorders>
              <w:top w:val="single" w:sz="8" w:color="auto"/>
              <w:right w:val="single" w:sz="8" w:color="auto"/>
            </w:tcBorders>
            <w:vMerge w:val="restart"/>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3"/>
            <w:vMerge w:val="restart"/>
          </w:tcPr>
          <w:p>
            <w:pPr>
              <w:jc w:val="right"/>
              <w:ind w:right="289"/>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85"/>
        </w:trPr>
        <w:tc>
          <w:tcPr>
            <w:tcW w:w="2060" w:type="dxa"/>
            <w:vAlign w:val="bottom"/>
          </w:tcPr>
          <w:p>
            <w:pPr>
              <w:spacing w:after="0"/>
              <w:rPr>
                <w:sz w:val="7"/>
                <w:szCs w:val="7"/>
                <w:color w:val="auto"/>
              </w:rPr>
            </w:pPr>
          </w:p>
        </w:tc>
        <w:tc>
          <w:tcPr>
            <w:tcW w:w="2120" w:type="dxa"/>
            <w:vAlign w:val="bottom"/>
            <w:tcBorders>
              <w:bottom w:val="single" w:sz="8" w:color="auto"/>
            </w:tcBorders>
            <w:gridSpan w:val="4"/>
            <w:vMerge w:val="continue"/>
          </w:tcPr>
          <w:p>
            <w:pPr>
              <w:spacing w:after="0"/>
              <w:rPr>
                <w:sz w:val="7"/>
                <w:szCs w:val="7"/>
                <w:color w:val="auto"/>
              </w:rPr>
            </w:pPr>
          </w:p>
        </w:tc>
        <w:tc>
          <w:tcPr>
            <w:tcW w:w="10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Borders>
              <w:bottom w:val="single" w:sz="8" w:color="auto"/>
            </w:tcBorders>
            <w:gridSpan w:val="3"/>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3"/>
          </w:tcPr>
          <w:p>
            <w:pPr>
              <w:jc w:val="center"/>
              <w:ind w:right="100"/>
              <w:spacing w:after="0" w:line="85" w:lineRule="exact"/>
              <w:rPr>
                <w:sz w:val="20"/>
                <w:szCs w:val="20"/>
                <w:color w:val="auto"/>
              </w:rPr>
            </w:pPr>
            <w:r>
              <w:rPr>
                <w:rFonts w:ascii="Arial" w:cs="Arial" w:eastAsia="Arial" w:hAnsi="Arial"/>
                <w:sz w:val="9"/>
                <w:szCs w:val="9"/>
                <w:b w:val="1"/>
                <w:bCs w:val="1"/>
                <w:color w:val="auto"/>
              </w:rPr>
              <w:t>Additional paid-</w:t>
            </w:r>
          </w:p>
        </w:tc>
        <w:tc>
          <w:tcPr>
            <w:tcW w:w="100" w:type="dxa"/>
            <w:vAlign w:val="bottom"/>
          </w:tcPr>
          <w:p>
            <w:pPr>
              <w:spacing w:after="0"/>
              <w:rPr>
                <w:sz w:val="7"/>
                <w:szCs w:val="7"/>
                <w:color w:val="auto"/>
              </w:rPr>
            </w:pPr>
          </w:p>
        </w:tc>
        <w:tc>
          <w:tcPr>
            <w:tcW w:w="1080" w:type="dxa"/>
            <w:vAlign w:val="bottom"/>
            <w:gridSpan w:val="2"/>
          </w:tcPr>
          <w:p>
            <w:pPr>
              <w:ind w:left="20"/>
              <w:spacing w:after="0" w:line="85" w:lineRule="exact"/>
              <w:rPr>
                <w:sz w:val="20"/>
                <w:szCs w:val="20"/>
                <w:color w:val="auto"/>
              </w:rPr>
            </w:pPr>
            <w:r>
              <w:rPr>
                <w:rFonts w:ascii="Arial" w:cs="Arial" w:eastAsia="Arial" w:hAnsi="Arial"/>
                <w:sz w:val="9"/>
                <w:szCs w:val="9"/>
                <w:b w:val="1"/>
                <w:bCs w:val="1"/>
                <w:color w:val="auto"/>
              </w:rPr>
              <w:t>Subscriptions</w:t>
            </w:r>
          </w:p>
        </w:tc>
        <w:tc>
          <w:tcPr>
            <w:tcW w:w="120" w:type="dxa"/>
            <w:vAlign w:val="bottom"/>
          </w:tcPr>
          <w:p>
            <w:pPr>
              <w:spacing w:after="0"/>
              <w:rPr>
                <w:sz w:val="7"/>
                <w:szCs w:val="7"/>
                <w:color w:val="auto"/>
              </w:rPr>
            </w:pPr>
          </w:p>
        </w:tc>
        <w:tc>
          <w:tcPr>
            <w:tcW w:w="1080" w:type="dxa"/>
            <w:vAlign w:val="bottom"/>
            <w:gridSpan w:val="2"/>
          </w:tcPr>
          <w:p>
            <w:pPr>
              <w:jc w:val="center"/>
              <w:ind w:right="180"/>
              <w:spacing w:after="0" w:line="85" w:lineRule="exact"/>
              <w:rPr>
                <w:sz w:val="20"/>
                <w:szCs w:val="20"/>
                <w:color w:val="auto"/>
              </w:rPr>
            </w:pPr>
            <w:r>
              <w:rPr>
                <w:rFonts w:ascii="Arial" w:cs="Arial" w:eastAsia="Arial" w:hAnsi="Arial"/>
                <w:sz w:val="9"/>
                <w:szCs w:val="9"/>
                <w:b w:val="1"/>
                <w:bCs w:val="1"/>
                <w:color w:val="auto"/>
              </w:rPr>
              <w:t>Accumulated</w:t>
            </w:r>
          </w:p>
        </w:tc>
        <w:tc>
          <w:tcPr>
            <w:tcW w:w="100" w:type="dxa"/>
            <w:vAlign w:val="bottom"/>
          </w:tcPr>
          <w:p>
            <w:pPr>
              <w:spacing w:after="0"/>
              <w:rPr>
                <w:sz w:val="7"/>
                <w:szCs w:val="7"/>
                <w:color w:val="auto"/>
              </w:rPr>
            </w:pPr>
          </w:p>
        </w:tc>
        <w:tc>
          <w:tcPr>
            <w:tcW w:w="1040" w:type="dxa"/>
            <w:vAlign w:val="bottom"/>
          </w:tcPr>
          <w:p>
            <w:pPr>
              <w:jc w:val="center"/>
              <w:ind w:right="90"/>
              <w:spacing w:after="0" w:line="85"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110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40" w:type="dxa"/>
            <w:vAlign w:val="bottom"/>
            <w:tcBorders>
              <w:righ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110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in capital</w:t>
            </w:r>
          </w:p>
        </w:tc>
        <w:tc>
          <w:tcPr>
            <w:tcW w:w="1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3"/>
                <w:szCs w:val="13"/>
                <w:b w:val="1"/>
                <w:bCs w:val="1"/>
                <w:color w:val="auto"/>
              </w:rPr>
              <w:t>Receivable</w:t>
            </w:r>
          </w:p>
        </w:tc>
        <w:tc>
          <w:tcPr>
            <w:tcW w:w="12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deficit</w:t>
            </w:r>
          </w:p>
        </w:tc>
        <w:tc>
          <w:tcPr>
            <w:tcW w:w="100" w:type="dxa"/>
            <w:vAlign w:val="bottom"/>
          </w:tcPr>
          <w:p>
            <w:pPr>
              <w:spacing w:after="0"/>
              <w:rPr>
                <w:sz w:val="15"/>
                <w:szCs w:val="15"/>
                <w:color w:val="auto"/>
              </w:rPr>
            </w:pPr>
          </w:p>
        </w:tc>
        <w:tc>
          <w:tcPr>
            <w:tcW w:w="1040" w:type="dxa"/>
            <w:vAlign w:val="bottom"/>
          </w:tcPr>
          <w:p>
            <w:pPr>
              <w:jc w:val="center"/>
              <w:ind w:right="50"/>
              <w:spacing w:after="0"/>
              <w:rPr>
                <w:sz w:val="20"/>
                <w:szCs w:val="20"/>
                <w:color w:val="auto"/>
              </w:rPr>
            </w:pPr>
            <w:r>
              <w:rPr>
                <w:rFonts w:ascii="Arial" w:cs="Arial" w:eastAsia="Arial" w:hAnsi="Arial"/>
                <w:sz w:val="13"/>
                <w:szCs w:val="13"/>
                <w:b w:val="1"/>
                <w:bCs w:val="1"/>
                <w:color w:val="auto"/>
                <w:w w:val="98"/>
              </w:rPr>
              <w:t>(deficit) equity</w:t>
            </w:r>
          </w:p>
        </w:tc>
        <w:tc>
          <w:tcPr>
            <w:tcW w:w="0" w:type="dxa"/>
            <w:vAlign w:val="bottom"/>
          </w:tcPr>
          <w:p>
            <w:pPr>
              <w:spacing w:after="0"/>
              <w:rPr>
                <w:sz w:val="1"/>
                <w:szCs w:val="1"/>
                <w:color w:val="auto"/>
              </w:rPr>
            </w:pPr>
          </w:p>
        </w:tc>
      </w:tr>
      <w:tr>
        <w:trPr>
          <w:trHeight w:val="126"/>
        </w:trPr>
        <w:tc>
          <w:tcPr>
            <w:tcW w:w="2060" w:type="dxa"/>
            <w:vAlign w:val="bottom"/>
            <w:tcBorders>
              <w:top w:val="single" w:sz="8" w:color="CCEEFF"/>
            </w:tcBorders>
            <w:shd w:val="clear" w:color="auto" w:fill="CCEEFF"/>
          </w:tcPr>
          <w:p>
            <w:pPr>
              <w:ind w:left="20"/>
              <w:spacing w:after="0" w:line="127" w:lineRule="exact"/>
              <w:rPr>
                <w:sz w:val="20"/>
                <w:szCs w:val="20"/>
                <w:color w:val="auto"/>
              </w:rPr>
            </w:pPr>
            <w:r>
              <w:rPr>
                <w:rFonts w:ascii="Arial" w:cs="Arial" w:eastAsia="Arial" w:hAnsi="Arial"/>
                <w:sz w:val="14"/>
                <w:szCs w:val="14"/>
                <w:b w:val="1"/>
                <w:bCs w:val="1"/>
                <w:color w:val="auto"/>
              </w:rPr>
              <w:t>Six months ended June 30,</w:t>
            </w:r>
          </w:p>
        </w:tc>
        <w:tc>
          <w:tcPr>
            <w:tcW w:w="10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2020 (unaudited)</w:t>
            </w: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Arial" w:cs="Arial" w:eastAsia="Arial" w:hAnsi="Arial"/>
                <w:sz w:val="15"/>
                <w:szCs w:val="15"/>
                <w:color w:val="auto"/>
                <w:w w:val="97"/>
              </w:rPr>
              <w:t>Balance at December 31, 2019</w:t>
            </w:r>
          </w:p>
        </w:tc>
        <w:tc>
          <w:tcPr>
            <w:tcW w:w="1040" w:type="dxa"/>
            <w:vAlign w:val="bottom"/>
          </w:tcPr>
          <w:p>
            <w:pPr>
              <w:jc w:val="right"/>
              <w:ind w:right="8"/>
              <w:spacing w:after="0"/>
              <w:rPr>
                <w:sz w:val="20"/>
                <w:szCs w:val="20"/>
                <w:color w:val="auto"/>
              </w:rPr>
            </w:pPr>
            <w:r>
              <w:rPr>
                <w:rFonts w:ascii="Arial" w:cs="Arial" w:eastAsia="Arial" w:hAnsi="Arial"/>
                <w:sz w:val="15"/>
                <w:szCs w:val="15"/>
                <w:color w:val="auto"/>
              </w:rPr>
              <w:t>4,203,139</w:t>
            </w:r>
          </w:p>
        </w:tc>
        <w:tc>
          <w:tcPr>
            <w:tcW w:w="60" w:type="dxa"/>
            <w:vAlign w:val="bottom"/>
          </w:tcPr>
          <w:p>
            <w:pPr>
              <w:spacing w:after="0"/>
              <w:rPr>
                <w:sz w:val="16"/>
                <w:szCs w:val="16"/>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2,658,993</w:t>
            </w:r>
          </w:p>
        </w:tc>
        <w:tc>
          <w:tcPr>
            <w:tcW w:w="80" w:type="dxa"/>
            <w:vAlign w:val="bottom"/>
          </w:tcPr>
          <w:p>
            <w:pPr>
              <w:spacing w:after="0"/>
              <w:rPr>
                <w:sz w:val="16"/>
                <w:szCs w:val="16"/>
                <w:color w:val="auto"/>
              </w:rPr>
            </w:pPr>
          </w:p>
        </w:tc>
        <w:tc>
          <w:tcPr>
            <w:tcW w:w="780" w:type="dxa"/>
            <w:vAlign w:val="bottom"/>
          </w:tcPr>
          <w:p>
            <w:pPr>
              <w:jc w:val="right"/>
              <w:ind w:right="609"/>
              <w:spacing w:after="0"/>
              <w:rPr>
                <w:sz w:val="20"/>
                <w:szCs w:val="20"/>
                <w:color w:val="auto"/>
              </w:rPr>
            </w:pPr>
            <w:r>
              <w:rPr>
                <w:rFonts w:ascii="Arial" w:cs="Arial" w:eastAsia="Arial" w:hAnsi="Arial"/>
                <w:sz w:val="15"/>
                <w:szCs w:val="15"/>
                <w:color w:val="auto"/>
                <w:w w:val="95"/>
              </w:rPr>
              <w:t>$</w:t>
            </w: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1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2,174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(50,638)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(48,464)</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Issuance of common stock</w:t>
            </w: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60" w:type="dxa"/>
            <w:vAlign w:val="bottom"/>
            <w:shd w:val="clear" w:color="auto" w:fill="CCEEFF"/>
          </w:tcPr>
          <w:p>
            <w:pPr>
              <w:ind w:left="160"/>
              <w:spacing w:after="0" w:line="146" w:lineRule="exact"/>
              <w:rPr>
                <w:sz w:val="20"/>
                <w:szCs w:val="20"/>
                <w:color w:val="auto"/>
              </w:rPr>
            </w:pPr>
            <w:r>
              <w:rPr>
                <w:rFonts w:ascii="Arial" w:cs="Arial" w:eastAsia="Arial" w:hAnsi="Arial"/>
                <w:sz w:val="15"/>
                <w:szCs w:val="15"/>
                <w:color w:val="auto"/>
              </w:rPr>
              <w:t>upon exercise of stock</w:t>
            </w: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options (unaudited)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128,220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160"/>
        </w:trPr>
        <w:tc>
          <w:tcPr>
            <w:tcW w:w="2060" w:type="dxa"/>
            <w:vAlign w:val="bottom"/>
          </w:tcPr>
          <w:p>
            <w:pPr>
              <w:ind w:left="20"/>
              <w:spacing w:after="0" w:line="160" w:lineRule="exact"/>
              <w:rPr>
                <w:sz w:val="20"/>
                <w:szCs w:val="20"/>
                <w:color w:val="auto"/>
              </w:rPr>
            </w:pPr>
            <w:r>
              <w:rPr>
                <w:rFonts w:ascii="Arial" w:cs="Arial" w:eastAsia="Arial" w:hAnsi="Arial"/>
                <w:sz w:val="15"/>
                <w:szCs w:val="15"/>
                <w:color w:val="auto"/>
              </w:rPr>
              <w:t>Stock-based compensation</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5"/>
                <w:szCs w:val="15"/>
                <w:color w:val="auto"/>
              </w:rPr>
              <w:t>(unaudited)</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5"/>
                <w:szCs w:val="15"/>
                <w:color w:val="auto"/>
              </w:rPr>
              <w:t>1,186</w:t>
            </w:r>
          </w:p>
        </w:tc>
        <w:tc>
          <w:tcPr>
            <w:tcW w:w="0" w:type="dxa"/>
            <w:vAlign w:val="bottom"/>
          </w:tcPr>
          <w:p>
            <w:pPr>
              <w:spacing w:after="0"/>
              <w:rPr>
                <w:sz w:val="1"/>
                <w:szCs w:val="1"/>
                <w:color w:val="auto"/>
              </w:rPr>
            </w:pPr>
          </w:p>
        </w:tc>
      </w:tr>
      <w:tr>
        <w:trPr>
          <w:trHeight w:val="197"/>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(unaudited)</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3,486</w:t>
            </w:r>
          </w:p>
        </w:tc>
        <w:tc>
          <w:tcPr>
            <w:tcW w:w="0" w:type="dxa"/>
            <w:vAlign w:val="bottom"/>
          </w:tcPr>
          <w:p>
            <w:pPr>
              <w:spacing w:after="0"/>
              <w:rPr>
                <w:sz w:val="1"/>
                <w:szCs w:val="1"/>
                <w:color w:val="auto"/>
              </w:rPr>
            </w:pPr>
          </w:p>
        </w:tc>
      </w:tr>
      <w:tr>
        <w:trPr>
          <w:trHeight w:val="140"/>
        </w:trPr>
        <w:tc>
          <w:tcPr>
            <w:tcW w:w="2060" w:type="dxa"/>
            <w:vAlign w:val="bottom"/>
          </w:tcPr>
          <w:p>
            <w:pPr>
              <w:ind w:left="20"/>
              <w:spacing w:after="0" w:line="140" w:lineRule="exact"/>
              <w:rPr>
                <w:sz w:val="20"/>
                <w:szCs w:val="20"/>
                <w:color w:val="auto"/>
              </w:rPr>
            </w:pPr>
            <w:r>
              <w:rPr>
                <w:rFonts w:ascii="Arial" w:cs="Arial" w:eastAsia="Arial" w:hAnsi="Arial"/>
                <w:sz w:val="15"/>
                <w:szCs w:val="15"/>
                <w:color w:val="auto"/>
              </w:rPr>
              <w:t>Balance at June 30, 2020</w:t>
            </w:r>
          </w:p>
        </w:tc>
        <w:tc>
          <w:tcPr>
            <w:tcW w:w="1040" w:type="dxa"/>
            <w:vAlign w:val="bottom"/>
            <w:vMerge w:val="restart"/>
          </w:tcPr>
          <w:p>
            <w:pPr>
              <w:jc w:val="right"/>
              <w:ind w:right="8"/>
              <w:spacing w:after="0"/>
              <w:rPr>
                <w:sz w:val="20"/>
                <w:szCs w:val="20"/>
                <w:color w:val="auto"/>
              </w:rPr>
            </w:pPr>
            <w:r>
              <w:rPr>
                <w:rFonts w:ascii="Arial" w:cs="Arial" w:eastAsia="Arial" w:hAnsi="Arial"/>
                <w:sz w:val="15"/>
                <w:szCs w:val="15"/>
                <w:color w:val="auto"/>
              </w:rPr>
              <w:t>4,203,139</w:t>
            </w:r>
          </w:p>
        </w:tc>
        <w:tc>
          <w:tcPr>
            <w:tcW w:w="60" w:type="dxa"/>
            <w:vAlign w:val="bottom"/>
          </w:tcPr>
          <w:p>
            <w:pPr>
              <w:spacing w:after="0"/>
              <w:rPr>
                <w:sz w:val="12"/>
                <w:szCs w:val="12"/>
                <w:color w:val="auto"/>
              </w:rPr>
            </w:pPr>
          </w:p>
        </w:tc>
        <w:tc>
          <w:tcPr>
            <w:tcW w:w="180" w:type="dxa"/>
            <w:vAlign w:val="bottom"/>
            <w:vMerge w:val="restart"/>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2,787,213</w:t>
            </w:r>
          </w:p>
        </w:tc>
        <w:tc>
          <w:tcPr>
            <w:tcW w:w="80" w:type="dxa"/>
            <w:vAlign w:val="bottom"/>
          </w:tcPr>
          <w:p>
            <w:pPr>
              <w:spacing w:after="0"/>
              <w:rPr>
                <w:sz w:val="12"/>
                <w:szCs w:val="12"/>
                <w:color w:val="auto"/>
              </w:rPr>
            </w:pPr>
          </w:p>
        </w:tc>
        <w:tc>
          <w:tcPr>
            <w:tcW w:w="780" w:type="dxa"/>
            <w:vAlign w:val="bottom"/>
            <w:vMerge w:val="restart"/>
          </w:tcPr>
          <w:p>
            <w:pPr>
              <w:jc w:val="right"/>
              <w:ind w:right="609"/>
              <w:spacing w:after="0"/>
              <w:rPr>
                <w:sz w:val="20"/>
                <w:szCs w:val="20"/>
                <w:color w:val="auto"/>
              </w:rPr>
            </w:pPr>
            <w:r>
              <w:rPr>
                <w:rFonts w:ascii="Arial" w:cs="Arial" w:eastAsia="Arial" w:hAnsi="Arial"/>
                <w:sz w:val="15"/>
                <w:szCs w:val="15"/>
                <w:color w:val="auto"/>
                <w:w w:val="95"/>
              </w:rPr>
              <w:t>$</w:t>
            </w:r>
          </w:p>
        </w:tc>
        <w:tc>
          <w:tcPr>
            <w:tcW w:w="320" w:type="dxa"/>
            <w:vAlign w:val="bottom"/>
            <w:gridSpan w:val="2"/>
            <w:vMerge w:val="restart"/>
          </w:tcPr>
          <w:p>
            <w:pPr>
              <w:ind w:left="40"/>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jc w:val="right"/>
              <w:ind w:right="13"/>
              <w:spacing w:after="0"/>
              <w:rPr>
                <w:sz w:val="20"/>
                <w:szCs w:val="20"/>
                <w:color w:val="auto"/>
              </w:rPr>
            </w:pPr>
            <w:r>
              <w:rPr>
                <w:rFonts w:ascii="Arial" w:cs="Arial" w:eastAsia="Arial" w:hAnsi="Arial"/>
                <w:sz w:val="15"/>
                <w:szCs w:val="15"/>
                <w:color w:val="auto"/>
                <w:w w:val="95"/>
              </w:rPr>
              <w:t>$</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3,670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ind w:left="80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(47,152)</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(43,482)</w:t>
            </w:r>
          </w:p>
        </w:tc>
        <w:tc>
          <w:tcPr>
            <w:tcW w:w="0" w:type="dxa"/>
            <w:vAlign w:val="bottom"/>
          </w:tcPr>
          <w:p>
            <w:pPr>
              <w:spacing w:after="0"/>
              <w:rPr>
                <w:sz w:val="1"/>
                <w:szCs w:val="1"/>
                <w:color w:val="auto"/>
              </w:rPr>
            </w:pPr>
          </w:p>
        </w:tc>
      </w:tr>
      <w:tr>
        <w:trPr>
          <w:trHeight w:val="157"/>
        </w:trPr>
        <w:tc>
          <w:tcPr>
            <w:tcW w:w="2060" w:type="dxa"/>
            <w:vAlign w:val="bottom"/>
          </w:tcPr>
          <w:p>
            <w:pPr>
              <w:ind w:left="20"/>
              <w:spacing w:after="0" w:line="156" w:lineRule="exact"/>
              <w:rPr>
                <w:sz w:val="20"/>
                <w:szCs w:val="20"/>
                <w:color w:val="auto"/>
              </w:rPr>
            </w:pPr>
            <w:r>
              <w:rPr>
                <w:rFonts w:ascii="Arial" w:cs="Arial" w:eastAsia="Arial" w:hAnsi="Arial"/>
                <w:sz w:val="15"/>
                <w:szCs w:val="15"/>
                <w:color w:val="auto"/>
              </w:rPr>
              <w:t>(unaudited)</w:t>
            </w: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20"/>
              <w:spacing w:after="0" w:line="146" w:lineRule="exact"/>
              <w:rPr>
                <w:sz w:val="20"/>
                <w:szCs w:val="20"/>
                <w:color w:val="auto"/>
              </w:rPr>
            </w:pPr>
            <w:r>
              <w:rPr>
                <w:rFonts w:ascii="Arial" w:cs="Arial" w:eastAsia="Arial" w:hAnsi="Arial"/>
                <w:sz w:val="15"/>
                <w:szCs w:val="15"/>
                <w:b w:val="1"/>
                <w:bCs w:val="1"/>
                <w:color w:val="auto"/>
              </w:rPr>
              <w:t>Six months ended June 30,</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60" w:type="dxa"/>
            <w:vAlign w:val="bottom"/>
          </w:tcPr>
          <w:p>
            <w:pPr>
              <w:ind w:left="20"/>
              <w:spacing w:after="0"/>
              <w:rPr>
                <w:sz w:val="20"/>
                <w:szCs w:val="20"/>
                <w:color w:val="auto"/>
              </w:rPr>
            </w:pPr>
            <w:r>
              <w:rPr>
                <w:rFonts w:ascii="Arial" w:cs="Arial" w:eastAsia="Arial" w:hAnsi="Arial"/>
                <w:sz w:val="15"/>
                <w:szCs w:val="15"/>
                <w:b w:val="1"/>
                <w:bCs w:val="1"/>
                <w:color w:val="auto"/>
              </w:rPr>
              <w:t>2021 (unaudited)</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Balance at December 31, 2020</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4,203,139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2,936,694</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9"/>
              <w:spacing w:after="0"/>
              <w:rPr>
                <w:sz w:val="20"/>
                <w:szCs w:val="20"/>
                <w:color w:val="auto"/>
              </w:rPr>
            </w:pPr>
            <w:r>
              <w:rPr>
                <w:rFonts w:ascii="Arial" w:cs="Arial" w:eastAsia="Arial" w:hAnsi="Arial"/>
                <w:sz w:val="15"/>
                <w:szCs w:val="15"/>
                <w:color w:val="auto"/>
                <w:w w:val="95"/>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(31,036)</w:t>
            </w:r>
          </w:p>
        </w:tc>
        <w:tc>
          <w:tcPr>
            <w:tcW w:w="0" w:type="dxa"/>
            <w:vAlign w:val="bottom"/>
          </w:tcPr>
          <w:p>
            <w:pPr>
              <w:spacing w:after="0"/>
              <w:rPr>
                <w:sz w:val="1"/>
                <w:szCs w:val="1"/>
                <w:color w:val="auto"/>
              </w:rPr>
            </w:pPr>
          </w:p>
        </w:tc>
      </w:tr>
      <w:tr>
        <w:trPr>
          <w:trHeight w:val="160"/>
        </w:trPr>
        <w:tc>
          <w:tcPr>
            <w:tcW w:w="2060" w:type="dxa"/>
            <w:vAlign w:val="bottom"/>
          </w:tcPr>
          <w:p>
            <w:pPr>
              <w:ind w:left="20"/>
              <w:spacing w:after="0" w:line="160" w:lineRule="exact"/>
              <w:rPr>
                <w:sz w:val="20"/>
                <w:szCs w:val="20"/>
                <w:color w:val="auto"/>
              </w:rPr>
            </w:pPr>
            <w:r>
              <w:rPr>
                <w:rFonts w:ascii="Arial" w:cs="Arial" w:eastAsia="Arial" w:hAnsi="Arial"/>
                <w:sz w:val="15"/>
                <w:szCs w:val="15"/>
                <w:color w:val="auto"/>
              </w:rPr>
              <w:t>Issuance of common stock</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160"/>
              <w:spacing w:after="0" w:line="146" w:lineRule="exact"/>
              <w:rPr>
                <w:sz w:val="20"/>
                <w:szCs w:val="20"/>
                <w:color w:val="auto"/>
              </w:rPr>
            </w:pPr>
            <w:r>
              <w:rPr>
                <w:rFonts w:ascii="Arial" w:cs="Arial" w:eastAsia="Arial" w:hAnsi="Arial"/>
                <w:sz w:val="15"/>
                <w:szCs w:val="15"/>
                <w:color w:val="auto"/>
              </w:rPr>
              <w:t>upon exercise of stock</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160"/>
              <w:spacing w:after="0"/>
              <w:rPr>
                <w:sz w:val="20"/>
                <w:szCs w:val="20"/>
                <w:color w:val="auto"/>
              </w:rPr>
            </w:pPr>
            <w:r>
              <w:rPr>
                <w:rFonts w:ascii="Arial" w:cs="Arial" w:eastAsia="Arial" w:hAnsi="Arial"/>
                <w:sz w:val="15"/>
                <w:szCs w:val="15"/>
                <w:color w:val="auto"/>
              </w:rPr>
              <w:t>options (unaudited)</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541,358</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520"/>
              <w:spacing w:after="0"/>
              <w:rPr>
                <w:sz w:val="20"/>
                <w:szCs w:val="20"/>
                <w:color w:val="auto"/>
              </w:rPr>
            </w:pPr>
            <w:r>
              <w:rPr>
                <w:rFonts w:ascii="Arial" w:cs="Arial" w:eastAsia="Arial" w:hAnsi="Arial"/>
                <w:sz w:val="15"/>
                <w:szCs w:val="15"/>
                <w:color w:val="auto"/>
              </w:rPr>
              <w:t>(1,760)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5"/>
                <w:szCs w:val="15"/>
                <w:color w:val="auto"/>
              </w:rPr>
              <w:t>971</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Stock-based compensation</w:t>
            </w: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(unaudited)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1,598</w:t>
            </w:r>
          </w:p>
        </w:tc>
        <w:tc>
          <w:tcPr>
            <w:tcW w:w="0" w:type="dxa"/>
            <w:vAlign w:val="bottom"/>
          </w:tcPr>
          <w:p>
            <w:pPr>
              <w:spacing w:after="0"/>
              <w:rPr>
                <w:sz w:val="1"/>
                <w:szCs w:val="1"/>
                <w:color w:val="auto"/>
              </w:rPr>
            </w:pPr>
          </w:p>
        </w:tc>
      </w:tr>
      <w:tr>
        <w:trPr>
          <w:trHeight w:val="193"/>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income (loss) (unaudited)</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14,674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14,674</w:t>
            </w: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ind w:left="20"/>
              <w:spacing w:after="0" w:line="143" w:lineRule="exact"/>
              <w:rPr>
                <w:sz w:val="20"/>
                <w:szCs w:val="20"/>
                <w:color w:val="auto"/>
              </w:rPr>
            </w:pPr>
            <w:r>
              <w:rPr>
                <w:rFonts w:ascii="Arial" w:cs="Arial" w:eastAsia="Arial" w:hAnsi="Arial"/>
                <w:sz w:val="15"/>
                <w:szCs w:val="15"/>
                <w:color w:val="auto"/>
              </w:rPr>
              <w:t>Balance at June 30, 2021</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4,203,139</w:t>
            </w:r>
          </w:p>
        </w:tc>
        <w:tc>
          <w:tcPr>
            <w:tcW w:w="6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3,478,052</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09"/>
              <w:spacing w:after="0"/>
              <w:rPr>
                <w:sz w:val="20"/>
                <w:szCs w:val="20"/>
                <w:color w:val="auto"/>
              </w:rPr>
            </w:pPr>
            <w:r>
              <w:rPr>
                <w:rFonts w:ascii="Arial" w:cs="Arial" w:eastAsia="Arial" w:hAnsi="Arial"/>
                <w:sz w:val="15"/>
                <w:szCs w:val="15"/>
                <w:color w:val="auto"/>
                <w:w w:val="95"/>
              </w:rPr>
              <w:t>$</w:t>
            </w: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vMerge w:val="restart"/>
            <w:shd w:val="clear" w:color="auto" w:fill="CCEEFF"/>
          </w:tcPr>
          <w:p>
            <w:pPr>
              <w:jc w:val="right"/>
              <w:ind w:right="13"/>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25,641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shd w:val="clear" w:color="auto" w:fill="CCEEFF"/>
          </w:tcPr>
          <w:p>
            <w:pPr>
              <w:ind w:left="520"/>
              <w:spacing w:after="0"/>
              <w:rPr>
                <w:sz w:val="20"/>
                <w:szCs w:val="20"/>
                <w:color w:val="auto"/>
              </w:rPr>
            </w:pPr>
            <w:r>
              <w:rPr>
                <w:rFonts w:ascii="Arial" w:cs="Arial" w:eastAsia="Arial" w:hAnsi="Arial"/>
                <w:sz w:val="15"/>
                <w:szCs w:val="15"/>
                <w:color w:val="auto"/>
              </w:rPr>
              <w:t>(1,760)</w:t>
            </w:r>
          </w:p>
        </w:tc>
        <w:tc>
          <w:tcPr>
            <w:tcW w:w="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(37,674)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(13,793)</w:t>
            </w:r>
          </w:p>
        </w:tc>
        <w:tc>
          <w:tcPr>
            <w:tcW w:w="0" w:type="dxa"/>
            <w:vAlign w:val="bottom"/>
          </w:tcPr>
          <w:p>
            <w:pPr>
              <w:spacing w:after="0"/>
              <w:rPr>
                <w:sz w:val="1"/>
                <w:szCs w:val="1"/>
                <w:color w:val="auto"/>
              </w:rPr>
            </w:pPr>
          </w:p>
        </w:tc>
      </w:tr>
      <w:tr>
        <w:trPr>
          <w:trHeight w:val="177"/>
        </w:trPr>
        <w:tc>
          <w:tcPr>
            <w:tcW w:w="20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(unaudited)</w:t>
            </w:r>
          </w:p>
        </w:tc>
        <w:tc>
          <w:tcPr>
            <w:tcW w:w="10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See accompanying notes.</w:t>
            </w:r>
          </w:p>
        </w:tc>
        <w:tc>
          <w:tcPr>
            <w:tcW w:w="4820" w:type="dxa"/>
            <w:vAlign w:val="bottom"/>
            <w:tcBorders>
              <w:bottom w:val="single" w:sz="8" w:color="auto"/>
            </w:tcBorders>
          </w:tcPr>
          <w:p>
            <w:pPr>
              <w:ind w:left="4560"/>
              <w:spacing w:after="0"/>
              <w:rPr>
                <w:sz w:val="20"/>
                <w:szCs w:val="20"/>
                <w:color w:val="auto"/>
              </w:rPr>
            </w:pPr>
            <w:r>
              <w:rPr>
                <w:rFonts w:ascii="Arial" w:cs="Arial" w:eastAsia="Arial" w:hAnsi="Arial"/>
                <w:sz w:val="16"/>
                <w:szCs w:val="16"/>
                <w:color w:val="auto"/>
                <w:w w:val="99"/>
              </w:rPr>
              <w:t>F-6</w:t>
            </w:r>
          </w:p>
        </w:tc>
      </w:tr>
    </w:tbl>
    <w:p>
      <w:pPr>
        <w:sectPr>
          <w:pgSz w:w="11900" w:h="16838" w:orient="portrait"/>
          <w:cols w:equalWidth="0" w:num="1">
            <w:col w:w="11260"/>
          </w:cols>
          <w:pgMar w:left="320" w:top="134" w:right="3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580" w:type="dxa"/>
            <w:vAlign w:val="bottom"/>
            <w:tcBorders>
              <w:top w:val="single" w:sz="8" w:color="auto"/>
              <w:bottom w:val="single" w:sz="8" w:color="auto"/>
            </w:tcBorders>
            <w:gridSpan w:val="4"/>
          </w:tcPr>
          <w:p>
            <w:pPr>
              <w:jc w:val="right"/>
              <w:ind w:right="107"/>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center"/>
              <w:ind w:right="299"/>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63"/>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640"/>
              <w:spacing w:after="0"/>
              <w:rPr>
                <w:sz w:val="20"/>
                <w:szCs w:val="20"/>
                <w:color w:val="auto"/>
              </w:rPr>
            </w:pPr>
            <w:r>
              <w:rPr>
                <w:rFonts w:ascii="Arial" w:cs="Arial" w:eastAsia="Arial" w:hAnsi="Arial"/>
                <w:sz w:val="13"/>
                <w:szCs w:val="13"/>
                <w:b w:val="1"/>
                <w:bCs w:val="1"/>
                <w:color w:val="auto"/>
                <w:w w:val="98"/>
              </w:rPr>
              <w:t>(unaudited)</w:t>
            </w:r>
          </w:p>
        </w:tc>
        <w:tc>
          <w:tcPr>
            <w:tcW w:w="11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tcPr>
          <w:p>
            <w:pPr>
              <w:jc w:val="right"/>
              <w:ind w:right="79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7"/>
                <w:szCs w:val="17"/>
                <w:color w:val="auto"/>
              </w:rPr>
            </w:pPr>
          </w:p>
        </w:tc>
        <w:tc>
          <w:tcPr>
            <w:tcW w:w="920" w:type="dxa"/>
            <w:vAlign w:val="bottom"/>
          </w:tcPr>
          <w:p>
            <w:pPr>
              <w:jc w:val="right"/>
              <w:ind w:right="747"/>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14,674</w:t>
            </w: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Adjustments to reconcile net income (loss) to net cash provided</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(used) by operating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2,294</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 of operating lease right-of-use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6"/>
                <w:szCs w:val="16"/>
                <w:color w:val="auto"/>
              </w:rPr>
              <w:t>Loss on impairment, receivables and sale or disposal of</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6"/>
                <w:szCs w:val="16"/>
                <w:color w:val="auto"/>
              </w:rPr>
              <w:t>equipment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(3,513)</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loan receivables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Settlement assets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(2,996)</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(16,548)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472</w:t>
            </w:r>
          </w:p>
        </w:tc>
      </w:tr>
      <w:tr>
        <w:trPr>
          <w:trHeight w:val="20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(used) by operating activities</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(10,186)</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24,213</w:t>
            </w: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Proceeds from sale or disposal of property and equipment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development costs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r>
      <w:tr>
        <w:trPr>
          <w:trHeight w:val="19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by investing activities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w:t>
            </w:r>
          </w:p>
        </w:tc>
      </w:tr>
      <w:tr>
        <w:trPr>
          <w:trHeight w:val="18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Principal payments of finance leases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payments of term loan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Principal payments of line of credit</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line of credit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deferred offering costs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w:t>
            </w: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6"/>
                <w:szCs w:val="16"/>
                <w:color w:val="auto"/>
              </w:rPr>
              <w:t>Proceeds from issuance of common stock on exercise of stock</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47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options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financing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5,136</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r>
      <w:tr>
        <w:trPr>
          <w:trHeight w:val="199"/>
        </w:trPr>
        <w:tc>
          <w:tcPr>
            <w:tcW w:w="47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12,662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16,932</w:t>
            </w: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Cash and cash equivalents and restricted cash, beginning of</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5"/>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period</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22,139</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6"/>
          <w:szCs w:val="16"/>
          <w:color w:val="auto"/>
        </w:rPr>
        <w:t>F-7</w:t>
      </w:r>
      <w:r>
        <w:rPr>
          <w:sz w:val="20"/>
          <w:szCs w:val="20"/>
          <w:color w:val="auto"/>
        </w:rPr>
        <w:tab/>
      </w:r>
      <w:r>
        <w:rPr>
          <w:rFonts w:ascii="Arial" w:cs="Arial" w:eastAsia="Arial" w:hAnsi="Arial"/>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2" w:name="page223"/>
    <w:bookmarkEnd w:id="222"/>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0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end of period</w:t>
            </w: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46,878</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30,793</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63,810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1"/>
        </w:trPr>
        <w:tc>
          <w:tcPr>
            <w:tcW w:w="470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Supplemental disclosure of cash flow information:</w:t>
            </w: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2,708</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Noncash investing and financing items:</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Commercial building and land acquired with long-term debt (net</w:t>
            </w: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issuance costs of $8,226)</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Right-of-use assets acquired with lease liabilities</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deferred offering costs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6"/>
                <w:szCs w:val="16"/>
                <w:color w:val="auto"/>
              </w:rPr>
              <w:t>Reconciliation of cash, cash equivalents and restricted cash to</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6"/>
                <w:szCs w:val="16"/>
                <w:color w:val="auto"/>
              </w:rPr>
              <w:t>the consolidated balance sheets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34,401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45,429</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Restricted cash included in other current assets</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3,652</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included in other assets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settlement assets</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14,680</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46,878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See accompanying notes.</w:t>
            </w:r>
          </w:p>
        </w:tc>
        <w:tc>
          <w:tcPr>
            <w:tcW w:w="4820" w:type="dxa"/>
            <w:vAlign w:val="bottom"/>
            <w:tcBorders>
              <w:bottom w:val="single" w:sz="8" w:color="auto"/>
            </w:tcBorders>
          </w:tcPr>
          <w:p>
            <w:pPr>
              <w:ind w:left="4560"/>
              <w:spacing w:after="0"/>
              <w:rPr>
                <w:sz w:val="20"/>
                <w:szCs w:val="20"/>
                <w:color w:val="auto"/>
              </w:rPr>
            </w:pPr>
            <w:r>
              <w:rPr>
                <w:rFonts w:ascii="Arial" w:cs="Arial" w:eastAsia="Arial" w:hAnsi="Arial"/>
                <w:sz w:val="16"/>
                <w:szCs w:val="16"/>
                <w:color w:val="auto"/>
                <w:w w:val="99"/>
              </w:rPr>
              <w:t>F-8</w:t>
            </w:r>
          </w:p>
        </w:tc>
      </w:tr>
    </w:tbl>
    <w:p>
      <w:pPr>
        <w:sectPr>
          <w:pgSz w:w="11900" w:h="16838" w:orient="portrait"/>
          <w:cols w:equalWidth="0" w:num="1">
            <w:col w:w="11260"/>
          </w:cols>
          <w:pgMar w:left="320" w:top="1440" w:right="3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NOTE 1 – DESCRIPTION OF BUSINESS AND BASIS OF PRESENTATION</w:t>
      </w:r>
    </w:p>
    <w:p>
      <w:pPr>
        <w:spacing w:after="0" w:line="132" w:lineRule="exact"/>
        <w:rPr>
          <w:sz w:val="20"/>
          <w:szCs w:val="20"/>
          <w:color w:val="auto"/>
        </w:rPr>
      </w:pPr>
    </w:p>
    <w:p>
      <w:pPr>
        <w:ind w:left="3" w:right="40"/>
        <w:spacing w:after="0" w:line="262" w:lineRule="auto"/>
        <w:rPr>
          <w:sz w:val="20"/>
          <w:szCs w:val="20"/>
          <w:color w:val="auto"/>
        </w:rPr>
      </w:pPr>
      <w:r>
        <w:rPr>
          <w:rFonts w:ascii="Arial" w:cs="Arial" w:eastAsia="Arial" w:hAnsi="Arial"/>
          <w:sz w:val="16"/>
          <w:szCs w:val="16"/>
          <w:b w:val="1"/>
          <w:bCs w:val="1"/>
          <w:color w:val="auto"/>
        </w:rPr>
        <w:t xml:space="preserve">Description of business </w:t>
      </w:r>
      <w:r>
        <w:rPr>
          <w:rFonts w:ascii="Arial" w:cs="Arial" w:eastAsia="Arial" w:hAnsi="Arial"/>
          <w:sz w:val="16"/>
          <w:szCs w:val="16"/>
          <w:color w:val="auto"/>
        </w:rPr>
        <w:t>– Expensify, Inc. (Expensify or the Company), was incorporated in Delaware on April 29, 2009. Expensify offers a comprehensive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(SMB) and enterprises on a per-active-member basis. Expensify's customers are worldwide but primarily in the United States (U.S.).</w:t>
      </w:r>
    </w:p>
    <w:p>
      <w:pPr>
        <w:spacing w:after="0" w:line="118" w:lineRule="exact"/>
        <w:rPr>
          <w:sz w:val="20"/>
          <w:szCs w:val="20"/>
          <w:color w:val="auto"/>
        </w:rPr>
      </w:pPr>
    </w:p>
    <w:p>
      <w:pPr>
        <w:ind w:left="3" w:right="400"/>
        <w:spacing w:after="0" w:line="261" w:lineRule="auto"/>
        <w:rPr>
          <w:sz w:val="20"/>
          <w:szCs w:val="20"/>
          <w:color w:val="auto"/>
        </w:rPr>
      </w:pPr>
      <w:r>
        <w:rPr>
          <w:rFonts w:ascii="Arial" w:cs="Arial" w:eastAsia="Arial" w:hAnsi="Arial"/>
          <w:sz w:val="16"/>
          <w:szCs w:val="16"/>
          <w:color w:val="auto"/>
        </w:rPr>
        <w:t>In early 2020, Expensify launched the Expensify credit card (the Expensify Card). Expensify primarily distributes the Expensify Card to large corporate customers in the U.S. that subsequently distribute the card to their employees for business use. The Expensify Card allows customers to have real-time control over their employees spending limits and compliance in addition to eReceipt reporting on purchases made.</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16"/>
          <w:szCs w:val="16"/>
          <w:color w:val="auto"/>
        </w:rPr>
        <w:t>Information regarding the subsidiaries of Expensify are as follows:</w:t>
      </w:r>
    </w:p>
    <w:p>
      <w:pPr>
        <w:spacing w:after="0" w:line="133" w:lineRule="exact"/>
        <w:rPr>
          <w:sz w:val="20"/>
          <w:szCs w:val="20"/>
          <w:color w:val="auto"/>
        </w:rPr>
      </w:pPr>
    </w:p>
    <w:p>
      <w:pPr>
        <w:ind w:left="283" w:right="460" w:hanging="283"/>
        <w:spacing w:after="0" w:line="268" w:lineRule="auto"/>
        <w:tabs>
          <w:tab w:leader="none" w:pos="27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Expensify established a wholly-owned subsidiary in the United Kingdom (UK), Expensify LTD., in 2015 that primarily serves to promote and market Expensify's services to customers and potential customers of Expensify in the UK.</w:t>
      </w:r>
    </w:p>
    <w:p>
      <w:pPr>
        <w:spacing w:after="0" w:line="112" w:lineRule="exact"/>
        <w:rPr>
          <w:rFonts w:ascii="Arial" w:cs="Arial" w:eastAsia="Arial" w:hAnsi="Arial"/>
          <w:sz w:val="16"/>
          <w:szCs w:val="16"/>
          <w:color w:val="auto"/>
        </w:rPr>
      </w:pPr>
    </w:p>
    <w:p>
      <w:pPr>
        <w:ind w:left="283" w:right="420" w:hanging="283"/>
        <w:spacing w:after="0" w:line="268" w:lineRule="auto"/>
        <w:tabs>
          <w:tab w:leader="none" w:pos="27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Expensify established a wholly-owned subsidiary in Australia, Expensify PTY LTD., in 2017 that primarily serves to promote and market Expensify's services to customers and potential customers of Expensify in Australia.</w:t>
      </w:r>
    </w:p>
    <w:p>
      <w:pPr>
        <w:spacing w:after="0" w:line="11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Expensify established a wholly-owned subsidiary, 401 SW 5th Ave LLC, in 2019 with the subsidiary’s primary purpose to hold title to the commercial building purchased in Portland, Oregon.</w:t>
      </w:r>
    </w:p>
    <w:p>
      <w:pPr>
        <w:spacing w:after="0" w:line="100" w:lineRule="exact"/>
        <w:rPr>
          <w:rFonts w:ascii="Arial" w:cs="Arial" w:eastAsia="Arial" w:hAnsi="Arial"/>
          <w:sz w:val="16"/>
          <w:szCs w:val="16"/>
          <w:color w:val="auto"/>
        </w:rPr>
      </w:pPr>
    </w:p>
    <w:p>
      <w:pPr>
        <w:ind w:left="283" w:right="80" w:hanging="283"/>
        <w:spacing w:after="0" w:line="255" w:lineRule="auto"/>
        <w:tabs>
          <w:tab w:leader="none" w:pos="27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Expensify established a wholly-owned subsidiary, Expensify.org, in 2019 which is a nonprofit benefit organization. Expensify.org is included within the consolidated financial statements of Expensify as Expensify has both a majority voting interest in the board of Expensify.org and an economic interest in the organization. In early 2020 with the introduction of the Expensify Card, Expensify committed to donate 10% of its consideration received from a vendor for monetizing Expensify Card activities to Expensify.org in addition to lump sum discretionary contributions. For the year ended December 31, 2020, Expensify, Inc. contributed $136,627 to Expensify.org. No commitments from Expensify, Inc. remain open for contribution as of December 31, 2020. Beginning in January 2021, an additional commitment was made to donate 25 cents for every dollar Expensify paid to white, male Expensify employees to Expensify.org to fund social justice and equity efforts. For the six months ended June 30, 2021 (unaudited), Expensify, Inc. contributed $87,501 to Expensify.org and incurred additional commitments of $1,521,397 to Expensify.org for which the intercompany contribution payment has not yet been made as of June 30, 2021 (unaudited). Payments are expected to be made to Expensify.org during the three months ended September 30, 2021. All intercompany transactions and balances have been eliminated in consolidation. Any contributions from Expensify.org to a charitable organization is recorded as an expense within General and administrative expenses on the consolidated financial statements upon payment. Contributions from Expensify.org to a charitable organization have been immaterial to date.</w:t>
      </w:r>
    </w:p>
    <w:p>
      <w:pPr>
        <w:spacing w:after="0" w:line="126" w:lineRule="exact"/>
        <w:rPr>
          <w:rFonts w:ascii="Arial" w:cs="Arial" w:eastAsia="Arial" w:hAnsi="Arial"/>
          <w:sz w:val="16"/>
          <w:szCs w:val="16"/>
          <w:color w:val="auto"/>
        </w:rPr>
      </w:pPr>
    </w:p>
    <w:p>
      <w:pPr>
        <w:ind w:left="283" w:right="260" w:hanging="283"/>
        <w:spacing w:after="0" w:line="268" w:lineRule="auto"/>
        <w:tabs>
          <w:tab w:leader="none" w:pos="27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Expensify established wholly-owned subsidiaries, Expensify Canada Inc. and Expensify Netherlands B.V., in 2020 that primarily serve to promote and market Expensify's services to customers and potential customers of the Company in Canada and the Netherlands,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3"/>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56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3" w:right="20" w:hanging="283"/>
        <w:spacing w:after="0" w:line="268" w:lineRule="auto"/>
        <w:tabs>
          <w:tab w:leader="none" w:pos="27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Expensify established a wholly-owned subsidiary, Expensify Payments LLC, in 2020 that primarily serves as the licensed provider of money transmission services for Expensify with its expense management program.</w:t>
      </w:r>
    </w:p>
    <w:p>
      <w:pPr>
        <w:spacing w:after="0" w:line="100" w:lineRule="exact"/>
        <w:rPr>
          <w:rFonts w:ascii="Arial" w:cs="Arial" w:eastAsia="Arial" w:hAnsi="Arial"/>
          <w:sz w:val="16"/>
          <w:szCs w:val="16"/>
          <w:color w:val="auto"/>
        </w:rPr>
      </w:pPr>
    </w:p>
    <w:p>
      <w:pPr>
        <w:ind w:left="283" w:right="420" w:hanging="283"/>
        <w:spacing w:after="0" w:line="268" w:lineRule="auto"/>
        <w:tabs>
          <w:tab w:leader="none" w:pos="27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Expensify established a wholly-owned subsidiary, Expensify Lounge LLC, in 2021 that primarily serves to manage, promote and market Expensify's lounge operations in the United States.</w:t>
      </w:r>
    </w:p>
    <w:p>
      <w:pPr>
        <w:spacing w:after="0" w:line="93" w:lineRule="exact"/>
        <w:rPr>
          <w:sz w:val="20"/>
          <w:szCs w:val="20"/>
          <w:color w:val="auto"/>
        </w:rPr>
      </w:pPr>
    </w:p>
    <w:p>
      <w:pPr>
        <w:jc w:val="both"/>
        <w:ind w:left="3" w:right="160"/>
        <w:spacing w:after="0" w:line="274" w:lineRule="auto"/>
        <w:rPr>
          <w:sz w:val="20"/>
          <w:szCs w:val="20"/>
          <w:color w:val="auto"/>
        </w:rPr>
      </w:pPr>
      <w:r>
        <w:rPr>
          <w:rFonts w:ascii="Arial" w:cs="Arial" w:eastAsia="Arial" w:hAnsi="Arial"/>
          <w:sz w:val="16"/>
          <w:szCs w:val="16"/>
          <w:b w:val="1"/>
          <w:bCs w:val="1"/>
          <w:color w:val="auto"/>
        </w:rPr>
        <w:t xml:space="preserve">Basis of presentation and principles of consolidation </w:t>
      </w:r>
      <w:r>
        <w:rPr>
          <w:rFonts w:ascii="Arial" w:cs="Arial" w:eastAsia="Arial" w:hAnsi="Arial"/>
          <w:sz w:val="16"/>
          <w:szCs w:val="16"/>
          <w:color w:val="auto"/>
        </w:rPr>
        <w:t>– The accompanying consolidated financial statements, include the accounts of Expensify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wholly-owned subsidiaries (the Company), and have been prepared in accordance with generally accepted accounting principles in the United States (U.S. GAAP). All intercompany transactions and balances have been eliminated in consolidation.</w:t>
      </w:r>
    </w:p>
    <w:p>
      <w:pPr>
        <w:spacing w:after="0" w:line="88" w:lineRule="exact"/>
        <w:rPr>
          <w:sz w:val="20"/>
          <w:szCs w:val="20"/>
          <w:color w:val="auto"/>
        </w:rPr>
      </w:pPr>
    </w:p>
    <w:p>
      <w:pPr>
        <w:ind w:left="3" w:right="60"/>
        <w:spacing w:after="0" w:line="263" w:lineRule="auto"/>
        <w:rPr>
          <w:sz w:val="20"/>
          <w:szCs w:val="20"/>
          <w:color w:val="auto"/>
        </w:rPr>
      </w:pPr>
      <w:r>
        <w:rPr>
          <w:rFonts w:ascii="Arial" w:cs="Arial" w:eastAsia="Arial" w:hAnsi="Arial"/>
          <w:sz w:val="16"/>
          <w:szCs w:val="16"/>
          <w:b w:val="1"/>
          <w:bCs w:val="1"/>
          <w:color w:val="auto"/>
        </w:rPr>
        <w:t xml:space="preserve">Reclassification of prior year presentation </w:t>
      </w:r>
      <w:r>
        <w:rPr>
          <w:rFonts w:ascii="Arial" w:cs="Arial" w:eastAsia="Arial" w:hAnsi="Arial"/>
          <w:sz w:val="16"/>
          <w:szCs w:val="16"/>
          <w:color w:val="auto"/>
        </w:rPr>
        <w:t>– Certain prior year amounts have been reclassified to conform to the current six month ended June 30, 2021</w:t>
      </w:r>
      <w:r>
        <w:rPr>
          <w:rFonts w:ascii="Arial" w:cs="Arial" w:eastAsia="Arial" w:hAnsi="Arial"/>
          <w:sz w:val="16"/>
          <w:szCs w:val="16"/>
          <w:b w:val="1"/>
          <w:bCs w:val="1"/>
          <w:color w:val="auto"/>
        </w:rPr>
        <w:t xml:space="preserve"> </w:t>
      </w:r>
      <w:r>
        <w:rPr>
          <w:rFonts w:ascii="Arial" w:cs="Arial" w:eastAsia="Arial" w:hAnsi="Arial"/>
          <w:sz w:val="16"/>
          <w:szCs w:val="16"/>
          <w:color w:val="auto"/>
        </w:rPr>
        <w:t>interim period presentation. Adjustments have been made to present all Employee and employee related amounts previously reported as a separate financial statement line item within operating expenses to Cost of revenue, net, Research and development, Sales and marketing and General and administrative on the consolidated statements of income for the years ended December 31, 2019 and 2020 and any interim periods presented within fiscal 2019 and 2020. Employee and employee related amounts were reclassified to the financial statement line item aligned with each employee's function during the periods.</w:t>
      </w:r>
    </w:p>
    <w:p>
      <w:pPr>
        <w:spacing w:after="0" w:line="303"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The changes in classification had no impact to revenue, income before operations, net income (loss) or net income (loss) per share on the consolidated statements of income. The changes in classification also had no impact to the consolidated balance sheets, consolidated statements of stockholders’ (deficit) equity and consolidated statements of cash flows previously presented.</w:t>
      </w:r>
    </w:p>
    <w:p>
      <w:pPr>
        <w:spacing w:after="0" w:line="118" w:lineRule="exact"/>
        <w:rPr>
          <w:sz w:val="20"/>
          <w:szCs w:val="20"/>
          <w:color w:val="auto"/>
        </w:rPr>
      </w:pPr>
    </w:p>
    <w:p>
      <w:pPr>
        <w:ind w:left="3" w:right="440"/>
        <w:spacing w:after="0" w:line="268" w:lineRule="auto"/>
        <w:rPr>
          <w:sz w:val="20"/>
          <w:szCs w:val="20"/>
          <w:color w:val="auto"/>
        </w:rPr>
      </w:pPr>
      <w:r>
        <w:rPr>
          <w:rFonts w:ascii="Arial" w:cs="Arial" w:eastAsia="Arial" w:hAnsi="Arial"/>
          <w:sz w:val="16"/>
          <w:szCs w:val="16"/>
          <w:color w:val="auto"/>
        </w:rPr>
        <w:t>The Company also changed the presentation of Cost of revenue, net from Operating expenses to its own financial statement line item above Operating expenses in order to present Gross margin on the consolidated statements of income.</w:t>
      </w:r>
    </w:p>
    <w:p>
      <w:pPr>
        <w:spacing w:after="0" w:line="113" w:lineRule="exact"/>
        <w:rPr>
          <w:sz w:val="20"/>
          <w:szCs w:val="20"/>
          <w:color w:val="auto"/>
        </w:rPr>
      </w:pPr>
    </w:p>
    <w:p>
      <w:pPr>
        <w:ind w:left="3" w:right="260"/>
        <w:spacing w:after="0" w:line="268" w:lineRule="auto"/>
        <w:rPr>
          <w:sz w:val="20"/>
          <w:szCs w:val="20"/>
          <w:color w:val="auto"/>
        </w:rPr>
      </w:pPr>
      <w:r>
        <w:rPr>
          <w:rFonts w:ascii="Arial" w:cs="Arial" w:eastAsia="Arial" w:hAnsi="Arial"/>
          <w:sz w:val="16"/>
          <w:szCs w:val="16"/>
          <w:color w:val="auto"/>
        </w:rPr>
        <w:t>The following table presents the impact of the reclassification on the previously reported consolidated statements of income for the year ended December 31, 2019 and 2020:</w:t>
      </w:r>
    </w:p>
    <w:p>
      <w:pPr>
        <w:spacing w:after="0" w:line="106" w:lineRule="exact"/>
        <w:rPr>
          <w:sz w:val="20"/>
          <w:szCs w:val="20"/>
          <w:color w:val="auto"/>
        </w:rPr>
      </w:pPr>
    </w:p>
    <w:tbl>
      <w:tblPr>
        <w:tblLayout w:type="fixed"/>
        <w:tblInd w:w="3" w:type="dxa"/>
        <w:tblCellMar>
          <w:top w:w="0" w:type="dxa"/>
          <w:left w:w="0" w:type="dxa"/>
          <w:bottom w:w="0" w:type="dxa"/>
          <w:right w:w="0" w:type="dxa"/>
        </w:tblCellMar>
      </w:tblPr>
      <w:tr>
        <w:trPr>
          <w:trHeight w:val="183"/>
        </w:trPr>
        <w:tc>
          <w:tcPr>
            <w:tcW w:w="6340" w:type="dxa"/>
            <w:vAlign w:val="bottom"/>
            <w:tcBorders>
              <w:top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31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For the year ended December 31, 2019</w:t>
            </w:r>
          </w:p>
        </w:tc>
        <w:tc>
          <w:tcPr>
            <w:tcW w:w="1220" w:type="dxa"/>
            <w:vAlign w:val="bottom"/>
            <w:tcBorders>
              <w:top w:val="single" w:sz="8" w:color="auto"/>
              <w:bottom w:val="single" w:sz="8" w:color="auto"/>
            </w:tcBorders>
          </w:tcPr>
          <w:p>
            <w:pPr>
              <w:spacing w:after="0"/>
              <w:rPr>
                <w:sz w:val="15"/>
                <w:szCs w:val="15"/>
                <w:color w:val="auto"/>
              </w:rPr>
            </w:pPr>
          </w:p>
        </w:tc>
      </w:tr>
      <w:tr>
        <w:trPr>
          <w:trHeight w:val="163"/>
        </w:trPr>
        <w:tc>
          <w:tcPr>
            <w:tcW w:w="63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As previously reported</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Adjustments</w:t>
            </w: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Reclassified</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56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31,985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31,985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and employee related</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30,194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(30,194)</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Cost of revenue, net</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18,682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(18,682)</w:t>
            </w:r>
          </w:p>
        </w:tc>
        <w:tc>
          <w:tcPr>
            <w:tcW w:w="4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4,110</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4,110</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8,585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7,345</w:t>
            </w:r>
          </w:p>
        </w:tc>
        <w:tc>
          <w:tcPr>
            <w:tcW w:w="4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15,930</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21,752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5,436</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27,188</w:t>
            </w:r>
          </w:p>
        </w:tc>
      </w:tr>
      <w:tr>
        <w:trPr>
          <w:trHeight w:val="200"/>
        </w:trPr>
        <w:tc>
          <w:tcPr>
            <w:tcW w:w="6340" w:type="dxa"/>
            <w:vAlign w:val="bottom"/>
          </w:tcPr>
          <w:p>
            <w:pPr>
              <w:ind w:left="40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79,213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47,228</w:t>
            </w:r>
          </w:p>
        </w:tc>
      </w:tr>
      <w:tr>
        <w:trPr>
          <w:trHeight w:val="20"/>
        </w:trPr>
        <w:tc>
          <w:tcPr>
            <w:tcW w:w="6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903"/>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565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40" w:type="dxa"/>
            <w:vAlign w:val="bottom"/>
            <w:tcBorders>
              <w:top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3140" w:type="dxa"/>
            <w:vAlign w:val="bottom"/>
            <w:tcBorders>
              <w:top w:val="single" w:sz="8" w:color="auto"/>
              <w:bottom w:val="single" w:sz="8" w:color="auto"/>
            </w:tcBorders>
            <w:gridSpan w:val="6"/>
          </w:tcPr>
          <w:p>
            <w:pPr>
              <w:jc w:val="center"/>
              <w:ind w:left="581"/>
              <w:spacing w:after="0"/>
              <w:rPr>
                <w:sz w:val="20"/>
                <w:szCs w:val="20"/>
                <w:color w:val="auto"/>
              </w:rPr>
            </w:pPr>
            <w:r>
              <w:rPr>
                <w:rFonts w:ascii="Arial" w:cs="Arial" w:eastAsia="Arial" w:hAnsi="Arial"/>
                <w:sz w:val="13"/>
                <w:szCs w:val="13"/>
                <w:b w:val="1"/>
                <w:bCs w:val="1"/>
                <w:color w:val="auto"/>
                <w:w w:val="99"/>
              </w:rPr>
              <w:t>For the year ended December 31, 2020</w:t>
            </w:r>
          </w:p>
        </w:tc>
        <w:tc>
          <w:tcPr>
            <w:tcW w:w="1220" w:type="dxa"/>
            <w:vAlign w:val="bottom"/>
            <w:tcBorders>
              <w:top w:val="single" w:sz="8" w:color="auto"/>
              <w:bottom w:val="single" w:sz="8" w:color="auto"/>
            </w:tcBorders>
          </w:tcPr>
          <w:p>
            <w:pPr>
              <w:spacing w:after="0"/>
              <w:rPr>
                <w:sz w:val="15"/>
                <w:szCs w:val="15"/>
                <w:color w:val="auto"/>
              </w:rPr>
            </w:pPr>
          </w:p>
        </w:tc>
      </w:tr>
      <w:tr>
        <w:trPr>
          <w:trHeight w:val="163"/>
        </w:trPr>
        <w:tc>
          <w:tcPr>
            <w:tcW w:w="63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As previously reported</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9"/>
              </w:rPr>
              <w:t>Adjustments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Reclassified</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56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32,414</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and employee related</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Cost of revenue, net</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17,122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(17,122)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6,728</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13,030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20,342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33,372</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5,871</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9,888</w:t>
            </w:r>
          </w:p>
        </w:tc>
      </w:tr>
      <w:tr>
        <w:trPr>
          <w:trHeight w:val="200"/>
        </w:trPr>
        <w:tc>
          <w:tcPr>
            <w:tcW w:w="6340" w:type="dxa"/>
            <w:vAlign w:val="bottom"/>
          </w:tcPr>
          <w:p>
            <w:pPr>
              <w:ind w:left="40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82,402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49,988</w:t>
            </w:r>
          </w:p>
        </w:tc>
      </w:tr>
      <w:tr>
        <w:trPr>
          <w:trHeight w:val="20"/>
        </w:trPr>
        <w:tc>
          <w:tcPr>
            <w:tcW w:w="6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color w:val="auto"/>
        </w:rPr>
        <w:t xml:space="preserve">Unaudited interim financial information </w:t>
      </w:r>
      <w:r>
        <w:rPr>
          <w:rFonts w:ascii="Arial" w:cs="Arial" w:eastAsia="Arial" w:hAnsi="Arial"/>
          <w:sz w:val="16"/>
          <w:szCs w:val="16"/>
          <w:color w:val="auto"/>
        </w:rPr>
        <w:t>– The accompanying interim consolidated balance sheet as of June 30, 2021, the consolidated statements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income and cash flows for the six months ended June 30, 2020 and 2021, the consolidated statements of convertible preferred stock and stockholders’ deficit for the six months ended June 30, 2021 and 2020, and the related notes to the financial statements for the interim financial information are unaudited. These unaudited interim financial statements have been prepared on the same basis as the annual consolidated financial statements and reflect all normal and recurring adjustments that are, in the opinion of management, necessary to present fairly our financial position, results of operations, comprehensive loss, changes in convertible preferred stock and stockholders’ deficit, and cash flows for the periods presented.</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consolidated statement of income for the six months ended June 30, 2021 are not necessarily indicative of the results to be expected for the year ending December 31, 2021 or for any other future annual or interim period.</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 – SUMMARY OF SIGNIFICANT ACCOUNTING POLICIES</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 xml:space="preserve">Risks and uncertainties </w:t>
      </w:r>
      <w:r>
        <w:rPr>
          <w:rFonts w:ascii="Arial" w:cs="Arial" w:eastAsia="Arial" w:hAnsi="Arial"/>
          <w:sz w:val="16"/>
          <w:szCs w:val="16"/>
          <w:color w:val="auto"/>
        </w:rPr>
        <w:t>– The Company evaluates its operations periodically to determine if any risks and uncertainties exist that could impact its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in the near term. During December 2019, the novel coronavirus (COVID-19) emerged and subsequently spread worldwide. The World Health Organization declared COVID-19 a global pandemic in March 2020, resulting in federal, state and local governments and private entities implementing various restrictions, including travel restrictions, restrictions on public gatherings, stay at home orders and advisories and quarantining of people who may have been exposed to the virus. The Company has been actively monitoring COVID-19 and its impact globally. Management believes the remote working arrangements and travel restrictions imposed by various governmental jurisdictions as a result of COVID-19 had limited impact on the Company's ability to maintain internal operations during the year ended December 31, 2020 and for the six months ended June 30, 2020 and 2021 (unaudited). Business travel, traditionally a significant driver of expenses on our platform, has been severely curtailed during the pandemic with complex regional effects as lockdowns were put in place and altered rapidly. As a result of the pull -back in travel related expenses and other expenses that were not generated in a work from home environment, many of our customers that remained on our platform had fewer employees incurring expenses on a monthly basis in 2020 and the six months ended June 30, 2021.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it. The Company's estimates may be subject to change as new events occur and additional information emerges, and such changes will be recognized or disclosed in the consolidated financial statements as they become known. While the full lasting impact of the COVID-19 pandemic on the global economy and our customers remains uncertain, the Company believes that use of the platform will increase as economies reopen and business travel resumes.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believe that there are any significant risks that have not already been disclosed in the consolidated financial statements.</w:t>
      </w:r>
    </w:p>
    <w:p>
      <w:pPr>
        <w:spacing w:after="0" w:line="11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consolidated financial statements in conformity with U.S.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at the date of the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spacing w:after="0" w:line="118" w:lineRule="exact"/>
        <w:rPr>
          <w:sz w:val="20"/>
          <w:szCs w:val="20"/>
          <w:color w:val="auto"/>
        </w:rPr>
      </w:pPr>
    </w:p>
    <w:p>
      <w:pPr>
        <w:ind w:right="740"/>
        <w:spacing w:after="0" w:line="268" w:lineRule="auto"/>
        <w:rPr>
          <w:sz w:val="20"/>
          <w:szCs w:val="20"/>
          <w:color w:val="auto"/>
        </w:rPr>
      </w:pPr>
      <w:r>
        <w:rPr>
          <w:rFonts w:ascii="Arial" w:cs="Arial" w:eastAsia="Arial" w:hAnsi="Arial"/>
          <w:sz w:val="16"/>
          <w:szCs w:val="16"/>
          <w:color w:val="auto"/>
        </w:rPr>
        <w:t>Significant estimates and assumptions by management affect the Company’s revenues, fair value of common stock, classification of employee and employee-related expenses, the useful lives and recoverability of long-lived assets and stock-based compensation.</w:t>
      </w:r>
    </w:p>
    <w:p>
      <w:pPr>
        <w:spacing w:after="0" w:line="93"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 The Company uses the U.S. dollar as its functional currency. Foreign currency assets and liabilities are remeasured into the U.S. dollar</w:t>
      </w:r>
      <w:r>
        <w:rPr>
          <w:rFonts w:ascii="Arial" w:cs="Arial" w:eastAsia="Arial" w:hAnsi="Arial"/>
          <w:sz w:val="16"/>
          <w:szCs w:val="16"/>
          <w:b w:val="1"/>
          <w:bCs w:val="1"/>
          <w:color w:val="auto"/>
        </w:rPr>
        <w:t xml:space="preserve"> </w:t>
      </w:r>
      <w:r>
        <w:rPr>
          <w:rFonts w:ascii="Arial" w:cs="Arial" w:eastAsia="Arial" w:hAnsi="Arial"/>
          <w:sz w:val="16"/>
          <w:szCs w:val="16"/>
          <w:color w:val="auto"/>
        </w:rPr>
        <w:t>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8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 Cash consists of funds deposited with banks. The Company considers all highly liquid investments with an original maturity of</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or less at the date of purchase to be cash equivalents. The recorded carrying amount of cash equivalents, which is cost plus accrued interest, if any, approximates fair value. As of December 31, 2019 and 2020 and June 30, 2021 (unaudited), the Company had no cash equivalents.</w:t>
      </w:r>
    </w:p>
    <w:p>
      <w:pPr>
        <w:spacing w:after="0" w:line="88"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b w:val="1"/>
          <w:bCs w:val="1"/>
          <w:color w:val="auto"/>
        </w:rPr>
        <w:t xml:space="preserve">Restricted cash </w:t>
      </w:r>
      <w:r>
        <w:rPr>
          <w:rFonts w:ascii="Arial" w:cs="Arial" w:eastAsia="Arial" w:hAnsi="Arial"/>
          <w:sz w:val="16"/>
          <w:szCs w:val="16"/>
          <w:color w:val="auto"/>
        </w:rPr>
        <w:t>– Restricted cash of approximately $246,000 and $48,000 as of December 31, 2019 and 2020, respectively, and $49,000 as of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2021 (unaudited) relates to cash deposited with a commercial bank required as collateral for corporate credit cards issued by the respective commercial bank in the U.S. and UK as well as bank-to-bank transfers in the UK. These restricted cash amounts are included within Other assets on the consolidated balance sheets. The Company also has an immaterial amount of cash required to be held within a trust account for monthly management and maintenance operating fees for the 401 SW 5th Ave commercial building owned by the Company. These restricted cash amounts are included within Other current asset on the consolidated balance sheets.</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cash in transit for funds held for the customers to the Company's payment processor and Expensify Card collateral for funds held for customers represent restricted cash maintained in segregated Company bank accounts that are held for the exclusive benefit of customers. The Company restricts the use of the assets underlying the funds held for customers to meet regulatory requirements and classifies the assets as current based on their purpose and availability to fulfill the Company’s direct obligation under funds due to customers. These restricted cash amounts are included within Other current assets on the consolidated balance sheets. Refer to Note 6 for the breakout of these amounts within Other current assets as of December 31, 2019 and 2020 and June 30, 2021 (unaudited).</w:t>
      </w:r>
    </w:p>
    <w:p>
      <w:pPr>
        <w:spacing w:after="0" w:line="10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Company also includes restricted cash amounts within Other current assets on the consolidated balance sheets for cash held by Expensify.org. This cash is restricted for use towards social justice and equity efforts of Expensify.org and classifies the assets as current based on their purpose and immediate availability towards fulfilling these efforts. Refer to Note 6 for the breakout of these amounts within Other current assets as of December 31, 2019 and 2020 and June 30, 2021 (unaudited).</w:t>
      </w:r>
    </w:p>
    <w:p>
      <w:pPr>
        <w:spacing w:after="0" w:line="122"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Restricted cash also includes amounts included within Settlement assets for funds held for customers that are deposited into a commercial bank account held by the Company for the benefit of the customers until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remitted to the customer's members. Refer to the Settlement assets and liabilities policy note below for further detail.</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 xml:space="preserve">Accounts receivable and allowance for doubtful accounts </w:t>
      </w:r>
      <w:r>
        <w:rPr>
          <w:rFonts w:ascii="Arial" w:cs="Arial" w:eastAsia="Arial" w:hAnsi="Arial"/>
          <w:sz w:val="16"/>
          <w:szCs w:val="16"/>
          <w:color w:val="auto"/>
        </w:rPr>
        <w:t>– Accounts receivable are recorded at the invoiced amount, net of an allowance for doubtful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The allowance for doubtful accounts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Past due balances over 60 days and other higher risk amounts are reviewed individually for collectability. Based on management’s assessment, the Company provides for estimated uncollectible amounts through a charge to earnings and a credit to an established allowance for doubtful accounts. Balances that remain outstanding after the Company has used reasonable collection efforts are written off no later than 90 days past due. The Company recorded allowance for doubtful accounts of approximately $ 15,000 and $29,000 as of December 31, 2019 and 2020, respectively. As of June 30, 2021 (unaudited), the Company recorded allowance for doubtful accounts of approximately $152,000. To date, the Company has not had significant write offs of accounts receivables.</w:t>
      </w:r>
    </w:p>
    <w:p>
      <w:pPr>
        <w:spacing w:after="0" w:line="10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b w:val="1"/>
          <w:bCs w:val="1"/>
          <w:color w:val="auto"/>
        </w:rPr>
        <w:t xml:space="preserve">Concentrations of credit risk </w:t>
      </w:r>
      <w:r>
        <w:rPr>
          <w:rFonts w:ascii="Arial" w:cs="Arial" w:eastAsia="Arial" w:hAnsi="Arial"/>
          <w:sz w:val="16"/>
          <w:szCs w:val="16"/>
          <w:color w:val="auto"/>
        </w:rPr>
        <w:t>– Financial instruments that potentially subject the Company to credit risk consist primarily of cash and cash equivalents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accounts receivable except for the restricted cash accounts discussed in the respective Restricted cash policy note above. There were no customers representing 10% or more of revenue during the years ended December 31, 2019 and 2020 and the six months ended June 30, 2020 and 2021 (unaudited). In addition, there were no customers representing 10% or more of accounts receivable as of December 31, 2019, December 31, 2020 and June 30, 2021 (unaudited).</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auto"/>
        </w:rPr>
        <w:t xml:space="preserve">Settlement assets and liabilities </w:t>
      </w:r>
      <w:r>
        <w:rPr>
          <w:rFonts w:ascii="Arial" w:cs="Arial" w:eastAsia="Arial" w:hAnsi="Arial"/>
          <w:sz w:val="16"/>
          <w:szCs w:val="16"/>
          <w:color w:val="auto"/>
        </w:rPr>
        <w:t>– Settlement assets and liabilities arise due to the time required between the approval of an expense reimbursement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of funds in the member's account facilitated by a third-party vendor used by the Company for settlement. Funds are collected from customers by the Company and are deposited into a commercial bank account held by the Company for the benefit of the customers until remitted to the customer's members. Upon an approved request for expense reimbursement from customers, the Company initiates the transaction from its commercial bank accounts where funds are held and remits the funds directly to the customer's users after a clearing period of three business days, including the day of the transaction. For reimbursement of transactions through the Expensify Card, the clearing period is typically two business days, including the day of transaction, for the funds to be settled. The Company records settlement receivable and corresponding liability upon approval of the expense reimbursement. Settlement receivables are reported on the consolidated balance sheets when the approval of the expense reimbursement occurs until the funds are cleared in the Company's commercial bank account. The commercial bank account and settlement receivables roll up into the Settlement assets financial statement line item on the consolidated balance sheets. Any Settlement asset balance that remains outstanding after five business days is written off by the Company. Write offs related to the Settlement asset balances of the Company for the years ended December 31, 2019 and 2020 and the six months ended June 30, 2020 and 2021 (unaudited) were immaterial. The Company did not record an allowance for doubtful accounts against the Settlement assets as write offs to date have been immaterial. Settlement liability is reported on the consolidated balance sheets from when the expense reimbursement is approved until the funds are cleared in the member's account.</w:t>
      </w:r>
    </w:p>
    <w:p>
      <w:pPr>
        <w:spacing w:after="0" w:line="92"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The Company determines if an arrangement is a lease at inception. Operating and finance leases are included in lease right-of-use (ROU)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and lease liabilities in the consolidated balance sheets.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spacing w:after="0" w:line="106"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The Company’s lease terms may include options to extend or terminate the lease, and the Company includes those options in the lease terms when it is reasonably certain it will exercise them. Lease expense for lease payments is recognized on a straight-line basis over the lease term. The Company made the policy election to account for short-term leases by recognizing the lease payments in the income statement on a straight-line basis over the lease term and not recognizing these leases on the Company’s consolidated balance sheets. Variable lease payments are recognized in the income statement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w:t>
      </w:r>
    </w:p>
    <w:p>
      <w:pPr>
        <w:spacing w:after="0" w:line="10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color w:val="auto"/>
        </w:rPr>
        <w:t xml:space="preserve">Property and equipment </w:t>
      </w:r>
      <w:r>
        <w:rPr>
          <w:rFonts w:ascii="Arial" w:cs="Arial" w:eastAsia="Arial" w:hAnsi="Arial"/>
          <w:sz w:val="16"/>
          <w:szCs w:val="16"/>
          <w:color w:val="auto"/>
        </w:rPr>
        <w:t>– Property and equipment are stated at cost, less accumulated depreciation and amortization. Depreciation and amortization are</w:t>
      </w:r>
      <w:r>
        <w:rPr>
          <w:rFonts w:ascii="Arial" w:cs="Arial" w:eastAsia="Arial" w:hAnsi="Arial"/>
          <w:sz w:val="16"/>
          <w:szCs w:val="16"/>
          <w:b w:val="1"/>
          <w:bCs w:val="1"/>
          <w:color w:val="auto"/>
        </w:rPr>
        <w:t xml:space="preserve"> </w:t>
      </w:r>
      <w:r>
        <w:rPr>
          <w:rFonts w:ascii="Arial" w:cs="Arial" w:eastAsia="Arial" w:hAnsi="Arial"/>
          <w:sz w:val="16"/>
          <w:szCs w:val="16"/>
          <w:color w:val="auto"/>
        </w:rPr>
        <w:t>computed using the straight-line method over the estimated useful lives of the respective assets, typically three years for computer equipment, five years for furniture and fixtures and thirty years for buildings. Land has an unlimited useful life and is not depreciated. Leasehold improvements and finance right-of-use assets are amortized over the lesser of the lease term or the estimated useful life of the asset. Expenditures for repairs and maintenance are charged to expense as incurred. Upon disposition, the cost and related accumulated depreciation and amortization are removed from the accounts and the resulting gain or loss is reflected in the consolidated statements of income. To date, gains or losses from disposition of property and equipment have been immaterial.</w:t>
      </w:r>
    </w:p>
    <w:p>
      <w:pPr>
        <w:spacing w:after="0" w:line="118" w:lineRule="exact"/>
        <w:rPr>
          <w:sz w:val="20"/>
          <w:szCs w:val="20"/>
          <w:color w:val="auto"/>
        </w:rPr>
      </w:pPr>
    </w:p>
    <w:p>
      <w:pPr>
        <w:jc w:val="both"/>
        <w:ind w:right="260"/>
        <w:spacing w:after="0" w:line="261" w:lineRule="auto"/>
        <w:rPr>
          <w:sz w:val="20"/>
          <w:szCs w:val="20"/>
          <w:color w:val="auto"/>
        </w:rPr>
      </w:pPr>
      <w:r>
        <w:rPr>
          <w:rFonts w:ascii="Arial" w:cs="Arial" w:eastAsia="Arial" w:hAnsi="Arial"/>
          <w:sz w:val="16"/>
          <w:szCs w:val="16"/>
          <w:color w:val="auto"/>
        </w:rPr>
        <w:t>Construction in progress is stated at cost, which includes the cost of construction and other direct costs attributable to the construction. No depreciation is recorded for construction in progress until such time as the relevant assets are completed and put into use. Construction in progress as of December 31, 2019, December 31, 2020 and June 30, 2021 (unaudited) represents leasehold improvements under installation.</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color w:val="auto"/>
        </w:rPr>
        <w:t xml:space="preserve">Capitalized software development costs </w:t>
      </w:r>
      <w:r>
        <w:rPr>
          <w:rFonts w:ascii="Arial" w:cs="Arial" w:eastAsia="Arial" w:hAnsi="Arial"/>
          <w:sz w:val="16"/>
          <w:szCs w:val="16"/>
          <w:color w:val="auto"/>
        </w:rPr>
        <w:t>– The Company capitalizes internal and external costs directly related to obtaining or developing internal-use</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during the application development stage of the projects. The Company's internal-use software is reported at cost less accumulated depreciation. Depreciation begins once the project is ready for its intended use, which is usually when the software code goes into production. The Company depreciates the asset on a straight-line basis over a period of three years, which is the estimated useful life. The Company evaluates whether a project should be capitalized if it adds significant functionality to its software. Maintenance activities or minor upgrades are expensed in the period performed. During the years ended December 31, 2019 and 2020, the Company capitalized $1,673,408 and $1,809,071, respectively, in software development costs. During the six months ended June 30, 2020 and 2021 (unaudited), the Company capitalized $703,021 and $1,352,926, respectively, in software development costs.</w:t>
      </w:r>
    </w:p>
    <w:p>
      <w:pPr>
        <w:spacing w:after="0" w:line="103"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16"/>
          <w:szCs w:val="16"/>
          <w:color w:val="auto"/>
        </w:rPr>
        <w:t>– Long-lived assets, primarily capitalized software development costs, property and equipment and lease right-of-use assets are</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evaluated for impairment when events or changes in circumstances indicate that the carrying amount of the assets may not be recoverable. When indications of impairment are present and the estimated undiscounted future cash flows from the use of the assets is less than the assets’ carrying values, the related assets will be written down to fair value. Any impairment losses are included in general and administrative operating expenses on the consolidated statements of income. Management determined that long-lived assets were not impaired for the year ended December 31, 2019 and the six months ended June 30, 2020 and 2021 (unaudited). Impairment losses on long-lived assets were immaterial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 w:right="40"/>
        <w:spacing w:after="0" w:line="267" w:lineRule="auto"/>
        <w:rPr>
          <w:sz w:val="20"/>
          <w:szCs w:val="20"/>
          <w:color w:val="auto"/>
        </w:rPr>
      </w:pPr>
      <w:r>
        <w:rPr>
          <w:rFonts w:ascii="Arial" w:cs="Arial" w:eastAsia="Arial" w:hAnsi="Arial"/>
          <w:sz w:val="16"/>
          <w:szCs w:val="16"/>
          <w:b w:val="1"/>
          <w:bCs w:val="1"/>
          <w:color w:val="auto"/>
        </w:rPr>
        <w:t xml:space="preserve">Deferred offering costs </w:t>
      </w:r>
      <w:r>
        <w:rPr>
          <w:rFonts w:ascii="Arial" w:cs="Arial" w:eastAsia="Arial" w:hAnsi="Arial"/>
          <w:sz w:val="16"/>
          <w:szCs w:val="16"/>
          <w:color w:val="auto"/>
        </w:rPr>
        <w:t>– Deferred offering costs consist primarily of legal and other fees related to the proposed IPO. The deferred offering costs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offset against IPO proceeds upon the consummation of the IPO. If the IPO is aborted, deferred offering costs will be expensed. As of December 31, 2020, the Company had no deferred offering costs that were capitalized. As of June 30, 2021 (unaudited), the Company capitalized $4,165,224 of deferred offering costs, which are included within Other current assets on the consolidated balance sheets.</w:t>
      </w:r>
    </w:p>
    <w:p>
      <w:pPr>
        <w:spacing w:after="0" w:line="82" w:lineRule="exact"/>
        <w:rPr>
          <w:sz w:val="20"/>
          <w:szCs w:val="20"/>
          <w:color w:val="auto"/>
        </w:rPr>
      </w:pPr>
    </w:p>
    <w:p>
      <w:pPr>
        <w:ind w:left="3" w:right="120"/>
        <w:spacing w:after="0" w:line="262" w:lineRule="auto"/>
        <w:rPr>
          <w:sz w:val="20"/>
          <w:szCs w:val="20"/>
          <w:color w:val="auto"/>
        </w:rPr>
      </w:pPr>
      <w:r>
        <w:rPr>
          <w:rFonts w:ascii="Arial" w:cs="Arial" w:eastAsia="Arial" w:hAnsi="Arial"/>
          <w:sz w:val="16"/>
          <w:szCs w:val="16"/>
          <w:b w:val="1"/>
          <w:bCs w:val="1"/>
          <w:color w:val="auto"/>
        </w:rPr>
        <w:t xml:space="preserve">Subscriptions receivable </w:t>
      </w:r>
      <w:r>
        <w:rPr>
          <w:rFonts w:ascii="Arial" w:cs="Arial" w:eastAsia="Arial" w:hAnsi="Arial"/>
          <w:sz w:val="16"/>
          <w:szCs w:val="16"/>
          <w:color w:val="auto"/>
        </w:rPr>
        <w:t>– The Company records stock issuances at the effective date of the transfer, sale or exercise. If the Company enters into an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sell its stock and issue the stock before proceeds are received in one or more scheduled payments, the Company records the uncollected amounts as Subscriptions receivable. The Company had no Subscriptions receivable as of December 31, 2019 and 2020. As of June 30, 2021 (unaudited), the Company recognized $1,759,643 of Subscriptions receivable. All amounts recorded relate to promissory notes the Company entered into with certain employees to exercise stock options. Each promissory note provided the Company with substantive recourse rights. See Note 8 for further detail over the promissory notes issued to exercise stock options.</w:t>
      </w:r>
    </w:p>
    <w:p>
      <w:pPr>
        <w:spacing w:after="0" w:line="118" w:lineRule="exact"/>
        <w:rPr>
          <w:sz w:val="20"/>
          <w:szCs w:val="20"/>
          <w:color w:val="auto"/>
        </w:rPr>
      </w:pPr>
    </w:p>
    <w:p>
      <w:pPr>
        <w:ind w:left="3" w:right="360"/>
        <w:spacing w:after="0" w:line="261" w:lineRule="auto"/>
        <w:rPr>
          <w:sz w:val="20"/>
          <w:szCs w:val="20"/>
          <w:color w:val="auto"/>
        </w:rPr>
      </w:pPr>
      <w:r>
        <w:rPr>
          <w:rFonts w:ascii="Arial" w:cs="Arial" w:eastAsia="Arial" w:hAnsi="Arial"/>
          <w:sz w:val="16"/>
          <w:szCs w:val="16"/>
          <w:color w:val="auto"/>
        </w:rPr>
        <w:t>In accordance with the requirements of Rule 5-02.29 of SEC Regulation S-X and Financial Accounting Standards Board (FASB) Accounting Standards Codification (ASC) 505-10-45-2, the Company records Subscriptions receivable as contra equity within Stockholders' deficit on the consolidated balance sheets and statements of convertible preferred stock and stockholders’ deficit.</w:t>
      </w:r>
    </w:p>
    <w:p>
      <w:pPr>
        <w:spacing w:after="0" w:line="98" w:lineRule="exact"/>
        <w:rPr>
          <w:sz w:val="20"/>
          <w:szCs w:val="20"/>
          <w:color w:val="auto"/>
        </w:rPr>
      </w:pPr>
    </w:p>
    <w:p>
      <w:pPr>
        <w:ind w:left="3" w:right="180"/>
        <w:spacing w:after="0" w:line="274"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The Company generates revenue from subscription fees paid by its customers to access and use the Company’s hosted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services, as well as standard customer support. The Company adopted Accounting Standard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 of January 1, 2019, utilizing the full retrospective method of transition.</w:t>
      </w:r>
    </w:p>
    <w:p>
      <w:pPr>
        <w:spacing w:after="0" w:line="96" w:lineRule="exact"/>
        <w:rPr>
          <w:sz w:val="20"/>
          <w:szCs w:val="20"/>
          <w:color w:val="auto"/>
        </w:rPr>
      </w:pPr>
    </w:p>
    <w:p>
      <w:pPr>
        <w:ind w:left="3" w:right="740"/>
        <w:spacing w:after="0" w:line="268" w:lineRule="auto"/>
        <w:rPr>
          <w:sz w:val="20"/>
          <w:szCs w:val="20"/>
          <w:color w:val="auto"/>
        </w:rPr>
      </w:pPr>
      <w:r>
        <w:rPr>
          <w:rFonts w:ascii="Arial" w:cs="Arial" w:eastAsia="Arial" w:hAnsi="Arial"/>
          <w:sz w:val="16"/>
          <w:szCs w:val="16"/>
          <w:color w:val="auto"/>
        </w:rPr>
        <w:t>Revenue is recognized when control of the promised goods or services is transferred to customers, in an amount that reflects the consideration the Company expects to be entitled to in exchange for those goods or services.</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Under Topic 606, the Company determines the amount of revenue to be recognized through the following five-step framework:</w:t>
      </w:r>
    </w:p>
    <w:p>
      <w:pPr>
        <w:spacing w:after="0" w:line="145" w:lineRule="exact"/>
        <w:rPr>
          <w:sz w:val="20"/>
          <w:szCs w:val="20"/>
          <w:color w:val="auto"/>
        </w:rPr>
      </w:pPr>
    </w:p>
    <w:p>
      <w:pPr>
        <w:ind w:left="283" w:hanging="283"/>
        <w:spacing w:after="0"/>
        <w:tabs>
          <w:tab w:leader="none" w:pos="28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45" w:lineRule="exact"/>
        <w:rPr>
          <w:sz w:val="20"/>
          <w:szCs w:val="20"/>
          <w:color w:val="auto"/>
        </w:rPr>
      </w:pPr>
    </w:p>
    <w:p>
      <w:pPr>
        <w:ind w:left="3" w:right="280"/>
        <w:spacing w:after="0" w:line="257" w:lineRule="auto"/>
        <w:rPr>
          <w:sz w:val="20"/>
          <w:szCs w:val="20"/>
          <w:color w:val="auto"/>
        </w:rPr>
      </w:pPr>
      <w:r>
        <w:rPr>
          <w:rFonts w:ascii="Arial" w:cs="Arial" w:eastAsia="Arial" w:hAnsi="Arial"/>
          <w:sz w:val="16"/>
          <w:szCs w:val="16"/>
          <w:color w:val="auto"/>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the Company updated its terms of service, which resulted in annual contracts becoming noncancelable and a pricing change, which led to an increase in the per member price for paid members.</w:t>
      </w:r>
    </w:p>
    <w:p>
      <w:pPr>
        <w:spacing w:after="0" w:line="123"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3"/>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565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440"/>
        <w:spacing w:after="0" w:line="268" w:lineRule="auto"/>
        <w:rPr>
          <w:sz w:val="20"/>
          <w:szCs w:val="20"/>
          <w:color w:val="auto"/>
        </w:rPr>
      </w:pPr>
      <w:r>
        <w:rPr>
          <w:rFonts w:ascii="Arial" w:cs="Arial" w:eastAsia="Arial" w:hAnsi="Arial"/>
          <w:sz w:val="16"/>
          <w:szCs w:val="16"/>
          <w:color w:val="auto"/>
        </w:rPr>
        <w:t>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spacing w:after="0" w:line="10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 when exercised by the customer.</w:t>
      </w:r>
    </w:p>
    <w:p>
      <w:pPr>
        <w:spacing w:after="0" w:line="31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Revenue is recognized net of applicable taxes imposed on the related transaction. The Company charges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the Company over a twelve month period, the Company recorded revenue for such contracts on a straight line basis over the twelve month period affected by the price increase. This resulted in contract assets that consist of unbilled receivables for revenue recognized in excess of billings. The Company recorded contract assets for unbilled receivables of $1,164,825 within Other current assets on the Company’s consolidated balance sheet as of December 31, 2020. The Company recorded contract assets of $389,071 within Other current assets on the Company's consolidated balance sheet as of June 30, 2021 (unaudited). The contract asset will decrease as the price increase is applied to the amounts billed to customers, over the twelve month period. The Company had no contract assets as of December 31, 2019. Since the Company's performance obligation is satisfied monthly, at any reporting period, the Company has no unsatisfied, or partially unsatisfied, performance obligations.</w:t>
      </w:r>
    </w:p>
    <w:p>
      <w:pPr>
        <w:spacing w:after="0" w:line="108"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stock-based compensation under the fair value recognition and measurement provisions of U.S.</w:t>
      </w:r>
      <w:r>
        <w:rPr>
          <w:rFonts w:ascii="Arial" w:cs="Arial" w:eastAsia="Arial" w:hAnsi="Arial"/>
          <w:sz w:val="16"/>
          <w:szCs w:val="16"/>
          <w:b w:val="1"/>
          <w:bCs w:val="1"/>
          <w:color w:val="auto"/>
        </w:rPr>
        <w:t xml:space="preserve"> </w:t>
      </w:r>
      <w:r>
        <w:rPr>
          <w:rFonts w:ascii="Arial" w:cs="Arial" w:eastAsia="Arial" w:hAnsi="Arial"/>
          <w:sz w:val="16"/>
          <w:szCs w:val="16"/>
          <w:color w:val="auto"/>
        </w:rPr>
        <w:t>GAAP.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0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Company utilizes the Black-Scholes option pricing model to determine the estimated fair value of stock-based awards. The Company recognizes these stock-based compensation costs on a straight-line basis over the requisite service period of the award, which is generally the option vesting term of four years. Forfeitures are recorded as they occur.</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Black-Scholes option pricing model requires management to make a number of assumptions, including the fair value and expected volatility of the Company’s underlying common stock,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The Company also considers prices at which others have purchased our stock, and the likelihood and timing of achieving a liquidity event. When awards are granted or revalued between the dates of valuation reports, the Company considers the change in common stock fair value and the amount of time that lapsed between the two reports to determine whether to use the latest common stock valuation or an interpolation between two valuation dates for purposes of valuing stock-based awards. The Company estimates the volatility of its common stock at the date of grant based on the expected weighted-average volatility for a group of publicly traded companies in a similar industry or with similar service offerings, with a term of one year or greater. The expected life represents the period that the Company's stock-based award is expected to be outstanding. The expected life for option grants is determined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grant. The expected dividend yield is assumed to be zero as the Company has not paid and does not expect to pay dividends.</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color w:val="auto"/>
        </w:rPr>
        <w:t xml:space="preserve">Cost of revenue, net </w:t>
      </w:r>
      <w:r>
        <w:rPr>
          <w:rFonts w:ascii="Arial" w:cs="Arial" w:eastAsia="Arial" w:hAnsi="Arial"/>
          <w:sz w:val="16"/>
          <w:szCs w:val="16"/>
          <w:color w:val="auto"/>
        </w:rPr>
        <w:t>– Cost of revenue, net primarily consists of expenses related to hosting the Company’s service, including the costs of data center</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credit card processing fees, third-party software license fees, outsourcing costs to support customer service and outsourcing costs to support and process the SmartScan technology, net of consideration from a vendor for monetizing Expensify Card activities. This consideration, net of credit card processing fees paid to the vendor, is included as a reduction to cost of revenue of $30,550 and $1,006,387 for the years ended December 31, 2019 and 2020, respectively. The consideration, net of credit card processing fees paid to the vendor, is included as a reduction to cost of revenue of $369,755 and $1,118,119 for the six months ended June 30, 2020 and 2021 (unaudited), respectively.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0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 Research and development expenses consist primarily of personnel-related expenses, including stock-based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in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9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color w:val="auto"/>
        </w:rPr>
        <w:t xml:space="preserve">General and administrative - </w:t>
      </w:r>
      <w:r>
        <w:rPr>
          <w:rFonts w:ascii="Arial" w:cs="Arial" w:eastAsia="Arial" w:hAnsi="Arial"/>
          <w:sz w:val="16"/>
          <w:szCs w:val="16"/>
          <w:color w:val="auto"/>
        </w:rPr>
        <w:t>General and administrative expenses primarily consist of personnel-related expenses, including stock-based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executive management and any employee time allocated to administrative functions, including finance and accounting, legal, and human resources. In addition to personnel-related expenses, general and administrative expenses consist of rent, utilities, depreciation on property and equipment, amortization of finance lease right-of-use assets and external professional services, including accounting, audit, tax, finance, legal and compliance, human resources and information technology. General and administrative expenses are expensed as incurred.</w:t>
      </w:r>
    </w:p>
    <w:p>
      <w:pPr>
        <w:spacing w:after="0" w:line="84"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b w:val="1"/>
          <w:bCs w:val="1"/>
          <w:color w:val="auto"/>
        </w:rPr>
        <w:t xml:space="preserve">Sales and marketing </w:t>
      </w:r>
      <w:r>
        <w:rPr>
          <w:rFonts w:ascii="Arial" w:cs="Arial" w:eastAsia="Arial" w:hAnsi="Arial"/>
          <w:sz w:val="16"/>
          <w:szCs w:val="16"/>
          <w:color w:val="auto"/>
        </w:rPr>
        <w:t>– Sales and marketing primarily consist of personnel-related expenses, including stock-based compensation, advertising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branding and public relations expenses, referral fees for strategic partnerships and other benefits that the Company provides to its referral and affiliate partners. The Company expenses the costs of sales and marketing, including promotional expenses, as incurred.</w:t>
      </w:r>
    </w:p>
    <w:p>
      <w:pPr>
        <w:spacing w:after="0" w:line="88"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Deferred tax liabilities and assets are recognized for the expected future tax consequences of temporary differences between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carrying amounts and the tax basis of assets and liabilities and net operating loss (NOL) and tax credit carryforwards. Valuation allowances are established when necessary to reduce deferred tax assets to the amount more likely than not expected to be realized.</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extent that the Company anticipates payment (or receipt) of cash within one year. Interest and penalties related to uncertain tax positions are recognized in the provision for income taxes.</w:t>
      </w:r>
    </w:p>
    <w:p>
      <w:pPr>
        <w:spacing w:after="0" w:line="109"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In January 2018, the FASB released guidance on the accounting for tax on the global intangible low-taxed income (GILTI) provisions of the Tax Cuts and Jobs Act. The GILTI provisions impose a tax on foreign income in excess of a deemed return on tangible assets of foreign corporations. The guidance indicates that either accounting for deferred taxes related to GILTI inclusions or treating any taxes on GILTI</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60"/>
        <w:spacing w:after="0" w:line="268" w:lineRule="auto"/>
        <w:rPr>
          <w:sz w:val="20"/>
          <w:szCs w:val="20"/>
          <w:color w:val="auto"/>
        </w:rPr>
      </w:pPr>
      <w:r>
        <w:rPr>
          <w:rFonts w:ascii="Arial" w:cs="Arial" w:eastAsia="Arial" w:hAnsi="Arial"/>
          <w:sz w:val="16"/>
          <w:szCs w:val="16"/>
          <w:color w:val="auto"/>
        </w:rPr>
        <w:t>inclusions as period cost are both acceptable methods subject to an accounting policy election. The Company has elected to treat any potential GILTI inclusions as a period cost.</w:t>
      </w:r>
    </w:p>
    <w:p>
      <w:pPr>
        <w:spacing w:after="0" w:line="10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On March 27, 2020, the U.S. president signed into law the CARES Act, an economic stimulus package in response to 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States apply certain provisions of the CARES Act, and the Company has evaluated the state impacts as well in income tax calculations. During the year ended December 31, 2019, the Company was able to take advantage of the Section 163(j) relief and applied the 50% limitation, which increased the 2019 interest expense deduction limit. During the year ended December 31, 2019, the Company also was able to utilize NOLs to offset 100% of federal taxable income. For 2021, the provisions of the CARES Act are not expected to have a material impact on the Company's consolidated financial statements.</w:t>
      </w:r>
    </w:p>
    <w:p>
      <w:pPr>
        <w:spacing w:after="0" w:line="12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On December 27, 2020, the U.S. president signed into law the Consolidated Appropriations Act, 2021, which includes further COVID-19 economic relief and extension of certain expiring tax provisions. The relief package had no material impact to the Company’s tax positions.</w:t>
      </w:r>
    </w:p>
    <w:p>
      <w:pPr>
        <w:spacing w:after="0" w:line="10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California Assembly Bill 85 (AB 85) was signed into law by the governor on June 29, 2020. The legislation suspends the California net operating loss deductions for 2020, 2021 and 2022 for certain taxpayers and imposes a limitation of California tax credits utilization for 2020, 2021 and 2022. The legislation disallows the use of California net operating loss deductions if the taxpayer recognizes business income and its income subject to tax is greater than $1 million. Additionally, business credits will only offset a maximum of $5 million of California tax liability. The Company has estimated its 2020 California state taxable income to be above $1 million. As such, the Company will not be eligible to use any California net operating loss deductions in 2020 but will be able to offset the California tax liability with California tax credits.</w:t>
      </w:r>
    </w:p>
    <w:p>
      <w:pPr>
        <w:spacing w:after="0" w:line="10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b w:val="1"/>
          <w:bCs w:val="1"/>
          <w:color w:val="auto"/>
        </w:rPr>
        <w:t xml:space="preserve">Net income (loss) per share - </w:t>
      </w:r>
      <w:r>
        <w:rPr>
          <w:rFonts w:ascii="Arial" w:cs="Arial" w:eastAsia="Arial" w:hAnsi="Arial"/>
          <w:sz w:val="16"/>
          <w:szCs w:val="16"/>
          <w:color w:val="auto"/>
        </w:rPr>
        <w:t>The Company computes net income (loss) per share using the two-class method required by ASC 260,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participating securities. All series of the Company's convertible preferred stock are participating securities as the holders of such stock are entitled to receive stated noncumulative dividends when and if declared and then they participate on a pari passu basis in the event that a dividend is paid on common stock. The holders of convertible preferred stock do not have a contractual obligation to share in the Company’s losses. The undistributed earnings are allocated between common stock and participating securities as if all earnings had been distributed during the period presented.</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Since the Company has not declared dividends, the undistributed earnings are first allocated to the convertible preferred stock up to the amount of the undeclared stated dividends. However, since the amount of the undeclared stated dividends exceeds available undistributed earnings for the year ended December 31, 2019, the dividend is allocated only up to the amount of available earnings. For the year ended December 31, 2020, the Company generated a net loss and, therefore, no loss is allocated to the holders of the convertible preferred stock. For the six months ended June 30, 2020 and 2021 (unaudited), undistributed earnings exceed the amount of undeclared stated dividends and were available for allocation to the common stockholders.</w:t>
      </w:r>
    </w:p>
    <w:p>
      <w:pPr>
        <w:spacing w:after="0" w:line="111" w:lineRule="exact"/>
        <w:rPr>
          <w:sz w:val="20"/>
          <w:szCs w:val="20"/>
          <w:color w:val="auto"/>
        </w:rPr>
      </w:pPr>
    </w:p>
    <w:p>
      <w:pPr>
        <w:ind w:right="640"/>
        <w:spacing w:after="0" w:line="268" w:lineRule="auto"/>
        <w:rPr>
          <w:sz w:val="20"/>
          <w:szCs w:val="20"/>
          <w:color w:val="auto"/>
        </w:rPr>
      </w:pPr>
      <w:r>
        <w:rPr>
          <w:rFonts w:ascii="Arial" w:cs="Arial" w:eastAsia="Arial" w:hAnsi="Arial"/>
          <w:sz w:val="16"/>
          <w:szCs w:val="16"/>
          <w:color w:val="auto"/>
        </w:rPr>
        <w:t>Basic net income (loss) per share is computed by dividing net income (loss) for the period by the weighted-average number of outstanding shares of common stock during the period, less weighted-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average shares subject to repurchase. Diluted net income (loss) per share is computed by dividing net income (loss) for the period by the weighted-average number of outstanding shares of common stock and, when dilutive, potential shares of common stock outstanding during the period using the more dilutive of the treasury stock method or if-converted method, as applicable. The dilutive effect of participating securities is calculated using the more dilutive of the treasury method or the two-class method.</w:t>
      </w:r>
    </w:p>
    <w:p>
      <w:pPr>
        <w:spacing w:after="0" w:line="9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b w:val="1"/>
          <w:bCs w:val="1"/>
          <w:color w:val="auto"/>
        </w:rPr>
        <w:t xml:space="preserve">Segment reporting - </w:t>
      </w:r>
      <w:r>
        <w:rPr>
          <w:rFonts w:ascii="Arial" w:cs="Arial" w:eastAsia="Arial" w:hAnsi="Arial"/>
          <w:sz w:val="16"/>
          <w:szCs w:val="16"/>
          <w:color w:val="auto"/>
        </w:rPr>
        <w:t>The Company operates as one reportable segment because its chief operating decision maker, who is the executive committee that</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the chief executive officer, the chief financial officer and the chief operating officer, reviews the Company’s financial information on a consolidated basis for purposes of making decisions regarding allocating resources and assessing performance. All long-lived assets are located in the United States.</w:t>
      </w:r>
    </w:p>
    <w:p>
      <w:pPr>
        <w:spacing w:after="0" w:line="108"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The table below provides the Company’s total revenue by geographic area (in thousands). No other individual country outside of the United States accounted for more than 10% of total revenue.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right"/>
              <w:ind w:right="723"/>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4"/>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 by customers' geographic locations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7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960" w:type="dxa"/>
            <w:vAlign w:val="bottom"/>
            <w:shd w:val="clear" w:color="auto" w:fill="CCEEFF"/>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57,912</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 other locations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7,599</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7,112</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60" w:type="dxa"/>
            <w:vAlign w:val="bottom"/>
            <w:tcBorders>
              <w:bottom w:val="single" w:sz="8" w:color="auto"/>
            </w:tcBorders>
            <w:shd w:val="clear" w:color="auto" w:fill="CCEEFF"/>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color w:val="auto"/>
        </w:rPr>
        <w:t>No individual customer represents more than 10% of the Company’s total revenue for the years ended December 31, 2019 or 2020 and the six months ended June 30, 2020 and 2021 (unaudited).</w:t>
      </w:r>
    </w:p>
    <w:p>
      <w:pPr>
        <w:spacing w:after="0" w:line="9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color w:val="auto"/>
        </w:rPr>
        <w:t xml:space="preserve">Emerging growth company status - </w:t>
      </w:r>
      <w:r>
        <w:rPr>
          <w:rFonts w:ascii="Arial" w:cs="Arial" w:eastAsia="Arial" w:hAnsi="Arial"/>
          <w:sz w:val="16"/>
          <w:szCs w:val="16"/>
          <w:color w:val="auto"/>
        </w:rPr>
        <w:t>The Company is an emerging growth company, as defined in the Jumpstart Our Business Startups Act of 2012 (the</w:t>
      </w:r>
      <w:r>
        <w:rPr>
          <w:rFonts w:ascii="Arial" w:cs="Arial" w:eastAsia="Arial" w:hAnsi="Arial"/>
          <w:sz w:val="16"/>
          <w:szCs w:val="16"/>
          <w:b w:val="1"/>
          <w:bCs w:val="1"/>
          <w:color w:val="auto"/>
        </w:rPr>
        <w:t xml:space="preserve"> </w:t>
      </w:r>
      <w:r>
        <w:rPr>
          <w:rFonts w:ascii="Arial" w:cs="Arial" w:eastAsia="Arial" w:hAnsi="Arial"/>
          <w:sz w:val="16"/>
          <w:szCs w:val="16"/>
          <w:color w:val="auto"/>
        </w:rPr>
        <w:t>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30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 xml:space="preserve">The JOBS Act does not preclude an emerging growth company from early adopting new or revised accounting standards. The Company early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 of January 1, 2019 using the modified retrospective transition approach. See Recently adopted accounting pronouncements for further detail.</w:t>
      </w:r>
    </w:p>
    <w:p>
      <w:pPr>
        <w:spacing w:after="0" w:line="9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May 2014, the FASB issued ASU No.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underlying principle of the new revenue standard is to recognize revenue to depict the transfer of goods or services to customers at an amount to which the entity expects to be entitled in exchange for those goods or services. Effective January 1, 2019, the Company adopted the provisions and expanded disclosure requirements described in ASU No. 2014-09 using the full retrospective method applied to all contracts not completed as of January 1, 2018. Results for reporting periods beginning after January 1, 2018, are presented under Topic 606. The adoption of Topic 606 did not have a material impact to the Company's consolidated financial statements and as such, no cumulative effect adjustment was recorded upon adoption.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Topic 842 supersedes the lease requirements 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Topic 842 requires the recognition of lease assets and liabilities for operating leases with terms of more than 12 months, in addition to those currently recorded, on the balance sheet. The guidance is effective for nonpublic entities for annual periods beginning after December 15, 2021 with early adoption permitted. The Company early adopted the new guidance as of January 1, 2019 using a modified retrospective transition approach and applied the optional practical expedients related to the transition, which permits the Company to retain prior conclusions about lease identification, lease classification and initial direct costs for leases that commenced before January 1, 2019. The adoption of ASU No. 2016-02 on January 1, 2019 resulted in the recognition of additional lease liabilities and right-of-use assets of $5,326,888. The adoption of ASU No. 2016-02 had no material impact to the consolidated statements of income and statements of cash flows.</w:t>
      </w:r>
    </w:p>
    <w:p>
      <w:pPr>
        <w:spacing w:after="0" w:line="92" w:lineRule="exact"/>
        <w:rPr>
          <w:sz w:val="20"/>
          <w:szCs w:val="20"/>
          <w:color w:val="auto"/>
        </w:rPr>
      </w:pPr>
    </w:p>
    <w:p>
      <w:pPr>
        <w:jc w:val="both"/>
        <w:ind w:right="220"/>
        <w:spacing w:after="0" w:line="26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This update clarifies how certain cash receipts and cash payments are presented and classified in the consolidated statement of cash flows. This ASU is effective for fiscal years beginning after December 15, 2018, and interim periods within fiscal years beginning after December 15, 2019.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Company adopted this standard in 2019. The adoption of ASU No. 2016-15 had no material impact to the consolidated financial statements.</w:t>
      </w:r>
    </w:p>
    <w:p>
      <w:pPr>
        <w:spacing w:after="0" w:line="10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has the primary purpose of reducing the diversity in practice that exists in the classification and presentation of changes in restricted cash on the consolidated statement of cash flows. This ASU requires amounts generally described as “restricted cash” or “restricted cash equivalents” to be presented with cash and cash equivalents when reconciling the beginning and ending amounts shown on the consolidated statement of cash flows. Companies are required to disclose how the consolidated statement of cash flows reconciles to the consolidated balance sheet if restricted cash is shown separate from cash and cash equivalents on the consolidated balance sheet. Companies also must disclose information about the nature of the restrictions on cash. The standard is effective for nonpublic business entities beginning after December 15, 2018. Early adoption is permitted and should be applied using a retrospective transition method to each period presented. The Company adopted this standard in 2019 and reflected restricted cash balances within cash and cash equivalents on the Company’s consolidated statements of cash flows.</w:t>
      </w:r>
    </w:p>
    <w:p>
      <w:pPr>
        <w:spacing w:after="0" w:line="10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This update is intended to reduce cost and complexity and to improve financial reporting for share-based payments issued to nonemployees (for example, service providers, external legal counsel, suppliers, etc.). The ASU expands the scope of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currently only includes share-based payments issued to employees, to also include share-based payments issued to nonemployees for goods and services. Consequently, the accounting for share-based payments to nonemployees and employees will be substantially aligned. The Company early adopted this standard as of January 1, 2019. The adoption of ASU No.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2018-07 had no material impact to the Company’s consolidated financial statements and related disclosures.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 xml:space="preserve">As part of its initiative to reduce complexity in the accounting standards, in December 2019 the FASB issued ASU No.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eliminates certain exceptions related to the approach for intra-period tax allocation, the methodology for</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calculating income taxes in an interim period and the recognition of deferred tax liabilities for outside basis differences. ASU No. 2019-12 also clarifies and simplifies other aspects of the accounting for income taxes. The standard is effective for fiscal years, and interim periods within those fiscal years, beginning after December 15, 2020, with early adoption permitted. The Company early adopted ASU No. 2019-12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5" w:name="page236"/>
    <w:bookmarkEnd w:id="235"/>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2020. The adoption of ASU No. 2019-12 had no material impact to the Company's consolidated financial statements and related disclosures.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Recent accounting pronouncements not yet adopted </w:t>
      </w:r>
      <w:r>
        <w:rPr>
          <w:rFonts w:ascii="Arial" w:cs="Arial" w:eastAsia="Arial" w:hAnsi="Arial"/>
          <w:sz w:val="16"/>
          <w:szCs w:val="16"/>
          <w:color w:val="auto"/>
        </w:rPr>
        <w:t>– In June 2016, the FASB issued ASU No. 2016-13,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Measurement of Credit Losses on Financial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Instruments (Topic 326)</w:t>
      </w:r>
      <w:r>
        <w:rPr>
          <w:rFonts w:ascii="Arial" w:cs="Arial" w:eastAsia="Arial" w:hAnsi="Arial"/>
          <w:sz w:val="16"/>
          <w:szCs w:val="16"/>
          <w:color w:val="auto"/>
        </w:rPr>
        <w:t>, which requires an impairment model (known as the current expected credit loss (CECL) model) that is based on expected rather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 information. The Company is in the process of determining key accounting interpretations, data requirements and necessary changes to our credit loss estimation methods, processes and systems. This guidance is effective for the Company for annual reporting periods beginning after December 15, 2022 and interim periods therein. The Company is currently evaluating the impact of adoption of ASU No. 2016-13 on its consolidated financial statements and related disclosures.</w:t>
      </w:r>
    </w:p>
    <w:p>
      <w:pPr>
        <w:spacing w:after="0" w:line="104"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color w:val="auto"/>
        </w:rPr>
        <w:t>– The Company has evaluated subsequent events through April 28, 2021 and September 24, 2021, the date the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for the years ended December 31, 2019 and 2020 were originally issued and revised (as discussed in Note 1), respectively. Additionally, the Company has evaluated subsequent events through September 24, 2021 for the interim consolidated financial statements as of and for the six months ended June 30, 2021 (unaudited).</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In July 2021, the Company determined that it would pay a cash bonus to each of its employees in a value that approximates the cost of each employee exercising 45% of their total stock options issued through June 15, 2021, including the tax withholding applicable to each employee, limited by the available number of options to exercise. The Company included both vested and unvested stock options to each employee through June 15, 2021 in determining the cash bonus paid. Through the financial statement issuance date on September 24, 2021, the Company has paid $9,491,691 of these cash bonuses to employees. No employee was obligated to use the cash bonus to exercise their outstanding stock options. The estimate of total cash bonuses yet to be paid to employees are estimated to range from approximately $ 30,800,000 to $35,500,000 as a result of the complexities of each individual employee’s tax situation, including varying tax locations of our employees. We expect payment of the bonuses to take place during the fiscal quarter ended December 31, 2021. Through the financial statement issuance date on September 24, 2021, the Company has issued an additional 145,942 shares, of which 41,974 remain unvested.</w:t>
      </w:r>
    </w:p>
    <w:p>
      <w:pPr>
        <w:spacing w:after="0" w:line="116"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In September 2021, the Company's Board of Directors approved and authorized 433,969 and 433,969 shares of Class A and LT50 common stock, respectively, issuable upon the vesting of RSUs granted by the Company's Board of Directors subsequent to June 30, 2021 under our 2019 Option Plan, which will be effective immediately prior to the effectiveness of the registration statement on Form S-1, of which this prospectus is a part.</w:t>
      </w:r>
    </w:p>
    <w:p>
      <w:pPr>
        <w:spacing w:after="0" w:line="11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In September 2021, the Company amended and restated its loan and security agreement with CIBC to refinance the existing term loans, establish a single term loan of up to $75,000,000, consisting of a $45,000,000 initial term loan with an option at a later date to enter into an additional $30,000,000 delayed term loan, and increase the revolving line of credit to $ 25,000,000. A portion of the loan proceeds will be used to immediately repay the remaining balances under the amortizing and non-amortizing term loans at the time of the amendment and restatement as well as the commitment fees and any other debt issuance costs associated with the amended agreement. The remaining proceeds from the initial term loan will go towards the Company's normal business operations.</w:t>
      </w:r>
    </w:p>
    <w:p>
      <w:pPr>
        <w:spacing w:after="0" w:line="121"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The Company has concluded that no other subsequent event has occurred that requires disclosure except as noted elsewhere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6" w:name="page237"/>
    <w:bookmarkEnd w:id="23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 – CAPITALIZED SOFTWARE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development costs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7"/>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4,361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center"/>
              <w:ind w:left="363"/>
              <w:spacing w:after="0"/>
              <w:rPr>
                <w:sz w:val="20"/>
                <w:szCs w:val="20"/>
                <w:color w:val="auto"/>
              </w:rPr>
            </w:pPr>
            <w:r>
              <w:rPr>
                <w:rFonts w:ascii="Arial" w:cs="Arial" w:eastAsia="Arial" w:hAnsi="Arial"/>
                <w:sz w:val="16"/>
                <w:szCs w:val="16"/>
                <w:color w:val="auto"/>
              </w:rPr>
              <w:t>6,170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727"/>
              <w:spacing w:after="0"/>
              <w:rPr>
                <w:sz w:val="20"/>
                <w:szCs w:val="20"/>
                <w:color w:val="auto"/>
              </w:rPr>
            </w:pPr>
            <w:r>
              <w:rPr>
                <w:rFonts w:ascii="Arial" w:cs="Arial" w:eastAsia="Arial" w:hAnsi="Arial"/>
                <w:sz w:val="16"/>
                <w:szCs w:val="16"/>
                <w:color w:val="auto"/>
                <w:w w:val="99"/>
              </w:rPr>
              <w:t>7,412</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amortization</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(1,411)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343"/>
              <w:spacing w:after="0"/>
              <w:rPr>
                <w:sz w:val="20"/>
                <w:szCs w:val="20"/>
                <w:color w:val="auto"/>
              </w:rPr>
            </w:pPr>
            <w:r>
              <w:rPr>
                <w:rFonts w:ascii="Arial" w:cs="Arial" w:eastAsia="Arial" w:hAnsi="Arial"/>
                <w:sz w:val="16"/>
                <w:szCs w:val="16"/>
                <w:color w:val="auto"/>
              </w:rPr>
              <w:t>(2,448)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707"/>
              <w:spacing w:after="0"/>
              <w:rPr>
                <w:sz w:val="20"/>
                <w:szCs w:val="20"/>
                <w:color w:val="auto"/>
              </w:rPr>
            </w:pPr>
            <w:r>
              <w:rPr>
                <w:rFonts w:ascii="Arial" w:cs="Arial" w:eastAsia="Arial" w:hAnsi="Arial"/>
                <w:sz w:val="16"/>
                <w:szCs w:val="16"/>
                <w:color w:val="auto"/>
                <w:w w:val="98"/>
              </w:rPr>
              <w:t>(3,106)</w:t>
            </w:r>
          </w:p>
        </w:tc>
      </w:tr>
      <w:tr>
        <w:trPr>
          <w:trHeight w:val="224"/>
        </w:trPr>
        <w:tc>
          <w:tcPr>
            <w:tcW w:w="6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2,950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center"/>
              <w:ind w:left="363"/>
              <w:spacing w:after="0"/>
              <w:rPr>
                <w:sz w:val="20"/>
                <w:szCs w:val="20"/>
                <w:color w:val="auto"/>
              </w:rPr>
            </w:pPr>
            <w:r>
              <w:rPr>
                <w:rFonts w:ascii="Arial" w:cs="Arial" w:eastAsia="Arial" w:hAnsi="Arial"/>
                <w:sz w:val="16"/>
                <w:szCs w:val="16"/>
                <w:color w:val="auto"/>
              </w:rPr>
              <w:t>3,722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center"/>
              <w:ind w:left="727"/>
              <w:spacing w:after="0"/>
              <w:rPr>
                <w:sz w:val="20"/>
                <w:szCs w:val="20"/>
                <w:color w:val="auto"/>
              </w:rPr>
            </w:pPr>
            <w:r>
              <w:rPr>
                <w:rFonts w:ascii="Arial" w:cs="Arial" w:eastAsia="Arial" w:hAnsi="Arial"/>
                <w:sz w:val="16"/>
                <w:szCs w:val="16"/>
                <w:color w:val="auto"/>
                <w:w w:val="99"/>
              </w:rPr>
              <w:t>4,306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Amortization expense related to capitalized software development costs for the years ended December 31, 2019 and 2020, was $ 648,340 and $1,037,204, respectively. Amortization expense related to capitalized software development costs for the six months ended June 30, 2020 and 2021 (unaudited), was $484,910 and $768,917, respectively. Amortization expense related to capitalized software development costs is recorded in Cost of revenue, net on the consolidated statements of income.</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 – PROPERTY AND EQUIPMENT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416</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1,046</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7,075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Commercial building</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6,493</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4,151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4,151</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2,077</w:t>
            </w:r>
          </w:p>
        </w:tc>
      </w:tr>
      <w:tr>
        <w:trPr>
          <w:trHeight w:val="200"/>
        </w:trPr>
        <w:tc>
          <w:tcPr>
            <w:tcW w:w="6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17,543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21,258</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w:t>
            </w:r>
          </w:p>
        </w:tc>
      </w:tr>
      <w:tr>
        <w:trPr>
          <w:trHeight w:val="224"/>
        </w:trPr>
        <w:tc>
          <w:tcPr>
            <w:tcW w:w="63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14,262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16,173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2019 and 2020, depreciation and amortization expense related to Property and equipment was $1,376,860 and</w:t>
      </w:r>
    </w:p>
    <w:p>
      <w:pPr>
        <w:spacing w:after="0" w:line="11" w:lineRule="exact"/>
        <w:rPr>
          <w:sz w:val="20"/>
          <w:szCs w:val="20"/>
          <w:color w:val="auto"/>
        </w:rPr>
      </w:pPr>
    </w:p>
    <w:p>
      <w:pPr>
        <w:jc w:val="both"/>
        <w:ind w:right="300"/>
        <w:spacing w:after="0" w:line="261" w:lineRule="auto"/>
        <w:rPr>
          <w:sz w:val="20"/>
          <w:szCs w:val="20"/>
          <w:color w:val="auto"/>
        </w:rPr>
      </w:pPr>
      <w:r>
        <w:rPr>
          <w:rFonts w:ascii="Arial" w:cs="Arial" w:eastAsia="Arial" w:hAnsi="Arial"/>
          <w:sz w:val="16"/>
          <w:szCs w:val="16"/>
          <w:color w:val="auto"/>
        </w:rPr>
        <w:t>$1,384,385, respectively. For the six months ended June 30, 2020 and 2021 (unaudited), depreciation and amortization expense related to Property and equipment was $697,234 and $1,129,857, respectively. Depreciation and amortization expense related to Property and equipment is recorded in General and administrative on the consolidated statements of income.</w:t>
      </w:r>
    </w:p>
    <w:p>
      <w:pPr>
        <w:spacing w:after="0" w:line="106" w:lineRule="exact"/>
        <w:rPr>
          <w:sz w:val="20"/>
          <w:szCs w:val="20"/>
          <w:color w:val="auto"/>
        </w:rPr>
      </w:pPr>
    </w:p>
    <w:p>
      <w:pPr>
        <w:ind w:right="660"/>
        <w:spacing w:after="0" w:line="258" w:lineRule="auto"/>
        <w:rPr>
          <w:sz w:val="20"/>
          <w:szCs w:val="20"/>
          <w:color w:val="auto"/>
        </w:rPr>
      </w:pPr>
      <w:r>
        <w:rPr>
          <w:rFonts w:ascii="Arial" w:cs="Arial" w:eastAsia="Arial" w:hAnsi="Arial"/>
          <w:sz w:val="16"/>
          <w:szCs w:val="16"/>
          <w:color w:val="auto"/>
        </w:rPr>
        <w:t>In 2019, the Company purchased a commercial building in Portland, Oregon that was previously being leased by the Company for office space. In connection with the purchase of the commercial building, the Company wrote off approximately $800,000 of tenant funded leasehold improvements immediately prior to purchase during 2019. As of December 31, 2019, and 2020 and June 30, 2021 (unaudited), there is no tenant funded leasehold improvement or corresponding liability amount included in the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 LEASES</w:t>
      </w:r>
    </w:p>
    <w:p>
      <w:pPr>
        <w:spacing w:after="0" w:line="164" w:lineRule="exact"/>
        <w:rPr>
          <w:sz w:val="20"/>
          <w:szCs w:val="20"/>
          <w:color w:val="auto"/>
        </w:rPr>
      </w:pPr>
    </w:p>
    <w:p>
      <w:pPr>
        <w:jc w:val="both"/>
        <w:ind w:right="300"/>
        <w:spacing w:after="0" w:line="261" w:lineRule="auto"/>
        <w:rPr>
          <w:sz w:val="20"/>
          <w:szCs w:val="20"/>
          <w:color w:val="auto"/>
        </w:rPr>
      </w:pPr>
      <w:r>
        <w:rPr>
          <w:rFonts w:ascii="Arial" w:cs="Arial" w:eastAsia="Arial" w:hAnsi="Arial"/>
          <w:sz w:val="16"/>
          <w:szCs w:val="16"/>
          <w:color w:val="auto"/>
        </w:rPr>
        <w:t>The Company has operating leases for corporate offices and finance leases primarily for data center equipment. The operating and finance leases have remaining lease terms of one to three years. The operating and finance leases contain options to extend or terminate the lease. However, these were not included in the lease terms of the operating leases as the Company is not reasonably certain to exercise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those options. The Company included options to extend the lease terms of the finance leases as the Company is reasonably certain to exercise those options.</w:t>
      </w:r>
    </w:p>
    <w:p>
      <w:pPr>
        <w:spacing w:after="0" w:line="10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2019, the Company entered into additional finance lease agreements to finance the acquisition of property and equipment (primarily data center equipment) valued at $315,792. These agreements expire at various dates during 2022. The related assets secure these leases. During 2019, the Company also entered into a two-year operating lease agreement for office space in the U.K. and recorded an operating lease right-of-use asset of $893,936.</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During 2020 and the six months ended June 30, 2021 (unaudited), the Company did not enter into any additional finance lease agreements to finance the acquisition of new property and equipment. In August 2020, the Company entered into a new finance lease agreement that combined several of the remaining data center equipment leases into one consolidated agreement with the same lessor. The new agreement updated the expiration date of the lease payments to July 31, 2023. All other terms and conditions of the finance lease agreements remained the same. There were no additional operating lease agreements entered into during 2020 or the six months ended June 30, 2021 (unaudited).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cost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Borders>
              <w:top w:val="single" w:sz="8" w:color="auto"/>
            </w:tcBorders>
          </w:tcPr>
          <w:p>
            <w:pPr>
              <w:spacing w:after="0"/>
              <w:rPr>
                <w:sz w:val="16"/>
                <w:szCs w:val="16"/>
                <w:color w:val="auto"/>
              </w:rPr>
            </w:pPr>
          </w:p>
        </w:tc>
        <w:tc>
          <w:tcPr>
            <w:tcW w:w="2820" w:type="dxa"/>
            <w:vAlign w:val="bottom"/>
            <w:tcBorders>
              <w:top w:val="single" w:sz="8" w:color="auto"/>
              <w:bottom w:val="single" w:sz="8" w:color="auto"/>
            </w:tcBorders>
            <w:gridSpan w:val="6"/>
          </w:tcPr>
          <w:p>
            <w:pPr>
              <w:jc w:val="right"/>
              <w:ind w:right="365"/>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2820" w:type="dxa"/>
            <w:vAlign w:val="bottom"/>
            <w:tcBorders>
              <w:top w:val="single" w:sz="8" w:color="auto"/>
              <w:bottom w:val="single" w:sz="8" w:color="auto"/>
            </w:tcBorders>
            <w:gridSpan w:val="6"/>
          </w:tcPr>
          <w:p>
            <w:pPr>
              <w:jc w:val="center"/>
              <w:ind w:right="343"/>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2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2021</w:t>
            </w:r>
          </w:p>
        </w:tc>
      </w:tr>
      <w:tr>
        <w:trPr>
          <w:trHeight w:val="163"/>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20" w:type="dxa"/>
            <w:vAlign w:val="bottom"/>
            <w:gridSpan w:val="6"/>
          </w:tcPr>
          <w:p>
            <w:pPr>
              <w:jc w:val="center"/>
              <w:ind w:right="343"/>
              <w:spacing w:after="0"/>
              <w:rPr>
                <w:sz w:val="20"/>
                <w:szCs w:val="20"/>
                <w:color w:val="auto"/>
              </w:rPr>
            </w:pPr>
            <w:r>
              <w:rPr>
                <w:rFonts w:ascii="Arial" w:cs="Arial" w:eastAsia="Arial" w:hAnsi="Arial"/>
                <w:sz w:val="13"/>
                <w:szCs w:val="13"/>
                <w:b w:val="1"/>
                <w:bCs w:val="1"/>
                <w:color w:val="auto"/>
              </w:rPr>
              <w:t>(unaudited)</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7"/>
        </w:trPr>
        <w:tc>
          <w:tcPr>
            <w:tcW w:w="4720" w:type="dxa"/>
            <w:vAlign w:val="bottom"/>
          </w:tcPr>
          <w:p>
            <w:pPr>
              <w:ind w:left="120"/>
              <w:spacing w:after="0"/>
              <w:rPr>
                <w:sz w:val="20"/>
                <w:szCs w:val="20"/>
                <w:color w:val="auto"/>
              </w:rPr>
            </w:pPr>
            <w:r>
              <w:rPr>
                <w:rFonts w:ascii="Arial" w:cs="Arial" w:eastAsia="Arial" w:hAnsi="Arial"/>
                <w:sz w:val="16"/>
                <w:szCs w:val="16"/>
                <w:color w:val="auto"/>
              </w:rPr>
              <w:t>Amortization of ROU assets</w:t>
            </w:r>
          </w:p>
        </w:tc>
        <w:tc>
          <w:tcPr>
            <w:tcW w:w="1000" w:type="dxa"/>
            <w:vAlign w:val="bottom"/>
          </w:tcPr>
          <w:p>
            <w:pPr>
              <w:jc w:val="right"/>
              <w:ind w:right="827"/>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426</w:t>
            </w:r>
          </w:p>
        </w:tc>
        <w:tc>
          <w:tcPr>
            <w:tcW w:w="2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395</w:t>
            </w:r>
          </w:p>
        </w:tc>
      </w:tr>
      <w:tr>
        <w:trPr>
          <w:trHeight w:val="207"/>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on lease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w:t>
            </w:r>
          </w:p>
        </w:tc>
      </w:tr>
      <w:tr>
        <w:trPr>
          <w:trHeight w:val="199"/>
        </w:trPr>
        <w:tc>
          <w:tcPr>
            <w:tcW w:w="4720" w:type="dxa"/>
            <w:vAlign w:val="bottom"/>
          </w:tcPr>
          <w:p>
            <w:pPr>
              <w:ind w:left="20"/>
              <w:spacing w:after="0"/>
              <w:rPr>
                <w:sz w:val="20"/>
                <w:szCs w:val="20"/>
                <w:color w:val="auto"/>
              </w:rPr>
            </w:pPr>
            <w:r>
              <w:rPr>
                <w:rFonts w:ascii="Arial" w:cs="Arial" w:eastAsia="Arial" w:hAnsi="Arial"/>
                <w:sz w:val="16"/>
                <w:szCs w:val="16"/>
                <w:color w:val="auto"/>
              </w:rPr>
              <w:t>Total finance lease cost</w:t>
            </w:r>
          </w:p>
        </w:tc>
        <w:tc>
          <w:tcPr>
            <w:tcW w:w="10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418</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410</w:t>
            </w:r>
          </w:p>
        </w:tc>
      </w:tr>
      <w:tr>
        <w:trPr>
          <w:trHeight w:val="207"/>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lease cost</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353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118</w:t>
            </w: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1,284</w:t>
            </w: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946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79"/>
        </w:trPr>
        <w:tc>
          <w:tcPr>
            <w:tcW w:w="4720" w:type="dxa"/>
            <w:vAlign w:val="bottom"/>
          </w:tcPr>
          <w:p>
            <w:pPr>
              <w:spacing w:after="0"/>
              <w:rPr>
                <w:sz w:val="20"/>
                <w:szCs w:val="20"/>
                <w:color w:val="auto"/>
              </w:rPr>
            </w:pPr>
            <w:r>
              <w:rPr>
                <w:rFonts w:ascii="Arial" w:cs="Arial" w:eastAsia="Arial" w:hAnsi="Arial"/>
                <w:sz w:val="16"/>
                <w:szCs w:val="16"/>
                <w:color w:val="auto"/>
              </w:rPr>
              <w:t>Other information related to leases is as follows (in thousands):</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51"/>
        </w:trPr>
        <w:tc>
          <w:tcPr>
            <w:tcW w:w="47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71"/>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As of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2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2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2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ROU asset (included within Lease right-of-use assets)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2,041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1,646</w:t>
            </w:r>
          </w:p>
        </w:tc>
      </w:tr>
      <w:tr>
        <w:trPr>
          <w:trHeight w:val="207"/>
        </w:trPr>
        <w:tc>
          <w:tcPr>
            <w:tcW w:w="5720" w:type="dxa"/>
            <w:vAlign w:val="bottom"/>
            <w:gridSpan w:val="2"/>
          </w:tcPr>
          <w:p>
            <w:pPr>
              <w:ind w:left="20"/>
              <w:spacing w:after="0"/>
              <w:rPr>
                <w:sz w:val="20"/>
                <w:szCs w:val="20"/>
                <w:color w:val="auto"/>
              </w:rPr>
            </w:pPr>
            <w:r>
              <w:rPr>
                <w:rFonts w:ascii="Arial" w:cs="Arial" w:eastAsia="Arial" w:hAnsi="Arial"/>
                <w:sz w:val="16"/>
                <w:szCs w:val="16"/>
                <w:color w:val="auto"/>
              </w:rPr>
              <w:t>Operating lease ROU asset (included within Lease right-of-use assets)</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143"/>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7"/>
                <w:szCs w:val="17"/>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1,326</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7"/>
        </w:trPr>
        <w:tc>
          <w:tcPr>
            <w:tcW w:w="4720" w:type="dxa"/>
            <w:vAlign w:val="bottom"/>
          </w:tcPr>
          <w:p>
            <w:pPr>
              <w:ind w:left="200"/>
              <w:spacing w:after="0"/>
              <w:rPr>
                <w:sz w:val="20"/>
                <w:szCs w:val="20"/>
                <w:color w:val="auto"/>
              </w:rPr>
            </w:pPr>
            <w:r>
              <w:rPr>
                <w:rFonts w:ascii="Arial" w:cs="Arial" w:eastAsia="Arial" w:hAnsi="Arial"/>
                <w:sz w:val="16"/>
                <w:szCs w:val="16"/>
                <w:color w:val="auto"/>
              </w:rPr>
              <w:t>Finance leases</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143"/>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2.08</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1.84</w:t>
            </w: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3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3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2.6 %</w:t>
            </w:r>
          </w:p>
        </w:tc>
        <w:tc>
          <w:tcPr>
            <w:tcW w:w="17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2.5 %</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06"/>
        </w:trPr>
        <w:tc>
          <w:tcPr>
            <w:tcW w:w="482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3560" w:type="dxa"/>
            <w:vAlign w:val="bottom"/>
          </w:tcPr>
          <w:p>
            <w:pPr>
              <w:jc w:val="right"/>
              <w:ind w:right="599"/>
              <w:spacing w:after="0"/>
              <w:rPr>
                <w:sz w:val="20"/>
                <w:szCs w:val="20"/>
                <w:color w:val="auto"/>
              </w:rPr>
            </w:pPr>
            <w:r>
              <w:rPr>
                <w:rFonts w:ascii="Arial" w:cs="Arial" w:eastAsia="Arial" w:hAnsi="Arial"/>
                <w:sz w:val="16"/>
                <w:szCs w:val="16"/>
                <w:color w:val="auto"/>
              </w:rPr>
              <w:t>5.1 %</w:t>
            </w:r>
          </w:p>
        </w:tc>
        <w:tc>
          <w:tcPr>
            <w:tcW w:w="1760" w:type="dxa"/>
            <w:vAlign w:val="bottom"/>
          </w:tcPr>
          <w:p>
            <w:pPr>
              <w:jc w:val="right"/>
              <w:ind w:right="599"/>
              <w:spacing w:after="0"/>
              <w:rPr>
                <w:sz w:val="20"/>
                <w:szCs w:val="20"/>
                <w:color w:val="auto"/>
              </w:rPr>
            </w:pPr>
            <w:r>
              <w:rPr>
                <w:rFonts w:ascii="Arial" w:cs="Arial" w:eastAsia="Arial" w:hAnsi="Arial"/>
                <w:sz w:val="16"/>
                <w:szCs w:val="16"/>
                <w:color w:val="auto"/>
              </w:rPr>
              <w:t>5.3 %</w:t>
            </w:r>
          </w:p>
        </w:tc>
        <w:tc>
          <w:tcPr>
            <w:tcW w:w="112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49"/>
        </w:trPr>
        <w:tc>
          <w:tcPr>
            <w:tcW w:w="482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8" w:name="page239"/>
    <w:bookmarkEnd w:id="23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Borders>
              <w:top w:val="single" w:sz="8" w:color="auto"/>
            </w:tcBorders>
          </w:tcPr>
          <w:p>
            <w:pPr>
              <w:spacing w:after="0"/>
              <w:rPr>
                <w:sz w:val="16"/>
                <w:szCs w:val="16"/>
                <w:color w:val="auto"/>
              </w:rPr>
            </w:pPr>
          </w:p>
        </w:tc>
        <w:tc>
          <w:tcPr>
            <w:tcW w:w="2660" w:type="dxa"/>
            <w:vAlign w:val="bottom"/>
            <w:tcBorders>
              <w:top w:val="single" w:sz="8" w:color="auto"/>
              <w:bottom w:val="single" w:sz="8" w:color="auto"/>
            </w:tcBorders>
            <w:gridSpan w:val="3"/>
          </w:tcPr>
          <w:p>
            <w:pPr>
              <w:jc w:val="right"/>
              <w:ind w:right="207"/>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860" w:type="dxa"/>
            <w:vAlign w:val="bottom"/>
            <w:tcBorders>
              <w:top w:val="single" w:sz="8" w:color="auto"/>
              <w:bottom w:val="single" w:sz="8" w:color="auto"/>
            </w:tcBorders>
            <w:gridSpan w:val="3"/>
          </w:tcPr>
          <w:p>
            <w:pPr>
              <w:jc w:val="center"/>
              <w:ind w:right="302"/>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63"/>
        </w:trPr>
        <w:tc>
          <w:tcPr>
            <w:tcW w:w="4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2"/>
          </w:tcPr>
          <w:p>
            <w:pPr>
              <w:jc w:val="center"/>
              <w:ind w:left="645"/>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r>
      <w:tr>
        <w:trPr>
          <w:trHeight w:val="170"/>
        </w:trPr>
        <w:tc>
          <w:tcPr>
            <w:tcW w:w="472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Cash paid for amounts included in the measurement of lease</w:t>
            </w:r>
          </w:p>
        </w:tc>
        <w:tc>
          <w:tcPr>
            <w:tcW w:w="9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6"/>
        </w:trPr>
        <w:tc>
          <w:tcPr>
            <w:tcW w:w="4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liabilities: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472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w:t>
            </w:r>
          </w:p>
        </w:tc>
        <w:tc>
          <w:tcPr>
            <w:tcW w:w="960" w:type="dxa"/>
            <w:vAlign w:val="bottom"/>
          </w:tcPr>
          <w:p>
            <w:pPr>
              <w:jc w:val="right"/>
              <w:ind w:right="79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(1,509)</w:t>
            </w:r>
          </w:p>
        </w:tc>
        <w:tc>
          <w:tcPr>
            <w:tcW w:w="1060" w:type="dxa"/>
            <w:vAlign w:val="bottom"/>
          </w:tcPr>
          <w:p>
            <w:pPr>
              <w:jc w:val="right"/>
              <w:ind w:right="827"/>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(517)</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07"/>
        </w:trPr>
        <w:tc>
          <w:tcPr>
            <w:tcW w:w="4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cash flows from finance leases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7"/>
        </w:trPr>
        <w:tc>
          <w:tcPr>
            <w:tcW w:w="4720" w:type="dxa"/>
            <w:vAlign w:val="bottom"/>
          </w:tcPr>
          <w:p>
            <w:pPr>
              <w:ind w:left="240"/>
              <w:spacing w:after="0"/>
              <w:rPr>
                <w:sz w:val="20"/>
                <w:szCs w:val="20"/>
                <w:color w:val="auto"/>
              </w:rPr>
            </w:pPr>
            <w:r>
              <w:rPr>
                <w:rFonts w:ascii="Arial" w:cs="Arial" w:eastAsia="Arial" w:hAnsi="Arial"/>
                <w:sz w:val="16"/>
                <w:szCs w:val="16"/>
                <w:color w:val="auto"/>
              </w:rPr>
              <w:t>Financing cash flows from finance leases</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(793)</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(416)</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obtained in exchange for operating lease liabilities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894</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6"/>
        </w:trPr>
        <w:tc>
          <w:tcPr>
            <w:tcW w:w="4720" w:type="dxa"/>
            <w:vAlign w:val="bottom"/>
          </w:tcPr>
          <w:p>
            <w:pPr>
              <w:ind w:left="20"/>
              <w:spacing w:after="0"/>
              <w:rPr>
                <w:sz w:val="20"/>
                <w:szCs w:val="20"/>
                <w:color w:val="auto"/>
              </w:rPr>
            </w:pPr>
            <w:r>
              <w:rPr>
                <w:rFonts w:ascii="Arial" w:cs="Arial" w:eastAsia="Arial" w:hAnsi="Arial"/>
                <w:sz w:val="16"/>
                <w:szCs w:val="16"/>
                <w:color w:val="auto"/>
              </w:rPr>
              <w:t>ROU assets obtained in exchange for finance lease liabilities</w:t>
            </w:r>
          </w:p>
        </w:tc>
        <w:tc>
          <w:tcPr>
            <w:tcW w:w="96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316</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49"/>
        </w:trPr>
        <w:tc>
          <w:tcPr>
            <w:tcW w:w="47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To calculate the ROU assets and liabilities, the Company uses the discount rate implicit in lease agreements when available. When the implicit discount rates are not readily determinable, the Company uses the incremental borrowing rate. The Company determines the incremental borrowing rate using interest rates from the Company's secured borrowings after taking into consideration the nature of the debt, such as borrowings collateralized by the exact building in the lease, and payment structure, including frequency and number of payments in the agreement.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Maturities of lease liabilities as of December 31, 2020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For the year ending:</w:t>
            </w: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Finance leases</w:t>
            </w: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Operating leases</w:t>
            </w:r>
          </w:p>
        </w:tc>
        <w:tc>
          <w:tcPr>
            <w:tcW w:w="0" w:type="dxa"/>
            <w:vAlign w:val="bottom"/>
          </w:tcPr>
          <w:p>
            <w:pPr>
              <w:spacing w:after="0"/>
              <w:rPr>
                <w:sz w:val="1"/>
                <w:szCs w:val="1"/>
                <w:color w:val="auto"/>
              </w:rPr>
            </w:pPr>
          </w:p>
        </w:tc>
      </w:tr>
      <w:tr>
        <w:trPr>
          <w:trHeight w:val="187"/>
        </w:trPr>
        <w:tc>
          <w:tcPr>
            <w:tcW w:w="8020" w:type="dxa"/>
            <w:vAlign w:val="bottom"/>
            <w:tcBorders>
              <w:top w:val="single" w:sz="8" w:color="auto"/>
            </w:tcBorders>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lease liabilities, current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00"/>
        </w:trPr>
        <w:tc>
          <w:tcPr>
            <w:tcW w:w="8020" w:type="dxa"/>
            <w:vAlign w:val="bottom"/>
          </w:tcPr>
          <w:p>
            <w:pPr>
              <w:ind w:left="20"/>
              <w:spacing w:after="0"/>
              <w:rPr>
                <w:sz w:val="20"/>
                <w:szCs w:val="20"/>
                <w:color w:val="auto"/>
              </w:rPr>
            </w:pPr>
            <w:r>
              <w:rPr>
                <w:rFonts w:ascii="Arial" w:cs="Arial" w:eastAsia="Arial" w:hAnsi="Arial"/>
                <w:sz w:val="16"/>
                <w:szCs w:val="16"/>
                <w:color w:val="auto"/>
              </w:rPr>
              <w:t>Lease liabilities, non-current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9" w:name="page240"/>
    <w:bookmarkEnd w:id="23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 – SIGNIFICANT BALANCE SHEET COMPONENTS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current assets </w:t>
      </w:r>
      <w:r>
        <w:rPr>
          <w:rFonts w:ascii="Arial" w:cs="Arial" w:eastAsia="Arial" w:hAnsi="Arial"/>
          <w:sz w:val="16"/>
          <w:szCs w:val="16"/>
          <w:color w:val="auto"/>
        </w:rPr>
        <w:t>– Other current assets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3"/>
                <w:szCs w:val="13"/>
                <w:b w:val="1"/>
                <w:bCs w:val="1"/>
                <w:color w:val="auto"/>
              </w:rPr>
              <w:t>As of December 31,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Expensify Card collateral for funds held for customers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2,725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Cash in transit for funds held for customers</w:t>
            </w:r>
          </w:p>
        </w:tc>
        <w:tc>
          <w:tcPr>
            <w:tcW w:w="98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704</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Expensify.org restricted cash</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Commercial building restricted cash</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14</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Deferred initial public offering costs</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4,165</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206</w:t>
            </w:r>
          </w:p>
        </w:tc>
      </w:tr>
      <w:tr>
        <w:trPr>
          <w:trHeight w:val="199"/>
        </w:trPr>
        <w:tc>
          <w:tcPr>
            <w:tcW w:w="6340" w:type="dxa"/>
            <w:vAlign w:val="bottom"/>
          </w:tcPr>
          <w:p>
            <w:pPr>
              <w:spacing w:after="0"/>
              <w:rPr>
                <w:sz w:val="17"/>
                <w:szCs w:val="17"/>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8,412</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Accrued expenses and other liabilities </w:t>
      </w:r>
      <w:r>
        <w:rPr>
          <w:rFonts w:ascii="Arial" w:cs="Arial" w:eastAsia="Arial" w:hAnsi="Arial"/>
          <w:sz w:val="16"/>
          <w:szCs w:val="16"/>
          <w:color w:val="auto"/>
        </w:rPr>
        <w:t>– Accrued expenses and other liabilities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3"/>
                <w:szCs w:val="13"/>
                <w:b w:val="1"/>
                <w:bCs w:val="1"/>
                <w:color w:val="auto"/>
              </w:rPr>
              <w:t>As of December 31,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 reports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168</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Partner payouts and advertising fees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537</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Hosting and license fees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Credit card processing fees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369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and other fees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1,979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Sales, payroll and other taxes payable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5,915</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Restricted common stock liability for early stock option exercises</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1,192</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385</w:t>
            </w:r>
          </w:p>
        </w:tc>
      </w:tr>
      <w:tr>
        <w:trPr>
          <w:trHeight w:val="199"/>
        </w:trPr>
        <w:tc>
          <w:tcPr>
            <w:tcW w:w="6340" w:type="dxa"/>
            <w:vAlign w:val="bottom"/>
          </w:tcPr>
          <w:p>
            <w:pPr>
              <w:spacing w:after="0"/>
              <w:rPr>
                <w:sz w:val="17"/>
                <w:szCs w:val="17"/>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11,124</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 FINANCING ARRANGEMENTS</w:t>
      </w:r>
    </w:p>
    <w:p>
      <w:pPr>
        <w:spacing w:after="0" w:line="164" w:lineRule="exact"/>
        <w:rPr>
          <w:sz w:val="20"/>
          <w:szCs w:val="20"/>
          <w:color w:val="auto"/>
        </w:rPr>
      </w:pPr>
    </w:p>
    <w:p>
      <w:pPr>
        <w:jc w:val="both"/>
        <w:ind w:right="60"/>
        <w:spacing w:after="0" w:line="268" w:lineRule="auto"/>
        <w:rPr>
          <w:sz w:val="20"/>
          <w:szCs w:val="20"/>
          <w:color w:val="auto"/>
        </w:rPr>
      </w:pPr>
      <w:r>
        <w:rPr>
          <w:rFonts w:ascii="Arial" w:cs="Arial" w:eastAsia="Arial" w:hAnsi="Arial"/>
          <w:sz w:val="16"/>
          <w:szCs w:val="16"/>
          <w:color w:val="auto"/>
        </w:rPr>
        <w:t>In 2019, the Company purchased a commercial building in Portland, Oregon. In connection with the purchase, the Company entered into a credit agreement with Canadian Imperial Bank of Commerce (CIBC) that provides for a $8,250,000 amortizing term mortgage.</w:t>
      </w:r>
    </w:p>
    <w:p>
      <w:pPr>
        <w:spacing w:after="0" w:line="93"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b w:val="1"/>
          <w:bCs w:val="1"/>
          <w:color w:val="auto"/>
        </w:rPr>
        <w:t xml:space="preserve">Amortizing term mortgage </w:t>
      </w:r>
      <w:r>
        <w:rPr>
          <w:rFonts w:ascii="Arial" w:cs="Arial" w:eastAsia="Arial" w:hAnsi="Arial"/>
          <w:sz w:val="16"/>
          <w:szCs w:val="16"/>
          <w:color w:val="auto"/>
        </w:rPr>
        <w:t>– Under the amortizing term mortgage agreement with CIBC, the Company borrowed $ 8,250,000 in August 2019,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$8,209,723 and $8,084,836, respectively. As of June 30, 2021 (unaudited), the outstanding balance of the amortizing term mortgage was $8,020,042.</w:t>
      </w:r>
    </w:p>
    <w:p>
      <w:pPr>
        <w:spacing w:after="0" w:line="8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color w:val="auto"/>
        </w:rPr>
        <w:t xml:space="preserve">Monthly revolving line of credit </w:t>
      </w:r>
      <w:r>
        <w:rPr>
          <w:rFonts w:ascii="Arial" w:cs="Arial" w:eastAsia="Arial" w:hAnsi="Arial"/>
          <w:sz w:val="16"/>
          <w:szCs w:val="16"/>
          <w:color w:val="auto"/>
        </w:rPr>
        <w:t>– The line of credit agreement with CIBC provides borrowings of the lesser of $ 15,000,000 or 300% of monthly recurring</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of the Company. Borrowings under the line bear interest at the bank’s reference rate plus 1.00% (5.75% and 4.25% as of December 31, 2019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2020, respectively) and are secured by substantially all of the Company’s assets. As of December 31, 2019, and 2020, the Company had drawn $6,387,000 and $15,000,000, respectively, under the line of credit. As of June 30, 2021 (unaudited), the Company had drawn $15,000,000 under the line of credit. As of December 31, 2020 and June 30, 2021 (unaudited), the Company had no capacity available for borrowings under the line of credit agreement.</w:t>
      </w:r>
    </w:p>
    <w:p>
      <w:pPr>
        <w:spacing w:after="0" w:line="86"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b w:val="1"/>
          <w:bCs w:val="1"/>
          <w:color w:val="auto"/>
        </w:rPr>
        <w:t xml:space="preserve">Non-amortizing term loan </w:t>
      </w:r>
      <w:r>
        <w:rPr>
          <w:rFonts w:ascii="Arial" w:cs="Arial" w:eastAsia="Arial" w:hAnsi="Arial"/>
          <w:sz w:val="16"/>
          <w:szCs w:val="16"/>
          <w:color w:val="auto"/>
        </w:rPr>
        <w:t>– Under the non-amortizing term loan agreement with CIBC, the Company borrowed $ 11,000,000 in May 2018,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was amended in November 2018. The term loan is an interest-only loan (fixed at 9.5% per year) for 60 months that becomes due and payable at the end of the note term in November 2023. The borrowings are secured by substantially all the Company’s assets. As of December 31, 2019, December 31 2020 and June 30, 2021 (unaudited), the outstanding balance of the non-amortizing term loan was $11,000,000.</w:t>
      </w:r>
    </w:p>
    <w:p>
      <w:pPr>
        <w:spacing w:after="0" w:line="95"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b w:val="1"/>
          <w:bCs w:val="1"/>
          <w:color w:val="auto"/>
        </w:rPr>
        <w:t xml:space="preserve">Amortizing term loan </w:t>
      </w:r>
      <w:r>
        <w:rPr>
          <w:rFonts w:ascii="Arial" w:cs="Arial" w:eastAsia="Arial" w:hAnsi="Arial"/>
          <w:sz w:val="16"/>
          <w:szCs w:val="16"/>
          <w:color w:val="auto"/>
        </w:rPr>
        <w:t>– Under the amortizing term loan agreement with CIBC, the Company borrowed $14,000,000 in November 2018, which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interest-only payments on the outstanding borrowings through November 1, 2020. Beginning in November 2020, the amount outstanding at such time becomes payable over a 36-month period with principal and accrued interest payments due each month thereafter. The amounts borrowed are payable with interest at the bank’s reference rate plus 2.25% (7% and 5.5% at December 31, 2019 and 2020, respectively) beginning in November 2020 through 2023. The borrowings are secured by substantially all the Company’s assets. As of December 31, 2019 and 2020, the outstanding balance of the amortizing term loan was $14,000,000 and $13,805,556, respectively. As of June 30, 2021 (unaudited), the outstanding balance of the amortizing term loan was $12,638,889.</w:t>
      </w:r>
    </w:p>
    <w:p>
      <w:pPr>
        <w:spacing w:after="0" w:line="31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For the years ended December 31, 2019 and 2020, the Company incurred $ 23,826 and $170,995 in costs related to the amortizing term mortgage and term loan agreements, respectively. For the six months ended June 30, 2020 and 2021 (unaudited), the Company incurred $16,241 and $16,270, respectively. These debt issuance costs are reflected as a reduction of the carrying amount of the long-term debt and are being amortized to interest expense over the term of the agreements. As of December 31, 2019, and 2020, the unamortized debt issuance costs remaining are $148,033 and $115,535, respectively. As of June 30, 2020 and 2021 (unaudited), the unamortized debt issuance costs remaining were $131,792 and $99,265,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Future aggregate annual principal payments on all long-term debt are as follows for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Borders>
              <w:bottom w:val="single" w:sz="8" w:color="auto"/>
            </w:tcBorders>
          </w:tcPr>
          <w:p>
            <w:pPr>
              <w:spacing w:after="0"/>
              <w:rPr>
                <w:sz w:val="15"/>
                <w:szCs w:val="15"/>
                <w:color w:val="auto"/>
              </w:rPr>
            </w:pPr>
          </w:p>
        </w:tc>
        <w:tc>
          <w:tcPr>
            <w:tcW w:w="60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Years ending December 31,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(in thousands)</w:t>
            </w:r>
          </w:p>
        </w:tc>
      </w:tr>
      <w:tr>
        <w:trPr>
          <w:trHeight w:val="19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6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17,465</w:t>
            </w:r>
          </w:p>
        </w:tc>
      </w:tr>
      <w:tr>
        <w:trPr>
          <w:trHeight w:val="207"/>
        </w:trPr>
        <w:tc>
          <w:tcPr>
            <w:tcW w:w="3520" w:type="dxa"/>
            <w:vAlign w:val="bottom"/>
          </w:tcPr>
          <w:p>
            <w:pPr>
              <w:ind w:left="20"/>
              <w:spacing w:after="0"/>
              <w:rPr>
                <w:sz w:val="20"/>
                <w:szCs w:val="20"/>
                <w:color w:val="auto"/>
              </w:rPr>
            </w:pPr>
            <w:r>
              <w:rPr>
                <w:rFonts w:ascii="Arial" w:cs="Arial" w:eastAsia="Arial" w:hAnsi="Arial"/>
                <w:sz w:val="16"/>
                <w:szCs w:val="16"/>
                <w:color w:val="auto"/>
              </w:rPr>
              <w:t>2022</w:t>
            </w: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2,471</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20,284</w:t>
            </w:r>
          </w:p>
        </w:tc>
      </w:tr>
      <w:tr>
        <w:trPr>
          <w:trHeight w:val="207"/>
        </w:trPr>
        <w:tc>
          <w:tcPr>
            <w:tcW w:w="3520" w:type="dxa"/>
            <w:vAlign w:val="bottom"/>
          </w:tcPr>
          <w:p>
            <w:pPr>
              <w:ind w:left="20"/>
              <w:spacing w:after="0"/>
              <w:rPr>
                <w:sz w:val="20"/>
                <w:szCs w:val="20"/>
                <w:color w:val="auto"/>
              </w:rPr>
            </w:pPr>
            <w:r>
              <w:rPr>
                <w:rFonts w:ascii="Arial" w:cs="Arial" w:eastAsia="Arial" w:hAnsi="Arial"/>
                <w:sz w:val="16"/>
                <w:szCs w:val="16"/>
                <w:color w:val="auto"/>
              </w:rPr>
              <w:t>2024</w:t>
            </w: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and thereafter</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7,519</w:t>
            </w:r>
          </w:p>
        </w:tc>
      </w:tr>
      <w:tr>
        <w:trPr>
          <w:trHeight w:val="199"/>
        </w:trPr>
        <w:tc>
          <w:tcPr>
            <w:tcW w:w="3520" w:type="dxa"/>
            <w:vAlign w:val="bottom"/>
          </w:tcPr>
          <w:p>
            <w:pPr>
              <w:spacing w:after="0"/>
              <w:rPr>
                <w:sz w:val="17"/>
                <w:szCs w:val="17"/>
                <w:color w:val="auto"/>
              </w:rPr>
            </w:pPr>
          </w:p>
        </w:tc>
        <w:tc>
          <w:tcPr>
            <w:tcW w:w="6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47,891</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discount for issuance costs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199"/>
        </w:trPr>
        <w:tc>
          <w:tcPr>
            <w:tcW w:w="3520" w:type="dxa"/>
            <w:vAlign w:val="bottom"/>
          </w:tcPr>
          <w:p>
            <w:pPr>
              <w:spacing w:after="0"/>
              <w:rPr>
                <w:sz w:val="17"/>
                <w:szCs w:val="17"/>
                <w:color w:val="auto"/>
              </w:rPr>
            </w:pPr>
          </w:p>
        </w:tc>
        <w:tc>
          <w:tcPr>
            <w:tcW w:w="6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47,775</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line of credit</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0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net of issuance costs</w:t>
            </w:r>
          </w:p>
        </w:tc>
        <w:tc>
          <w:tcPr>
            <w:tcW w:w="6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w:t>
            </w:r>
          </w:p>
        </w:tc>
      </w:tr>
      <w:tr>
        <w:trPr>
          <w:trHeight w:val="220"/>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long-term debt, net of issuance costs</w:t>
            </w:r>
          </w:p>
        </w:tc>
        <w:tc>
          <w:tcPr>
            <w:tcW w:w="6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30,321</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Company is subject to customary covenants under its revolving line of credit agreement, non-amortizing term loan agreement and amortizing term loan agreement, which unless waived by CIBC, restrict its and its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The Company must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maintain EBITDA for the twelve-month period ended each fiscal quarter close at an amount no less than the benchmarks specified in the respective credit or loan agreements (ranging from $4.0 million for the twelve months ended December 31, 2020 to $6.75 million for the twelve months ended September 30, 2023, with $250,000 increments to the EBITDA benchmark between each testing period).</w:t>
      </w:r>
    </w:p>
    <w:p>
      <w:pPr>
        <w:spacing w:after="0" w:line="106" w:lineRule="exact"/>
        <w:rPr>
          <w:sz w:val="20"/>
          <w:szCs w:val="20"/>
          <w:color w:val="auto"/>
        </w:rPr>
      </w:pPr>
    </w:p>
    <w:p>
      <w:pPr>
        <w:ind w:right="580"/>
        <w:spacing w:after="0" w:line="268" w:lineRule="auto"/>
        <w:rPr>
          <w:sz w:val="20"/>
          <w:szCs w:val="20"/>
          <w:color w:val="auto"/>
        </w:rPr>
      </w:pPr>
      <w:r>
        <w:rPr>
          <w:rFonts w:ascii="Arial" w:cs="Arial" w:eastAsia="Arial" w:hAnsi="Arial"/>
          <w:sz w:val="16"/>
          <w:szCs w:val="16"/>
          <w:color w:val="auto"/>
        </w:rPr>
        <w:t>If the Company fails to perform its obligations under these and other covenants, CIBC’s credit commitments could be terminated and any outstanding borrowings, together with accrued interest, under the credit or loan agreements could be declared immediately due and payable.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and 2020 and June 30, 2021 (unaudited), the Company was in compliance with all debt covenants.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 – CONVERTIBLE PREFERRED STOCK AND STOCKHOLDERS’ DEFICIT</w:t>
      </w:r>
    </w:p>
    <w:p>
      <w:pPr>
        <w:spacing w:after="0" w:line="15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Company’s Amended and Restated Certificate of Incorporation authorizes the Company to issue 9,500,000 shares of common stock and 4,203,139 shares of convertible preferred stock with a par value of $0.0001 per share. As of December 31, 2019 and 2020, there was 2,658,993 and 2,936,694 shares of common stock issued and outstanding, respectively. As of June 30, 2021 (unaudited), there was 3,478,052 shares of common stock issued and outstanding. The holders of each share of common stock are entitled to the number of votes that is equal to the number of shares of common stock issued and outstanding for the holders.</w:t>
      </w:r>
    </w:p>
    <w:p>
      <w:pPr>
        <w:spacing w:after="0" w:line="12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During the year ended December 31, 2019, the Company repurchased 5,520 shares of exercised unvested common stock, for $1,794,703, of which $13,919 for the exercise cost of the repurchase was recorded within Additional paid-in capital and the remaining $1,780,784 of the repurchase was recorded as stock-based compensation expense.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2021 (unaudited), certain employees exercised stock options for a total of 252,983 shares of common stock for</w:t>
      </w:r>
    </w:p>
    <w:p>
      <w:pPr>
        <w:spacing w:after="0" w:line="1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$1,759,643 by entering into promissory notes with the Company. Although each promissory note varied in loan amount, all notes had the same standard terms with annual interest of 0.13% and unpaid principal balances due and payable in twelve equal monthly payments beginning October 1, 2021. No promissory notes were entered into with listed directors or executive officers of the Company. As each promissory note is considered a recourse loan in form and substance, the Company records all outstanding loan balances for employees to exercise stock options to Subscriptions receivable as contra equity within Stockholders' deficit. As of June 30, 2021 (unaudited), the Company recognized $1,759,643 of Subscriptions receivable and no payments of interest or principal have been received to date. As of June 30, 2021 (unaudited), no interest income has been accrued to date on the promissory notes.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and 2020 and June 30, 2021 (unaudited), convertible preferred stock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share and</w:t>
            </w:r>
          </w:p>
        </w:tc>
        <w:tc>
          <w:tcPr>
            <w:tcW w:w="132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3"/>
                <w:szCs w:val="13"/>
                <w:b w:val="1"/>
                <w:bCs w:val="1"/>
                <w:color w:val="auto"/>
              </w:rPr>
              <w:t>Shares authorized</w:t>
            </w:r>
          </w:p>
        </w:tc>
        <w:tc>
          <w:tcPr>
            <w:tcW w:w="100" w:type="dxa"/>
            <w:vAlign w:val="bottom"/>
            <w:tcBorders>
              <w:top w:val="single" w:sz="8" w:color="auto"/>
            </w:tcBorders>
            <w:vMerge w:val="restart"/>
          </w:tcPr>
          <w:p>
            <w:pPr>
              <w:spacing w:after="0"/>
              <w:rPr>
                <w:sz w:val="13"/>
                <w:szCs w:val="13"/>
                <w:color w:val="auto"/>
              </w:rPr>
            </w:pPr>
          </w:p>
        </w:tc>
        <w:tc>
          <w:tcPr>
            <w:tcW w:w="1320" w:type="dxa"/>
            <w:vAlign w:val="bottom"/>
            <w:tcBorders>
              <w:top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Shares issued and</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Original issuance</w:t>
            </w:r>
          </w:p>
        </w:tc>
        <w:tc>
          <w:tcPr>
            <w:tcW w:w="13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Liquidation amount</w:t>
            </w:r>
          </w:p>
        </w:tc>
        <w:tc>
          <w:tcPr>
            <w:tcW w:w="100" w:type="dxa"/>
            <w:vAlign w:val="bottom"/>
            <w:tcBorders>
              <w:top w:val="single" w:sz="8" w:color="auto"/>
            </w:tcBorders>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142"/>
              <w:spacing w:after="0"/>
              <w:rPr>
                <w:sz w:val="20"/>
                <w:szCs w:val="20"/>
                <w:color w:val="auto"/>
              </w:rPr>
            </w:pPr>
            <w:r>
              <w:rPr>
                <w:rFonts w:ascii="Arial" w:cs="Arial" w:eastAsia="Arial" w:hAnsi="Arial"/>
                <w:sz w:val="13"/>
                <w:szCs w:val="13"/>
                <w:b w:val="1"/>
                <w:bCs w:val="1"/>
                <w:color w:val="auto"/>
              </w:rPr>
              <w:t>Carrying value</w:t>
            </w:r>
          </w:p>
        </w:tc>
        <w:tc>
          <w:tcPr>
            <w:tcW w:w="0" w:type="dxa"/>
            <w:vAlign w:val="bottom"/>
          </w:tcPr>
          <w:p>
            <w:pPr>
              <w:spacing w:after="0"/>
              <w:rPr>
                <w:sz w:val="1"/>
                <w:szCs w:val="1"/>
                <w:color w:val="auto"/>
              </w:rPr>
            </w:pPr>
          </w:p>
        </w:tc>
      </w:tr>
      <w:tr>
        <w:trPr>
          <w:trHeight w:val="158"/>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per share data)</w:t>
            </w:r>
          </w:p>
        </w:tc>
        <w:tc>
          <w:tcPr>
            <w:tcW w:w="1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32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outstanding</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price per share</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1,090,868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1,090,868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0.9167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6"/>
                <w:szCs w:val="16"/>
                <w:color w:val="auto"/>
              </w:rPr>
              <w:t>Series B</w:t>
            </w:r>
          </w:p>
        </w:tc>
        <w:tc>
          <w:tcPr>
            <w:tcW w:w="1320" w:type="dxa"/>
            <w:vAlign w:val="bottom"/>
          </w:tcPr>
          <w:p>
            <w:pPr>
              <w:jc w:val="right"/>
              <w:spacing w:after="0"/>
              <w:rPr>
                <w:sz w:val="20"/>
                <w:szCs w:val="20"/>
                <w:color w:val="auto"/>
              </w:rPr>
            </w:pPr>
            <w:r>
              <w:rPr>
                <w:rFonts w:ascii="Arial" w:cs="Arial" w:eastAsia="Arial" w:hAnsi="Arial"/>
                <w:sz w:val="16"/>
                <w:szCs w:val="16"/>
                <w:color w:val="auto"/>
              </w:rPr>
              <w:t>1,401,399</w:t>
            </w:r>
          </w:p>
        </w:tc>
        <w:tc>
          <w:tcPr>
            <w:tcW w:w="10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1,401,399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2.67903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22,827</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644,541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644,541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5.54619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4,108</w:t>
            </w:r>
          </w:p>
        </w:tc>
        <w:tc>
          <w:tcPr>
            <w:tcW w:w="0" w:type="dxa"/>
            <w:vAlign w:val="bottom"/>
          </w:tcPr>
          <w:p>
            <w:pPr>
              <w:spacing w:after="0"/>
              <w:rPr>
                <w:sz w:val="1"/>
                <w:szCs w:val="1"/>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6"/>
                <w:szCs w:val="16"/>
                <w:color w:val="auto"/>
              </w:rPr>
              <w:t>Series C</w:t>
            </w:r>
          </w:p>
        </w:tc>
        <w:tc>
          <w:tcPr>
            <w:tcW w:w="1320" w:type="dxa"/>
            <w:vAlign w:val="bottom"/>
          </w:tcPr>
          <w:p>
            <w:pPr>
              <w:jc w:val="right"/>
              <w:spacing w:after="0"/>
              <w:rPr>
                <w:sz w:val="20"/>
                <w:szCs w:val="20"/>
                <w:color w:val="auto"/>
              </w:rPr>
            </w:pPr>
            <w:r>
              <w:rPr>
                <w:rFonts w:ascii="Arial" w:cs="Arial" w:eastAsia="Arial" w:hAnsi="Arial"/>
                <w:sz w:val="16"/>
                <w:szCs w:val="16"/>
                <w:color w:val="auto"/>
              </w:rPr>
              <w:t>1,066,331</w:t>
            </w:r>
          </w:p>
        </w:tc>
        <w:tc>
          <w:tcPr>
            <w:tcW w:w="10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1,066,331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15.5677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17,170</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4,203,139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features of the Company’s convertible preferred stock are as follows:</w:t>
      </w:r>
    </w:p>
    <w:p>
      <w:pPr>
        <w:spacing w:after="0" w:line="125"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color w:val="auto"/>
        </w:rPr>
        <w:t xml:space="preserve">Dividend provisions </w:t>
      </w:r>
      <w:r>
        <w:rPr>
          <w:rFonts w:ascii="Arial" w:cs="Arial" w:eastAsia="Arial" w:hAnsi="Arial"/>
          <w:sz w:val="16"/>
          <w:szCs w:val="16"/>
          <w:color w:val="auto"/>
        </w:rPr>
        <w:t>– The holders of Series A convertible preferred stock (Series A), Series B convertible preferred stock (Series B), Series B-1 convertible</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(Series B-1) and Series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2" w:name="page243"/>
    <w:bookmarkEnd w:id="24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convertible preferred stock (Series C) are entitled to receive, when and if declared by the Board of Directors, noncumulative dividends at a rate of $0.07334, $0.21432, $0.4437 and $1.2454 per share per annum, respectively, adjusted for certain events, such as stock splits and combinations. After payment of such dividends, any additional dividends or distributions shall be distributed among the holders of the convertible preferred stock and common stock pro rata based on the number of shares held by each holder. The Company has declared no dividends to date.</w:t>
      </w:r>
    </w:p>
    <w:p>
      <w:pPr>
        <w:spacing w:after="0" w:line="9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b w:val="1"/>
          <w:bCs w:val="1"/>
          <w:color w:val="auto"/>
        </w:rPr>
        <w:t xml:space="preserve">Liquidation preference </w:t>
      </w:r>
      <w:r>
        <w:rPr>
          <w:rFonts w:ascii="Arial" w:cs="Arial" w:eastAsia="Arial" w:hAnsi="Arial"/>
          <w:sz w:val="16"/>
          <w:szCs w:val="16"/>
          <w:color w:val="auto"/>
        </w:rPr>
        <w:t>– In the event of any liquidation, dissolution or winding up of the Company, the holders of convertible preferred stock for Series A,</w:t>
      </w:r>
      <w:r>
        <w:rPr>
          <w:rFonts w:ascii="Arial" w:cs="Arial" w:eastAsia="Arial" w:hAnsi="Arial"/>
          <w:sz w:val="16"/>
          <w:szCs w:val="16"/>
          <w:b w:val="1"/>
          <w:bCs w:val="1"/>
          <w:color w:val="auto"/>
        </w:rPr>
        <w:t xml:space="preserve"> </w:t>
      </w:r>
      <w:r>
        <w:rPr>
          <w:rFonts w:ascii="Arial" w:cs="Arial" w:eastAsia="Arial" w:hAnsi="Arial"/>
          <w:sz w:val="16"/>
          <w:szCs w:val="16"/>
          <w:color w:val="auto"/>
        </w:rPr>
        <w:t>Series B, Series B-1, or Series C then outstanding shall be entitled to be paid, prior and in preference to any distribution of any of the assets, funds, or proceeds available for distribution, the original issuance price per share equal to $ 0.9167, $ 2.67903, $5.54619, or $15.56770, respectively, plus declared but unpaid dividends. If assets are not sufficient to permit such payment, payment will be made on a pro rata, equal priority, pari passu basis.</w:t>
      </w:r>
    </w:p>
    <w:p>
      <w:pPr>
        <w:spacing w:after="0" w:line="115"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As the shares of convertible preferred stock contain liquidation features that are not solely within the Company’s control, these liquidation features result in the Series A, Series B, Series B-1 and Series C convertible preferred stock being classified as mezzanine equity rather than as a component of stockholders’ deficit.</w:t>
      </w:r>
    </w:p>
    <w:p>
      <w:pPr>
        <w:spacing w:after="0" w:line="9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color w:val="auto"/>
        </w:rPr>
        <w:t xml:space="preserve">Conversion rights </w:t>
      </w:r>
      <w:r>
        <w:rPr>
          <w:rFonts w:ascii="Arial" w:cs="Arial" w:eastAsia="Arial" w:hAnsi="Arial"/>
          <w:sz w:val="16"/>
          <w:szCs w:val="16"/>
          <w:color w:val="auto"/>
        </w:rPr>
        <w:t>– Each outstanding share of Series A, Series B, Series B-1 and Series C is convertible into one fully paid and nonassessable 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Each share of convertible preferred stock shall automatically be converted into fully paid and nonassessable shares of common stock immediately prior to the closing of a firm commitment underwritten public offering in which the aggregate offering price equals or exceeds $50,000,000 or exceeds $46.70310 per share. Conversion also may occur upon written consent of at least two-thirds of the then outstanding shares of convertible preferred stock.</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Redemption rights </w:t>
      </w:r>
      <w:r>
        <w:rPr>
          <w:rFonts w:ascii="Arial" w:cs="Arial" w:eastAsia="Arial" w:hAnsi="Arial"/>
          <w:sz w:val="16"/>
          <w:szCs w:val="16"/>
          <w:color w:val="auto"/>
        </w:rPr>
        <w:t>– Except in the case of liquidation, the convertible preferred stock is not redeemable at the option of the holder.</w:t>
      </w:r>
    </w:p>
    <w:p>
      <w:pPr>
        <w:spacing w:after="0" w:line="14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color w:val="auto"/>
        </w:rPr>
        <w:t xml:space="preserve">Voting rights </w:t>
      </w:r>
      <w:r>
        <w:rPr>
          <w:rFonts w:ascii="Arial" w:cs="Arial" w:eastAsia="Arial" w:hAnsi="Arial"/>
          <w:sz w:val="16"/>
          <w:szCs w:val="16"/>
          <w:color w:val="auto"/>
        </w:rPr>
        <w:t>– The holders of each share of convertible preferred stock are entitled to the number of votes equal to the number of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into which such shares are convertible.</w:t>
      </w:r>
    </w:p>
    <w:p>
      <w:pPr>
        <w:spacing w:after="0" w:line="7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 The Company issued warrants during various dates in 2013 and in December 2016 to purchase 43,008 shares of common stock in relation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previous credit agreement entered into with Silicon Valley Bank.</w:t>
      </w:r>
    </w:p>
    <w:p>
      <w:pPr>
        <w:spacing w:after="0" w:line="8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Although the credit agreement was terminated in 2018, the common stock warrants remain outstanding until exercised or expired. The warrants issued in 2013 and 2016 are exercisable immediately at $0.68 and $5.30 per share, respectively, with expiration dates ten years after issuance. There have been no warrants exercised to date. The Company recorded the common stock warrants in Additional paid-in capital at their grant date fair value which approximates the exercise price.</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following table discloses important information regarding common stock warrants issued and outstanding at December 31, 2019 and 2020 and June 30, 2021 (unaudited):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3"/>
                <w:szCs w:val="13"/>
                <w:b w:val="1"/>
                <w:bCs w:val="1"/>
                <w:color w:val="auto"/>
              </w:rPr>
              <w:t>Number of warrant</w:t>
            </w:r>
          </w:p>
        </w:tc>
        <w:tc>
          <w:tcPr>
            <w:tcW w:w="158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Fair value on issuance</w:t>
            </w: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Date issued</w:t>
            </w:r>
          </w:p>
        </w:tc>
        <w:tc>
          <w:tcPr>
            <w:tcW w:w="100" w:type="dxa"/>
            <w:vAlign w:val="bottom"/>
            <w:vMerge w:val="restart"/>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ind w:right="144"/>
              <w:spacing w:after="0" w:line="122" w:lineRule="exact"/>
              <w:rPr>
                <w:sz w:val="20"/>
                <w:szCs w:val="20"/>
                <w:color w:val="auto"/>
              </w:rPr>
            </w:pPr>
            <w:r>
              <w:rPr>
                <w:rFonts w:ascii="Arial" w:cs="Arial" w:eastAsia="Arial" w:hAnsi="Arial"/>
                <w:sz w:val="13"/>
                <w:szCs w:val="13"/>
                <w:b w:val="1"/>
                <w:bCs w:val="1"/>
                <w:color w:val="auto"/>
                <w:w w:val="97"/>
              </w:rPr>
              <w:t>date</w:t>
            </w:r>
          </w:p>
        </w:tc>
        <w:tc>
          <w:tcPr>
            <w:tcW w:w="100" w:type="dxa"/>
            <w:vAlign w:val="bottom"/>
          </w:tcPr>
          <w:p>
            <w:pPr>
              <w:spacing w:after="0"/>
              <w:rPr>
                <w:sz w:val="10"/>
                <w:szCs w:val="10"/>
                <w:color w:val="auto"/>
              </w:rPr>
            </w:pPr>
          </w:p>
        </w:tc>
        <w:tc>
          <w:tcPr>
            <w:tcW w:w="2160" w:type="dxa"/>
            <w:vAlign w:val="bottom"/>
            <w:vMerge w:val="restart"/>
          </w:tcPr>
          <w:p>
            <w:pPr>
              <w:jc w:val="right"/>
              <w:ind w:right="383"/>
              <w:spacing w:after="0"/>
              <w:rPr>
                <w:sz w:val="20"/>
                <w:szCs w:val="20"/>
                <w:color w:val="auto"/>
              </w:rPr>
            </w:pPr>
            <w:r>
              <w:rPr>
                <w:rFonts w:ascii="Arial" w:cs="Arial" w:eastAsia="Arial" w:hAnsi="Arial"/>
                <w:sz w:val="13"/>
                <w:szCs w:val="13"/>
                <w:b w:val="1"/>
                <w:bCs w:val="1"/>
                <w:color w:val="auto"/>
              </w:rPr>
              <w:t>Exercisable through</w:t>
            </w:r>
          </w:p>
        </w:tc>
        <w:tc>
          <w:tcPr>
            <w:tcW w:w="0" w:type="dxa"/>
            <w:vAlign w:val="bottom"/>
          </w:tcPr>
          <w:p>
            <w:pPr>
              <w:spacing w:after="0"/>
              <w:rPr>
                <w:sz w:val="1"/>
                <w:szCs w:val="1"/>
                <w:color w:val="auto"/>
              </w:rPr>
            </w:pPr>
          </w:p>
        </w:tc>
      </w:tr>
      <w:tr>
        <w:trPr>
          <w:trHeight w:val="158"/>
        </w:trPr>
        <w:tc>
          <w:tcPr>
            <w:tcW w:w="5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56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3"/>
                <w:szCs w:val="13"/>
                <w:color w:val="auto"/>
              </w:rPr>
            </w:pPr>
          </w:p>
        </w:tc>
        <w:tc>
          <w:tcPr>
            <w:tcW w:w="2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2013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2023</w:t>
            </w:r>
          </w:p>
        </w:tc>
        <w:tc>
          <w:tcPr>
            <w:tcW w:w="0" w:type="dxa"/>
            <w:vAlign w:val="bottom"/>
          </w:tcPr>
          <w:p>
            <w:pPr>
              <w:spacing w:after="0"/>
              <w:rPr>
                <w:sz w:val="1"/>
                <w:szCs w:val="1"/>
                <w:color w:val="auto"/>
              </w:rPr>
            </w:pPr>
          </w:p>
        </w:tc>
      </w:tr>
      <w:tr>
        <w:trPr>
          <w:trHeight w:val="207"/>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October 2013</w:t>
            </w:r>
          </w:p>
        </w:tc>
        <w:tc>
          <w:tcPr>
            <w:tcW w:w="156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2023</w:t>
            </w:r>
          </w:p>
        </w:tc>
        <w:tc>
          <w:tcPr>
            <w:tcW w:w="0" w:type="dxa"/>
            <w:vAlign w:val="bottom"/>
          </w:tcPr>
          <w:p>
            <w:pPr>
              <w:spacing w:after="0"/>
              <w:rPr>
                <w:sz w:val="1"/>
                <w:szCs w:val="1"/>
                <w:color w:val="auto"/>
              </w:rPr>
            </w:pPr>
          </w:p>
        </w:tc>
      </w:tr>
      <w:tr>
        <w:trPr>
          <w:trHeight w:val="207"/>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2016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2026</w:t>
            </w:r>
          </w:p>
        </w:tc>
        <w:tc>
          <w:tcPr>
            <w:tcW w:w="0" w:type="dxa"/>
            <w:vAlign w:val="bottom"/>
          </w:tcPr>
          <w:p>
            <w:pPr>
              <w:spacing w:after="0"/>
              <w:rPr>
                <w:sz w:val="1"/>
                <w:szCs w:val="1"/>
                <w:color w:val="auto"/>
              </w:rPr>
            </w:pPr>
          </w:p>
        </w:tc>
      </w:tr>
      <w:tr>
        <w:trPr>
          <w:trHeight w:val="199"/>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 STOCK-BASED COMPENSATION</w:t>
      </w:r>
    </w:p>
    <w:p>
      <w:pPr>
        <w:spacing w:after="0" w:line="15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2009, the Company’s Board of Directors approved the adoption of a stock option plan (the Option Plan). As amended in 2015, the Option Plan permits the Company to grant up to 1,649,515 shares of the Company’s common stock. In January 2018, the Company increased the common stock reserved under the Company’s Option Plan by 53,513 shares, from 1,649,515 shares to 1,703,028. In April 2019, the Company approved the adoption of a new 2019 stock option plan (the 2019 Option Plan). This plan permits the Company to grant up to 817,397 additional shares, increasing the overall common stock reserved for grant to 2,520,425 shares.</w:t>
      </w:r>
    </w:p>
    <w:p>
      <w:pPr>
        <w:spacing w:after="0" w:line="123" w:lineRule="exact"/>
        <w:rPr>
          <w:sz w:val="20"/>
          <w:szCs w:val="20"/>
          <w:color w:val="auto"/>
        </w:rPr>
      </w:pPr>
    </w:p>
    <w:p>
      <w:pPr>
        <w:ind w:right="760"/>
        <w:spacing w:after="0" w:line="268" w:lineRule="auto"/>
        <w:rPr>
          <w:sz w:val="20"/>
          <w:szCs w:val="20"/>
          <w:color w:val="auto"/>
        </w:rPr>
      </w:pPr>
      <w:r>
        <w:rPr>
          <w:rFonts w:ascii="Arial" w:cs="Arial" w:eastAsia="Arial" w:hAnsi="Arial"/>
          <w:sz w:val="16"/>
          <w:szCs w:val="16"/>
          <w:color w:val="auto"/>
        </w:rPr>
        <w:t>The 2019 Option Plan gives the Company the ability to grant restricted stock units. No restricted stock units were issued as of December 31, 2019, December 31, 2020 and June 30, 2021 (unaudited).</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Both option plans provide for the grant of incentive and nonstatutory stock options to employees, nonemployee directors and consultants of the Company. Under the option plans, the exercise price of incentive stock options must be at least equal to 110% of the fair value of the common stock on the grant date for a “ten-percent holder” or 100% of the fair value of the common stock on the grant date for any other employee. The exercise price of nonstatutory options granted must be at least equal to 100% of the fair value of the Company’s common stock on the date of grant.</w:t>
      </w:r>
    </w:p>
    <w:p>
      <w:pPr>
        <w:spacing w:after="0" w:line="110"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Under both option plans, most options typically vest over four years and are exercisable at any time after the grant date. Each employee has the right to exercise unvested stock options for restricted common stock. However, if the employee is terminated either voluntarily or involuntarily prior to all of the exercised options vesting, the Company has the right to repurchase the unvested early exercised shares at the original purchase price. Early exercises of options are not deemed to be substantive exercises for accounting purposes and accordingly, amounts received for early exercises are recorded as a liability. These repurchase terms are considered to be a forfeiture provision and do not result in variable accounting. During the year ended December 31, 2019, the Company repurchased 5,520 shares of exercised unvested common stock, for $1,794,703, of which $13,919 of the exercise cost of the repurchase was recorded within Additional paid-in capital and the remaining $1,780,784 of the repurchase was recorded as stock-based compensation expense. There were no repurchases of common stock during the year ended December 31, 2020 and the six months ended June 30, 2021 (unaudited).There were no early exercised shares subject to repurchase as of December 31, 2019, June 30, 2020 (unaudited) and December 31, 2020.</w:t>
      </w:r>
    </w:p>
    <w:p>
      <w:pPr>
        <w:spacing w:after="0" w:line="128" w:lineRule="exact"/>
        <w:rPr>
          <w:sz w:val="20"/>
          <w:szCs w:val="20"/>
          <w:color w:val="auto"/>
        </w:rPr>
      </w:pPr>
    </w:p>
    <w:p>
      <w:pPr>
        <w:ind w:right="300"/>
        <w:spacing w:after="0" w:line="258" w:lineRule="auto"/>
        <w:rPr>
          <w:sz w:val="20"/>
          <w:szCs w:val="20"/>
          <w:color w:val="auto"/>
        </w:rPr>
      </w:pPr>
      <w:r>
        <w:rPr>
          <w:rFonts w:ascii="Arial" w:cs="Arial" w:eastAsia="Arial" w:hAnsi="Arial"/>
          <w:sz w:val="16"/>
          <w:szCs w:val="16"/>
          <w:color w:val="auto"/>
        </w:rPr>
        <w:t>As of June 30, 2021 (unaudited), there were 72,735 shares subject to repurchase related to stock options early exercised and not yet vested, but that are expected to vest. As of June 30, 2021 (unaudited), the Company recorded a liability related to these shares subject to repurchase in the amount of $1,191,810, which is included within Accrued expenses and other liabilities in the accompanying consolidated balance sheets. These amounts are reclassified to common stock and additional paid in capital as the underlying shares vest.</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During 2020, by mutual agreement, the Company modified the terms and conditions of certain stock option awards originally granted in 2019 by cancelling the original awards granted and reissuing new stock option awards on new grant dates during 2020 with an increased fair value per share on the awards on the new grant date. As a result of the modification, only the grant date changed. All vesting conditions, number of shares granted in the stock option awards and contractual terms of the stock options remained the same. The Company treated these changes to the stock option awards as modifications of the terms and conditions of an equity award. The modification impacted certain stock option awards of 42 employees of the Company. During the year ended 2020, the modification had an immaterial impact to stock-based compensation expense and the consolidated financial statements.</w:t>
      </w:r>
    </w:p>
    <w:p>
      <w:pPr>
        <w:spacing w:after="0" w:line="10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the year ended December 31, 2020, certain employees sold their common stock to new investors. Due to the Company’s involvement in the transaction, the sale of common stock was determined to be compensatory, and the Company recorded $15,255,092 to stock-based compensation expense for the sale price in excess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Stock-based compensation expense for all share-based payment awards is based on the grant date fair value. The fair value of common stock is determined by the Board of Directors based on a number of factors including independent third-party valuations of the Company's common stock, which considers estimates of the Company's future performance and valuations of comparable companies. The Company also considers prices at which others have purchased the Company's stock as well as the likelihood and timing of achieving a liquidity event. The Company recognizes stock-based compensation costs on a straight-line basis over the requisite service period of the award, which is generally the option vesting term of four years.</w:t>
      </w:r>
    </w:p>
    <w:p>
      <w:pPr>
        <w:spacing w:after="0" w:line="11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For the years ended December 31, 2019 and 2020, the Company recorded stock-based compensation expense of $3,487,089 and $17,837,359, respectively. For the six months ended June 30, 2020 and 2021 (unaudited), the Company recorded stock-based compensation expense of $ 1,185,520 and $1,597,721, respectively. All stock-based compensation expense for the Company is recorded on the consolidated statements of income and within Additional paid-in capital on the consolidated balance sheets and statements of convertible preferred stock and stockholders' deficit with the exception of the $1,780,784 of stock-based compensation expense for the repurchase of unvested early exercised shares during the year ended December 31, 2019. This amount was included on the consolidated statements of income; however, as the excess of the repurchase price over the fair value of the shares was determined to be a cash bonus, it was not included within Additional paid-in capital as of and for the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is included in the following components of expenses on the accompanying consolidated statements of income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860" w:type="dxa"/>
            <w:vAlign w:val="bottom"/>
            <w:tcBorders>
              <w:top w:val="single" w:sz="8" w:color="auto"/>
              <w:bottom w:val="single" w:sz="8" w:color="auto"/>
            </w:tcBorders>
            <w:gridSpan w:val="4"/>
          </w:tcPr>
          <w:p>
            <w:pPr>
              <w:jc w:val="right"/>
              <w:ind w:right="702"/>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0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3"/>
          </w:tcPr>
          <w:p>
            <w:pPr>
              <w:jc w:val="right"/>
              <w:ind w:right="7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425</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328</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708</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Sales and marketing</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137</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1,598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5" w:name="page246"/>
    <w:bookmarkEnd w:id="245"/>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spacing w:after="0"/>
        <w:rPr>
          <w:sz w:val="20"/>
          <w:szCs w:val="20"/>
          <w:color w:val="auto"/>
        </w:rPr>
      </w:pPr>
      <w:r>
        <w:rPr>
          <w:rFonts w:ascii="Arial" w:cs="Arial" w:eastAsia="Arial" w:hAnsi="Arial"/>
          <w:sz w:val="16"/>
          <w:szCs w:val="16"/>
          <w:color w:val="auto"/>
        </w:rPr>
        <w:t>Stock option activity for the year ended December 31, 2020 and the six months ended June 30, 2021 (unaudited), was as follows: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58"/>
        </w:trPr>
        <w:tc>
          <w:tcPr>
            <w:tcW w:w="67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Weighted average</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Weighted average</w:t>
            </w: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remaining contractual</w:t>
            </w: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460" w:type="dxa"/>
            <w:vAlign w:val="bottom"/>
            <w:vMerge w:val="restart"/>
          </w:tcPr>
          <w:p>
            <w:pPr>
              <w:jc w:val="right"/>
              <w:ind w:right="4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exercise price per</w:t>
            </w:r>
          </w:p>
        </w:tc>
        <w:tc>
          <w:tcPr>
            <w:tcW w:w="14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life</w:t>
            </w:r>
          </w:p>
        </w:tc>
        <w:tc>
          <w:tcPr>
            <w:tcW w:w="0" w:type="dxa"/>
            <w:vAlign w:val="bottom"/>
          </w:tcPr>
          <w:p>
            <w:pPr>
              <w:spacing w:after="0"/>
              <w:rPr>
                <w:sz w:val="1"/>
                <w:szCs w:val="1"/>
                <w:color w:val="auto"/>
              </w:rPr>
            </w:pPr>
          </w:p>
        </w:tc>
      </w:tr>
      <w:tr>
        <w:trPr>
          <w:trHeight w:val="158"/>
        </w:trPr>
        <w:tc>
          <w:tcPr>
            <w:tcW w:w="67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share</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rPr>
              <w:t>(in years)</w:t>
            </w:r>
          </w:p>
        </w:tc>
        <w:tc>
          <w:tcPr>
            <w:tcW w:w="0" w:type="dxa"/>
            <w:vAlign w:val="bottom"/>
          </w:tcPr>
          <w:p>
            <w:pPr>
              <w:spacing w:after="0"/>
              <w:rPr>
                <w:sz w:val="1"/>
                <w:szCs w:val="1"/>
                <w:color w:val="auto"/>
              </w:rPr>
            </w:pP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1,554,585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tcPr>
          <w:p>
            <w:pPr>
              <w:ind w:left="200"/>
              <w:spacing w:after="0"/>
              <w:rPr>
                <w:sz w:val="20"/>
                <w:szCs w:val="20"/>
                <w:color w:val="auto"/>
              </w:rPr>
            </w:pPr>
            <w:r>
              <w:rPr>
                <w:rFonts w:ascii="Arial" w:cs="Arial" w:eastAsia="Arial" w:hAnsi="Arial"/>
                <w:sz w:val="16"/>
                <w:szCs w:val="16"/>
                <w:color w:val="auto"/>
              </w:rPr>
              <w:t>Options 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163,802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Options cancelled/forfeited/expired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(89,404)</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25.67</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1,351,282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00" w:type="dxa"/>
            <w:vAlign w:val="bottom"/>
          </w:tcPr>
          <w:p>
            <w:pPr>
              <w:ind w:left="40"/>
              <w:spacing w:after="0" w:line="175" w:lineRule="exact"/>
              <w:rPr>
                <w:sz w:val="20"/>
                <w:szCs w:val="20"/>
                <w:color w:val="auto"/>
              </w:rPr>
            </w:pPr>
            <w:r>
              <w:rPr>
                <w:rFonts w:ascii="Arial" w:cs="Arial" w:eastAsia="Arial" w:hAnsi="Arial"/>
                <w:sz w:val="16"/>
                <w:szCs w:val="16"/>
                <w:color w:val="auto"/>
              </w:rPr>
              <w:t>Exercisable at December 31, 2020</w:t>
            </w:r>
          </w:p>
        </w:tc>
        <w:tc>
          <w:tcPr>
            <w:tcW w:w="1460" w:type="dxa"/>
            <w:vAlign w:val="bottom"/>
          </w:tcPr>
          <w:p>
            <w:pPr>
              <w:jc w:val="right"/>
              <w:spacing w:after="0" w:line="175" w:lineRule="exact"/>
              <w:rPr>
                <w:sz w:val="20"/>
                <w:szCs w:val="20"/>
                <w:color w:val="auto"/>
              </w:rPr>
            </w:pPr>
            <w:r>
              <w:rPr>
                <w:rFonts w:ascii="Arial" w:cs="Arial" w:eastAsia="Arial" w:hAnsi="Arial"/>
                <w:sz w:val="16"/>
                <w:szCs w:val="16"/>
                <w:color w:val="auto"/>
              </w:rPr>
              <w:t>1,322,280</w:t>
            </w:r>
          </w:p>
        </w:tc>
        <w:tc>
          <w:tcPr>
            <w:tcW w:w="2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75" w:lineRule="exact"/>
              <w:rPr>
                <w:sz w:val="20"/>
                <w:szCs w:val="20"/>
                <w:color w:val="auto"/>
              </w:rPr>
            </w:pPr>
            <w:r>
              <w:rPr>
                <w:rFonts w:ascii="Arial" w:cs="Arial" w:eastAsia="Arial" w:hAnsi="Arial"/>
                <w:sz w:val="16"/>
                <w:szCs w:val="16"/>
                <w:color w:val="auto"/>
              </w:rPr>
              <w:t>7.80</w:t>
            </w:r>
          </w:p>
        </w:tc>
        <w:tc>
          <w:tcPr>
            <w:tcW w:w="100" w:type="dxa"/>
            <w:vAlign w:val="bottom"/>
          </w:tcPr>
          <w:p>
            <w:pPr>
              <w:spacing w:after="0"/>
              <w:rPr>
                <w:sz w:val="15"/>
                <w:szCs w:val="15"/>
                <w:color w:val="auto"/>
              </w:rPr>
            </w:pPr>
          </w:p>
        </w:tc>
        <w:tc>
          <w:tcPr>
            <w:tcW w:w="1460" w:type="dxa"/>
            <w:vAlign w:val="bottom"/>
          </w:tcPr>
          <w:p>
            <w:pPr>
              <w:jc w:val="right"/>
              <w:ind w:right="7"/>
              <w:spacing w:after="0" w:line="175" w:lineRule="exact"/>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granted (unaudited)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00" w:type="dxa"/>
            <w:vAlign w:val="bottom"/>
          </w:tcPr>
          <w:p>
            <w:pPr>
              <w:ind w:left="200"/>
              <w:spacing w:after="0"/>
              <w:rPr>
                <w:sz w:val="20"/>
                <w:szCs w:val="20"/>
                <w:color w:val="auto"/>
              </w:rPr>
            </w:pPr>
            <w:r>
              <w:rPr>
                <w:rFonts w:ascii="Arial" w:cs="Arial" w:eastAsia="Arial" w:hAnsi="Arial"/>
                <w:sz w:val="16"/>
                <w:szCs w:val="16"/>
                <w:color w:val="auto"/>
              </w:rPr>
              <w:t>Options exercised (unaudited)</w:t>
            </w:r>
          </w:p>
        </w:tc>
        <w:tc>
          <w:tcPr>
            <w:tcW w:w="1460" w:type="dxa"/>
            <w:vAlign w:val="bottom"/>
          </w:tcPr>
          <w:p>
            <w:pPr>
              <w:jc w:val="right"/>
              <w:spacing w:after="0"/>
              <w:rPr>
                <w:sz w:val="20"/>
                <w:szCs w:val="20"/>
                <w:color w:val="auto"/>
              </w:rPr>
            </w:pPr>
            <w:r>
              <w:rPr>
                <w:rFonts w:ascii="Arial" w:cs="Arial" w:eastAsia="Arial" w:hAnsi="Arial"/>
                <w:sz w:val="16"/>
                <w:szCs w:val="16"/>
                <w:color w:val="auto"/>
              </w:rPr>
              <w:t>(541,358)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cancelled/forfeited/expired (unaudited)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700" w:type="dxa"/>
            <w:vAlign w:val="bottom"/>
          </w:tcPr>
          <w:p>
            <w:pPr>
              <w:ind w:left="40"/>
              <w:spacing w:after="0" w:line="200" w:lineRule="exact"/>
              <w:rPr>
                <w:sz w:val="20"/>
                <w:szCs w:val="20"/>
                <w:color w:val="auto"/>
              </w:rPr>
            </w:pPr>
            <w:r>
              <w:rPr>
                <w:rFonts w:ascii="Arial" w:cs="Arial" w:eastAsia="Arial" w:hAnsi="Arial"/>
                <w:sz w:val="16"/>
                <w:szCs w:val="16"/>
                <w:color w:val="auto"/>
              </w:rPr>
              <w:t>Outstanding at June 30, 2021 (unaudited)</w:t>
            </w:r>
            <w:r>
              <w:rPr>
                <w:rFonts w:ascii="Arial" w:cs="Arial" w:eastAsia="Arial" w:hAnsi="Arial"/>
                <w:sz w:val="21"/>
                <w:szCs w:val="21"/>
                <w:color w:val="auto"/>
                <w:vertAlign w:val="superscript"/>
              </w:rPr>
              <w:t>(1)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856,523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7"/>
                <w:szCs w:val="17"/>
                <w:color w:val="auto"/>
              </w:rPr>
            </w:pPr>
          </w:p>
        </w:tc>
        <w:tc>
          <w:tcPr>
            <w:tcW w:w="1460" w:type="dxa"/>
            <w:vAlign w:val="bottom"/>
          </w:tcPr>
          <w:p>
            <w:pPr>
              <w:jc w:val="right"/>
              <w:ind w:right="7"/>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at June 30, 2021 (unaudited)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827,725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49"/>
        </w:trPr>
        <w:tc>
          <w:tcPr>
            <w:tcW w:w="67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83" w:right="80" w:hanging="283"/>
        <w:spacing w:after="0" w:line="268" w:lineRule="auto"/>
        <w:tabs>
          <w:tab w:leader="none" w:pos="273" w:val="left"/>
        </w:tabs>
        <w:numPr>
          <w:ilvl w:val="0"/>
          <w:numId w:val="137"/>
        </w:numPr>
        <w:rPr>
          <w:rFonts w:ascii="Arial" w:cs="Arial" w:eastAsia="Arial" w:hAnsi="Arial"/>
          <w:sz w:val="12"/>
          <w:szCs w:val="12"/>
          <w:color w:val="auto"/>
        </w:rPr>
      </w:pPr>
      <w:r>
        <w:rPr>
          <w:rFonts w:ascii="Arial" w:cs="Arial" w:eastAsia="Arial" w:hAnsi="Arial"/>
          <w:sz w:val="12"/>
          <w:szCs w:val="12"/>
          <w:color w:val="auto"/>
        </w:rPr>
        <w:t>Included within the options outstanding are 312,380 shares for which the Company provided promissory notes to employees with a repayment term of 12 months. As of June 30, 2021, 59,397 shares with a corresponding loan amount of $1,195,114 were unvested and therefore were not recorded as they were determined to be non-substantive for accounting purposes.</w:t>
      </w:r>
    </w:p>
    <w:p>
      <w:pPr>
        <w:spacing w:after="0" w:line="118" w:lineRule="exact"/>
        <w:rPr>
          <w:sz w:val="20"/>
          <w:szCs w:val="20"/>
          <w:color w:val="auto"/>
        </w:rPr>
      </w:pPr>
    </w:p>
    <w:p>
      <w:pPr>
        <w:ind w:left="3" w:right="40"/>
        <w:spacing w:after="0" w:line="256" w:lineRule="auto"/>
        <w:rPr>
          <w:sz w:val="20"/>
          <w:szCs w:val="20"/>
          <w:color w:val="auto"/>
        </w:rPr>
      </w:pPr>
      <w:r>
        <w:rPr>
          <w:rFonts w:ascii="Arial" w:cs="Arial" w:eastAsia="Arial" w:hAnsi="Arial"/>
          <w:sz w:val="16"/>
          <w:szCs w:val="16"/>
          <w:color w:val="auto"/>
        </w:rPr>
        <w:t>The total pretax intrinsic value of options exercised during the years ended December 31, 2019 and 2020, was $4,655,919 and $11,262,711, respectively. The total pretax intrinsic value of options exercised during the six months ended June 30, 2020 and 2021 (unaudited), was $2,861,988 and $59,930,620, respectively. The total pretax intrinsic value of options outstanding at December 31, 2019 and 2020, was $40,412,194 and $86,828,282, respectively. The total pretax intrinsic value of options outstanding at June 30, 2021 (unaudited) was $101,826,596. The intrinsic value is the difference between the estimated fair value of the Company’s common stock at the date of exercise and the exercise price for in-the-money options. The weighted average grant date fair value of options granted during the years ended December 31, 2019 and 2020, was $16.46 and $16.90, respectively. The weighted average grant date fair value of options granted during the six months ended June 30, 2020 and 2021 (unaudited), was $26.63 and $94.54, respectively.</w:t>
      </w:r>
    </w:p>
    <w:p>
      <w:pPr>
        <w:spacing w:after="0" w:line="112"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As of December 31, 2020, there was $10,768,423 of unamortized stock-based compensation cost related to unvested stock options, which is expected to be recognized over a weighted average period of 3.7 years. As of June 30, 2021 (unaudited), there was $12,595,728 of unamortized stock-based compensation cost related to unvested stock options, which is expected to be recognized over a weighted average period of 1.9 years.</w:t>
      </w:r>
    </w:p>
    <w:p>
      <w:pPr>
        <w:spacing w:after="0" w:line="118" w:lineRule="exact"/>
        <w:rPr>
          <w:sz w:val="20"/>
          <w:szCs w:val="20"/>
          <w:color w:val="auto"/>
        </w:rPr>
      </w:pPr>
    </w:p>
    <w:p>
      <w:pPr>
        <w:jc w:val="both"/>
        <w:ind w:left="3" w:right="100"/>
        <w:spacing w:after="0" w:line="261" w:lineRule="auto"/>
        <w:rPr>
          <w:sz w:val="20"/>
          <w:szCs w:val="20"/>
          <w:color w:val="auto"/>
        </w:rPr>
      </w:pPr>
      <w:r>
        <w:rPr>
          <w:rFonts w:ascii="Arial" w:cs="Arial" w:eastAsia="Arial" w:hAnsi="Arial"/>
          <w:sz w:val="16"/>
          <w:szCs w:val="16"/>
          <w:color w:val="auto"/>
        </w:rPr>
        <w:t>Cash received from option exercises and purchases of shares under the option plans for the years ended December 31, 2019 and 2020, was $482,254 and $1,300,766, respectively. Cash received from option exercises and purchases of shares under the option plans for the six months ended June 30, 2020 and 2021 (unaudited), was $310,454 and $2,730,854,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3"/>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565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fair value of option grants was estimated using the Black-Scholes option pricing model with the following weighted average assumptions: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ind w:right="184"/>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3000" w:type="dxa"/>
            <w:vAlign w:val="bottom"/>
            <w:tcBorders>
              <w:top w:val="single" w:sz="8" w:color="auto"/>
              <w:bottom w:val="single" w:sz="8" w:color="auto"/>
            </w:tcBorders>
            <w:gridSpan w:val="3"/>
          </w:tcPr>
          <w:p>
            <w:pPr>
              <w:jc w:val="right"/>
              <w:ind w:right="781"/>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4"/>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2"/>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common stock per share</w:t>
            </w:r>
          </w:p>
        </w:tc>
        <w:tc>
          <w:tcPr>
            <w:tcW w:w="980" w:type="dxa"/>
            <w:vAlign w:val="bottom"/>
            <w:shd w:val="clear" w:color="auto" w:fill="CCEEFF"/>
          </w:tcPr>
          <w:p>
            <w:pPr>
              <w:jc w:val="right"/>
              <w:ind w:right="807"/>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26.63</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94.54</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Exercise price per share</w:t>
            </w:r>
          </w:p>
        </w:tc>
        <w:tc>
          <w:tcPr>
            <w:tcW w:w="980" w:type="dxa"/>
            <w:vAlign w:val="bottom"/>
          </w:tcPr>
          <w:p>
            <w:pPr>
              <w:jc w:val="right"/>
              <w:ind w:right="807"/>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7"/>
                <w:szCs w:val="17"/>
                <w:color w:val="auto"/>
              </w:rPr>
            </w:pP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84"/>
              <w:spacing w:after="0"/>
              <w:rPr>
                <w:sz w:val="20"/>
                <w:szCs w:val="20"/>
                <w:color w:val="auto"/>
              </w:rPr>
            </w:pPr>
            <w:r>
              <w:rPr>
                <w:rFonts w:ascii="Arial" w:cs="Arial" w:eastAsia="Arial" w:hAnsi="Arial"/>
                <w:sz w:val="16"/>
                <w:szCs w:val="16"/>
                <w:color w:val="auto"/>
              </w:rPr>
              <w:t>21.11</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77.59</w:t>
            </w:r>
          </w:p>
        </w:tc>
      </w:tr>
      <w:tr>
        <w:trPr>
          <w:trHeight w:val="207"/>
        </w:trPr>
        <w:tc>
          <w:tcPr>
            <w:tcW w:w="440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1"/>
                <w:szCs w:val="21"/>
                <w:color w:val="auto"/>
                <w:vertAlign w:val="superscript"/>
              </w:rPr>
              <w:t>(1)</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440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(2)</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0.7 %</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07"/>
        </w:trPr>
        <w:tc>
          <w:tcPr>
            <w:tcW w:w="440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Expected volatility </w:t>
            </w:r>
            <w:r>
              <w:rPr>
                <w:rFonts w:ascii="Arial" w:cs="Arial" w:eastAsia="Arial" w:hAnsi="Arial"/>
                <w:sz w:val="21"/>
                <w:szCs w:val="21"/>
                <w:color w:val="auto"/>
                <w:vertAlign w:val="superscript"/>
              </w:rPr>
              <w:t>(3)</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50.4 %</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51.5 %</w:t>
            </w:r>
          </w:p>
        </w:tc>
      </w:tr>
      <w:tr>
        <w:trPr>
          <w:trHeight w:val="283"/>
        </w:trPr>
        <w:tc>
          <w:tcPr>
            <w:tcW w:w="4400" w:type="dxa"/>
            <w:vAlign w:val="bottom"/>
          </w:tcPr>
          <w:p>
            <w:pPr>
              <w:ind w:left="20"/>
              <w:spacing w:after="0"/>
              <w:rPr>
                <w:sz w:val="20"/>
                <w:szCs w:val="20"/>
                <w:color w:val="auto"/>
              </w:rPr>
            </w:pPr>
            <w:r>
              <w:rPr>
                <w:rFonts w:ascii="Arial" w:cs="Arial" w:eastAsia="Arial" w:hAnsi="Arial"/>
                <w:sz w:val="16"/>
                <w:szCs w:val="16"/>
                <w:color w:val="auto"/>
              </w:rPr>
              <w:t xml:space="preserve">Expected life (in years) </w:t>
            </w:r>
            <w:r>
              <w:rPr>
                <w:rFonts w:ascii="Arial" w:cs="Arial" w:eastAsia="Arial" w:hAnsi="Arial"/>
                <w:sz w:val="21"/>
                <w:szCs w:val="21"/>
                <w:color w:val="auto"/>
                <w:vertAlign w:val="superscript"/>
              </w:rPr>
              <w:t>(4)</w:t>
            </w:r>
          </w:p>
        </w:tc>
        <w:tc>
          <w:tcPr>
            <w:tcW w:w="9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565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50" w:lineRule="exact"/>
        <w:rPr>
          <w:sz w:val="20"/>
          <w:szCs w:val="20"/>
          <w:color w:val="auto"/>
        </w:rPr>
      </w:pPr>
    </w:p>
    <w:p>
      <w:pPr>
        <w:ind w:left="283" w:hanging="283"/>
        <w:spacing w:after="0"/>
        <w:tabs>
          <w:tab w:leader="none" w:pos="283"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Company has no history or expectation of paying cash dividends on its common stock.</w:t>
      </w:r>
    </w:p>
    <w:p>
      <w:pPr>
        <w:spacing w:after="0" w:line="8" w:lineRule="exact"/>
        <w:rPr>
          <w:rFonts w:ascii="Arial" w:cs="Arial" w:eastAsia="Arial" w:hAnsi="Arial"/>
          <w:sz w:val="12"/>
          <w:szCs w:val="12"/>
          <w:color w:val="auto"/>
        </w:rPr>
      </w:pPr>
    </w:p>
    <w:p>
      <w:pPr>
        <w:ind w:left="283" w:hanging="283"/>
        <w:spacing w:after="0"/>
        <w:tabs>
          <w:tab w:leader="none" w:pos="283"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risk-free interest rate is based on the U.S. Treasury yield for a term consistent with the expected life of the awards in effect at the time of grant.</w:t>
      </w:r>
    </w:p>
    <w:p>
      <w:pPr>
        <w:spacing w:after="0" w:line="8" w:lineRule="exact"/>
        <w:rPr>
          <w:rFonts w:ascii="Arial" w:cs="Arial" w:eastAsia="Arial" w:hAnsi="Arial"/>
          <w:sz w:val="12"/>
          <w:szCs w:val="12"/>
          <w:color w:val="auto"/>
        </w:rPr>
      </w:pPr>
    </w:p>
    <w:p>
      <w:pPr>
        <w:ind w:left="283" w:right="40" w:hanging="283"/>
        <w:spacing w:after="0" w:line="254" w:lineRule="auto"/>
        <w:tabs>
          <w:tab w:leader="none" w:pos="273"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Company estimates the volatility of its common stock at the date of grant based on the expected weighted-average volatility for a group of publicly traded companies in a similar industry or with similar service offerings, with a term of one year or greater.</w:t>
      </w:r>
    </w:p>
    <w:p>
      <w:pPr>
        <w:ind w:left="283" w:right="100" w:hanging="283"/>
        <w:spacing w:after="0" w:line="268" w:lineRule="auto"/>
        <w:tabs>
          <w:tab w:leader="none" w:pos="273"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expected life of stock options granted under the option plans is determined using the simplified method, which deems the expected life to be the average of the time-to-vesting and the contractual life of the stock-based awards. The expected life represents the period of time that options granted are expected to be outstanding.</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NOTE 10 – INCOME TAXES</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components of the Company’s benefit (provision) for income taxes are as follows (in thousands):</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benefit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Federal</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(1,904)</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00"/>
        </w:trPr>
        <w:tc>
          <w:tcPr>
            <w:tcW w:w="47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Deferred income tax benefit (expense):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State</w:t>
            </w: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7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2,856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benefit (provision)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The effective income tax rate differs from the statutory rate in 2019 primarily due to the release of the valuation allowance. The effective income tax rate differs from the statutory rate in 2020 primarily due to the impact of stock-based compensation related secondary market transactions, which resulted in a $15,255,092 permanent item. For six months ended June 30, 2020 (unaudited), the effective income tax rate differs from the statutory rate in 2020 primarily due to research and development credits and stock-based compensation due to incentive stock options granted. For the six months ended June 30, 2021 (unaudited), the effective income tax rate differs from the statutory rate in 2021 primarily due to state taxes as a result of higher taxable income and stock-based compensation due to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903"/>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565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granted. For the six months ended June 30, 2020 and 2021 (unaudited) below, the effective income tax rate reflects an annual effective income tax rate included within the consolidated statements of income.</w:t>
      </w:r>
    </w:p>
    <w:p>
      <w:pPr>
        <w:spacing w:after="0" w:line="106"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440" w:type="dxa"/>
            <w:vAlign w:val="bottom"/>
            <w:tcBorders>
              <w:top w:val="single" w:sz="8" w:color="auto"/>
            </w:tcBorders>
          </w:tcPr>
          <w:p>
            <w:pPr>
              <w:spacing w:after="0"/>
              <w:rPr>
                <w:sz w:val="16"/>
                <w:szCs w:val="16"/>
                <w:color w:val="auto"/>
              </w:rPr>
            </w:pPr>
          </w:p>
        </w:tc>
        <w:tc>
          <w:tcPr>
            <w:tcW w:w="2700" w:type="dxa"/>
            <w:vAlign w:val="bottom"/>
            <w:tcBorders>
              <w:top w:val="single" w:sz="8" w:color="auto"/>
              <w:bottom w:val="single" w:sz="8" w:color="auto"/>
            </w:tcBorders>
            <w:gridSpan w:val="4"/>
          </w:tcPr>
          <w:p>
            <w:pPr>
              <w:jc w:val="right"/>
              <w:ind w:right="240"/>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3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63"/>
        </w:trPr>
        <w:tc>
          <w:tcPr>
            <w:tcW w:w="5420" w:type="dxa"/>
            <w:vAlign w:val="bottom"/>
            <w:gridSpan w:val="2"/>
          </w:tcPr>
          <w:p>
            <w:pPr>
              <w:ind w:left="5100"/>
              <w:spacing w:after="0"/>
              <w:rPr>
                <w:sz w:val="20"/>
                <w:szCs w:val="20"/>
                <w:color w:val="auto"/>
              </w:rPr>
            </w:pPr>
            <w:r>
              <w:rPr>
                <w:rFonts w:ascii="Arial" w:cs="Arial" w:eastAsia="Arial" w:hAnsi="Arial"/>
                <w:sz w:val="13"/>
                <w:szCs w:val="13"/>
                <w:b w:val="1"/>
                <w:bCs w:val="1"/>
                <w:color w:val="auto"/>
              </w:rPr>
              <w:t>2019</w:t>
            </w:r>
          </w:p>
        </w:tc>
        <w:tc>
          <w:tcPr>
            <w:tcW w:w="17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ind w:right="60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Borders>
              <w:top w:val="single" w:sz="8" w:color="auto"/>
            </w:tcBorders>
            <w:gridSpan w:val="3"/>
          </w:tcPr>
          <w:p>
            <w:pPr>
              <w:jc w:val="center"/>
              <w:ind w:left="1083"/>
              <w:spacing w:after="0"/>
              <w:rPr>
                <w:sz w:val="20"/>
                <w:szCs w:val="20"/>
                <w:color w:val="auto"/>
              </w:rPr>
            </w:pPr>
            <w:r>
              <w:rPr>
                <w:rFonts w:ascii="Arial" w:cs="Arial" w:eastAsia="Arial" w:hAnsi="Arial"/>
                <w:sz w:val="13"/>
                <w:szCs w:val="13"/>
                <w:b w:val="1"/>
                <w:bCs w:val="1"/>
                <w:color w:val="auto"/>
                <w:w w:val="98"/>
              </w:rPr>
              <w:t>(unaudited)</w:t>
            </w:r>
          </w:p>
        </w:tc>
        <w:tc>
          <w:tcPr>
            <w:tcW w:w="1160" w:type="dxa"/>
            <w:vAlign w:val="bottom"/>
            <w:tcBorders>
              <w:top w:val="single" w:sz="8" w:color="auto"/>
            </w:tcBorders>
          </w:tcPr>
          <w:p>
            <w:pPr>
              <w:spacing w:after="0"/>
              <w:rPr>
                <w:sz w:val="14"/>
                <w:szCs w:val="14"/>
                <w:color w:val="auto"/>
              </w:rPr>
            </w:pPr>
          </w:p>
        </w:tc>
      </w:tr>
      <w:tr>
        <w:trPr>
          <w:trHeight w:val="20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Statutory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State tax*</w:t>
            </w:r>
          </w:p>
        </w:tc>
        <w:tc>
          <w:tcPr>
            <w:tcW w:w="640" w:type="dxa"/>
            <w:vAlign w:val="bottom"/>
          </w:tcPr>
          <w:p>
            <w:pPr>
              <w:jc w:val="right"/>
              <w:spacing w:after="0"/>
              <w:rPr>
                <w:sz w:val="20"/>
                <w:szCs w:val="20"/>
                <w:color w:val="auto"/>
              </w:rPr>
            </w:pPr>
            <w:r>
              <w:rPr>
                <w:rFonts w:ascii="Arial" w:cs="Arial" w:eastAsia="Arial" w:hAnsi="Arial"/>
                <w:sz w:val="16"/>
                <w:szCs w:val="16"/>
                <w:color w:val="auto"/>
              </w:rPr>
              <w:t>42.5 %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20.2 %</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0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 (R&amp;D) credit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Decrease in valuation allowance - federal</w:t>
            </w:r>
          </w:p>
        </w:tc>
        <w:tc>
          <w:tcPr>
            <w:tcW w:w="640" w:type="dxa"/>
            <w:vAlign w:val="bottom"/>
          </w:tcPr>
          <w:p>
            <w:pPr>
              <w:jc w:val="right"/>
              <w:spacing w:after="0"/>
              <w:rPr>
                <w:sz w:val="20"/>
                <w:szCs w:val="20"/>
                <w:color w:val="auto"/>
              </w:rPr>
            </w:pPr>
            <w:r>
              <w:rPr>
                <w:rFonts w:ascii="Arial" w:cs="Arial" w:eastAsia="Arial" w:hAnsi="Arial"/>
                <w:sz w:val="16"/>
                <w:szCs w:val="16"/>
                <w:color w:val="auto"/>
              </w:rPr>
              <w:t>133.2 %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220" w:type="dxa"/>
            <w:vAlign w:val="bottom"/>
            <w:gridSpan w:val="3"/>
          </w:tcPr>
          <w:p>
            <w:pPr>
              <w:jc w:val="right"/>
              <w:ind w:right="600"/>
              <w:spacing w:after="0"/>
              <w:rPr>
                <w:sz w:val="20"/>
                <w:szCs w:val="20"/>
                <w:color w:val="auto"/>
              </w:rPr>
            </w:pPr>
            <w:r>
              <w:rPr>
                <w:rFonts w:ascii="Arial" w:cs="Arial" w:eastAsia="Arial" w:hAnsi="Arial"/>
                <w:sz w:val="16"/>
                <w:szCs w:val="16"/>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170"/>
        </w:trPr>
        <w:tc>
          <w:tcPr>
            <w:tcW w:w="542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6"/>
                <w:szCs w:val="16"/>
                <w:color w:val="auto"/>
              </w:rPr>
              <w:t>Rate differentials for controlled foreign corporations (CFCs)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96"/>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and charitable organizations that affect valuation allowance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Permanent items and others</w:t>
            </w:r>
          </w:p>
        </w:tc>
        <w:tc>
          <w:tcPr>
            <w:tcW w:w="6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3.5 %</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0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 federal</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110.1 %</w:t>
            </w:r>
          </w:p>
        </w:tc>
        <w:tc>
          <w:tcPr>
            <w:tcW w:w="8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0"/>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640" w:type="dxa"/>
            <w:vAlign w:val="bottom"/>
          </w:tcPr>
          <w:p>
            <w:pPr>
              <w:jc w:val="right"/>
              <w:spacing w:after="0"/>
              <w:rPr>
                <w:sz w:val="20"/>
                <w:szCs w:val="20"/>
                <w:color w:val="auto"/>
              </w:rPr>
            </w:pPr>
            <w:r>
              <w:rPr>
                <w:rFonts w:ascii="Arial" w:cs="Arial" w:eastAsia="Arial" w:hAnsi="Arial"/>
                <w:sz w:val="16"/>
                <w:szCs w:val="16"/>
                <w:color w:val="auto"/>
              </w:rPr>
              <w:t>181.9 %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157.9 %</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28.1 %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16.4 %</w:t>
            </w:r>
          </w:p>
        </w:tc>
      </w:tr>
      <w:tr>
        <w:trPr>
          <w:trHeight w:val="20"/>
        </w:trPr>
        <w:tc>
          <w:tcPr>
            <w:tcW w:w="4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83" w:hanging="283"/>
        <w:spacing w:after="0"/>
        <w:tabs>
          <w:tab w:leader="none" w:pos="283" w:val="left"/>
        </w:tabs>
        <w:numPr>
          <w:ilvl w:val="0"/>
          <w:numId w:val="139"/>
        </w:numPr>
        <w:rPr>
          <w:rFonts w:ascii="Arial" w:cs="Arial" w:eastAsia="Arial" w:hAnsi="Arial"/>
          <w:sz w:val="12"/>
          <w:szCs w:val="12"/>
          <w:color w:val="auto"/>
        </w:rPr>
      </w:pPr>
      <w:r>
        <w:rPr>
          <w:rFonts w:ascii="Arial" w:cs="Arial" w:eastAsia="Arial" w:hAnsi="Arial"/>
          <w:sz w:val="12"/>
          <w:szCs w:val="12"/>
          <w:color w:val="auto"/>
        </w:rPr>
        <w:t>State taxes includes the state tax impact of the release of the valuation allowance in 2019 and stock-based compensation expense related to secondary market transactions in 2020.</w:t>
      </w:r>
    </w:p>
    <w:p>
      <w:pPr>
        <w:spacing w:after="0" w:line="14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components of the net deferred tax assets are as follows (in thousands):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802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r>
      <w:tr>
        <w:trPr>
          <w:trHeight w:val="163"/>
        </w:trPr>
        <w:tc>
          <w:tcPr>
            <w:tcW w:w="80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2020</w:t>
            </w:r>
          </w:p>
        </w:tc>
      </w:tr>
      <w:tr>
        <w:trPr>
          <w:trHeight w:val="224"/>
        </w:trPr>
        <w:tc>
          <w:tcPr>
            <w:tcW w:w="8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NOL carryforwards</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carryforwards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Accruals and reserves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Interest expense limitation</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0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ROU assets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r>
      <w:tr>
        <w:trPr>
          <w:trHeight w:val="22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(liabilities), net</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left="3" w:right="20"/>
        <w:spacing w:after="0" w:line="258" w:lineRule="auto"/>
        <w:rPr>
          <w:sz w:val="20"/>
          <w:szCs w:val="20"/>
          <w:color w:val="auto"/>
        </w:rPr>
      </w:pPr>
      <w:r>
        <w:rPr>
          <w:rFonts w:ascii="Arial" w:cs="Arial" w:eastAsia="Arial" w:hAnsi="Arial"/>
          <w:sz w:val="16"/>
          <w:szCs w:val="16"/>
          <w:color w:val="auto"/>
        </w:rPr>
        <w:t>The Company assessed its ability to realize the benefits of its domestic deferred tax assets (DTA) by evaluating all available positive and negative evidence, objective and subjective in nature, including (1) cumulative results of operations in recent years, (2) sources of recent pre-tax income, (3) estimates of future taxable income and (4) the length of net operating loss (NOL) carryforward periods. The Company determined it is in a three-year cumulative taxable income position as of December 31, 2019 and 2020 and expects to continue to be in a taxable income position in the long-term foreseeable future.</w:t>
      </w:r>
    </w:p>
    <w:p>
      <w:pPr>
        <w:spacing w:after="0" w:line="110" w:lineRule="exact"/>
        <w:rPr>
          <w:sz w:val="20"/>
          <w:szCs w:val="20"/>
          <w:color w:val="auto"/>
        </w:rPr>
      </w:pPr>
    </w:p>
    <w:p>
      <w:pPr>
        <w:jc w:val="both"/>
        <w:ind w:left="3" w:right="140"/>
        <w:spacing w:after="0" w:line="261" w:lineRule="auto"/>
        <w:rPr>
          <w:sz w:val="20"/>
          <w:szCs w:val="20"/>
          <w:color w:val="auto"/>
        </w:rPr>
      </w:pPr>
      <w:r>
        <w:rPr>
          <w:rFonts w:ascii="Arial" w:cs="Arial" w:eastAsia="Arial" w:hAnsi="Arial"/>
          <w:sz w:val="16"/>
          <w:szCs w:val="16"/>
          <w:color w:val="auto"/>
        </w:rPr>
        <w:t>After an evaluation of all available qualitative and quantitative evidence, both positive and negative in nature, the Company concluded it is more likely than not that sufficient future taxable income will be generated to realize the benefits of its DTAs prior to expiration. As a result, the Company determined that no valuation allowance was needed as of December 31, 2019 and 2020 and June 30, 2021 (unaudited).</w:t>
      </w:r>
    </w:p>
    <w:p>
      <w:pPr>
        <w:spacing w:after="0" w:line="118" w:lineRule="exact"/>
        <w:rPr>
          <w:sz w:val="20"/>
          <w:szCs w:val="20"/>
          <w:color w:val="auto"/>
        </w:rPr>
      </w:pPr>
    </w:p>
    <w:p>
      <w:pPr>
        <w:ind w:left="3" w:right="580"/>
        <w:spacing w:after="0" w:line="268" w:lineRule="auto"/>
        <w:rPr>
          <w:sz w:val="20"/>
          <w:szCs w:val="20"/>
          <w:color w:val="auto"/>
        </w:rPr>
      </w:pPr>
      <w:r>
        <w:rPr>
          <w:rFonts w:ascii="Arial" w:cs="Arial" w:eastAsia="Arial" w:hAnsi="Arial"/>
          <w:sz w:val="16"/>
          <w:szCs w:val="16"/>
          <w:color w:val="auto"/>
        </w:rPr>
        <w:t>As of December 31, 2019, the Company had NOL carryforwards for federal and state tax purposes of $8,348,489 and $3,795,685, respectively. As of December 31, 2020, the Company had NOL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3"/>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565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48" w:name="page249"/>
    <w:bookmarkEnd w:id="24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carryforwards for federal and state tax purposes of $73,218, and $3,724,011, respectively. The NOL carryforwards will expire at various dates beginning in the years 2037 (federal) and 2031 (state), unless previously utilized. As of December 31, 2020, the Company also has federal and state research and development tax credit carryforwards of $173,542 and $569,019, respectively. The federal tax credits will expire at various dates beginning in the year 2029, unless previously utilized. The state tax credits do not expire and will carry forward indefinitely until utilized.</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Utilization of the NOL and tax credit carryforwards may be subject to a substantial annual limitation due to ownership change limitations that may have occurred or that could occur in the future, as required by the Internal Revenue Code, as well as similar state provisions. In general, an “ownership change” as defined by Code Sections 382 and 383,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have resulted in such an ownership change, and could result in an ownership change in the future upon subsequent disposition.</w:t>
      </w:r>
    </w:p>
    <w:p>
      <w:pPr>
        <w:spacing w:after="0" w:line="121" w:lineRule="exact"/>
        <w:rPr>
          <w:sz w:val="20"/>
          <w:szCs w:val="20"/>
          <w:color w:val="auto"/>
        </w:rPr>
      </w:pPr>
    </w:p>
    <w:p>
      <w:pPr>
        <w:ind w:right="500"/>
        <w:spacing w:after="0" w:line="261" w:lineRule="auto"/>
        <w:rPr>
          <w:sz w:val="20"/>
          <w:szCs w:val="20"/>
          <w:color w:val="auto"/>
        </w:rPr>
      </w:pPr>
      <w:r>
        <w:rPr>
          <w:rFonts w:ascii="Arial" w:cs="Arial" w:eastAsia="Arial" w:hAnsi="Arial"/>
          <w:sz w:val="16"/>
          <w:szCs w:val="16"/>
          <w:color w:val="auto"/>
        </w:rPr>
        <w:t>The Company conducted an analysis of the Company’s stock ownership under Internal Revenue Code Section 382 and 383. The net operating loss carryforwards and tax credits are subject to annual limitations as a result of the ownership changes in 2010 and 2015. However, the net operating loss carryforwards and the tax credits are not expected to expire before the utilization.</w:t>
      </w:r>
    </w:p>
    <w:p>
      <w:pPr>
        <w:spacing w:after="0" w:line="1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The Company follows the provisions of ASC Subtopic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ASC 740-10 prescribes a comprehensive model for the recognition, measurement, presentation and disclosure in financial statements of uncertain tax positions that have been taken or expected to be taken on a tax return. As of December 31, 2019 and 2020, the Company recorded an uncertain tax position liability, exclusive of interest and penalties, of $0 and $688,477 respectively, within Other liabilities on the consolidated balance sheets. As of June 30, 2021 (unaudited), the Company recorded an uncertain tax position liability, exclusive of interest and penalties, of $1,160,324 within Other liabilities on the consolidated balance sheets. As of December 31, 2020 and June 30, 2021 (unaudited), the Company has not accrued penalties and interest for uncertain tax positions.</w:t>
      </w:r>
    </w:p>
    <w:p>
      <w:pPr>
        <w:spacing w:after="0" w:line="106" w:lineRule="exact"/>
        <w:rPr>
          <w:sz w:val="20"/>
          <w:szCs w:val="20"/>
          <w:color w:val="auto"/>
        </w:rPr>
      </w:pPr>
    </w:p>
    <w:p>
      <w:pPr>
        <w:jc w:val="both"/>
        <w:ind w:right="400"/>
        <w:spacing w:after="0" w:line="261" w:lineRule="auto"/>
        <w:rPr>
          <w:sz w:val="20"/>
          <w:szCs w:val="20"/>
          <w:color w:val="auto"/>
        </w:rPr>
      </w:pPr>
      <w:r>
        <w:rPr>
          <w:rFonts w:ascii="Arial" w:cs="Arial" w:eastAsia="Arial" w:hAnsi="Arial"/>
          <w:sz w:val="16"/>
          <w:szCs w:val="16"/>
          <w:color w:val="auto"/>
        </w:rPr>
        <w:t>As of December 31, 2020, the Company has $1,328,883 of unrecognized tax benefits. Approximately all of the unrecognized tax benefits, if recognized, would affect the effective tax rate. A reconciliation of the amount of unrecognized tax benefits is as follows for the years ended December 31, 2019 and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top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years ended December 31,</w:t>
            </w:r>
          </w:p>
        </w:tc>
        <w:tc>
          <w:tcPr>
            <w:tcW w:w="520" w:type="dxa"/>
            <w:vAlign w:val="bottom"/>
            <w:tcBorders>
              <w:top w:val="single" w:sz="8" w:color="auto"/>
              <w:bottom w:val="single" w:sz="8" w:color="auto"/>
            </w:tcBorders>
          </w:tcPr>
          <w:p>
            <w:pPr>
              <w:spacing w:after="0"/>
              <w:rPr>
                <w:sz w:val="16"/>
                <w:szCs w:val="16"/>
                <w:color w:val="auto"/>
              </w:rPr>
            </w:pPr>
          </w:p>
        </w:tc>
      </w:tr>
      <w:tr>
        <w:trPr>
          <w:trHeight w:val="163"/>
        </w:trPr>
        <w:tc>
          <w:tcPr>
            <w:tcW w:w="802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r>
      <w:tr>
        <w:trPr>
          <w:trHeight w:val="394"/>
        </w:trPr>
        <w:tc>
          <w:tcPr>
            <w:tcW w:w="8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gridSpan w:val="3"/>
          </w:tcPr>
          <w:p>
            <w:pPr>
              <w:jc w:val="right"/>
              <w:ind w:right="584"/>
              <w:spacing w:after="0"/>
              <w:rPr>
                <w:sz w:val="20"/>
                <w:szCs w:val="20"/>
                <w:color w:val="auto"/>
              </w:rPr>
            </w:pPr>
            <w:r>
              <w:rPr>
                <w:rFonts w:ascii="Arial" w:cs="Arial" w:eastAsia="Arial" w:hAnsi="Arial"/>
                <w:sz w:val="13"/>
                <w:szCs w:val="13"/>
                <w:b w:val="1"/>
                <w:bCs w:val="1"/>
                <w:color w:val="auto"/>
              </w:rPr>
              <w:t>(in thousands)</w:t>
            </w:r>
          </w:p>
        </w:tc>
        <w:tc>
          <w:tcPr>
            <w:tcW w:w="520" w:type="dxa"/>
            <w:vAlign w:val="bottom"/>
          </w:tcPr>
          <w:p>
            <w:pPr>
              <w:spacing w:after="0"/>
              <w:rPr>
                <w:sz w:val="24"/>
                <w:szCs w:val="24"/>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1</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r>
      <w:tr>
        <w:trPr>
          <w:trHeight w:val="225"/>
        </w:trPr>
        <w:tc>
          <w:tcPr>
            <w:tcW w:w="802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current year</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of prior year</w:t>
            </w:r>
          </w:p>
        </w:tc>
        <w:tc>
          <w:tcPr>
            <w:tcW w:w="10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8020" w:type="dxa"/>
            <w:vAlign w:val="bottom"/>
          </w:tcPr>
          <w:p>
            <w:pPr>
              <w:ind w:left="20"/>
              <w:spacing w:after="0"/>
              <w:rPr>
                <w:sz w:val="20"/>
                <w:szCs w:val="20"/>
                <w:color w:val="auto"/>
              </w:rPr>
            </w:pPr>
            <w:r>
              <w:rPr>
                <w:rFonts w:ascii="Arial" w:cs="Arial" w:eastAsia="Arial" w:hAnsi="Arial"/>
                <w:sz w:val="16"/>
                <w:szCs w:val="16"/>
                <w:color w:val="auto"/>
              </w:rPr>
              <w:t>Balance as of December 31</w:t>
            </w:r>
          </w:p>
        </w:tc>
        <w:tc>
          <w:tcPr>
            <w:tcW w:w="100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1,329</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Unrecognized tax benefits may change during the next twelve months for items that arise in the ordinary course of business. The Company does not anticipate a material change to its unrecognized tax benefits over the next twelve months.</w:t>
      </w:r>
    </w:p>
    <w:p>
      <w:pPr>
        <w:spacing w:after="0" w:line="113"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Company recognizes penalties and interest expense related to income taxes as a component of tax expense. There are no interest and penalties recorded in the consolidated statement of income for the years ended December 31, 2019 and 2020 or the consolidated balance sheet as of December 31, 2019 and 2020. There are no interest and penalties recorded in the consolidated statement of income for the six months ended June 30, 2020 and 2021 (unaudited) or the consolidated balance sheet as of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2021 (unaudited). There are no positions for which it is reasonably possible that the total amounts of unrecognized tax benefits will significantly increase or decrease within 12 months of the reporting date.</w:t>
      </w:r>
    </w:p>
    <w:p>
      <w:pPr>
        <w:spacing w:after="0" w:line="101"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The Company is subject to income taxes in U.S. federal and various state, local and foreign jurisdictions. The tax years ended from December 2009 to December 2019 remain open to examination due to the carryover of unused net operating losses or tax credits.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 NET INCOME (LOSS) PER SHARE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net income (loss) per share is as follows (in thousands, except share and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(loss) per share: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jc w:val="center"/>
              <w:ind w:right="2939"/>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50"/>
        </w:trPr>
        <w:tc>
          <w:tcPr>
            <w:tcW w:w="4700" w:type="dxa"/>
            <w:vAlign w:val="bottom"/>
            <w:shd w:val="clear" w:color="auto" w:fill="CCEEFF"/>
          </w:tcPr>
          <w:p>
            <w:pPr>
              <w:ind w:left="460"/>
              <w:spacing w:after="0" w:line="150" w:lineRule="exact"/>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ind w:left="600"/>
              <w:spacing w:after="0" w:line="171" w:lineRule="exact"/>
              <w:rPr>
                <w:sz w:val="20"/>
                <w:szCs w:val="20"/>
                <w:color w:val="auto"/>
              </w:rPr>
            </w:pPr>
            <w:r>
              <w:rPr>
                <w:rFonts w:ascii="Arial" w:cs="Arial" w:eastAsia="Arial" w:hAnsi="Arial"/>
                <w:sz w:val="16"/>
                <w:szCs w:val="16"/>
                <w:color w:val="auto"/>
              </w:rPr>
              <w:t>basic</w:t>
            </w:r>
          </w:p>
        </w:tc>
        <w:tc>
          <w:tcPr>
            <w:tcW w:w="360" w:type="dxa"/>
            <w:vAlign w:val="bottom"/>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70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income (loss) per share attributable to common stockholders,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0" w:type="dxa"/>
            <w:vAlign w:val="bottom"/>
          </w:tcPr>
          <w:p>
            <w:pPr>
              <w:spacing w:after="0"/>
              <w:rPr>
                <w:sz w:val="1"/>
                <w:szCs w:val="1"/>
                <w:color w:val="auto"/>
              </w:rPr>
            </w:pPr>
          </w:p>
        </w:tc>
      </w:tr>
      <w:tr>
        <w:trPr>
          <w:trHeight w:val="150"/>
        </w:trPr>
        <w:tc>
          <w:tcPr>
            <w:tcW w:w="4700" w:type="dxa"/>
            <w:vAlign w:val="bottom"/>
          </w:tcPr>
          <w:p>
            <w:pPr>
              <w:ind w:left="20"/>
              <w:spacing w:after="0" w:line="150" w:lineRule="exact"/>
              <w:rPr>
                <w:sz w:val="20"/>
                <w:szCs w:val="20"/>
                <w:color w:val="auto"/>
              </w:rPr>
            </w:pPr>
            <w:r>
              <w:rPr>
                <w:rFonts w:ascii="Arial" w:cs="Arial" w:eastAsia="Arial" w:hAnsi="Arial"/>
                <w:sz w:val="16"/>
                <w:szCs w:val="16"/>
                <w:color w:val="auto"/>
              </w:rPr>
              <w:t>Net income (loss) per share attributable to common</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71"/>
        </w:trPr>
        <w:tc>
          <w:tcPr>
            <w:tcW w:w="4700" w:type="dxa"/>
            <w:vAlign w:val="bottom"/>
          </w:tcPr>
          <w:p>
            <w:pPr>
              <w:ind w:left="160"/>
              <w:spacing w:after="0" w:line="171" w:lineRule="exact"/>
              <w:rPr>
                <w:sz w:val="20"/>
                <w:szCs w:val="20"/>
                <w:color w:val="auto"/>
              </w:rPr>
            </w:pPr>
            <w:r>
              <w:rPr>
                <w:rFonts w:ascii="Arial" w:cs="Arial" w:eastAsia="Arial" w:hAnsi="Arial"/>
                <w:sz w:val="16"/>
                <w:szCs w:val="16"/>
                <w:color w:val="auto"/>
              </w:rPr>
              <w:t>stockholders, basic</w:t>
            </w:r>
          </w:p>
        </w:tc>
        <w:tc>
          <w:tcPr>
            <w:tcW w:w="36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Diluted net income (loss) per share: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jc w:val="center"/>
              <w:ind w:right="2939"/>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50"/>
        </w:trPr>
        <w:tc>
          <w:tcPr>
            <w:tcW w:w="4700" w:type="dxa"/>
            <w:vAlign w:val="bottom"/>
          </w:tcPr>
          <w:p>
            <w:pPr>
              <w:ind w:left="460"/>
              <w:spacing w:after="0" w:line="150" w:lineRule="exact"/>
              <w:rPr>
                <w:sz w:val="20"/>
                <w:szCs w:val="20"/>
                <w:color w:val="auto"/>
              </w:rPr>
            </w:pPr>
            <w:r>
              <w:rPr>
                <w:rFonts w:ascii="Arial" w:cs="Arial" w:eastAsia="Arial" w:hAnsi="Arial"/>
                <w:sz w:val="16"/>
                <w:szCs w:val="16"/>
                <w:color w:val="auto"/>
              </w:rPr>
              <w:t>Net income (loss) attributable to common stockholders -</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171"/>
        </w:trPr>
        <w:tc>
          <w:tcPr>
            <w:tcW w:w="4700" w:type="dxa"/>
            <w:vAlign w:val="bottom"/>
          </w:tcPr>
          <w:p>
            <w:pPr>
              <w:jc w:val="center"/>
              <w:ind w:right="2939"/>
              <w:spacing w:after="0" w:line="171" w:lineRule="exact"/>
              <w:rPr>
                <w:sz w:val="20"/>
                <w:szCs w:val="20"/>
                <w:color w:val="auto"/>
              </w:rPr>
            </w:pPr>
            <w:r>
              <w:rPr>
                <w:rFonts w:ascii="Arial" w:cs="Arial" w:eastAsia="Arial" w:hAnsi="Arial"/>
                <w:sz w:val="16"/>
                <w:szCs w:val="16"/>
                <w:color w:val="auto"/>
              </w:rPr>
              <w:t>diluted</w:t>
            </w:r>
          </w:p>
        </w:tc>
        <w:tc>
          <w:tcPr>
            <w:tcW w:w="36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Denominator</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42,130</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Weighted-average stock options</w:t>
            </w: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842,926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1,111,490</w:t>
            </w:r>
          </w:p>
        </w:tc>
        <w:tc>
          <w:tcPr>
            <w:tcW w:w="0" w:type="dxa"/>
            <w:vAlign w:val="bottom"/>
          </w:tcPr>
          <w:p>
            <w:pPr>
              <w:spacing w:after="0"/>
              <w:rPr>
                <w:sz w:val="1"/>
                <w:szCs w:val="1"/>
                <w:color w:val="auto"/>
              </w:rPr>
            </w:pPr>
          </w:p>
        </w:tc>
      </w:tr>
      <w:tr>
        <w:trPr>
          <w:trHeight w:val="150"/>
        </w:trPr>
        <w:tc>
          <w:tcPr>
            <w:tcW w:w="470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0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income (loss) per share attributable to common stockholders,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3,549,511</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4,121,642</w:t>
            </w:r>
          </w:p>
        </w:tc>
        <w:tc>
          <w:tcPr>
            <w:tcW w:w="0" w:type="dxa"/>
            <w:vAlign w:val="bottom"/>
          </w:tcPr>
          <w:p>
            <w:pPr>
              <w:spacing w:after="0"/>
              <w:rPr>
                <w:sz w:val="1"/>
                <w:szCs w:val="1"/>
                <w:color w:val="auto"/>
              </w:rPr>
            </w:pPr>
          </w:p>
        </w:tc>
      </w:tr>
      <w:tr>
        <w:trPr>
          <w:trHeight w:val="150"/>
        </w:trPr>
        <w:tc>
          <w:tcPr>
            <w:tcW w:w="4700" w:type="dxa"/>
            <w:vAlign w:val="bottom"/>
          </w:tcPr>
          <w:p>
            <w:pPr>
              <w:ind w:left="380"/>
              <w:spacing w:after="0" w:line="150" w:lineRule="exact"/>
              <w:rPr>
                <w:sz w:val="20"/>
                <w:szCs w:val="20"/>
                <w:color w:val="auto"/>
              </w:rPr>
            </w:pPr>
            <w:r>
              <w:rPr>
                <w:rFonts w:ascii="Arial" w:cs="Arial" w:eastAsia="Arial" w:hAnsi="Arial"/>
                <w:sz w:val="16"/>
                <w:szCs w:val="16"/>
                <w:color w:val="auto"/>
              </w:rPr>
              <w:t>Net income (loss) per share attributable to common</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1"/>
        </w:trPr>
        <w:tc>
          <w:tcPr>
            <w:tcW w:w="4700" w:type="dxa"/>
            <w:vAlign w:val="bottom"/>
          </w:tcPr>
          <w:p>
            <w:pPr>
              <w:ind w:left="520"/>
              <w:spacing w:after="0" w:line="171" w:lineRule="exact"/>
              <w:rPr>
                <w:sz w:val="20"/>
                <w:szCs w:val="20"/>
                <w:color w:val="auto"/>
              </w:rPr>
            </w:pPr>
            <w:r>
              <w:rPr>
                <w:rFonts w:ascii="Arial" w:cs="Arial" w:eastAsia="Arial" w:hAnsi="Arial"/>
                <w:sz w:val="16"/>
                <w:szCs w:val="16"/>
                <w:color w:val="auto"/>
              </w:rPr>
              <w:t>stockholders, diluted</w:t>
            </w:r>
          </w:p>
        </w:tc>
        <w:tc>
          <w:tcPr>
            <w:tcW w:w="36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0" w:name="page251"/>
    <w:bookmarkEnd w:id="25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gridSpan w:val="4"/>
          </w:tcPr>
          <w:p>
            <w:pPr>
              <w:ind w:left="840"/>
              <w:spacing w:after="0"/>
              <w:rPr>
                <w:sz w:val="20"/>
                <w:szCs w:val="20"/>
                <w:color w:val="auto"/>
              </w:rPr>
            </w:pPr>
            <w:r>
              <w:rPr>
                <w:rFonts w:ascii="Arial" w:cs="Arial" w:eastAsia="Arial" w:hAnsi="Arial"/>
                <w:sz w:val="13"/>
                <w:szCs w:val="13"/>
                <w:b w:val="1"/>
                <w:bCs w:val="1"/>
                <w:color w:val="auto"/>
              </w:rPr>
              <w:t>Year ended December 31,</w:t>
            </w:r>
          </w:p>
        </w:tc>
        <w:tc>
          <w:tcPr>
            <w:tcW w:w="324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63"/>
        </w:trPr>
        <w:tc>
          <w:tcPr>
            <w:tcW w:w="468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63"/>
        </w:trPr>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1006"/>
              <w:spacing w:after="0"/>
              <w:rPr>
                <w:sz w:val="20"/>
                <w:szCs w:val="20"/>
                <w:color w:val="auto"/>
              </w:rPr>
            </w:pPr>
            <w:r>
              <w:rPr>
                <w:rFonts w:ascii="Arial" w:cs="Arial" w:eastAsia="Arial" w:hAnsi="Arial"/>
                <w:sz w:val="13"/>
                <w:szCs w:val="13"/>
                <w:b w:val="1"/>
                <w:bCs w:val="1"/>
                <w:color w:val="auto"/>
                <w:w w:val="98"/>
              </w:rPr>
              <w:t>(unaudited)</w:t>
            </w:r>
          </w:p>
        </w:tc>
        <w:tc>
          <w:tcPr>
            <w:tcW w:w="1100" w:type="dxa"/>
            <w:vAlign w:val="bottom"/>
          </w:tcPr>
          <w:p>
            <w:pPr>
              <w:spacing w:after="0"/>
              <w:rPr>
                <w:sz w:val="14"/>
                <w:szCs w:val="14"/>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39,627</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41,304</w:t>
            </w: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4680" w:type="dxa"/>
            <w:vAlign w:val="bottom"/>
          </w:tcPr>
          <w:p>
            <w:pPr>
              <w:ind w:left="20"/>
              <w:spacing w:after="0"/>
              <w:rPr>
                <w:sz w:val="20"/>
                <w:szCs w:val="20"/>
                <w:color w:val="auto"/>
              </w:rPr>
            </w:pPr>
            <w:r>
              <w:rPr>
                <w:rFonts w:ascii="Arial" w:cs="Arial" w:eastAsia="Arial" w:hAnsi="Arial"/>
                <w:sz w:val="16"/>
                <w:szCs w:val="16"/>
                <w:color w:val="auto"/>
              </w:rPr>
              <w:t>Weighted-average stock options</w:t>
            </w:r>
          </w:p>
        </w:tc>
        <w:tc>
          <w:tcPr>
            <w:tcW w:w="1560" w:type="dxa"/>
            <w:vAlign w:val="bottom"/>
          </w:tcPr>
          <w:p>
            <w:pPr>
              <w:jc w:val="right"/>
              <w:spacing w:after="0"/>
              <w:rPr>
                <w:sz w:val="20"/>
                <w:szCs w:val="20"/>
                <w:color w:val="auto"/>
              </w:rPr>
            </w:pPr>
            <w:r>
              <w:rPr>
                <w:rFonts w:ascii="Arial" w:cs="Arial" w:eastAsia="Arial" w:hAnsi="Arial"/>
                <w:sz w:val="16"/>
                <w:szCs w:val="16"/>
                <w:color w:val="auto"/>
              </w:rPr>
              <w:t>873,765</w:t>
            </w:r>
          </w:p>
        </w:tc>
        <w:tc>
          <w:tcPr>
            <w:tcW w:w="100" w:type="dxa"/>
            <w:vAlign w:val="bottom"/>
          </w:tcPr>
          <w:p>
            <w:pPr>
              <w:spacing w:after="0"/>
              <w:rPr>
                <w:sz w:val="17"/>
                <w:szCs w:val="17"/>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1,098,137</w:t>
            </w:r>
          </w:p>
        </w:tc>
        <w:tc>
          <w:tcPr>
            <w:tcW w:w="100" w:type="dxa"/>
            <w:vAlign w:val="bottom"/>
          </w:tcPr>
          <w:p>
            <w:pPr>
              <w:spacing w:after="0"/>
              <w:rPr>
                <w:sz w:val="17"/>
                <w:szCs w:val="17"/>
                <w:color w:val="auto"/>
              </w:rPr>
            </w:pPr>
          </w:p>
        </w:tc>
        <w:tc>
          <w:tcPr>
            <w:tcW w:w="214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preferred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4,203,139</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4,203,139</w:t>
            </w:r>
          </w:p>
        </w:tc>
      </w:tr>
      <w:tr>
        <w:trPr>
          <w:trHeight w:val="200"/>
        </w:trPr>
        <w:tc>
          <w:tcPr>
            <w:tcW w:w="4680" w:type="dxa"/>
            <w:vAlign w:val="bottom"/>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5,116,531</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5,342,580</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4,203,139</w:t>
            </w: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 – COMMITMENTS AND CONTINGENCIES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Litigation </w:t>
      </w:r>
      <w:r>
        <w:rPr>
          <w:rFonts w:ascii="Arial" w:cs="Arial" w:eastAsia="Arial" w:hAnsi="Arial"/>
          <w:sz w:val="16"/>
          <w:szCs w:val="16"/>
          <w:color w:val="auto"/>
        </w:rPr>
        <w:t>– The Company is involved from time to time in claims, proceedings and litigation, including the following:</w:t>
      </w:r>
    </w:p>
    <w:p>
      <w:pPr>
        <w:spacing w:after="0" w:line="16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In September 2019, the Company received a written complaint from 7Park Data, LLC claiming a breach of contract. After multiple discussions and written complaints by both parties, the parties agreed to settle all claims under a Settlement and Mutual Release Agreement dated December 23, 2019, pursuant to which the Company paid 7Park Data, LLC a lump sum of $100,000. As of December 31, 2019, there were no liabilities outstanding pursuant to this matter, and this matter is now closed.</w:t>
      </w:r>
    </w:p>
    <w:p>
      <w:pPr>
        <w:spacing w:after="0" w:line="122"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On May 29, 2020, Sapphire Crossing LLC sued the Company on an expired patent. Following the Company's attempts to dismiss the case informally, Sapphire Crossing amended its complaint, dropping certain allegations and adding allegations of direct divided infringement. As of December 31, 2020, the extent of a potential liability was unknown and could not be reasonably estimated. On June 8, 2021, the case was settled and no payment was required of the Company upon settlement. As of June 30, 2021 (unaudited), there were no liabilities outstanding pursuant to this matter, and this matter is now closed.</w:t>
      </w:r>
    </w:p>
    <w:p>
      <w:pPr>
        <w:spacing w:after="0" w:line="110"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 the case of any litigation, the Company records a provision for a liability when management believes that it is both probable that a liability has been incurred, and the amount of the loss can be reasonably estimated. The Company reviews these provisions at least annually and adjusts these provisions to reflect the impact of negotiations, settlements, rulings, advice of legal counsel and other information and events pertaining to a particular case.</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 – EMPLOYEE BENEFIT PLANS</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b w:val="1"/>
          <w:bCs w:val="1"/>
          <w:color w:val="auto"/>
        </w:rPr>
        <w:t xml:space="preserve">401(k) plan </w:t>
      </w:r>
      <w:r>
        <w:rPr>
          <w:rFonts w:ascii="Arial" w:cs="Arial" w:eastAsia="Arial" w:hAnsi="Arial"/>
          <w:sz w:val="16"/>
          <w:szCs w:val="16"/>
          <w:color w:val="auto"/>
        </w:rPr>
        <w:t>– In fiscal 2009, the Company sponsored a U.S. 401(k) defined contribution plan covering eligible employees who elect to participate.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allowed to make discretionary profit sharing and 401(k) matching contributions as defined in the plan and as approved by the Board of Directors. Effective January 1, 2018, the Company matches up to 4.5% of each eligible participant’s 401(k) contribution. The Company’s actual contribution may be reduced by certain available forfeitures, if any, during the plan year. No discretionary profit-sharing contributions were made for the years ended December 31, 2019 and 2020 and the six months ended June 30, 2020 and 2021 (unaudited). The Company’s 401(k) matching contributions for the years ended December 31, 2019 and 2020 were $669,658 and $682,623, respectively. The Company’s 401(k) matching contributions for the six months ended June 30, 2020 and 2021 (unaudited) were approximately $339,836 and $392,734, respectively. The Company has no intention to terminate the plan.</w:t>
      </w:r>
    </w:p>
    <w:p>
      <w:pPr>
        <w:spacing w:after="0" w:line="91"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b w:val="1"/>
          <w:bCs w:val="1"/>
          <w:color w:val="auto"/>
        </w:rPr>
        <w:t xml:space="preserve">UK pension plan </w:t>
      </w:r>
      <w:r>
        <w:rPr>
          <w:rFonts w:ascii="Arial" w:cs="Arial" w:eastAsia="Arial" w:hAnsi="Arial"/>
          <w:sz w:val="16"/>
          <w:szCs w:val="16"/>
          <w:color w:val="auto"/>
        </w:rPr>
        <w:t>– Since inception, in accordance with local laws and customs of the UK, the Company sponsored a UK pension plan covering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December 31, 2019 and 2020 and the six months ended June 30, 2020 and 2021 (unaudited). The discretionary matching contributions for the years ended December 31, 2019 and 2020 were $53,018 and $121,415 respectively. The discretionary matching contributions for the six months ended June 30, 2020 and 2021 (unaudited) were $39,712 and $66,175, respectively. The Company has no intention to terminate the plan.</w:t>
      </w:r>
    </w:p>
    <w:p>
      <w:pPr>
        <w:spacing w:after="0" w:line="8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b w:val="1"/>
          <w:bCs w:val="1"/>
          <w:color w:val="auto"/>
        </w:rPr>
        <w:t xml:space="preserve">Canada pension plan </w:t>
      </w:r>
      <w:r>
        <w:rPr>
          <w:rFonts w:ascii="Arial" w:cs="Arial" w:eastAsia="Arial" w:hAnsi="Arial"/>
          <w:sz w:val="16"/>
          <w:szCs w:val="16"/>
          <w:color w:val="auto"/>
        </w:rPr>
        <w:t>– Since inception, in accordance with local laws and customs of Canada, the Company sponsored a Canada pension plan covering</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 December 31, 2019 and 2020 and the six months ended June 30, 2020 and 2021 (unaudited). The discretionary matching contributions for the years ended December 31, 2019 and 2020 were $0 and $10,540, respectively. The discretionary matching contributions for the six months ended June 30, 2020 and 2021 (unaudited) were $0 and $16,771, respectively. The Company has no intention to terminate the plan.</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 – RELATED PARTY TRANSACTIONS</w:t>
      </w:r>
    </w:p>
    <w:p>
      <w:pPr>
        <w:spacing w:after="0" w:line="164"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In September 2018, the Company loaned $600,000 to the Company's Chief Executive Officer, David Barrett. The loan bears 6% simple interest per annum for 60 months of interest payments due monthly until the loan principal amount becomes due in full upon maturity in September 2023. As of December 31, 2019, the related party loan is included within Related party loan receivable, non-current on the consolidated balance sheet. During the years ended December 31, 2019 and December 31, 2020, the Company recognized $22,500 and $36,000 in interest income, respectively. During the six months ended June 30, 2020 and June 30, 2021 (unaudited), the Company recognized $18,000 and $36,000 in interest income, respectively.</w:t>
      </w:r>
    </w:p>
    <w:p>
      <w:pPr>
        <w:spacing w:after="0" w:line="11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part of the loan agreement with Mr. Barrett, repayment of the loan may be accelerated upon certain events. One of these triggering events is the loan amount becoming payable immediately upon the receipt by Mr. Barrett of at least an aggregate of $2,000,000 pursuant to one or more sales or redemptions of the Company's common stock. During 2020, as part of sale of common stock from certain employees, including Mr. Barrett, to new investors, Mr. Barrett received more than $2,000,000 from the transaction. As a result, the loan amount became due immediately during 2020. As the amount had yet to be paid as of December 31, 2020, the Company recorded the related party loan within Related party loan receivable, current on the consolidated balance sheet as of December 31, 2020. On April 22, 2021, the Company's Board of Directors unanimously consented to provide a waiver of the accelerated term clause in relation to the 2020 sale of stock. On June 24, 2021, the related party loan was repaid in full by Mr. Barrett.</w:t>
      </w:r>
    </w:p>
    <w:p>
      <w:pPr>
        <w:spacing w:after="0" w:line="124" w:lineRule="exact"/>
        <w:rPr>
          <w:sz w:val="20"/>
          <w:szCs w:val="20"/>
          <w:color w:val="auto"/>
        </w:rPr>
      </w:pPr>
    </w:p>
    <w:p>
      <w:pPr>
        <w:ind w:right="400"/>
        <w:spacing w:after="0" w:line="257" w:lineRule="auto"/>
        <w:rPr>
          <w:sz w:val="20"/>
          <w:szCs w:val="20"/>
          <w:color w:val="auto"/>
        </w:rPr>
      </w:pPr>
      <w:r>
        <w:rPr>
          <w:rFonts w:ascii="Arial" w:cs="Arial" w:eastAsia="Arial" w:hAnsi="Arial"/>
          <w:sz w:val="16"/>
          <w:szCs w:val="16"/>
          <w:color w:val="auto"/>
        </w:rPr>
        <w:t>During the year ended December 31, 2019, the Company repurchased 5,520 shares of exercised unvested common stock, for $1,794,703 of which approximately $890,000 was related to the repurchase of shares from executive officers of the Company. As of June 30, 2021 (unaudited), there were 72,735 shares subject to repurchase related to employee stock options early exercised and not yet vested, but that are expected to vest. As of June 30, 2021 (unaudited), the Company recorded a liability related to these shares subject to repurchase in the amount of $1,191,810, of which $280,756 was related to shares subject to repurchase for executive officers of the Company. See Note 9 for further detail.</w:t>
      </w:r>
    </w:p>
    <w:p>
      <w:pPr>
        <w:spacing w:after="0" w:line="12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During the six months ended June 30, 2021 (unaudited), certain employees exercised stock options for a total of 252,983 shares of common stock for $1,759,643 by entering into promissory notes with the Company. No promissory notes were entered into with listed directors or executive officers of the Company. The Company records all outstanding employee promissory note balances used in exercising stock options to Subscriptions receivable as contra equity within Stockholders' deficit. As of June 30, 2021 (unaudited), the Company recognized $1,759,643 of Subscriptions receivable and no payments of interest or principal have been received to date. Refer to Note 8 and Note 9 for further detail over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2" w:name="page253"/>
    <w:bookmarkEnd w:id="25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There are no other significant related party transactions for the Company as of December 31, 2019, December 31, 2020 or June 30,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3" w:name="page254"/>
    <w:bookmarkEnd w:id="2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970280</wp:posOffset>
            </wp:positionV>
            <wp:extent cx="714565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931545</wp:posOffset>
            </wp:positionV>
            <wp:extent cx="714565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0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107315</wp:posOffset>
            </wp:positionV>
            <wp:extent cx="1546860" cy="15468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46860" cy="154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i w:val="1"/>
          <w:iCs w:val="1"/>
          <w:color w:val="auto"/>
        </w:rPr>
        <w:t>Expensify, Inc.</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i w:val="1"/>
          <w:iCs w:val="1"/>
          <w:color w:val="auto"/>
        </w:rPr>
        <w:t>Class A common stock</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39"/>
          <w:szCs w:val="39"/>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3260" w:type="dxa"/>
            <w:vAlign w:val="bottom"/>
          </w:tcPr>
          <w:p>
            <w:pPr>
              <w:ind w:left="20"/>
              <w:spacing w:after="0"/>
              <w:rPr>
                <w:sz w:val="20"/>
                <w:szCs w:val="20"/>
                <w:color w:val="auto"/>
              </w:rPr>
            </w:pPr>
            <w:r>
              <w:rPr>
                <w:rFonts w:ascii="Arial" w:cs="Arial" w:eastAsia="Arial" w:hAnsi="Arial"/>
                <w:sz w:val="29"/>
                <w:szCs w:val="29"/>
                <w:color w:val="auto"/>
              </w:rPr>
              <w:t>J.P. Morgan</w:t>
            </w:r>
          </w:p>
        </w:tc>
        <w:tc>
          <w:tcPr>
            <w:tcW w:w="4480" w:type="dxa"/>
            <w:vAlign w:val="bottom"/>
          </w:tcPr>
          <w:p>
            <w:pPr>
              <w:jc w:val="center"/>
              <w:ind w:left="78"/>
              <w:spacing w:after="0"/>
              <w:rPr>
                <w:sz w:val="20"/>
                <w:szCs w:val="20"/>
                <w:color w:val="auto"/>
              </w:rPr>
            </w:pPr>
            <w:r>
              <w:rPr>
                <w:rFonts w:ascii="Arial" w:cs="Arial" w:eastAsia="Arial" w:hAnsi="Arial"/>
                <w:sz w:val="29"/>
                <w:szCs w:val="29"/>
                <w:color w:val="auto"/>
                <w:w w:val="99"/>
              </w:rPr>
              <w:t>Citigroup</w:t>
            </w:r>
          </w:p>
        </w:tc>
        <w:tc>
          <w:tcPr>
            <w:tcW w:w="3520" w:type="dxa"/>
            <w:vAlign w:val="bottom"/>
          </w:tcPr>
          <w:p>
            <w:pPr>
              <w:jc w:val="right"/>
              <w:spacing w:after="0"/>
              <w:rPr>
                <w:sz w:val="20"/>
                <w:szCs w:val="20"/>
                <w:color w:val="auto"/>
              </w:rPr>
            </w:pPr>
            <w:r>
              <w:rPr>
                <w:rFonts w:ascii="Arial" w:cs="Arial" w:eastAsia="Arial" w:hAnsi="Arial"/>
                <w:sz w:val="29"/>
                <w:szCs w:val="29"/>
                <w:color w:val="auto"/>
              </w:rPr>
              <w:t>BofA Securities</w:t>
            </w:r>
          </w:p>
        </w:tc>
      </w:tr>
      <w:tr>
        <w:trPr>
          <w:trHeight w:val="323"/>
        </w:trPr>
        <w:tc>
          <w:tcPr>
            <w:tcW w:w="3260" w:type="dxa"/>
            <w:vAlign w:val="bottom"/>
          </w:tcPr>
          <w:p>
            <w:pPr>
              <w:ind w:left="20"/>
              <w:spacing w:after="0"/>
              <w:rPr>
                <w:sz w:val="20"/>
                <w:szCs w:val="20"/>
                <w:color w:val="auto"/>
              </w:rPr>
            </w:pPr>
            <w:r>
              <w:rPr>
                <w:rFonts w:ascii="Arial" w:cs="Arial" w:eastAsia="Arial" w:hAnsi="Arial"/>
                <w:sz w:val="19"/>
                <w:szCs w:val="19"/>
                <w:color w:val="auto"/>
              </w:rPr>
              <w:t>Piper Sandler</w:t>
            </w:r>
          </w:p>
        </w:tc>
        <w:tc>
          <w:tcPr>
            <w:tcW w:w="4480" w:type="dxa"/>
            <w:vAlign w:val="bottom"/>
          </w:tcPr>
          <w:p>
            <w:pPr>
              <w:jc w:val="center"/>
              <w:ind w:left="78"/>
              <w:spacing w:after="0"/>
              <w:rPr>
                <w:sz w:val="20"/>
                <w:szCs w:val="20"/>
                <w:color w:val="auto"/>
              </w:rPr>
            </w:pPr>
            <w:r>
              <w:rPr>
                <w:rFonts w:ascii="Arial" w:cs="Arial" w:eastAsia="Arial" w:hAnsi="Arial"/>
                <w:sz w:val="19"/>
                <w:szCs w:val="19"/>
                <w:color w:val="auto"/>
              </w:rPr>
              <w:t>JMP Securities</w:t>
            </w:r>
          </w:p>
        </w:tc>
        <w:tc>
          <w:tcPr>
            <w:tcW w:w="3520" w:type="dxa"/>
            <w:vAlign w:val="bottom"/>
          </w:tcPr>
          <w:p>
            <w:pPr>
              <w:jc w:val="right"/>
              <w:spacing w:after="0"/>
              <w:rPr>
                <w:sz w:val="20"/>
                <w:szCs w:val="20"/>
                <w:color w:val="auto"/>
              </w:rPr>
            </w:pPr>
            <w:r>
              <w:rPr>
                <w:rFonts w:ascii="Arial" w:cs="Arial" w:eastAsia="Arial" w:hAnsi="Arial"/>
                <w:sz w:val="19"/>
                <w:szCs w:val="19"/>
                <w:color w:val="auto"/>
              </w:rPr>
              <w:t>Loop Capital Markets</w:t>
            </w:r>
          </w:p>
        </w:tc>
      </w:tr>
      <w:tr>
        <w:trPr>
          <w:trHeight w:val="685"/>
        </w:trPr>
        <w:tc>
          <w:tcPr>
            <w:tcW w:w="32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r>
        <w:trPr>
          <w:trHeight w:val="21"/>
        </w:trPr>
        <w:tc>
          <w:tcPr>
            <w:tcW w:w="326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440" w:right="319" w:bottom="1440" w:gutter="0" w:footer="0" w:header="0"/>
        </w:sectPr>
      </w:pPr>
    </w:p>
    <w:bookmarkStart w:id="254" w:name="page255"/>
    <w:bookmarkEnd w:id="254"/>
    <w:p>
      <w:pPr>
        <w:ind w:left="3"/>
        <w:spacing w:after="0"/>
        <w:rPr>
          <w:sz w:val="20"/>
          <w:szCs w:val="20"/>
          <w:color w:val="auto"/>
        </w:rPr>
      </w:pPr>
      <w:r>
        <w:rPr>
          <w:rFonts w:ascii="Arial" w:cs="Arial" w:eastAsia="Arial" w:hAnsi="Arial"/>
          <w:sz w:val="26"/>
          <w:szCs w:val="26"/>
          <w:b w:val="1"/>
          <w:bCs w:val="1"/>
          <w:color w:val="auto"/>
        </w:rPr>
        <w:t>Part II</w:t>
      </w:r>
    </w:p>
    <w:p>
      <w:pPr>
        <w:spacing w:after="0" w:line="261" w:lineRule="exact"/>
        <w:rPr>
          <w:sz w:val="20"/>
          <w:szCs w:val="20"/>
          <w:color w:val="auto"/>
        </w:rPr>
      </w:pPr>
    </w:p>
    <w:p>
      <w:pPr>
        <w:ind w:left="3"/>
        <w:spacing w:after="0"/>
        <w:rPr>
          <w:sz w:val="20"/>
          <w:szCs w:val="20"/>
          <w:color w:val="auto"/>
        </w:rPr>
      </w:pPr>
      <w:r>
        <w:rPr>
          <w:rFonts w:ascii="Arial" w:cs="Arial" w:eastAsia="Arial" w:hAnsi="Arial"/>
          <w:sz w:val="26"/>
          <w:szCs w:val="26"/>
          <w:b w:val="1"/>
          <w:bCs w:val="1"/>
          <w:color w:val="auto"/>
        </w:rPr>
        <w:t>Information not required in the prospectus</w:t>
      </w:r>
    </w:p>
    <w:p>
      <w:pPr>
        <w:spacing w:after="0" w:line="27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Item 13. Other expenses of issuance and distribution.</w:t>
      </w:r>
    </w:p>
    <w:p>
      <w:pPr>
        <w:spacing w:after="0" w:line="165"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The following table sets forth all fees and expenses, other than the underwriting discounts and commissions payable solely by us in connection with the offer and sale of the securities being registered. All amounts are estimates except for the SEC registration fee, the Financial Industry Regulatory Authority, Inc. (“FINRA”) filing fee and the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07644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76440" cy="15240"/>
                    </a:xfrm>
                    <a:prstGeom prst="rect">
                      <a:avLst/>
                    </a:prstGeom>
                    <a:noFill/>
                  </pic:spPr>
                </pic:pic>
              </a:graphicData>
            </a:graphic>
          </wp:anchor>
        </w:drawing>
      </w:r>
    </w:p>
    <w:p>
      <w:pPr>
        <w:spacing w:after="0" w:line="331" w:lineRule="exact"/>
        <w:rPr>
          <w:sz w:val="20"/>
          <w:szCs w:val="20"/>
          <w:color w:val="auto"/>
        </w:rPr>
      </w:pPr>
    </w:p>
    <w:tbl>
      <w:tblPr>
        <w:tblLayout w:type="fixed"/>
        <w:tblInd w:w="3" w:type="dxa"/>
        <w:tblCellMar>
          <w:top w:w="0" w:type="dxa"/>
          <w:left w:w="0" w:type="dxa"/>
          <w:bottom w:w="0" w:type="dxa"/>
          <w:right w:w="0" w:type="dxa"/>
        </w:tblCellMar>
      </w:tblPr>
      <w:tr>
        <w:trPr>
          <w:trHeight w:val="170"/>
        </w:trPr>
        <w:tc>
          <w:tcPr>
            <w:tcW w:w="9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Amount to be paid</w:t>
            </w:r>
          </w:p>
        </w:tc>
      </w:tr>
      <w:tr>
        <w:trPr>
          <w:trHeight w:val="199"/>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 registration fee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FINRA filing fee</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15,500</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listing fee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Accounting fees and expenses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 fees and expenses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Printing expenses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 agent and registrar fees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Blue sky fees and expenses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Miscellaneous expenses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95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31"/>
        </w:trPr>
        <w:tc>
          <w:tcPr>
            <w:tcW w:w="9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ind w:left="283" w:hanging="283"/>
        <w:spacing w:after="0"/>
        <w:tabs>
          <w:tab w:leader="none" w:pos="283"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To be completed by amendment.</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Item 14. Indemnification of directors and officers.</w:t>
      </w:r>
    </w:p>
    <w:p>
      <w:pPr>
        <w:spacing w:after="0" w:line="165" w:lineRule="exact"/>
        <w:rPr>
          <w:sz w:val="20"/>
          <w:szCs w:val="20"/>
          <w:color w:val="auto"/>
        </w:rPr>
      </w:pPr>
    </w:p>
    <w:p>
      <w:pPr>
        <w:ind w:left="3" w:right="180"/>
        <w:spacing w:after="0" w:line="258" w:lineRule="auto"/>
        <w:rPr>
          <w:sz w:val="20"/>
          <w:szCs w:val="20"/>
          <w:color w:val="auto"/>
        </w:rPr>
      </w:pPr>
      <w:r>
        <w:rPr>
          <w:rFonts w:ascii="Arial" w:cs="Arial" w:eastAsia="Arial" w:hAnsi="Arial"/>
          <w:sz w:val="16"/>
          <w:szCs w:val="16"/>
          <w:color w:val="auto"/>
        </w:rPr>
        <w:t>We expect to adopt a restated certificate of incorporation, which will become effective immediately prior to the completion of this offering and will contain provisions authorized by the General Corporation Law of the State of Delaware (the “Delaware General Corporation Law”) that limit the personal liability of our directors for monetary damages to the fullest extent permitted by Delaware law. Consequently, our directors will not be personally liable to us or our stockholders for monetary damages for breach of fiduciary duty as directors, except liability for the following:</w:t>
      </w:r>
    </w:p>
    <w:p>
      <w:pPr>
        <w:spacing w:after="0" w:line="110" w:lineRule="exact"/>
        <w:rPr>
          <w:sz w:val="20"/>
          <w:szCs w:val="20"/>
          <w:color w:val="auto"/>
        </w:rPr>
      </w:pPr>
    </w:p>
    <w:p>
      <w:pPr>
        <w:ind w:left="283" w:hanging="283"/>
        <w:spacing w:after="0"/>
        <w:tabs>
          <w:tab w:leader="none" w:pos="28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breach of the director’s duty of loyalty to our company or our stockholders;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unlawful payments of dividends or unlawful stock repurchases or redemptions in violation of Delaware law; or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145"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22"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Section 145 of the Delaware General Corporation Law, among other things, grants a Delaware corporation the power to, and authorizes a court to award, indemnification and advancement of expenses to officers, directors and other corporate agents. We expect to adopt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23"/>
          </w:cols>
          <w:pgMar w:left="317" w:top="1407" w:right="359" w:bottom="1440" w:gutter="0" w:footer="0" w:header="0"/>
        </w:sectPr>
      </w:pPr>
    </w:p>
    <w:bookmarkStart w:id="255" w:name="page256"/>
    <w:bookmarkEnd w:id="255"/>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which will become effective immediately prior to the completion of this offering and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11"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In addition, the Delaware General Corporation Law provides that to the extent a present or former director or officer of the corporation has been successful on the merits or otherwise in defense of any generally indemnifiable action, suit, or proceeding, that such person will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2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Further, we have entered into or intend to enter into indemnification agreements with each of our directors, executive officers and certain other employees. Subject to certain limitations, these indemnification agreements will require us, among other things, to indemnify such directors and executive officers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these persons in advance of the final disposition of the action, suit, or proceeding. We believe that these indemnification agreements are necessary to attract and retain qualified individuals to serve as directors and executive officers.</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limitation of liability and indemnification provisions that are expected to be included, or are included, in our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30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expect 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2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and/or indemnified against certain liabilities incurred in their capacity as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20"/>
          </w:cols>
          <w:pgMar w:left="320" w:top="1440" w:right="359" w:bottom="1440" w:gutter="0" w:footer="0" w:header="0"/>
        </w:sectPr>
      </w:pPr>
    </w:p>
    <w:bookmarkStart w:id="256" w:name="page257"/>
    <w:bookmarkEnd w:id="256"/>
    <w:p>
      <w:pPr>
        <w:spacing w:after="0" w:line="2"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 of 1933, as amended (the “Securities Act”).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15. Recent sales of unregistered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Since March 31, 2018, we made sales of the following unregistered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plan-related issuances</w:t>
      </w:r>
    </w:p>
    <w:p>
      <w:pPr>
        <w:spacing w:after="0" w:line="15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Since April 1, 2018, we granted our employees, consultants and other service providers options to purchase an aggregate of 53,467 shares of our common stock under our 2009 Equity Incentive Plan (“2009 Plan”), all at an exercise price of $9.69 per share.</w:t>
      </w:r>
    </w:p>
    <w:p>
      <w:pPr>
        <w:spacing w:after="0" w:line="113"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Since April 1, 2018, we issued and sold to our employees, consultants and other service providers an aggregate of 840,024 shares of our common stock upon the exercise of stock options under our 2009 Plan, at exercise prices ranging from $0.66 to $9.69 per share, for a weighted-average exercise price of $3.216 and aggregate consideration of approximately $2.7 million.</w:t>
      </w:r>
    </w:p>
    <w:p>
      <w:pPr>
        <w:spacing w:after="0" w:line="118"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color w:val="auto"/>
        </w:rPr>
        <w:t>Since April 1, 2018, we granted to our employees, consultants and other service providers options to purchase an aggregate of 1,063,307 shares of our common stock under our 2019 Stock Plan (“2019 Plan”), at exercise prices ranging from $9.69 to $129.67 per share. Of these shares, 67,199 were cancelled and reissued in June 2020 (the “Reissued Shares”) as part of a repricing from $25.18 and $32.88 per share to $15.97 per share. The Reissued Shares are included in the aggregate total mentioned above.</w:t>
      </w:r>
    </w:p>
    <w:p>
      <w:pPr>
        <w:spacing w:after="0" w:line="11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Since April 1, 2018, we issued and sold to our employees, consultants and other service providers an aggregate of 390,829 shares of our common stock upon the exercise of stock options under our 2019 Plan, at exercise prices ranging from $9.69 to $107.80 per share, for a weighted-average exercise price of $14.05 and aggregate consideration of approximately $5.5 million.</w:t>
      </w:r>
    </w:p>
    <w:p>
      <w:pPr>
        <w:spacing w:after="0" w:line="118"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color w:val="auto"/>
        </w:rPr>
        <w:t>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transactions by an issuer not involving a public offering. The recipients of such securities were our directors, employees or bona fide consultants and received the securities under our equity incentive plans. Appropriate legends were affixed to the securities issued in these transactions.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preferred stock and convertible promissory notes</w:t>
      </w:r>
    </w:p>
    <w:p>
      <w:pPr>
        <w:spacing w:after="0" w:line="153" w:lineRule="exact"/>
        <w:rPr>
          <w:sz w:val="20"/>
          <w:szCs w:val="20"/>
          <w:color w:val="auto"/>
        </w:rPr>
      </w:pPr>
    </w:p>
    <w:p>
      <w:pPr>
        <w:jc w:val="both"/>
        <w:ind w:right="240"/>
        <w:spacing w:after="0" w:line="268" w:lineRule="auto"/>
        <w:rPr>
          <w:sz w:val="20"/>
          <w:szCs w:val="20"/>
          <w:color w:val="auto"/>
        </w:rPr>
      </w:pPr>
      <w:r>
        <w:rPr>
          <w:rFonts w:ascii="Arial" w:cs="Arial" w:eastAsia="Arial" w:hAnsi="Arial"/>
          <w:sz w:val="16"/>
          <w:szCs w:val="16"/>
          <w:color w:val="auto"/>
        </w:rPr>
        <w:t>In April 2018, we sold 875,321 shares of our Series B preferred stock, 25,418 shares of our Series B-1 preferred stock and 64,014 shares of our Series C preferred stock to seven accredited investors at a purchase price of $24.4680 per share, for an aggregate purchase price of approximately $23.61 million.</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In April 2018, we issued convertible promissory notes with an annual interest rate of 13% in the aggregate principal amount of approximately $20 million to ten accredited investors.</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to information about us. No underwriters were involved in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240"/>
          </w:cols>
          <w:pgMar w:left="320" w:top="1440" w:right="339" w:bottom="1440" w:gutter="0" w:footer="0" w:header="0"/>
        </w:sectPr>
      </w:pPr>
    </w:p>
    <w:bookmarkStart w:id="257" w:name="page258"/>
    <w:bookmarkEnd w:id="257"/>
    <w:p>
      <w:pPr>
        <w:ind w:left="3"/>
        <w:spacing w:after="0"/>
        <w:rPr>
          <w:sz w:val="20"/>
          <w:szCs w:val="20"/>
          <w:color w:val="auto"/>
        </w:rPr>
      </w:pPr>
      <w:r>
        <w:rPr>
          <w:rFonts w:ascii="Arial" w:cs="Arial" w:eastAsia="Arial" w:hAnsi="Arial"/>
          <w:sz w:val="16"/>
          <w:szCs w:val="16"/>
          <w:b w:val="1"/>
          <w:bCs w:val="1"/>
          <w:i w:val="1"/>
          <w:iCs w:val="1"/>
          <w:color w:val="auto"/>
        </w:rPr>
        <w:t>Item 16. Exhibits and financial statements.</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(a) Exhibits</w:t>
      </w:r>
    </w:p>
    <w:p>
      <w:pPr>
        <w:spacing w:after="0" w:line="65"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9780" w:type="dxa"/>
            <w:vAlign w:val="bottom"/>
            <w:tcBorders>
              <w:top w:val="single" w:sz="8" w:color="auto"/>
            </w:tcBorders>
            <w:gridSpan w:val="20"/>
          </w:tcPr>
          <w:p>
            <w:pPr>
              <w:spacing w:after="0"/>
              <w:rPr>
                <w:sz w:val="20"/>
                <w:szCs w:val="20"/>
                <w:color w:val="auto"/>
              </w:rPr>
            </w:pPr>
            <w:r>
              <w:rPr>
                <w:rFonts w:ascii="Arial" w:cs="Arial" w:eastAsia="Arial" w:hAnsi="Arial"/>
                <w:sz w:val="13"/>
                <w:szCs w:val="13"/>
                <w:b w:val="1"/>
                <w:bCs w:val="1"/>
                <w:color w:val="auto"/>
              </w:rPr>
              <w:t>Name</w:t>
            </w:r>
          </w:p>
        </w:tc>
      </w:tr>
      <w:tr>
        <w:trPr>
          <w:trHeight w:val="199"/>
        </w:trPr>
        <w:tc>
          <w:tcPr>
            <w:tcW w:w="13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9780" w:type="dxa"/>
            <w:vAlign w:val="bottom"/>
            <w:tcBorders>
              <w:top w:val="single" w:sz="8" w:color="auto"/>
            </w:tcBorders>
            <w:gridSpan w:val="20"/>
          </w:tcPr>
          <w:p>
            <w:pPr>
              <w:spacing w:after="0"/>
              <w:rPr>
                <w:sz w:val="20"/>
                <w:szCs w:val="20"/>
                <w:color w:val="auto"/>
              </w:rPr>
            </w:pPr>
            <w:r>
              <w:rPr>
                <w:rFonts w:ascii="Arial" w:cs="Arial" w:eastAsia="Arial" w:hAnsi="Arial"/>
                <w:sz w:val="16"/>
                <w:szCs w:val="16"/>
                <w:color w:val="auto"/>
              </w:rPr>
              <w:t>Form of Underwriting Agreement.</w:t>
            </w:r>
          </w:p>
        </w:tc>
      </w:tr>
      <w:tr>
        <w:trPr>
          <w:trHeight w:val="219"/>
        </w:trPr>
        <w:tc>
          <w:tcPr>
            <w:tcW w:w="1380" w:type="dxa"/>
            <w:vAlign w:val="bottom"/>
          </w:tcPr>
          <w:p>
            <w:pPr>
              <w:ind w:left="1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9780" w:type="dxa"/>
            <w:vAlign w:val="bottom"/>
            <w:gridSpan w:val="20"/>
          </w:tcPr>
          <w:p>
            <w:pPr>
              <w:spacing w:after="0"/>
              <w:rPr>
                <w:sz w:val="20"/>
                <w:szCs w:val="20"/>
                <w:color w:val="auto"/>
              </w:rPr>
            </w:pPr>
            <w:r>
              <w:rPr>
                <w:rFonts w:ascii="Arial" w:cs="Arial" w:eastAsia="Arial" w:hAnsi="Arial"/>
                <w:sz w:val="16"/>
                <w:szCs w:val="16"/>
                <w:color w:val="auto"/>
              </w:rPr>
              <w:t>Amended and Restated Certificate of Incorporation of the Registrant, currently in effect, and form of Amendment to be in effect</w:t>
            </w:r>
          </w:p>
        </w:tc>
      </w:tr>
      <w:tr>
        <w:trPr>
          <w:trHeight w:val="195"/>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80" w:type="dxa"/>
            <w:vAlign w:val="bottom"/>
            <w:gridSpan w:val="20"/>
          </w:tcPr>
          <w:p>
            <w:pPr>
              <w:spacing w:after="0"/>
              <w:rPr>
                <w:sz w:val="20"/>
                <w:szCs w:val="20"/>
                <w:color w:val="auto"/>
              </w:rPr>
            </w:pPr>
            <w:r>
              <w:rPr>
                <w:rFonts w:ascii="Arial" w:cs="Arial" w:eastAsia="Arial" w:hAnsi="Arial"/>
                <w:sz w:val="16"/>
                <w:szCs w:val="16"/>
                <w:color w:val="auto"/>
              </w:rPr>
              <w:t>immediately prior to the effectiveness of this registration statement on Form S-1</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9780" w:type="dxa"/>
            <w:vAlign w:val="bottom"/>
            <w:gridSpan w:val="20"/>
          </w:tcPr>
          <w:p>
            <w:pPr>
              <w:spacing w:after="0"/>
              <w:rPr>
                <w:sz w:val="20"/>
                <w:szCs w:val="20"/>
                <w:color w:val="auto"/>
              </w:rPr>
            </w:pPr>
            <w:r>
              <w:rPr>
                <w:rFonts w:ascii="Arial" w:cs="Arial" w:eastAsia="Arial" w:hAnsi="Arial"/>
                <w:sz w:val="16"/>
                <w:szCs w:val="16"/>
                <w:color w:val="auto"/>
              </w:rPr>
              <w:t>Form of Amended and Restated Certificate of Incorporation of the Registrant, to be in effect upon completion of this offering.</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9780" w:type="dxa"/>
            <w:vAlign w:val="bottom"/>
            <w:gridSpan w:val="20"/>
          </w:tcPr>
          <w:p>
            <w:pPr>
              <w:spacing w:after="0"/>
              <w:rPr>
                <w:sz w:val="20"/>
                <w:szCs w:val="20"/>
                <w:color w:val="auto"/>
              </w:rPr>
            </w:pPr>
            <w:r>
              <w:rPr>
                <w:rFonts w:ascii="Arial" w:cs="Arial" w:eastAsia="Arial" w:hAnsi="Arial"/>
                <w:sz w:val="16"/>
                <w:szCs w:val="16"/>
                <w:color w:val="auto"/>
              </w:rPr>
              <w:t>Form of Amended and Restated Bylaws of the Registrant, to be in effect upon the completion of this offering.</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9780" w:type="dxa"/>
            <w:vAlign w:val="bottom"/>
            <w:gridSpan w:val="20"/>
          </w:tcPr>
          <w:p>
            <w:pPr>
              <w:spacing w:after="0"/>
              <w:rPr>
                <w:sz w:val="20"/>
                <w:szCs w:val="20"/>
                <w:color w:val="auto"/>
              </w:rPr>
            </w:pPr>
            <w:r>
              <w:rPr>
                <w:rFonts w:ascii="Arial" w:cs="Arial" w:eastAsia="Arial" w:hAnsi="Arial"/>
                <w:sz w:val="16"/>
                <w:szCs w:val="16"/>
                <w:color w:val="auto"/>
              </w:rPr>
              <w:t>Form of Class A Common Stock Certificate.</w:t>
            </w:r>
          </w:p>
        </w:tc>
      </w:tr>
      <w:tr>
        <w:trPr>
          <w:trHeight w:val="220"/>
        </w:trPr>
        <w:tc>
          <w:tcPr>
            <w:tcW w:w="1380" w:type="dxa"/>
            <w:vAlign w:val="bottom"/>
          </w:tcPr>
          <w:p>
            <w:pPr>
              <w:ind w:left="1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9780" w:type="dxa"/>
            <w:vAlign w:val="bottom"/>
            <w:gridSpan w:val="20"/>
          </w:tcPr>
          <w:p>
            <w:pPr>
              <w:spacing w:after="0"/>
              <w:rPr>
                <w:rFonts w:ascii="Arial" w:cs="Arial" w:eastAsia="Arial" w:hAnsi="Arial"/>
                <w:sz w:val="16"/>
                <w:szCs w:val="16"/>
                <w:color w:val="0000FF"/>
              </w:rPr>
            </w:pPr>
            <w:hyperlink w:anchor="page261">
              <w:r>
                <w:rPr>
                  <w:rFonts w:ascii="Arial" w:cs="Arial" w:eastAsia="Arial" w:hAnsi="Arial"/>
                  <w:sz w:val="16"/>
                  <w:szCs w:val="16"/>
                  <w:color w:val="0000FF"/>
                </w:rPr>
                <w:t>Amended and Restated Investors’ Rights Agreement, dated as of January 22, 2015, by and among the Registrant and certain of its</w:t>
              </w:r>
            </w:hyperlink>
          </w:p>
        </w:tc>
      </w:tr>
      <w:tr>
        <w:trPr>
          <w:trHeight w:val="13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0" w:type="dxa"/>
            <w:vAlign w:val="bottom"/>
            <w:tcBorders>
              <w:top w:val="single" w:sz="8" w:color="0000FF"/>
            </w:tcBorders>
            <w:gridSpan w:val="16"/>
          </w:tcPr>
          <w:p>
            <w:pPr>
              <w:spacing w:after="0" w:line="138" w:lineRule="exact"/>
              <w:rPr>
                <w:rFonts w:ascii="Arial" w:cs="Arial" w:eastAsia="Arial" w:hAnsi="Arial"/>
                <w:sz w:val="16"/>
                <w:szCs w:val="16"/>
                <w:color w:val="0000FF"/>
              </w:rPr>
            </w:pPr>
            <w:hyperlink w:anchor="page261">
              <w:r>
                <w:rPr>
                  <w:rFonts w:ascii="Arial" w:cs="Arial" w:eastAsia="Arial" w:hAnsi="Arial"/>
                  <w:sz w:val="16"/>
                  <w:szCs w:val="16"/>
                  <w:color w:val="0000FF"/>
                </w:rPr>
                <w:t>stockholders.</w:t>
              </w:r>
            </w:hyperlink>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9780" w:type="dxa"/>
            <w:vAlign w:val="bottom"/>
            <w:gridSpan w:val="20"/>
          </w:tcPr>
          <w:p>
            <w:pPr>
              <w:spacing w:after="0"/>
              <w:rPr>
                <w:rFonts w:ascii="Arial" w:cs="Arial" w:eastAsia="Arial" w:hAnsi="Arial"/>
                <w:sz w:val="16"/>
                <w:szCs w:val="16"/>
                <w:color w:val="0000FF"/>
              </w:rPr>
            </w:pPr>
            <w:hyperlink w:anchor="page297">
              <w:r>
                <w:rPr>
                  <w:rFonts w:ascii="Arial" w:cs="Arial" w:eastAsia="Arial" w:hAnsi="Arial"/>
                  <w:sz w:val="16"/>
                  <w:szCs w:val="16"/>
                  <w:color w:val="0000FF"/>
                </w:rPr>
                <w:t>Warrant to Purchase Common Stock, dated September 19, 2013, by and between the Registrant and Silicon Valley Bank.</w:t>
              </w:r>
            </w:hyperlink>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8680" w:type="dxa"/>
            <w:vAlign w:val="bottom"/>
            <w:tcBorders>
              <w:top w:val="single" w:sz="8" w:color="0000FF"/>
              <w:bottom w:val="single" w:sz="8" w:color="0000FF"/>
            </w:tcBorders>
            <w:gridSpan w:val="14"/>
          </w:tcPr>
          <w:p>
            <w:pPr>
              <w:spacing w:after="0"/>
              <w:rPr>
                <w:rFonts w:ascii="Arial" w:cs="Arial" w:eastAsia="Arial" w:hAnsi="Arial"/>
                <w:sz w:val="16"/>
                <w:szCs w:val="16"/>
                <w:color w:val="0000FF"/>
              </w:rPr>
            </w:pPr>
            <w:hyperlink w:anchor="page310">
              <w:r>
                <w:rPr>
                  <w:rFonts w:ascii="Arial" w:cs="Arial" w:eastAsia="Arial" w:hAnsi="Arial"/>
                  <w:sz w:val="16"/>
                  <w:szCs w:val="16"/>
                  <w:color w:val="0000FF"/>
                </w:rPr>
                <w:t>Warrant to Purchase Common Stock, dated December 20, 2016, by and between the Registrant and Silicon Valley Bank.</w:t>
              </w:r>
            </w:hyperlink>
          </w:p>
        </w:tc>
        <w:tc>
          <w:tcPr>
            <w:tcW w:w="40" w:type="dxa"/>
            <w:vAlign w:val="bottom"/>
            <w:tcBorders>
              <w:top w:val="single" w:sz="8" w:color="0000FF"/>
            </w:tcBorders>
          </w:tcPr>
          <w:p>
            <w:pPr>
              <w:spacing w:after="0"/>
              <w:rPr>
                <w:sz w:val="20"/>
                <w:szCs w:val="20"/>
                <w:color w:val="auto"/>
              </w:rPr>
            </w:pPr>
          </w:p>
        </w:tc>
        <w:tc>
          <w:tcPr>
            <w:tcW w:w="1060" w:type="dxa"/>
            <w:vAlign w:val="bottom"/>
            <w:gridSpan w:val="5"/>
          </w:tcPr>
          <w:p>
            <w:pPr>
              <w:spacing w:after="0"/>
              <w:rPr>
                <w:sz w:val="20"/>
                <w:szCs w:val="20"/>
                <w:color w:val="auto"/>
              </w:rPr>
            </w:pPr>
          </w:p>
        </w:tc>
      </w:tr>
      <w:tr>
        <w:trPr>
          <w:trHeight w:val="272"/>
        </w:trPr>
        <w:tc>
          <w:tcPr>
            <w:tcW w:w="1380" w:type="dxa"/>
            <w:vAlign w:val="bottom"/>
          </w:tcPr>
          <w:p>
            <w:pPr>
              <w:ind w:left="1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3"/>
                <w:szCs w:val="23"/>
                <w:color w:val="auto"/>
              </w:rPr>
            </w:pPr>
          </w:p>
        </w:tc>
        <w:tc>
          <w:tcPr>
            <w:tcW w:w="9780" w:type="dxa"/>
            <w:vAlign w:val="bottom"/>
            <w:gridSpan w:val="20"/>
          </w:tcPr>
          <w:p>
            <w:pPr>
              <w:spacing w:after="0"/>
              <w:rPr>
                <w:sz w:val="20"/>
                <w:szCs w:val="20"/>
                <w:color w:val="auto"/>
              </w:rPr>
            </w:pPr>
            <w:r>
              <w:rPr>
                <w:rFonts w:ascii="Arial" w:cs="Arial" w:eastAsia="Arial" w:hAnsi="Arial"/>
                <w:sz w:val="16"/>
                <w:szCs w:val="16"/>
                <w:color w:val="auto"/>
              </w:rPr>
              <w:t>Opinion of Latham &amp; Watkins LLP.</w:t>
            </w:r>
          </w:p>
        </w:tc>
      </w:tr>
      <w:tr>
        <w:trPr>
          <w:trHeight w:val="220"/>
        </w:trPr>
        <w:tc>
          <w:tcPr>
            <w:tcW w:w="1380" w:type="dxa"/>
            <w:vAlign w:val="bottom"/>
          </w:tcPr>
          <w:p>
            <w:pPr>
              <w:ind w:left="12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9"/>
                <w:szCs w:val="19"/>
                <w:color w:val="auto"/>
              </w:rPr>
            </w:pPr>
          </w:p>
        </w:tc>
        <w:tc>
          <w:tcPr>
            <w:tcW w:w="9780" w:type="dxa"/>
            <w:vAlign w:val="bottom"/>
            <w:gridSpan w:val="20"/>
          </w:tcPr>
          <w:p>
            <w:pPr>
              <w:spacing w:after="0"/>
              <w:rPr>
                <w:rFonts w:ascii="Arial" w:cs="Arial" w:eastAsia="Arial" w:hAnsi="Arial"/>
                <w:sz w:val="16"/>
                <w:szCs w:val="16"/>
                <w:color w:val="0000FF"/>
              </w:rPr>
            </w:pPr>
            <w:hyperlink w:anchor="page323">
              <w:r>
                <w:rPr>
                  <w:rFonts w:ascii="Arial" w:cs="Arial" w:eastAsia="Arial" w:hAnsi="Arial"/>
                  <w:sz w:val="16"/>
                  <w:szCs w:val="16"/>
                  <w:color w:val="0000FF"/>
                </w:rPr>
                <w:t>Form of Expensify Voting Trust Agreement, to be effective immediately prior to the effectiveness of this registration statement on Form</w:t>
              </w:r>
            </w:hyperlink>
          </w:p>
        </w:tc>
      </w:tr>
      <w:tr>
        <w:trPr>
          <w:trHeight w:val="13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20" w:type="dxa"/>
            <w:vAlign w:val="bottom"/>
            <w:tcBorders>
              <w:top w:val="single" w:sz="8" w:color="0000FF"/>
            </w:tcBorders>
            <w:gridSpan w:val="17"/>
          </w:tcPr>
          <w:p>
            <w:pPr>
              <w:spacing w:after="0" w:line="138" w:lineRule="exact"/>
              <w:rPr>
                <w:rFonts w:ascii="Arial" w:cs="Arial" w:eastAsia="Arial" w:hAnsi="Arial"/>
                <w:sz w:val="16"/>
                <w:szCs w:val="16"/>
                <w:color w:val="0000FF"/>
              </w:rPr>
            </w:pPr>
            <w:hyperlink w:anchor="page323">
              <w:r>
                <w:rPr>
                  <w:rFonts w:ascii="Arial" w:cs="Arial" w:eastAsia="Arial" w:hAnsi="Arial"/>
                  <w:sz w:val="16"/>
                  <w:szCs w:val="16"/>
                  <w:color w:val="0000FF"/>
                </w:rPr>
                <w:t>S-1.</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9780" w:type="dxa"/>
            <w:vAlign w:val="bottom"/>
            <w:gridSpan w:val="20"/>
          </w:tcPr>
          <w:p>
            <w:pPr>
              <w:spacing w:after="0"/>
              <w:rPr>
                <w:rFonts w:ascii="Arial" w:cs="Arial" w:eastAsia="Arial" w:hAnsi="Arial"/>
                <w:sz w:val="16"/>
                <w:szCs w:val="16"/>
                <w:color w:val="0000FF"/>
              </w:rPr>
            </w:pPr>
            <w:hyperlink w:anchor="page343">
              <w:r>
                <w:rPr>
                  <w:rFonts w:ascii="Arial" w:cs="Arial" w:eastAsia="Arial" w:hAnsi="Arial"/>
                  <w:sz w:val="16"/>
                  <w:szCs w:val="16"/>
                  <w:color w:val="0000FF"/>
                </w:rPr>
                <w:t>Amended and Restated Loan and Security Agreement, dated as of September 21, 2021, by and between the Registrant, the Borrowers</w:t>
              </w:r>
            </w:hyperlink>
          </w:p>
        </w:tc>
      </w:tr>
      <w:tr>
        <w:trPr>
          <w:trHeight w:val="13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700" w:type="dxa"/>
            <w:vAlign w:val="bottom"/>
            <w:tcBorders>
              <w:top w:val="single" w:sz="8" w:color="0000FF"/>
            </w:tcBorders>
            <w:gridSpan w:val="18"/>
          </w:tcPr>
          <w:p>
            <w:pPr>
              <w:spacing w:after="0" w:line="138" w:lineRule="exact"/>
              <w:rPr>
                <w:rFonts w:ascii="Arial" w:cs="Arial" w:eastAsia="Arial" w:hAnsi="Arial"/>
                <w:sz w:val="16"/>
                <w:szCs w:val="16"/>
                <w:color w:val="0000FF"/>
              </w:rPr>
            </w:pPr>
            <w:hyperlink w:anchor="page343">
              <w:r>
                <w:rPr>
                  <w:rFonts w:ascii="Arial" w:cs="Arial" w:eastAsia="Arial" w:hAnsi="Arial"/>
                  <w:sz w:val="16"/>
                  <w:szCs w:val="16"/>
                  <w:color w:val="0000FF"/>
                </w:rPr>
                <w:t>party thereto, and Canadian Imperial Bank of Commerce.</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9780" w:type="dxa"/>
            <w:vAlign w:val="bottom"/>
            <w:gridSpan w:val="20"/>
          </w:tcPr>
          <w:p>
            <w:pPr>
              <w:spacing w:after="0"/>
              <w:rPr>
                <w:rFonts w:ascii="Arial" w:cs="Arial" w:eastAsia="Arial" w:hAnsi="Arial"/>
                <w:sz w:val="16"/>
                <w:szCs w:val="16"/>
                <w:color w:val="0000FF"/>
              </w:rPr>
            </w:pPr>
            <w:hyperlink w:anchor="page412">
              <w:r>
                <w:rPr>
                  <w:rFonts w:ascii="Arial" w:cs="Arial" w:eastAsia="Arial" w:hAnsi="Arial"/>
                  <w:sz w:val="16"/>
                  <w:szCs w:val="16"/>
                  <w:color w:val="0000FF"/>
                </w:rPr>
                <w:t>Loan Agreement, dated as of August 22, 2019, by and between the Borrower party thereto, the Registrant, as Guarantor, and Canadian</w:t>
              </w:r>
            </w:hyperlink>
          </w:p>
        </w:tc>
      </w:tr>
      <w:tr>
        <w:trPr>
          <w:trHeight w:val="13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720" w:type="dxa"/>
            <w:vAlign w:val="bottom"/>
            <w:tcBorders>
              <w:top w:val="single" w:sz="8" w:color="0000FF"/>
            </w:tcBorders>
            <w:gridSpan w:val="19"/>
          </w:tcPr>
          <w:p>
            <w:pPr>
              <w:spacing w:after="0" w:line="138" w:lineRule="exact"/>
              <w:rPr>
                <w:rFonts w:ascii="Arial" w:cs="Arial" w:eastAsia="Arial" w:hAnsi="Arial"/>
                <w:sz w:val="16"/>
                <w:szCs w:val="16"/>
                <w:color w:val="0000FF"/>
              </w:rPr>
            </w:pPr>
            <w:hyperlink w:anchor="page412">
              <w:r>
                <w:rPr>
                  <w:rFonts w:ascii="Arial" w:cs="Arial" w:eastAsia="Arial" w:hAnsi="Arial"/>
                  <w:sz w:val="16"/>
                  <w:szCs w:val="16"/>
                  <w:color w:val="0000FF"/>
                </w:rPr>
                <w:t>Imperial Bank of Commerce.</w:t>
              </w:r>
            </w:hyperlink>
          </w:p>
        </w:tc>
        <w:tc>
          <w:tcPr>
            <w:tcW w:w="60" w:type="dxa"/>
            <w:vAlign w:val="bottom"/>
          </w:tcPr>
          <w:p>
            <w:pPr>
              <w:spacing w:after="0"/>
              <w:rPr>
                <w:sz w:val="12"/>
                <w:szCs w:val="12"/>
                <w:color w:val="auto"/>
              </w:rPr>
            </w:pPr>
          </w:p>
        </w:tc>
      </w:tr>
      <w:tr>
        <w:trPr>
          <w:trHeight w:val="20"/>
        </w:trPr>
        <w:tc>
          <w:tcPr>
            <w:tcW w:w="1480" w:type="dxa"/>
            <w:vAlign w:val="bottom"/>
            <w:gridSpan w:val="2"/>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r>
      <w:tr>
        <w:trPr>
          <w:trHeight w:val="236"/>
        </w:trPr>
        <w:tc>
          <w:tcPr>
            <w:tcW w:w="1480" w:type="dxa"/>
            <w:vAlign w:val="bottom"/>
            <w:gridSpan w:val="2"/>
          </w:tcPr>
          <w:p>
            <w:pPr>
              <w:ind w:left="120"/>
              <w:spacing w:after="0" w:line="236" w:lineRule="exact"/>
              <w:rPr>
                <w:sz w:val="20"/>
                <w:szCs w:val="20"/>
                <w:color w:val="auto"/>
              </w:rPr>
            </w:pPr>
            <w:r>
              <w:rPr>
                <w:rFonts w:ascii="Arial" w:cs="Arial" w:eastAsia="Arial" w:hAnsi="Arial"/>
                <w:sz w:val="16"/>
                <w:szCs w:val="16"/>
                <w:color w:val="auto"/>
              </w:rPr>
              <w:t>10.3</w:t>
            </w:r>
            <w:r>
              <w:rPr>
                <w:rFonts w:ascii="Arial" w:cs="Arial" w:eastAsia="Arial" w:hAnsi="Arial"/>
                <w:sz w:val="21"/>
                <w:szCs w:val="21"/>
                <w:color w:val="auto"/>
                <w:vertAlign w:val="superscript"/>
              </w:rPr>
              <w:t>†</w:t>
            </w:r>
          </w:p>
        </w:tc>
        <w:tc>
          <w:tcPr>
            <w:tcW w:w="9780" w:type="dxa"/>
            <w:vAlign w:val="bottom"/>
            <w:gridSpan w:val="20"/>
          </w:tcPr>
          <w:p>
            <w:pPr>
              <w:spacing w:after="0"/>
              <w:rPr>
                <w:rFonts w:ascii="Arial" w:cs="Arial" w:eastAsia="Arial" w:hAnsi="Arial"/>
                <w:sz w:val="16"/>
                <w:szCs w:val="16"/>
                <w:color w:val="0000FF"/>
              </w:rPr>
            </w:pPr>
            <w:hyperlink w:anchor="page444">
              <w:r>
                <w:rPr>
                  <w:rFonts w:ascii="Arial" w:cs="Arial" w:eastAsia="Arial" w:hAnsi="Arial"/>
                  <w:sz w:val="16"/>
                  <w:szCs w:val="16"/>
                  <w:color w:val="0000FF"/>
                </w:rPr>
                <w:t>Employment Agreement by and between the Registrant and David Barrett.</w:t>
              </w:r>
            </w:hyperlink>
          </w:p>
        </w:tc>
      </w:tr>
      <w:tr>
        <w:trPr>
          <w:trHeight w:val="20"/>
        </w:trPr>
        <w:tc>
          <w:tcPr>
            <w:tcW w:w="1480" w:type="dxa"/>
            <w:vAlign w:val="bottom"/>
            <w:gridSpan w:val="2"/>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r>
      <w:tr>
        <w:trPr>
          <w:trHeight w:val="236"/>
        </w:trPr>
        <w:tc>
          <w:tcPr>
            <w:tcW w:w="1480" w:type="dxa"/>
            <w:vAlign w:val="bottom"/>
            <w:gridSpan w:val="2"/>
          </w:tcPr>
          <w:p>
            <w:pPr>
              <w:ind w:left="120"/>
              <w:spacing w:after="0" w:line="236" w:lineRule="exact"/>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tc>
        <w:tc>
          <w:tcPr>
            <w:tcW w:w="5420" w:type="dxa"/>
            <w:vAlign w:val="bottom"/>
            <w:tcBorders>
              <w:bottom w:val="single" w:sz="8" w:color="0000FF"/>
            </w:tcBorders>
            <w:gridSpan w:val="12"/>
          </w:tcPr>
          <w:p>
            <w:pPr>
              <w:spacing w:after="0"/>
              <w:rPr>
                <w:rFonts w:ascii="Arial" w:cs="Arial" w:eastAsia="Arial" w:hAnsi="Arial"/>
                <w:sz w:val="16"/>
                <w:szCs w:val="16"/>
                <w:color w:val="0000FF"/>
              </w:rPr>
            </w:pPr>
            <w:hyperlink w:anchor="page450">
              <w:r>
                <w:rPr>
                  <w:rFonts w:ascii="Arial" w:cs="Arial" w:eastAsia="Arial" w:hAnsi="Arial"/>
                  <w:sz w:val="16"/>
                  <w:szCs w:val="16"/>
                  <w:color w:val="0000FF"/>
                </w:rPr>
                <w:t>Employment Agreement by and between the Registrant and Ryan Schaffer.</w:t>
              </w:r>
            </w:hyperlink>
          </w:p>
        </w:tc>
        <w:tc>
          <w:tcPr>
            <w:tcW w:w="4360" w:type="dxa"/>
            <w:vAlign w:val="bottom"/>
            <w:gridSpan w:val="8"/>
          </w:tcPr>
          <w:p>
            <w:pPr>
              <w:spacing w:after="0"/>
              <w:rPr>
                <w:sz w:val="20"/>
                <w:szCs w:val="20"/>
                <w:color w:val="auto"/>
              </w:rPr>
            </w:pPr>
          </w:p>
        </w:tc>
      </w:tr>
      <w:tr>
        <w:trPr>
          <w:trHeight w:val="236"/>
        </w:trPr>
        <w:tc>
          <w:tcPr>
            <w:tcW w:w="1480" w:type="dxa"/>
            <w:vAlign w:val="bottom"/>
            <w:gridSpan w:val="2"/>
          </w:tcPr>
          <w:p>
            <w:pPr>
              <w:ind w:left="120"/>
              <w:spacing w:after="0" w:line="236" w:lineRule="exact"/>
              <w:rPr>
                <w:sz w:val="20"/>
                <w:szCs w:val="20"/>
                <w:color w:val="auto"/>
              </w:rPr>
            </w:pPr>
            <w:r>
              <w:rPr>
                <w:rFonts w:ascii="Arial" w:cs="Arial" w:eastAsia="Arial" w:hAnsi="Arial"/>
                <w:sz w:val="16"/>
                <w:szCs w:val="16"/>
                <w:color w:val="auto"/>
              </w:rPr>
              <w:t>10.5</w:t>
            </w:r>
            <w:r>
              <w:rPr>
                <w:rFonts w:ascii="Arial" w:cs="Arial" w:eastAsia="Arial" w:hAnsi="Arial"/>
                <w:sz w:val="21"/>
                <w:szCs w:val="21"/>
                <w:color w:val="auto"/>
                <w:vertAlign w:val="superscript"/>
              </w:rPr>
              <w:t>†</w:t>
            </w:r>
          </w:p>
        </w:tc>
        <w:tc>
          <w:tcPr>
            <w:tcW w:w="6100" w:type="dxa"/>
            <w:vAlign w:val="bottom"/>
            <w:tcBorders>
              <w:bottom w:val="single" w:sz="8" w:color="0000FF"/>
            </w:tcBorders>
            <w:gridSpan w:val="13"/>
          </w:tcPr>
          <w:p>
            <w:pPr>
              <w:spacing w:after="0"/>
              <w:rPr>
                <w:rFonts w:ascii="Arial" w:cs="Arial" w:eastAsia="Arial" w:hAnsi="Arial"/>
                <w:sz w:val="16"/>
                <w:szCs w:val="16"/>
                <w:color w:val="0000FF"/>
              </w:rPr>
            </w:pPr>
            <w:hyperlink w:anchor="page455">
              <w:r>
                <w:rPr>
                  <w:rFonts w:ascii="Arial" w:cs="Arial" w:eastAsia="Arial" w:hAnsi="Arial"/>
                  <w:sz w:val="16"/>
                  <w:szCs w:val="16"/>
                  <w:color w:val="0000FF"/>
                </w:rPr>
                <w:t>Employment Agreement by and between the Registrant and Anuradha Muralidharan.</w:t>
              </w:r>
            </w:hyperlink>
          </w:p>
        </w:tc>
        <w:tc>
          <w:tcPr>
            <w:tcW w:w="3680" w:type="dxa"/>
            <w:vAlign w:val="bottom"/>
            <w:gridSpan w:val="7"/>
          </w:tcPr>
          <w:p>
            <w:pPr>
              <w:spacing w:after="0"/>
              <w:rPr>
                <w:sz w:val="20"/>
                <w:szCs w:val="20"/>
                <w:color w:val="auto"/>
              </w:rPr>
            </w:pPr>
          </w:p>
        </w:tc>
      </w:tr>
      <w:tr>
        <w:trPr>
          <w:trHeight w:val="332"/>
        </w:trPr>
        <w:tc>
          <w:tcPr>
            <w:tcW w:w="1480" w:type="dxa"/>
            <w:vAlign w:val="bottom"/>
            <w:gridSpan w:val="2"/>
          </w:tcPr>
          <w:p>
            <w:pPr>
              <w:ind w:left="120"/>
              <w:spacing w:after="0"/>
              <w:rPr>
                <w:sz w:val="20"/>
                <w:szCs w:val="20"/>
                <w:color w:val="auto"/>
              </w:rPr>
            </w:pPr>
            <w:r>
              <w:rPr>
                <w:rFonts w:ascii="Arial" w:cs="Arial" w:eastAsia="Arial" w:hAnsi="Arial"/>
                <w:sz w:val="16"/>
                <w:szCs w:val="16"/>
                <w:color w:val="auto"/>
              </w:rPr>
              <w:t>10.6*</w:t>
            </w:r>
            <w:r>
              <w:rPr>
                <w:rFonts w:ascii="Arial" w:cs="Arial" w:eastAsia="Arial" w:hAnsi="Arial"/>
                <w:sz w:val="21"/>
                <w:szCs w:val="21"/>
                <w:color w:val="auto"/>
                <w:vertAlign w:val="superscript"/>
              </w:rPr>
              <w:t>†</w:t>
            </w:r>
          </w:p>
        </w:tc>
        <w:tc>
          <w:tcPr>
            <w:tcW w:w="9780" w:type="dxa"/>
            <w:vAlign w:val="bottom"/>
            <w:gridSpan w:val="20"/>
          </w:tcPr>
          <w:p>
            <w:pPr>
              <w:spacing w:after="0"/>
              <w:rPr>
                <w:sz w:val="20"/>
                <w:szCs w:val="20"/>
                <w:color w:val="auto"/>
              </w:rPr>
            </w:pPr>
            <w:r>
              <w:rPr>
                <w:rFonts w:ascii="Arial" w:cs="Arial" w:eastAsia="Arial" w:hAnsi="Arial"/>
                <w:sz w:val="16"/>
                <w:szCs w:val="16"/>
                <w:color w:val="auto"/>
              </w:rPr>
              <w:t>2021 Incentive Award Plan</w:t>
            </w:r>
          </w:p>
        </w:tc>
      </w:tr>
      <w:tr>
        <w:trPr>
          <w:trHeight w:val="256"/>
        </w:trPr>
        <w:tc>
          <w:tcPr>
            <w:tcW w:w="1480" w:type="dxa"/>
            <w:vAlign w:val="bottom"/>
            <w:gridSpan w:val="2"/>
          </w:tcPr>
          <w:p>
            <w:pPr>
              <w:ind w:left="120"/>
              <w:spacing w:after="0"/>
              <w:rPr>
                <w:sz w:val="20"/>
                <w:szCs w:val="20"/>
                <w:color w:val="auto"/>
              </w:rPr>
            </w:pPr>
            <w:r>
              <w:rPr>
                <w:rFonts w:ascii="Arial" w:cs="Arial" w:eastAsia="Arial" w:hAnsi="Arial"/>
                <w:sz w:val="16"/>
                <w:szCs w:val="16"/>
                <w:color w:val="auto"/>
              </w:rPr>
              <w:t>10.7*</w:t>
            </w:r>
            <w:r>
              <w:rPr>
                <w:rFonts w:ascii="Arial" w:cs="Arial" w:eastAsia="Arial" w:hAnsi="Arial"/>
                <w:sz w:val="21"/>
                <w:szCs w:val="21"/>
                <w:color w:val="auto"/>
                <w:vertAlign w:val="superscript"/>
              </w:rPr>
              <w:t>†</w:t>
            </w:r>
          </w:p>
        </w:tc>
        <w:tc>
          <w:tcPr>
            <w:tcW w:w="9780" w:type="dxa"/>
            <w:vAlign w:val="bottom"/>
            <w:gridSpan w:val="20"/>
          </w:tcPr>
          <w:p>
            <w:pPr>
              <w:spacing w:after="0"/>
              <w:rPr>
                <w:sz w:val="20"/>
                <w:szCs w:val="20"/>
                <w:color w:val="auto"/>
              </w:rPr>
            </w:pPr>
            <w:r>
              <w:rPr>
                <w:rFonts w:ascii="Arial" w:cs="Arial" w:eastAsia="Arial" w:hAnsi="Arial"/>
                <w:sz w:val="16"/>
                <w:szCs w:val="16"/>
                <w:color w:val="auto"/>
              </w:rPr>
              <w:t>2021 Employee Stock Purchase Plan</w:t>
            </w:r>
          </w:p>
        </w:tc>
      </w:tr>
      <w:tr>
        <w:trPr>
          <w:trHeight w:val="256"/>
        </w:trPr>
        <w:tc>
          <w:tcPr>
            <w:tcW w:w="1480" w:type="dxa"/>
            <w:vAlign w:val="bottom"/>
            <w:gridSpan w:val="2"/>
          </w:tcPr>
          <w:p>
            <w:pPr>
              <w:ind w:left="120"/>
              <w:spacing w:after="0"/>
              <w:rPr>
                <w:sz w:val="20"/>
                <w:szCs w:val="20"/>
                <w:color w:val="auto"/>
              </w:rPr>
            </w:pPr>
            <w:r>
              <w:rPr>
                <w:rFonts w:ascii="Arial" w:cs="Arial" w:eastAsia="Arial" w:hAnsi="Arial"/>
                <w:sz w:val="16"/>
                <w:szCs w:val="16"/>
                <w:color w:val="auto"/>
              </w:rPr>
              <w:t>10.8*</w:t>
            </w:r>
            <w:r>
              <w:rPr>
                <w:rFonts w:ascii="Arial" w:cs="Arial" w:eastAsia="Arial" w:hAnsi="Arial"/>
                <w:sz w:val="21"/>
                <w:szCs w:val="21"/>
                <w:color w:val="auto"/>
                <w:vertAlign w:val="superscript"/>
              </w:rPr>
              <w:t>†</w:t>
            </w:r>
          </w:p>
        </w:tc>
        <w:tc>
          <w:tcPr>
            <w:tcW w:w="9780" w:type="dxa"/>
            <w:vAlign w:val="bottom"/>
            <w:gridSpan w:val="20"/>
          </w:tcPr>
          <w:p>
            <w:pPr>
              <w:spacing w:after="0"/>
              <w:rPr>
                <w:sz w:val="20"/>
                <w:szCs w:val="20"/>
                <w:color w:val="auto"/>
              </w:rPr>
            </w:pPr>
            <w:r>
              <w:rPr>
                <w:rFonts w:ascii="Arial" w:cs="Arial" w:eastAsia="Arial" w:hAnsi="Arial"/>
                <w:sz w:val="16"/>
                <w:szCs w:val="16"/>
                <w:color w:val="auto"/>
              </w:rPr>
              <w:t>Non-Employee Director Compensation Program</w:t>
            </w:r>
          </w:p>
        </w:tc>
      </w:tr>
      <w:tr>
        <w:trPr>
          <w:trHeight w:val="195"/>
        </w:trPr>
        <w:tc>
          <w:tcPr>
            <w:tcW w:w="1380" w:type="dxa"/>
            <w:vAlign w:val="bottom"/>
          </w:tcPr>
          <w:p>
            <w:pPr>
              <w:ind w:left="1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6"/>
                <w:szCs w:val="16"/>
                <w:color w:val="auto"/>
              </w:rPr>
            </w:pPr>
          </w:p>
        </w:tc>
        <w:tc>
          <w:tcPr>
            <w:tcW w:w="9780" w:type="dxa"/>
            <w:vAlign w:val="bottom"/>
            <w:gridSpan w:val="20"/>
          </w:tcPr>
          <w:p>
            <w:pPr>
              <w:spacing w:after="0"/>
              <w:rPr>
                <w:sz w:val="20"/>
                <w:szCs w:val="20"/>
                <w:color w:val="auto"/>
              </w:rPr>
            </w:pPr>
            <w:r>
              <w:rPr>
                <w:rFonts w:ascii="Arial" w:cs="Arial" w:eastAsia="Arial" w:hAnsi="Arial"/>
                <w:sz w:val="16"/>
                <w:szCs w:val="16"/>
                <w:color w:val="auto"/>
              </w:rPr>
              <w:t>List of Subsidiaries of the Registrant.</w:t>
            </w:r>
          </w:p>
        </w:tc>
      </w:tr>
      <w:tr>
        <w:trPr>
          <w:trHeight w:val="220"/>
        </w:trPr>
        <w:tc>
          <w:tcPr>
            <w:tcW w:w="1380" w:type="dxa"/>
            <w:vAlign w:val="bottom"/>
          </w:tcPr>
          <w:p>
            <w:pPr>
              <w:ind w:left="1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9"/>
                <w:szCs w:val="19"/>
                <w:color w:val="auto"/>
              </w:rPr>
            </w:pPr>
          </w:p>
        </w:tc>
        <w:tc>
          <w:tcPr>
            <w:tcW w:w="9780" w:type="dxa"/>
            <w:vAlign w:val="bottom"/>
            <w:gridSpan w:val="20"/>
          </w:tcPr>
          <w:p>
            <w:pPr>
              <w:spacing w:after="0"/>
              <w:rPr>
                <w:rFonts w:ascii="Arial" w:cs="Arial" w:eastAsia="Arial" w:hAnsi="Arial"/>
                <w:sz w:val="16"/>
                <w:szCs w:val="16"/>
                <w:color w:val="0000FF"/>
              </w:rPr>
            </w:pPr>
            <w:hyperlink w:anchor="page460">
              <w:r>
                <w:rPr>
                  <w:rFonts w:ascii="Arial" w:cs="Arial" w:eastAsia="Arial" w:hAnsi="Arial"/>
                  <w:sz w:val="16"/>
                  <w:szCs w:val="16"/>
                  <w:color w:val="0000FF"/>
                </w:rPr>
                <w:t>Consent of Ernst &amp; Young LLP as to the Registrant.</w:t>
              </w:r>
            </w:hyperlink>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r>
      <w:tr>
        <w:trPr>
          <w:trHeight w:val="272"/>
        </w:trPr>
        <w:tc>
          <w:tcPr>
            <w:tcW w:w="1380" w:type="dxa"/>
            <w:vAlign w:val="bottom"/>
          </w:tcPr>
          <w:p>
            <w:pPr>
              <w:ind w:left="12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3"/>
                <w:szCs w:val="23"/>
                <w:color w:val="auto"/>
              </w:rPr>
            </w:pPr>
          </w:p>
        </w:tc>
        <w:tc>
          <w:tcPr>
            <w:tcW w:w="9780" w:type="dxa"/>
            <w:vAlign w:val="bottom"/>
            <w:gridSpan w:val="20"/>
          </w:tcPr>
          <w:p>
            <w:pPr>
              <w:spacing w:after="0"/>
              <w:rPr>
                <w:sz w:val="20"/>
                <w:szCs w:val="20"/>
                <w:color w:val="auto"/>
              </w:rPr>
            </w:pPr>
            <w:r>
              <w:rPr>
                <w:rFonts w:ascii="Arial" w:cs="Arial" w:eastAsia="Arial" w:hAnsi="Arial"/>
                <w:sz w:val="16"/>
                <w:szCs w:val="16"/>
                <w:color w:val="auto"/>
              </w:rPr>
              <w:t>Consent of Latham &amp; Watkins LLP (included in Exhibit 5.1).</w:t>
            </w:r>
          </w:p>
        </w:tc>
      </w:tr>
      <w:tr>
        <w:trPr>
          <w:trHeight w:val="220"/>
        </w:trPr>
        <w:tc>
          <w:tcPr>
            <w:tcW w:w="1380" w:type="dxa"/>
            <w:vAlign w:val="bottom"/>
          </w:tcPr>
          <w:p>
            <w:pPr>
              <w:ind w:left="12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9"/>
                <w:szCs w:val="19"/>
                <w:color w:val="auto"/>
              </w:rPr>
            </w:pPr>
          </w:p>
        </w:tc>
        <w:tc>
          <w:tcPr>
            <w:tcW w:w="9780" w:type="dxa"/>
            <w:vAlign w:val="bottom"/>
            <w:gridSpan w:val="20"/>
          </w:tcPr>
          <w:p>
            <w:pPr>
              <w:spacing w:after="0"/>
              <w:rPr>
                <w:rFonts w:ascii="Arial" w:cs="Arial" w:eastAsia="Arial" w:hAnsi="Arial"/>
                <w:sz w:val="16"/>
                <w:szCs w:val="16"/>
                <w:color w:val="0000FF"/>
              </w:rPr>
            </w:pPr>
            <w:hyperlink w:anchor="page259">
              <w:r>
                <w:rPr>
                  <w:rFonts w:ascii="Arial" w:cs="Arial" w:eastAsia="Arial" w:hAnsi="Arial"/>
                  <w:sz w:val="16"/>
                  <w:szCs w:val="16"/>
                  <w:color w:val="0000FF"/>
                </w:rPr>
                <w:t>Power of Attorney (included on signature page).</w:t>
              </w:r>
            </w:hyperlink>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0"/>
                <w:szCs w:val="20"/>
                <w:color w:val="auto"/>
              </w:rPr>
            </w:pPr>
          </w:p>
        </w:tc>
        <w:tc>
          <w:tcPr>
            <w:tcW w:w="9780" w:type="dxa"/>
            <w:vAlign w:val="bottom"/>
            <w:gridSpan w:val="20"/>
          </w:tcPr>
          <w:p>
            <w:pPr>
              <w:spacing w:after="0"/>
              <w:rPr>
                <w:rFonts w:ascii="Arial" w:cs="Arial" w:eastAsia="Arial" w:hAnsi="Arial"/>
                <w:sz w:val="16"/>
                <w:szCs w:val="16"/>
                <w:color w:val="0000FF"/>
              </w:rPr>
            </w:pPr>
            <w:hyperlink w:anchor="page461">
              <w:r>
                <w:rPr>
                  <w:rFonts w:ascii="Arial" w:cs="Arial" w:eastAsia="Arial" w:hAnsi="Arial"/>
                  <w:sz w:val="16"/>
                  <w:szCs w:val="16"/>
                  <w:color w:val="0000FF"/>
                </w:rPr>
                <w:t xml:space="preserve">Consent to be Named as Director Nominee </w:t>
              </w:r>
            </w:hyperlink>
            <w:r>
              <w:rPr>
                <w:rFonts w:ascii="Arial" w:cs="Arial" w:eastAsia="Arial" w:hAnsi="Arial"/>
                <w:sz w:val="16"/>
                <w:szCs w:val="16"/>
                <w:color w:val="0000FF"/>
              </w:rPr>
              <w:t xml:space="preserve">(Timothy </w:t>
            </w:r>
            <w:hyperlink w:anchor="page461">
              <w:r>
                <w:rPr>
                  <w:rFonts w:ascii="Arial" w:cs="Arial" w:eastAsia="Arial" w:hAnsi="Arial"/>
                  <w:sz w:val="16"/>
                  <w:szCs w:val="16"/>
                  <w:color w:val="0000FF"/>
                </w:rPr>
                <w:t>Christen)</w:t>
              </w:r>
            </w:hyperlink>
            <w:r>
              <w:rPr>
                <w:rFonts w:ascii="Arial" w:cs="Arial" w:eastAsia="Arial" w:hAnsi="Arial"/>
                <w:sz w:val="16"/>
                <w:szCs w:val="16"/>
                <w:color w:val="000000"/>
              </w:rPr>
              <w:t>.</w:t>
            </w: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0"/>
                <w:szCs w:val="20"/>
                <w:color w:val="auto"/>
              </w:rPr>
            </w:pPr>
          </w:p>
        </w:tc>
        <w:tc>
          <w:tcPr>
            <w:tcW w:w="4480" w:type="dxa"/>
            <w:vAlign w:val="bottom"/>
            <w:tcBorders>
              <w:top w:val="single" w:sz="8" w:color="0000FF"/>
            </w:tcBorders>
            <w:gridSpan w:val="9"/>
          </w:tcPr>
          <w:p>
            <w:pPr>
              <w:spacing w:after="0"/>
              <w:rPr>
                <w:rFonts w:ascii="Arial" w:cs="Arial" w:eastAsia="Arial" w:hAnsi="Arial"/>
                <w:sz w:val="16"/>
                <w:szCs w:val="16"/>
                <w:color w:val="0000FF"/>
              </w:rPr>
            </w:pPr>
            <w:hyperlink w:anchor="page462">
              <w:r>
                <w:rPr>
                  <w:rFonts w:ascii="Arial" w:cs="Arial" w:eastAsia="Arial" w:hAnsi="Arial"/>
                  <w:sz w:val="16"/>
                  <w:szCs w:val="16"/>
                  <w:color w:val="0000FF"/>
                </w:rPr>
                <w:t>Consent to be Named as Director Nominee (Ying Liu)</w:t>
              </w:r>
            </w:hyperlink>
            <w:r>
              <w:rPr>
                <w:rFonts w:ascii="Arial" w:cs="Arial" w:eastAsia="Arial" w:hAnsi="Arial"/>
                <w:sz w:val="16"/>
                <w:szCs w:val="16"/>
                <w:color w:val="000000"/>
              </w:rPr>
              <w:t>.</w:t>
            </w:r>
          </w:p>
        </w:tc>
        <w:tc>
          <w:tcPr>
            <w:tcW w:w="5300" w:type="dxa"/>
            <w:vAlign w:val="bottom"/>
            <w:gridSpan w:val="11"/>
          </w:tcPr>
          <w:p>
            <w:pPr>
              <w:spacing w:after="0"/>
              <w:rPr>
                <w:sz w:val="20"/>
                <w:szCs w:val="20"/>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4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0"/>
                <w:szCs w:val="20"/>
                <w:color w:val="auto"/>
              </w:rPr>
            </w:pPr>
          </w:p>
        </w:tc>
        <w:tc>
          <w:tcPr>
            <w:tcW w:w="9780" w:type="dxa"/>
            <w:vAlign w:val="bottom"/>
            <w:gridSpan w:val="20"/>
          </w:tcPr>
          <w:p>
            <w:pPr>
              <w:spacing w:after="0"/>
              <w:rPr>
                <w:rFonts w:ascii="Arial" w:cs="Arial" w:eastAsia="Arial" w:hAnsi="Arial"/>
                <w:sz w:val="16"/>
                <w:szCs w:val="16"/>
                <w:color w:val="0000FF"/>
              </w:rPr>
            </w:pPr>
            <w:hyperlink w:anchor="page463">
              <w:r>
                <w:rPr>
                  <w:rFonts w:ascii="Arial" w:cs="Arial" w:eastAsia="Arial" w:hAnsi="Arial"/>
                  <w:sz w:val="16"/>
                  <w:szCs w:val="16"/>
                  <w:color w:val="0000FF"/>
                </w:rPr>
                <w:t>Consent to be Named as Director Nominee (Jason Mills)</w:t>
              </w:r>
            </w:hyperlink>
            <w:r>
              <w:rPr>
                <w:rFonts w:ascii="Arial" w:cs="Arial" w:eastAsia="Arial" w:hAnsi="Arial"/>
                <w:sz w:val="16"/>
                <w:szCs w:val="16"/>
                <w:color w:val="000000"/>
              </w:rPr>
              <w:t>.</w:t>
            </w: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20"/>
                <w:szCs w:val="20"/>
                <w:color w:val="auto"/>
              </w:rPr>
            </w:pPr>
          </w:p>
        </w:tc>
        <w:tc>
          <w:tcPr>
            <w:tcW w:w="9780" w:type="dxa"/>
            <w:vAlign w:val="bottom"/>
            <w:gridSpan w:val="20"/>
          </w:tcPr>
          <w:p>
            <w:pPr>
              <w:spacing w:after="0"/>
              <w:rPr>
                <w:rFonts w:ascii="Arial" w:cs="Arial" w:eastAsia="Arial" w:hAnsi="Arial"/>
                <w:sz w:val="16"/>
                <w:szCs w:val="16"/>
                <w:color w:val="0000FF"/>
              </w:rPr>
            </w:pPr>
            <w:hyperlink w:anchor="page464">
              <w:r>
                <w:rPr>
                  <w:rFonts w:ascii="Arial" w:cs="Arial" w:eastAsia="Arial" w:hAnsi="Arial"/>
                  <w:sz w:val="16"/>
                  <w:szCs w:val="16"/>
                  <w:color w:val="0000FF"/>
                </w:rPr>
                <w:t>Consent to be Named as Director Nominee (Anuradha Muralidharan)</w:t>
              </w:r>
            </w:hyperlink>
            <w:r>
              <w:rPr>
                <w:rFonts w:ascii="Arial" w:cs="Arial" w:eastAsia="Arial" w:hAnsi="Arial"/>
                <w:sz w:val="16"/>
                <w:szCs w:val="16"/>
                <w:color w:val="000000"/>
              </w:rPr>
              <w:t>.</w:t>
            </w: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20"/>
                <w:szCs w:val="20"/>
                <w:color w:val="auto"/>
              </w:rPr>
            </w:pPr>
          </w:p>
        </w:tc>
        <w:tc>
          <w:tcPr>
            <w:tcW w:w="4960" w:type="dxa"/>
            <w:vAlign w:val="bottom"/>
            <w:tcBorders>
              <w:top w:val="single" w:sz="8" w:color="0000FF"/>
            </w:tcBorders>
            <w:gridSpan w:val="10"/>
          </w:tcPr>
          <w:p>
            <w:pPr>
              <w:spacing w:after="0"/>
              <w:rPr>
                <w:rFonts w:ascii="Arial" w:cs="Arial" w:eastAsia="Arial" w:hAnsi="Arial"/>
                <w:sz w:val="16"/>
                <w:szCs w:val="16"/>
                <w:color w:val="0000FF"/>
              </w:rPr>
            </w:pPr>
            <w:hyperlink w:anchor="page465">
              <w:r>
                <w:rPr>
                  <w:rFonts w:ascii="Arial" w:cs="Arial" w:eastAsia="Arial" w:hAnsi="Arial"/>
                  <w:sz w:val="16"/>
                  <w:szCs w:val="16"/>
                  <w:color w:val="0000FF"/>
                </w:rPr>
                <w:t>Consent to be Named as Director Nominee (Ellen Pao)</w:t>
              </w:r>
            </w:hyperlink>
            <w:r>
              <w:rPr>
                <w:rFonts w:ascii="Arial" w:cs="Arial" w:eastAsia="Arial" w:hAnsi="Arial"/>
                <w:sz w:val="16"/>
                <w:szCs w:val="16"/>
                <w:color w:val="000000"/>
              </w:rPr>
              <w:t>.</w:t>
            </w:r>
          </w:p>
        </w:tc>
        <w:tc>
          <w:tcPr>
            <w:tcW w:w="4820" w:type="dxa"/>
            <w:vAlign w:val="bottom"/>
            <w:gridSpan w:val="10"/>
          </w:tcPr>
          <w:p>
            <w:pPr>
              <w:spacing w:after="0"/>
              <w:rPr>
                <w:sz w:val="20"/>
                <w:szCs w:val="20"/>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20" w:type="dxa"/>
            <w:vAlign w:val="bottom"/>
            <w:gridSpan w:val="12"/>
          </w:tcPr>
          <w:p>
            <w:pPr>
              <w:spacing w:after="0" w:line="20" w:lineRule="exact"/>
              <w:rPr>
                <w:sz w:val="1"/>
                <w:szCs w:val="1"/>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20"/>
                <w:szCs w:val="20"/>
                <w:color w:val="auto"/>
              </w:rPr>
            </w:pPr>
          </w:p>
        </w:tc>
        <w:tc>
          <w:tcPr>
            <w:tcW w:w="9780" w:type="dxa"/>
            <w:vAlign w:val="bottom"/>
            <w:gridSpan w:val="20"/>
          </w:tcPr>
          <w:p>
            <w:pPr>
              <w:spacing w:after="0"/>
              <w:rPr>
                <w:rFonts w:ascii="Arial" w:cs="Arial" w:eastAsia="Arial" w:hAnsi="Arial"/>
                <w:sz w:val="16"/>
                <w:szCs w:val="16"/>
                <w:color w:val="0000FF"/>
              </w:rPr>
            </w:pPr>
            <w:hyperlink w:anchor="page466">
              <w:r>
                <w:rPr>
                  <w:rFonts w:ascii="Arial" w:cs="Arial" w:eastAsia="Arial" w:hAnsi="Arial"/>
                  <w:sz w:val="16"/>
                  <w:szCs w:val="16"/>
                  <w:color w:val="0000FF"/>
                </w:rPr>
                <w:t>Consent to be Named as Director Nominee (Daniel Vidal)</w:t>
              </w:r>
            </w:hyperlink>
          </w:p>
        </w:tc>
      </w:tr>
      <w:tr>
        <w:trPr>
          <w:trHeight w:val="65"/>
        </w:trPr>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top w:val="single" w:sz="8" w:color="0000FF"/>
              <w:bottom w:val="single" w:sz="8" w:color="auto"/>
            </w:tcBorders>
          </w:tcPr>
          <w:p>
            <w:pPr>
              <w:spacing w:after="0"/>
              <w:rPr>
                <w:sz w:val="5"/>
                <w:szCs w:val="5"/>
                <w:color w:val="auto"/>
              </w:rPr>
            </w:pPr>
          </w:p>
        </w:tc>
        <w:tc>
          <w:tcPr>
            <w:tcW w:w="660" w:type="dxa"/>
            <w:vAlign w:val="bottom"/>
            <w:tcBorders>
              <w:top w:val="single" w:sz="8" w:color="0000FF"/>
              <w:bottom w:val="single" w:sz="8" w:color="auto"/>
            </w:tcBorders>
          </w:tcPr>
          <w:p>
            <w:pPr>
              <w:spacing w:after="0"/>
              <w:rPr>
                <w:sz w:val="5"/>
                <w:szCs w:val="5"/>
                <w:color w:val="auto"/>
              </w:rPr>
            </w:pPr>
          </w:p>
        </w:tc>
        <w:tc>
          <w:tcPr>
            <w:tcW w:w="1100" w:type="dxa"/>
            <w:vAlign w:val="bottom"/>
            <w:tcBorders>
              <w:top w:val="single" w:sz="8" w:color="0000FF"/>
              <w:bottom w:val="single" w:sz="8" w:color="auto"/>
            </w:tcBorders>
          </w:tcPr>
          <w:p>
            <w:pPr>
              <w:spacing w:after="0"/>
              <w:rPr>
                <w:sz w:val="5"/>
                <w:szCs w:val="5"/>
                <w:color w:val="auto"/>
              </w:rPr>
            </w:pPr>
          </w:p>
        </w:tc>
        <w:tc>
          <w:tcPr>
            <w:tcW w:w="1380" w:type="dxa"/>
            <w:vAlign w:val="bottom"/>
            <w:tcBorders>
              <w:top w:val="single" w:sz="8" w:color="0000FF"/>
              <w:bottom w:val="single" w:sz="8" w:color="auto"/>
            </w:tcBorders>
          </w:tcPr>
          <w:p>
            <w:pPr>
              <w:spacing w:after="0"/>
              <w:rPr>
                <w:sz w:val="5"/>
                <w:szCs w:val="5"/>
                <w:color w:val="auto"/>
              </w:rPr>
            </w:pPr>
          </w:p>
        </w:tc>
        <w:tc>
          <w:tcPr>
            <w:tcW w:w="260" w:type="dxa"/>
            <w:vAlign w:val="bottom"/>
            <w:tcBorders>
              <w:top w:val="single" w:sz="8" w:color="0000FF"/>
              <w:bottom w:val="single" w:sz="8" w:color="auto"/>
            </w:tcBorders>
          </w:tcPr>
          <w:p>
            <w:pPr>
              <w:spacing w:after="0"/>
              <w:rPr>
                <w:sz w:val="5"/>
                <w:szCs w:val="5"/>
                <w:color w:val="auto"/>
              </w:rPr>
            </w:pPr>
          </w:p>
        </w:tc>
        <w:tc>
          <w:tcPr>
            <w:tcW w:w="140" w:type="dxa"/>
            <w:vAlign w:val="bottom"/>
            <w:tcBorders>
              <w:top w:val="single" w:sz="8" w:color="0000FF"/>
              <w:bottom w:val="single" w:sz="8" w:color="auto"/>
            </w:tcBorders>
          </w:tcPr>
          <w:p>
            <w:pPr>
              <w:spacing w:after="0"/>
              <w:rPr>
                <w:sz w:val="5"/>
                <w:szCs w:val="5"/>
                <w:color w:val="auto"/>
              </w:rPr>
            </w:pPr>
          </w:p>
        </w:tc>
        <w:tc>
          <w:tcPr>
            <w:tcW w:w="120" w:type="dxa"/>
            <w:vAlign w:val="bottom"/>
            <w:tcBorders>
              <w:top w:val="single" w:sz="8" w:color="0000FF"/>
              <w:bottom w:val="single" w:sz="8" w:color="auto"/>
            </w:tcBorders>
          </w:tcPr>
          <w:p>
            <w:pPr>
              <w:spacing w:after="0"/>
              <w:rPr>
                <w:sz w:val="5"/>
                <w:szCs w:val="5"/>
                <w:color w:val="auto"/>
              </w:rPr>
            </w:pPr>
          </w:p>
        </w:tc>
        <w:tc>
          <w:tcPr>
            <w:tcW w:w="100" w:type="dxa"/>
            <w:vAlign w:val="bottom"/>
            <w:tcBorders>
              <w:top w:val="single" w:sz="8" w:color="0000FF"/>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bl>
    <w:p>
      <w:pPr>
        <w:spacing w:after="0" w:line="85" w:lineRule="exact"/>
        <w:rPr>
          <w:sz w:val="20"/>
          <w:szCs w:val="20"/>
          <w:color w:val="auto"/>
        </w:rPr>
      </w:pPr>
    </w:p>
    <w:p>
      <w:pPr>
        <w:ind w:left="283" w:hanging="283"/>
        <w:spacing w:after="0"/>
        <w:tabs>
          <w:tab w:leader="none" w:pos="283"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8" w:lineRule="exact"/>
        <w:rPr>
          <w:rFonts w:ascii="Arial" w:cs="Arial" w:eastAsia="Arial" w:hAnsi="Arial"/>
          <w:sz w:val="12"/>
          <w:szCs w:val="12"/>
          <w:color w:val="auto"/>
        </w:rPr>
      </w:pPr>
    </w:p>
    <w:p>
      <w:pPr>
        <w:ind w:left="3"/>
        <w:spacing w:after="0"/>
        <w:rPr>
          <w:rFonts w:ascii="Arial" w:cs="Arial" w:eastAsia="Arial" w:hAnsi="Arial"/>
          <w:sz w:val="12"/>
          <w:szCs w:val="12"/>
          <w:color w:val="auto"/>
        </w:rPr>
      </w:pPr>
      <w:r>
        <w:rPr>
          <w:rFonts w:ascii="Arial" w:cs="Arial" w:eastAsia="Arial" w:hAnsi="Arial"/>
          <w:sz w:val="12"/>
          <w:szCs w:val="12"/>
          <w:color w:val="auto"/>
        </w:rPr>
        <w:t>#   Previously filed.</w:t>
      </w:r>
    </w:p>
    <w:p>
      <w:pPr>
        <w:spacing w:after="0" w:line="8" w:lineRule="exact"/>
        <w:rPr>
          <w:rFonts w:ascii="Arial" w:cs="Arial" w:eastAsia="Arial" w:hAnsi="Arial"/>
          <w:sz w:val="12"/>
          <w:szCs w:val="12"/>
          <w:color w:val="auto"/>
        </w:rPr>
      </w:pPr>
    </w:p>
    <w:p>
      <w:pPr>
        <w:ind w:left="3"/>
        <w:spacing w:after="0"/>
        <w:rPr>
          <w:rFonts w:ascii="Arial" w:cs="Arial" w:eastAsia="Arial" w:hAnsi="Arial"/>
          <w:sz w:val="12"/>
          <w:szCs w:val="12"/>
          <w:color w:val="auto"/>
        </w:rPr>
      </w:pPr>
      <w:r>
        <w:rPr>
          <w:rFonts w:ascii="Arial" w:cs="Arial" w:eastAsia="Arial" w:hAnsi="Arial"/>
          <w:sz w:val="12"/>
          <w:szCs w:val="12"/>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263"/>
          </w:cols>
          <w:pgMar w:left="317" w:top="1422" w:right="319" w:bottom="1440" w:gutter="0" w:footer="0" w:header="0"/>
        </w:sectPr>
      </w:pPr>
    </w:p>
    <w:bookmarkStart w:id="258" w:name="page259"/>
    <w:bookmarkEnd w:id="258"/>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(b) Financial Statement Schedules</w:t>
      </w:r>
    </w:p>
    <w:p>
      <w:pPr>
        <w:spacing w:after="0" w:line="133" w:lineRule="exact"/>
        <w:rPr>
          <w:sz w:val="20"/>
          <w:szCs w:val="20"/>
          <w:color w:val="auto"/>
        </w:rPr>
      </w:pPr>
    </w:p>
    <w:p>
      <w:pPr>
        <w:ind w:left="3" w:right="620"/>
        <w:spacing w:after="0" w:line="268" w:lineRule="auto"/>
        <w:rPr>
          <w:sz w:val="20"/>
          <w:szCs w:val="20"/>
          <w:color w:val="auto"/>
        </w:rPr>
      </w:pPr>
      <w:r>
        <w:rPr>
          <w:rFonts w:ascii="Arial" w:cs="Arial" w:eastAsia="Arial" w:hAnsi="Arial"/>
          <w:sz w:val="16"/>
          <w:szCs w:val="16"/>
          <w:color w:val="auto"/>
        </w:rPr>
        <w:t>All schedules have been omitted because the information required to be set forth in the schedules is either not applicable or is shown in the financial statements or notes thereto.</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Item 17. Undertakings.</w:t>
      </w:r>
    </w:p>
    <w:p>
      <w:pPr>
        <w:spacing w:after="0" w:line="165" w:lineRule="exact"/>
        <w:rPr>
          <w:sz w:val="20"/>
          <w:szCs w:val="20"/>
          <w:color w:val="auto"/>
        </w:rPr>
      </w:pPr>
    </w:p>
    <w:p>
      <w:pPr>
        <w:ind w:left="283" w:hanging="283"/>
        <w:spacing w:after="0" w:line="256" w:lineRule="auto"/>
        <w:tabs>
          <w:tab w:leader="none" w:pos="27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undersigned Registrant hereby undertakes that:</w:t>
      </w:r>
    </w:p>
    <w:p>
      <w:pPr>
        <w:spacing w:after="0" w:line="145" w:lineRule="exact"/>
        <w:rPr>
          <w:sz w:val="20"/>
          <w:szCs w:val="20"/>
          <w:color w:val="auto"/>
        </w:rPr>
      </w:pPr>
    </w:p>
    <w:p>
      <w:pPr>
        <w:ind w:left="283" w:hanging="283"/>
        <w:spacing w:after="0" w:line="261" w:lineRule="auto"/>
        <w:tabs>
          <w:tab w:leader="none" w:pos="27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18" w:lineRule="exact"/>
        <w:rPr>
          <w:rFonts w:ascii="Arial" w:cs="Arial" w:eastAsia="Arial" w:hAnsi="Arial"/>
          <w:sz w:val="16"/>
          <w:szCs w:val="16"/>
          <w:color w:val="auto"/>
        </w:rPr>
      </w:pPr>
    </w:p>
    <w:p>
      <w:pPr>
        <w:ind w:left="283" w:right="60" w:hanging="283"/>
        <w:spacing w:after="0" w:line="261" w:lineRule="auto"/>
        <w:tabs>
          <w:tab w:leader="none" w:pos="27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243"/>
          </w:cols>
          <w:pgMar w:left="317" w:top="1440" w:right="339" w:bottom="1440" w:gutter="0" w:footer="0" w:header="0"/>
        </w:sectPr>
      </w:pPr>
    </w:p>
    <w:bookmarkStart w:id="259" w:name="page260"/>
    <w:bookmarkEnd w:id="259"/>
    <w:p>
      <w:pPr>
        <w:spacing w:after="0"/>
        <w:rPr>
          <w:sz w:val="20"/>
          <w:szCs w:val="20"/>
          <w:color w:val="auto"/>
        </w:rPr>
      </w:pPr>
      <w:r>
        <w:rPr>
          <w:rFonts w:ascii="Arial" w:cs="Arial" w:eastAsia="Arial" w:hAnsi="Arial"/>
          <w:sz w:val="26"/>
          <w:szCs w:val="26"/>
          <w:b w:val="1"/>
          <w:bCs w:val="1"/>
          <w:color w:val="auto"/>
        </w:rPr>
        <w:t>Signatures</w:t>
      </w:r>
    </w:p>
    <w:p>
      <w:pPr>
        <w:spacing w:after="0" w:line="296"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Portland, State of Oregon, on October 18, 2021.</w:t>
      </w:r>
    </w:p>
    <w:p>
      <w:pPr>
        <w:spacing w:after="0" w:line="149"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EXPENSIFY, INC.</w:t>
      </w:r>
    </w:p>
    <w:p>
      <w:pPr>
        <w:spacing w:after="0" w:line="218" w:lineRule="exact"/>
        <w:rPr>
          <w:sz w:val="20"/>
          <w:szCs w:val="20"/>
          <w:color w:val="auto"/>
        </w:rPr>
      </w:pPr>
    </w:p>
    <w:tbl>
      <w:tblPr>
        <w:tblLayout w:type="fixed"/>
        <w:tblInd w:w="622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Barrett</w:t>
            </w:r>
          </w:p>
        </w:tc>
      </w:tr>
      <w:tr>
        <w:trPr>
          <w:trHeight w:val="199"/>
        </w:trPr>
        <w:tc>
          <w:tcPr>
            <w:tcW w:w="860" w:type="dxa"/>
            <w:vAlign w:val="bottom"/>
          </w:tcPr>
          <w:p>
            <w:pPr>
              <w:spacing w:after="0"/>
              <w:rPr>
                <w:sz w:val="20"/>
                <w:szCs w:val="20"/>
                <w:color w:val="auto"/>
              </w:rPr>
            </w:pPr>
            <w:r>
              <w:rPr>
                <w:rFonts w:ascii="Arial" w:cs="Arial" w:eastAsia="Arial" w:hAnsi="Arial"/>
                <w:sz w:val="16"/>
                <w:szCs w:val="16"/>
                <w:color w:val="auto"/>
              </w:rPr>
              <w:t>Name:</w:t>
            </w:r>
          </w:p>
        </w:tc>
        <w:tc>
          <w:tcPr>
            <w:tcW w:w="4180" w:type="dxa"/>
            <w:vAlign w:val="bottom"/>
          </w:tcPr>
          <w:p>
            <w:pPr>
              <w:ind w:left="20"/>
              <w:spacing w:after="0"/>
              <w:rPr>
                <w:sz w:val="20"/>
                <w:szCs w:val="20"/>
                <w:color w:val="auto"/>
              </w:rPr>
            </w:pPr>
            <w:r>
              <w:rPr>
                <w:rFonts w:ascii="Arial" w:cs="Arial" w:eastAsia="Arial" w:hAnsi="Arial"/>
                <w:sz w:val="16"/>
                <w:szCs w:val="16"/>
                <w:color w:val="auto"/>
              </w:rPr>
              <w:t>David Barrett</w:t>
            </w:r>
          </w:p>
        </w:tc>
      </w:tr>
      <w:tr>
        <w:trPr>
          <w:trHeight w:val="207"/>
        </w:trPr>
        <w:tc>
          <w:tcPr>
            <w:tcW w:w="860" w:type="dxa"/>
            <w:vAlign w:val="bottom"/>
          </w:tcPr>
          <w:p>
            <w:pPr>
              <w:spacing w:after="0"/>
              <w:rPr>
                <w:sz w:val="20"/>
                <w:szCs w:val="20"/>
                <w:color w:val="auto"/>
              </w:rPr>
            </w:pPr>
            <w:r>
              <w:rPr>
                <w:rFonts w:ascii="Arial" w:cs="Arial" w:eastAsia="Arial" w:hAnsi="Arial"/>
                <w:sz w:val="16"/>
                <w:szCs w:val="16"/>
                <w:color w:val="auto"/>
              </w:rPr>
              <w:t>Title:</w:t>
            </w:r>
          </w:p>
        </w:tc>
        <w:tc>
          <w:tcPr>
            <w:tcW w:w="418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Power of attorney</w:t>
      </w:r>
    </w:p>
    <w:p>
      <w:pPr>
        <w:spacing w:after="0" w:line="296"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w:t>
      </w:r>
    </w:p>
    <w:p>
      <w:pPr>
        <w:spacing w:after="0" w:line="138" w:lineRule="exact"/>
        <w:rPr>
          <w:sz w:val="20"/>
          <w:szCs w:val="20"/>
          <w:color w:val="auto"/>
        </w:rPr>
      </w:pPr>
    </w:p>
    <w:p>
      <w:pPr>
        <w:ind w:left="1420"/>
        <w:spacing w:after="0"/>
        <w:tabs>
          <w:tab w:leader="none" w:pos="5940" w:val="left"/>
          <w:tab w:leader="none" w:pos="982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4565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407" w:right="319" w:bottom="1440" w:gutter="0" w:footer="0" w:header="0"/>
        </w:sect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jc w:val="center"/>
              <w:ind w:right="439"/>
              <w:spacing w:after="0"/>
              <w:rPr>
                <w:sz w:val="20"/>
                <w:szCs w:val="20"/>
                <w:color w:val="auto"/>
              </w:rPr>
            </w:pPr>
            <w:r>
              <w:rPr>
                <w:rFonts w:ascii="Arial" w:cs="Arial" w:eastAsia="Arial" w:hAnsi="Arial"/>
                <w:sz w:val="16"/>
                <w:szCs w:val="16"/>
                <w:color w:val="auto"/>
              </w:rPr>
              <w:t>/s/David Barrett</w:t>
            </w:r>
          </w:p>
        </w:tc>
      </w:tr>
      <w:tr>
        <w:trPr>
          <w:trHeight w:val="199"/>
        </w:trPr>
        <w:tc>
          <w:tcPr>
            <w:tcW w:w="500" w:type="dxa"/>
            <w:vAlign w:val="bottom"/>
          </w:tcPr>
          <w:p>
            <w:pPr>
              <w:spacing w:after="0"/>
              <w:rPr>
                <w:sz w:val="17"/>
                <w:szCs w:val="17"/>
                <w:color w:val="auto"/>
              </w:rPr>
            </w:pPr>
          </w:p>
        </w:tc>
        <w:tc>
          <w:tcPr>
            <w:tcW w:w="2960" w:type="dxa"/>
            <w:vAlign w:val="bottom"/>
          </w:tcPr>
          <w:p>
            <w:pPr>
              <w:jc w:val="center"/>
              <w:ind w:right="419"/>
              <w:spacing w:after="0"/>
              <w:rPr>
                <w:sz w:val="20"/>
                <w:szCs w:val="20"/>
                <w:color w:val="auto"/>
              </w:rPr>
            </w:pPr>
            <w:r>
              <w:rPr>
                <w:rFonts w:ascii="Arial" w:cs="Arial" w:eastAsia="Arial" w:hAnsi="Arial"/>
                <w:sz w:val="16"/>
                <w:szCs w:val="16"/>
                <w:color w:val="auto"/>
              </w:rPr>
              <w:t>David Barrett</w:t>
            </w:r>
          </w:p>
        </w:tc>
      </w:tr>
      <w:tr>
        <w:trPr>
          <w:trHeight w:val="341"/>
        </w:trPr>
        <w:tc>
          <w:tcPr>
            <w:tcW w:w="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439"/>
              <w:spacing w:after="0"/>
              <w:rPr>
                <w:sz w:val="20"/>
                <w:szCs w:val="20"/>
                <w:color w:val="auto"/>
              </w:rPr>
            </w:pPr>
            <w:r>
              <w:rPr>
                <w:rFonts w:ascii="Arial" w:cs="Arial" w:eastAsia="Arial" w:hAnsi="Arial"/>
                <w:sz w:val="16"/>
                <w:szCs w:val="16"/>
                <w:color w:val="auto"/>
              </w:rPr>
              <w:t>/s/Ryan Schaffer</w:t>
            </w:r>
          </w:p>
        </w:tc>
      </w:tr>
      <w:tr>
        <w:trPr>
          <w:trHeight w:val="199"/>
        </w:trPr>
        <w:tc>
          <w:tcPr>
            <w:tcW w:w="500" w:type="dxa"/>
            <w:vAlign w:val="bottom"/>
          </w:tcPr>
          <w:p>
            <w:pPr>
              <w:spacing w:after="0"/>
              <w:rPr>
                <w:sz w:val="17"/>
                <w:szCs w:val="17"/>
                <w:color w:val="auto"/>
              </w:rPr>
            </w:pPr>
          </w:p>
        </w:tc>
        <w:tc>
          <w:tcPr>
            <w:tcW w:w="2960" w:type="dxa"/>
            <w:vAlign w:val="bottom"/>
          </w:tcPr>
          <w:p>
            <w:pPr>
              <w:jc w:val="center"/>
              <w:ind w:right="419"/>
              <w:spacing w:after="0"/>
              <w:rPr>
                <w:sz w:val="20"/>
                <w:szCs w:val="20"/>
                <w:color w:val="auto"/>
              </w:rPr>
            </w:pPr>
            <w:r>
              <w:rPr>
                <w:rFonts w:ascii="Arial" w:cs="Arial" w:eastAsia="Arial" w:hAnsi="Arial"/>
                <w:sz w:val="16"/>
                <w:szCs w:val="16"/>
                <w:color w:val="auto"/>
              </w:rPr>
              <w:t>Ryan Schaffer</w:t>
            </w:r>
          </w:p>
        </w:tc>
      </w:tr>
      <w:tr>
        <w:trPr>
          <w:trHeight w:val="341"/>
        </w:trPr>
        <w:tc>
          <w:tcPr>
            <w:tcW w:w="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w w:val="95"/>
              </w:rPr>
              <w:t>*</w:t>
            </w:r>
          </w:p>
        </w:tc>
      </w:tr>
      <w:tr>
        <w:trPr>
          <w:trHeight w:val="199"/>
        </w:trPr>
        <w:tc>
          <w:tcPr>
            <w:tcW w:w="500" w:type="dxa"/>
            <w:vAlign w:val="bottom"/>
          </w:tcPr>
          <w:p>
            <w:pPr>
              <w:spacing w:after="0"/>
              <w:rPr>
                <w:sz w:val="17"/>
                <w:szCs w:val="17"/>
                <w:color w:val="auto"/>
              </w:rPr>
            </w:pPr>
          </w:p>
        </w:tc>
        <w:tc>
          <w:tcPr>
            <w:tcW w:w="2960" w:type="dxa"/>
            <w:vAlign w:val="bottom"/>
          </w:tcPr>
          <w:p>
            <w:pPr>
              <w:jc w:val="center"/>
              <w:ind w:right="439"/>
              <w:spacing w:after="0"/>
              <w:rPr>
                <w:sz w:val="20"/>
                <w:szCs w:val="20"/>
                <w:color w:val="auto"/>
              </w:rPr>
            </w:pPr>
            <w:r>
              <w:rPr>
                <w:rFonts w:ascii="Arial" w:cs="Arial" w:eastAsia="Arial" w:hAnsi="Arial"/>
                <w:sz w:val="16"/>
                <w:szCs w:val="16"/>
                <w:color w:val="auto"/>
              </w:rPr>
              <w:t>Blake Bartlett</w:t>
            </w:r>
          </w:p>
        </w:tc>
      </w:tr>
      <w:tr>
        <w:trPr>
          <w:trHeight w:val="341"/>
        </w:trPr>
        <w:tc>
          <w:tcPr>
            <w:tcW w:w="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w w:val="95"/>
              </w:rPr>
              <w:t>*</w:t>
            </w:r>
          </w:p>
        </w:tc>
      </w:tr>
      <w:tr>
        <w:trPr>
          <w:trHeight w:val="199"/>
        </w:trPr>
        <w:tc>
          <w:tcPr>
            <w:tcW w:w="500" w:type="dxa"/>
            <w:vAlign w:val="bottom"/>
          </w:tcPr>
          <w:p>
            <w:pPr>
              <w:spacing w:after="0"/>
              <w:rPr>
                <w:sz w:val="17"/>
                <w:szCs w:val="17"/>
                <w:color w:val="auto"/>
              </w:rPr>
            </w:pPr>
          </w:p>
        </w:tc>
        <w:tc>
          <w:tcPr>
            <w:tcW w:w="2960" w:type="dxa"/>
            <w:vAlign w:val="bottom"/>
          </w:tcPr>
          <w:p>
            <w:pPr>
              <w:jc w:val="center"/>
              <w:ind w:right="419"/>
              <w:spacing w:after="0"/>
              <w:rPr>
                <w:sz w:val="20"/>
                <w:szCs w:val="20"/>
                <w:color w:val="auto"/>
              </w:rPr>
            </w:pPr>
            <w:r>
              <w:rPr>
                <w:rFonts w:ascii="Arial" w:cs="Arial" w:eastAsia="Arial" w:hAnsi="Arial"/>
                <w:sz w:val="16"/>
                <w:szCs w:val="16"/>
                <w:color w:val="auto"/>
              </w:rPr>
              <w:t>Robert Lent</w:t>
            </w:r>
          </w:p>
        </w:tc>
      </w:tr>
      <w:tr>
        <w:trPr>
          <w:trHeight w:val="706"/>
        </w:trPr>
        <w:tc>
          <w:tcPr>
            <w:tcW w:w="500" w:type="dxa"/>
            <w:vAlign w:val="bottom"/>
          </w:tcPr>
          <w:p>
            <w:pPr>
              <w:ind w:left="20"/>
              <w:spacing w:after="0"/>
              <w:rPr>
                <w:sz w:val="20"/>
                <w:szCs w:val="20"/>
                <w:color w:val="auto"/>
              </w:rPr>
            </w:pPr>
            <w:r>
              <w:rPr>
                <w:rFonts w:ascii="Arial" w:cs="Arial" w:eastAsia="Arial" w:hAnsi="Arial"/>
                <w:sz w:val="16"/>
                <w:szCs w:val="16"/>
                <w:color w:val="auto"/>
              </w:rPr>
              <w:t>*By:</w:t>
            </w:r>
          </w:p>
        </w:tc>
        <w:tc>
          <w:tcPr>
            <w:tcW w:w="2960" w:type="dxa"/>
            <w:vAlign w:val="bottom"/>
          </w:tcPr>
          <w:p>
            <w:pPr>
              <w:ind w:left="200"/>
              <w:spacing w:after="0"/>
              <w:rPr>
                <w:sz w:val="20"/>
                <w:szCs w:val="20"/>
                <w:color w:val="auto"/>
              </w:rPr>
            </w:pPr>
            <w:r>
              <w:rPr>
                <w:rFonts w:ascii="Arial" w:cs="Arial" w:eastAsia="Arial" w:hAnsi="Arial"/>
                <w:sz w:val="16"/>
                <w:szCs w:val="16"/>
                <w:color w:val="auto"/>
              </w:rPr>
              <w:t>/s/ Ryan Schaffer</w:t>
            </w:r>
          </w:p>
        </w:tc>
      </w:tr>
      <w:tr>
        <w:trPr>
          <w:trHeight w:val="219"/>
        </w:trPr>
        <w:tc>
          <w:tcPr>
            <w:tcW w:w="50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Arial" w:cs="Arial" w:eastAsia="Arial" w:hAnsi="Arial"/>
                <w:sz w:val="16"/>
                <w:szCs w:val="16"/>
                <w:color w:val="auto"/>
              </w:rPr>
              <w:t>Ryan Schaffer</w:t>
            </w:r>
          </w:p>
        </w:tc>
      </w:tr>
      <w:tr>
        <w:trPr>
          <w:trHeight w:val="207"/>
        </w:trPr>
        <w:tc>
          <w:tcPr>
            <w:tcW w:w="50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6"/>
                <w:szCs w:val="16"/>
                <w:color w:val="auto"/>
              </w:rPr>
              <w:t>Attorney-in-Fact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-269875</wp:posOffset>
            </wp:positionV>
            <wp:extent cx="226568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2656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jc w:val="center"/>
              <w:ind w:right="399"/>
              <w:spacing w:after="0"/>
              <w:rPr>
                <w:sz w:val="20"/>
                <w:szCs w:val="20"/>
                <w:color w:val="auto"/>
              </w:rPr>
            </w:pPr>
            <w:r>
              <w:rPr>
                <w:rFonts w:ascii="Arial" w:cs="Arial" w:eastAsia="Arial" w:hAnsi="Arial"/>
                <w:sz w:val="16"/>
                <w:szCs w:val="16"/>
                <w:color w:val="auto"/>
              </w:rPr>
              <w:t>Chief Executive Officer and Director (Principal Executive Officer)</w:t>
            </w:r>
          </w:p>
        </w:tc>
        <w:tc>
          <w:tcPr>
            <w:tcW w:w="1740" w:type="dxa"/>
            <w:vAlign w:val="bottom"/>
          </w:tcPr>
          <w:p>
            <w:pPr>
              <w:ind w:left="480"/>
              <w:spacing w:after="0"/>
              <w:rPr>
                <w:sz w:val="20"/>
                <w:szCs w:val="20"/>
                <w:color w:val="auto"/>
              </w:rPr>
            </w:pPr>
            <w:r>
              <w:rPr>
                <w:rFonts w:ascii="Arial" w:cs="Arial" w:eastAsia="Arial" w:hAnsi="Arial"/>
                <w:sz w:val="16"/>
                <w:szCs w:val="16"/>
                <w:color w:val="auto"/>
              </w:rPr>
              <w:t>October 18, 2021</w:t>
            </w:r>
          </w:p>
        </w:tc>
        <w:tc>
          <w:tcPr>
            <w:tcW w:w="0" w:type="dxa"/>
            <w:vAlign w:val="bottom"/>
          </w:tcPr>
          <w:p>
            <w:pPr>
              <w:spacing w:after="0"/>
              <w:rPr>
                <w:sz w:val="1"/>
                <w:szCs w:val="1"/>
                <w:color w:val="auto"/>
              </w:rPr>
            </w:pPr>
          </w:p>
        </w:tc>
      </w:tr>
      <w:tr>
        <w:trPr>
          <w:trHeight w:val="438"/>
        </w:trPr>
        <w:tc>
          <w:tcPr>
            <w:tcW w:w="5100" w:type="dxa"/>
            <w:vAlign w:val="bottom"/>
          </w:tcPr>
          <w:p>
            <w:pPr>
              <w:jc w:val="center"/>
              <w:ind w:right="399"/>
              <w:spacing w:after="0"/>
              <w:rPr>
                <w:sz w:val="20"/>
                <w:szCs w:val="20"/>
                <w:color w:val="auto"/>
              </w:rPr>
            </w:pPr>
            <w:r>
              <w:rPr>
                <w:rFonts w:ascii="Arial" w:cs="Arial" w:eastAsia="Arial" w:hAnsi="Arial"/>
                <w:sz w:val="16"/>
                <w:szCs w:val="16"/>
                <w:color w:val="auto"/>
              </w:rPr>
              <w:t>Chief Financial Officer (Principal Financial Officer and Principal</w:t>
            </w:r>
          </w:p>
        </w:tc>
        <w:tc>
          <w:tcPr>
            <w:tcW w:w="1740" w:type="dxa"/>
            <w:vAlign w:val="bottom"/>
            <w:vMerge w:val="restart"/>
          </w:tcPr>
          <w:p>
            <w:pPr>
              <w:ind w:left="480"/>
              <w:spacing w:after="0"/>
              <w:rPr>
                <w:sz w:val="20"/>
                <w:szCs w:val="20"/>
                <w:color w:val="auto"/>
              </w:rPr>
            </w:pPr>
            <w:r>
              <w:rPr>
                <w:rFonts w:ascii="Arial" w:cs="Arial" w:eastAsia="Arial" w:hAnsi="Arial"/>
                <w:sz w:val="16"/>
                <w:szCs w:val="16"/>
                <w:color w:val="auto"/>
              </w:rPr>
              <w:t>October 18, 2021</w:t>
            </w:r>
          </w:p>
        </w:tc>
        <w:tc>
          <w:tcPr>
            <w:tcW w:w="0" w:type="dxa"/>
            <w:vAlign w:val="bottom"/>
          </w:tcPr>
          <w:p>
            <w:pPr>
              <w:spacing w:after="0"/>
              <w:rPr>
                <w:sz w:val="1"/>
                <w:szCs w:val="1"/>
                <w:color w:val="auto"/>
              </w:rPr>
            </w:pPr>
          </w:p>
        </w:tc>
      </w:tr>
      <w:tr>
        <w:trPr>
          <w:trHeight w:val="122"/>
        </w:trPr>
        <w:tc>
          <w:tcPr>
            <w:tcW w:w="5100" w:type="dxa"/>
            <w:vAlign w:val="bottom"/>
            <w:vMerge w:val="restart"/>
          </w:tcPr>
          <w:p>
            <w:pPr>
              <w:jc w:val="center"/>
              <w:ind w:right="399"/>
              <w:spacing w:after="0"/>
              <w:rPr>
                <w:sz w:val="20"/>
                <w:szCs w:val="20"/>
                <w:color w:val="auto"/>
              </w:rPr>
            </w:pPr>
            <w:r>
              <w:rPr>
                <w:rFonts w:ascii="Arial" w:cs="Arial" w:eastAsia="Arial" w:hAnsi="Arial"/>
                <w:sz w:val="16"/>
                <w:szCs w:val="16"/>
                <w:color w:val="auto"/>
              </w:rPr>
              <w:t>Accounting Officer)</w:t>
            </w: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100" w:type="dxa"/>
            <w:vAlign w:val="bottom"/>
            <w:vMerge w:val="continue"/>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7"/>
        </w:trPr>
        <w:tc>
          <w:tcPr>
            <w:tcW w:w="5100" w:type="dxa"/>
            <w:vAlign w:val="bottom"/>
          </w:tcPr>
          <w:p>
            <w:pPr>
              <w:jc w:val="center"/>
              <w:ind w:right="399"/>
              <w:spacing w:after="0"/>
              <w:rPr>
                <w:sz w:val="20"/>
                <w:szCs w:val="20"/>
                <w:color w:val="auto"/>
              </w:rPr>
            </w:pPr>
            <w:r>
              <w:rPr>
                <w:rFonts w:ascii="Arial" w:cs="Arial" w:eastAsia="Arial" w:hAnsi="Arial"/>
                <w:sz w:val="16"/>
                <w:szCs w:val="16"/>
                <w:color w:val="auto"/>
              </w:rPr>
              <w:t>Director</w:t>
            </w:r>
          </w:p>
        </w:tc>
        <w:tc>
          <w:tcPr>
            <w:tcW w:w="1740" w:type="dxa"/>
            <w:vAlign w:val="bottom"/>
          </w:tcPr>
          <w:p>
            <w:pPr>
              <w:ind w:left="480"/>
              <w:spacing w:after="0"/>
              <w:rPr>
                <w:sz w:val="20"/>
                <w:szCs w:val="20"/>
                <w:color w:val="auto"/>
              </w:rPr>
            </w:pPr>
            <w:r>
              <w:rPr>
                <w:rFonts w:ascii="Arial" w:cs="Arial" w:eastAsia="Arial" w:hAnsi="Arial"/>
                <w:sz w:val="16"/>
                <w:szCs w:val="16"/>
                <w:color w:val="auto"/>
              </w:rPr>
              <w:t>October 18, 2021</w:t>
            </w:r>
          </w:p>
        </w:tc>
        <w:tc>
          <w:tcPr>
            <w:tcW w:w="0" w:type="dxa"/>
            <w:vAlign w:val="bottom"/>
          </w:tcPr>
          <w:p>
            <w:pPr>
              <w:spacing w:after="0"/>
              <w:rPr>
                <w:sz w:val="1"/>
                <w:szCs w:val="1"/>
                <w:color w:val="auto"/>
              </w:rPr>
            </w:pPr>
          </w:p>
        </w:tc>
      </w:tr>
      <w:tr>
        <w:trPr>
          <w:trHeight w:val="560"/>
        </w:trPr>
        <w:tc>
          <w:tcPr>
            <w:tcW w:w="5100" w:type="dxa"/>
            <w:vAlign w:val="bottom"/>
          </w:tcPr>
          <w:p>
            <w:pPr>
              <w:jc w:val="center"/>
              <w:ind w:right="399"/>
              <w:spacing w:after="0"/>
              <w:rPr>
                <w:sz w:val="20"/>
                <w:szCs w:val="20"/>
                <w:color w:val="auto"/>
              </w:rPr>
            </w:pPr>
            <w:r>
              <w:rPr>
                <w:rFonts w:ascii="Arial" w:cs="Arial" w:eastAsia="Arial" w:hAnsi="Arial"/>
                <w:sz w:val="16"/>
                <w:szCs w:val="16"/>
                <w:color w:val="auto"/>
              </w:rPr>
              <w:t>Director</w:t>
            </w:r>
          </w:p>
        </w:tc>
        <w:tc>
          <w:tcPr>
            <w:tcW w:w="1740" w:type="dxa"/>
            <w:vAlign w:val="bottom"/>
          </w:tcPr>
          <w:p>
            <w:pPr>
              <w:ind w:left="480"/>
              <w:spacing w:after="0"/>
              <w:rPr>
                <w:sz w:val="20"/>
                <w:szCs w:val="20"/>
                <w:color w:val="auto"/>
              </w:rPr>
            </w:pPr>
            <w:r>
              <w:rPr>
                <w:rFonts w:ascii="Arial" w:cs="Arial" w:eastAsia="Arial" w:hAnsi="Arial"/>
                <w:sz w:val="16"/>
                <w:szCs w:val="16"/>
                <w:color w:val="auto"/>
              </w:rPr>
              <w:t>October 18, 2021</w:t>
            </w:r>
          </w:p>
        </w:tc>
        <w:tc>
          <w:tcPr>
            <w:tcW w:w="0" w:type="dxa"/>
            <w:vAlign w:val="bottom"/>
          </w:tcPr>
          <w:p>
            <w:pPr>
              <w:spacing w:after="0"/>
              <w:rPr>
                <w:sz w:val="1"/>
                <w:szCs w:val="1"/>
                <w:color w:val="auto"/>
              </w:rPr>
            </w:pPr>
          </w:p>
        </w:tc>
      </w:tr>
    </w:tbl>
    <w:p>
      <w:pPr>
        <w:spacing w:after="0" w:line="1442" w:lineRule="exact"/>
        <w:rPr>
          <w:sz w:val="20"/>
          <w:szCs w:val="20"/>
          <w:color w:val="auto"/>
        </w:rPr>
      </w:pPr>
    </w:p>
    <w:p>
      <w:pPr>
        <w:sectPr>
          <w:pgSz w:w="11900" w:h="16838" w:orient="portrait"/>
          <w:cols w:equalWidth="0" w:num="2">
            <w:col w:w="3460" w:space="320"/>
            <w:col w:w="7480"/>
          </w:cols>
          <w:pgMar w:left="320" w:top="140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260"/>
          </w:cols>
          <w:pgMar w:left="320" w:top="1407" w:right="319" w:bottom="1440" w:gutter="0" w:footer="0" w:header="0"/>
          <w:type w:val="continuous"/>
        </w:sectPr>
      </w:pPr>
    </w:p>
    <w:bookmarkStart w:id="260" w:name="page261"/>
    <w:bookmarkEnd w:id="260"/>
    <w:p>
      <w:pPr>
        <w:jc w:val="right"/>
        <w:spacing w:after="0"/>
        <w:rPr>
          <w:sz w:val="20"/>
          <w:szCs w:val="20"/>
          <w:color w:val="auto"/>
        </w:rPr>
      </w:pPr>
      <w:r>
        <w:rPr>
          <w:rFonts w:ascii="Arial" w:cs="Arial" w:eastAsia="Arial" w:hAnsi="Arial"/>
          <w:sz w:val="16"/>
          <w:szCs w:val="16"/>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EXPENSIFY, INC.</w:t>
      </w:r>
    </w:p>
    <w:p>
      <w:pPr>
        <w:spacing w:after="0" w:line="35"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AMENDED AND RESTATED INVESTORS’ RIGHTS AGREEMENT</w:t>
      </w:r>
    </w:p>
    <w:p>
      <w:pPr>
        <w:spacing w:after="0" w:line="200" w:lineRule="exact"/>
        <w:rPr>
          <w:sz w:val="20"/>
          <w:szCs w:val="20"/>
          <w:color w:val="auto"/>
        </w:rPr>
      </w:pPr>
    </w:p>
    <w:p>
      <w:pPr>
        <w:spacing w:after="0" w:line="278" w:lineRule="exact"/>
        <w:rPr>
          <w:sz w:val="20"/>
          <w:szCs w:val="20"/>
          <w:color w:val="auto"/>
        </w:rPr>
      </w:pPr>
    </w:p>
    <w:p>
      <w:pPr>
        <w:ind w:left="3800"/>
        <w:spacing w:after="0"/>
        <w:rPr>
          <w:sz w:val="20"/>
          <w:szCs w:val="20"/>
          <w:color w:val="auto"/>
        </w:rPr>
      </w:pPr>
      <w:r>
        <w:rPr>
          <w:rFonts w:ascii="Arial" w:cs="Arial" w:eastAsia="Arial" w:hAnsi="Arial"/>
          <w:sz w:val="19"/>
          <w:szCs w:val="19"/>
          <w:b w:val="1"/>
          <w:bCs w:val="1"/>
          <w:color w:val="auto"/>
        </w:rPr>
        <w:t>January 22, 2015</w:t>
      </w:r>
    </w:p>
    <w:p>
      <w:pPr>
        <w:sectPr>
          <w:pgSz w:w="11900" w:h="16838" w:orient="portrait"/>
          <w:cols w:equalWidth="0" w:num="1">
            <w:col w:w="10140"/>
          </w:cols>
          <w:pgMar w:left="1440" w:top="123" w:right="31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54"/>
        </w:trPr>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200" w:type="dxa"/>
            <w:vAlign w:val="bottom"/>
          </w:tcPr>
          <w:p>
            <w:pPr>
              <w:ind w:left="3020"/>
              <w:spacing w:after="0"/>
              <w:rPr>
                <w:sz w:val="20"/>
                <w:szCs w:val="20"/>
                <w:color w:val="auto"/>
              </w:rPr>
            </w:pPr>
            <w:r>
              <w:rPr>
                <w:rFonts w:ascii="Arial" w:cs="Arial" w:eastAsia="Arial" w:hAnsi="Arial"/>
                <w:sz w:val="19"/>
                <w:szCs w:val="19"/>
                <w:b w:val="1"/>
                <w:bCs w:val="1"/>
                <w:color w:val="auto"/>
              </w:rPr>
              <w:t>TABLE OF CONTENTS</w:t>
            </w:r>
          </w:p>
        </w:tc>
        <w:tc>
          <w:tcPr>
            <w:tcW w:w="2480" w:type="dxa"/>
            <w:vAlign w:val="bottom"/>
          </w:tcPr>
          <w:p>
            <w:pPr>
              <w:spacing w:after="0"/>
              <w:rPr>
                <w:sz w:val="22"/>
                <w:szCs w:val="22"/>
                <w:color w:val="auto"/>
              </w:rPr>
            </w:pPr>
          </w:p>
        </w:tc>
      </w:tr>
      <w:tr>
        <w:trPr>
          <w:trHeight w:val="426"/>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524"/>
        </w:trPr>
        <w:tc>
          <w:tcPr>
            <w:tcW w:w="540" w:type="dxa"/>
            <w:vAlign w:val="bottom"/>
          </w:tcPr>
          <w:p>
            <w:pPr>
              <w:jc w:val="right"/>
              <w:ind w:right="303"/>
              <w:spacing w:after="0"/>
              <w:rPr>
                <w:sz w:val="20"/>
                <w:szCs w:val="20"/>
                <w:color w:val="auto"/>
              </w:rPr>
            </w:pPr>
            <w:r>
              <w:rPr>
                <w:rFonts w:ascii="Arial" w:cs="Arial" w:eastAsia="Arial" w:hAnsi="Arial"/>
                <w:sz w:val="19"/>
                <w:szCs w:val="19"/>
                <w:color w:val="auto"/>
                <w:w w:val="75"/>
              </w:rPr>
              <w:t>1.</w:t>
            </w:r>
          </w:p>
        </w:tc>
        <w:tc>
          <w:tcPr>
            <w:tcW w:w="8200" w:type="dxa"/>
            <w:vAlign w:val="bottom"/>
            <w:gridSpan w:val="2"/>
          </w:tcPr>
          <w:p>
            <w:pPr>
              <w:ind w:left="400"/>
              <w:spacing w:after="0"/>
              <w:rPr>
                <w:sz w:val="20"/>
                <w:szCs w:val="20"/>
                <w:color w:val="auto"/>
              </w:rPr>
            </w:pPr>
            <w:r>
              <w:rPr>
                <w:rFonts w:ascii="Arial" w:cs="Arial" w:eastAsia="Arial" w:hAnsi="Arial"/>
                <w:sz w:val="19"/>
                <w:szCs w:val="19"/>
                <w:color w:val="auto"/>
              </w:rPr>
              <w:t>Registration Rights</w:t>
            </w:r>
          </w:p>
        </w:tc>
        <w:tc>
          <w:tcPr>
            <w:tcW w:w="248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w:t>
            </w:r>
          </w:p>
        </w:tc>
        <w:tc>
          <w:tcPr>
            <w:tcW w:w="7200" w:type="dxa"/>
            <w:vAlign w:val="bottom"/>
          </w:tcPr>
          <w:p>
            <w:pPr>
              <w:ind w:left="260"/>
              <w:spacing w:after="0"/>
              <w:rPr>
                <w:sz w:val="20"/>
                <w:szCs w:val="20"/>
                <w:color w:val="auto"/>
              </w:rPr>
            </w:pPr>
            <w:r>
              <w:rPr>
                <w:rFonts w:ascii="Arial" w:cs="Arial" w:eastAsia="Arial" w:hAnsi="Arial"/>
                <w:sz w:val="19"/>
                <w:szCs w:val="19"/>
                <w:color w:val="auto"/>
              </w:rPr>
              <w:t>Definitions</w:t>
            </w:r>
          </w:p>
        </w:tc>
        <w:tc>
          <w:tcPr>
            <w:tcW w:w="248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1.2</w:t>
            </w:r>
          </w:p>
        </w:tc>
        <w:tc>
          <w:tcPr>
            <w:tcW w:w="7200" w:type="dxa"/>
            <w:vAlign w:val="bottom"/>
          </w:tcPr>
          <w:p>
            <w:pPr>
              <w:ind w:left="260"/>
              <w:spacing w:after="0"/>
              <w:rPr>
                <w:sz w:val="20"/>
                <w:szCs w:val="20"/>
                <w:color w:val="auto"/>
              </w:rPr>
            </w:pPr>
            <w:r>
              <w:rPr>
                <w:rFonts w:ascii="Arial" w:cs="Arial" w:eastAsia="Arial" w:hAnsi="Arial"/>
                <w:sz w:val="19"/>
                <w:szCs w:val="19"/>
                <w:color w:val="auto"/>
              </w:rPr>
              <w:t>Request for Registration</w:t>
            </w:r>
          </w:p>
        </w:tc>
        <w:tc>
          <w:tcPr>
            <w:tcW w:w="248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1.3</w:t>
            </w:r>
          </w:p>
        </w:tc>
        <w:tc>
          <w:tcPr>
            <w:tcW w:w="7200" w:type="dxa"/>
            <w:vAlign w:val="bottom"/>
          </w:tcPr>
          <w:p>
            <w:pPr>
              <w:ind w:left="260"/>
              <w:spacing w:after="0"/>
              <w:rPr>
                <w:sz w:val="20"/>
                <w:szCs w:val="20"/>
                <w:color w:val="auto"/>
              </w:rPr>
            </w:pPr>
            <w:r>
              <w:rPr>
                <w:rFonts w:ascii="Arial" w:cs="Arial" w:eastAsia="Arial" w:hAnsi="Arial"/>
                <w:sz w:val="19"/>
                <w:szCs w:val="19"/>
                <w:color w:val="auto"/>
              </w:rPr>
              <w:t>Company Registration</w:t>
            </w:r>
          </w:p>
        </w:tc>
        <w:tc>
          <w:tcPr>
            <w:tcW w:w="248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1.4</w:t>
            </w:r>
          </w:p>
        </w:tc>
        <w:tc>
          <w:tcPr>
            <w:tcW w:w="7200" w:type="dxa"/>
            <w:vAlign w:val="bottom"/>
          </w:tcPr>
          <w:p>
            <w:pPr>
              <w:ind w:left="260"/>
              <w:spacing w:after="0"/>
              <w:rPr>
                <w:sz w:val="20"/>
                <w:szCs w:val="20"/>
                <w:color w:val="auto"/>
              </w:rPr>
            </w:pPr>
            <w:r>
              <w:rPr>
                <w:rFonts w:ascii="Arial" w:cs="Arial" w:eastAsia="Arial" w:hAnsi="Arial"/>
                <w:sz w:val="19"/>
                <w:szCs w:val="19"/>
                <w:color w:val="auto"/>
              </w:rPr>
              <w:t>Form S-3 Registration</w:t>
            </w:r>
          </w:p>
        </w:tc>
        <w:tc>
          <w:tcPr>
            <w:tcW w:w="248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1.5</w:t>
            </w:r>
          </w:p>
        </w:tc>
        <w:tc>
          <w:tcPr>
            <w:tcW w:w="7200" w:type="dxa"/>
            <w:vAlign w:val="bottom"/>
          </w:tcPr>
          <w:p>
            <w:pPr>
              <w:ind w:left="260"/>
              <w:spacing w:after="0"/>
              <w:rPr>
                <w:sz w:val="20"/>
                <w:szCs w:val="20"/>
                <w:color w:val="auto"/>
              </w:rPr>
            </w:pPr>
            <w:r>
              <w:rPr>
                <w:rFonts w:ascii="Arial" w:cs="Arial" w:eastAsia="Arial" w:hAnsi="Arial"/>
                <w:sz w:val="19"/>
                <w:szCs w:val="19"/>
                <w:color w:val="auto"/>
              </w:rPr>
              <w:t>Obligations of the Company</w:t>
            </w:r>
          </w:p>
        </w:tc>
        <w:tc>
          <w:tcPr>
            <w:tcW w:w="248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1.6</w:t>
            </w:r>
          </w:p>
        </w:tc>
        <w:tc>
          <w:tcPr>
            <w:tcW w:w="7200" w:type="dxa"/>
            <w:vAlign w:val="bottom"/>
          </w:tcPr>
          <w:p>
            <w:pPr>
              <w:ind w:left="260"/>
              <w:spacing w:after="0"/>
              <w:rPr>
                <w:sz w:val="20"/>
                <w:szCs w:val="20"/>
                <w:color w:val="auto"/>
              </w:rPr>
            </w:pPr>
            <w:r>
              <w:rPr>
                <w:rFonts w:ascii="Arial" w:cs="Arial" w:eastAsia="Arial" w:hAnsi="Arial"/>
                <w:sz w:val="19"/>
                <w:szCs w:val="19"/>
                <w:color w:val="auto"/>
              </w:rPr>
              <w:t>Furnish Information</w:t>
            </w:r>
          </w:p>
        </w:tc>
        <w:tc>
          <w:tcPr>
            <w:tcW w:w="248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1.7</w:t>
            </w:r>
          </w:p>
        </w:tc>
        <w:tc>
          <w:tcPr>
            <w:tcW w:w="7200" w:type="dxa"/>
            <w:vAlign w:val="bottom"/>
          </w:tcPr>
          <w:p>
            <w:pPr>
              <w:ind w:left="260"/>
              <w:spacing w:after="0"/>
              <w:rPr>
                <w:sz w:val="20"/>
                <w:szCs w:val="20"/>
                <w:color w:val="auto"/>
              </w:rPr>
            </w:pPr>
            <w:r>
              <w:rPr>
                <w:rFonts w:ascii="Arial" w:cs="Arial" w:eastAsia="Arial" w:hAnsi="Arial"/>
                <w:sz w:val="19"/>
                <w:szCs w:val="19"/>
                <w:color w:val="auto"/>
              </w:rPr>
              <w:t>Expenses of Registration</w:t>
            </w:r>
          </w:p>
        </w:tc>
        <w:tc>
          <w:tcPr>
            <w:tcW w:w="248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1.8</w:t>
            </w:r>
          </w:p>
        </w:tc>
        <w:tc>
          <w:tcPr>
            <w:tcW w:w="7200" w:type="dxa"/>
            <w:vAlign w:val="bottom"/>
          </w:tcPr>
          <w:p>
            <w:pPr>
              <w:ind w:left="260"/>
              <w:spacing w:after="0"/>
              <w:rPr>
                <w:sz w:val="20"/>
                <w:szCs w:val="20"/>
                <w:color w:val="auto"/>
              </w:rPr>
            </w:pPr>
            <w:r>
              <w:rPr>
                <w:rFonts w:ascii="Arial" w:cs="Arial" w:eastAsia="Arial" w:hAnsi="Arial"/>
                <w:sz w:val="19"/>
                <w:szCs w:val="19"/>
                <w:color w:val="auto"/>
              </w:rPr>
              <w:t>Underwriting Requirements</w:t>
            </w:r>
          </w:p>
        </w:tc>
        <w:tc>
          <w:tcPr>
            <w:tcW w:w="248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1.9</w:t>
            </w:r>
          </w:p>
        </w:tc>
        <w:tc>
          <w:tcPr>
            <w:tcW w:w="7200" w:type="dxa"/>
            <w:vAlign w:val="bottom"/>
          </w:tcPr>
          <w:p>
            <w:pPr>
              <w:ind w:left="260"/>
              <w:spacing w:after="0"/>
              <w:rPr>
                <w:sz w:val="20"/>
                <w:szCs w:val="20"/>
                <w:color w:val="auto"/>
              </w:rPr>
            </w:pPr>
            <w:r>
              <w:rPr>
                <w:rFonts w:ascii="Arial" w:cs="Arial" w:eastAsia="Arial" w:hAnsi="Arial"/>
                <w:sz w:val="19"/>
                <w:szCs w:val="19"/>
                <w:color w:val="auto"/>
              </w:rPr>
              <w:t>Delay of Registration</w:t>
            </w:r>
          </w:p>
        </w:tc>
        <w:tc>
          <w:tcPr>
            <w:tcW w:w="248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1.10</w:t>
            </w:r>
          </w:p>
        </w:tc>
        <w:tc>
          <w:tcPr>
            <w:tcW w:w="7200" w:type="dxa"/>
            <w:vAlign w:val="bottom"/>
          </w:tcPr>
          <w:p>
            <w:pPr>
              <w:ind w:left="260"/>
              <w:spacing w:after="0"/>
              <w:rPr>
                <w:sz w:val="20"/>
                <w:szCs w:val="20"/>
                <w:color w:val="auto"/>
              </w:rPr>
            </w:pPr>
            <w:r>
              <w:rPr>
                <w:rFonts w:ascii="Arial" w:cs="Arial" w:eastAsia="Arial" w:hAnsi="Arial"/>
                <w:sz w:val="19"/>
                <w:szCs w:val="19"/>
                <w:color w:val="auto"/>
              </w:rPr>
              <w:t>Indemnification</w:t>
            </w:r>
          </w:p>
        </w:tc>
        <w:tc>
          <w:tcPr>
            <w:tcW w:w="248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1.11</w:t>
            </w:r>
          </w:p>
        </w:tc>
        <w:tc>
          <w:tcPr>
            <w:tcW w:w="7200" w:type="dxa"/>
            <w:vAlign w:val="bottom"/>
          </w:tcPr>
          <w:p>
            <w:pPr>
              <w:ind w:left="260"/>
              <w:spacing w:after="0"/>
              <w:rPr>
                <w:sz w:val="20"/>
                <w:szCs w:val="20"/>
                <w:color w:val="auto"/>
              </w:rPr>
            </w:pPr>
            <w:r>
              <w:rPr>
                <w:rFonts w:ascii="Arial" w:cs="Arial" w:eastAsia="Arial" w:hAnsi="Arial"/>
                <w:sz w:val="19"/>
                <w:szCs w:val="19"/>
                <w:color w:val="auto"/>
              </w:rPr>
              <w:t>Reports Under the Exchange Act</w:t>
            </w:r>
          </w:p>
        </w:tc>
        <w:tc>
          <w:tcPr>
            <w:tcW w:w="24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1.12</w:t>
            </w:r>
          </w:p>
        </w:tc>
        <w:tc>
          <w:tcPr>
            <w:tcW w:w="7200" w:type="dxa"/>
            <w:vAlign w:val="bottom"/>
          </w:tcPr>
          <w:p>
            <w:pPr>
              <w:ind w:left="260"/>
              <w:spacing w:after="0"/>
              <w:rPr>
                <w:sz w:val="20"/>
                <w:szCs w:val="20"/>
                <w:color w:val="auto"/>
              </w:rPr>
            </w:pPr>
            <w:r>
              <w:rPr>
                <w:rFonts w:ascii="Arial" w:cs="Arial" w:eastAsia="Arial" w:hAnsi="Arial"/>
                <w:sz w:val="19"/>
                <w:szCs w:val="19"/>
                <w:color w:val="auto"/>
              </w:rPr>
              <w:t>Assignment of Registration Rights</w:t>
            </w:r>
          </w:p>
        </w:tc>
        <w:tc>
          <w:tcPr>
            <w:tcW w:w="24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1.13</w:t>
            </w:r>
          </w:p>
        </w:tc>
        <w:tc>
          <w:tcPr>
            <w:tcW w:w="7200" w:type="dxa"/>
            <w:vAlign w:val="bottom"/>
          </w:tcPr>
          <w:p>
            <w:pPr>
              <w:ind w:left="260"/>
              <w:spacing w:after="0"/>
              <w:rPr>
                <w:sz w:val="20"/>
                <w:szCs w:val="20"/>
                <w:color w:val="auto"/>
              </w:rPr>
            </w:pPr>
            <w:r>
              <w:rPr>
                <w:rFonts w:ascii="Arial" w:cs="Arial" w:eastAsia="Arial" w:hAnsi="Arial"/>
                <w:sz w:val="19"/>
                <w:szCs w:val="19"/>
                <w:color w:val="auto"/>
              </w:rPr>
              <w:t>Limitations on Subsequent Registration Rights</w:t>
            </w:r>
          </w:p>
        </w:tc>
        <w:tc>
          <w:tcPr>
            <w:tcW w:w="24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1.14</w:t>
            </w:r>
          </w:p>
        </w:tc>
        <w:tc>
          <w:tcPr>
            <w:tcW w:w="7200" w:type="dxa"/>
            <w:vAlign w:val="bottom"/>
          </w:tcPr>
          <w:p>
            <w:pPr>
              <w:ind w:left="260"/>
              <w:spacing w:after="0"/>
              <w:rPr>
                <w:sz w:val="20"/>
                <w:szCs w:val="20"/>
                <w:color w:val="auto"/>
              </w:rPr>
            </w:pPr>
            <w:r>
              <w:rPr>
                <w:rFonts w:ascii="Arial" w:cs="Arial" w:eastAsia="Arial" w:hAnsi="Arial"/>
                <w:sz w:val="19"/>
                <w:szCs w:val="19"/>
                <w:color w:val="auto"/>
              </w:rPr>
              <w:t>Lock-Up Agreement</w:t>
            </w:r>
          </w:p>
        </w:tc>
        <w:tc>
          <w:tcPr>
            <w:tcW w:w="248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1.15</w:t>
            </w:r>
          </w:p>
        </w:tc>
        <w:tc>
          <w:tcPr>
            <w:tcW w:w="7200" w:type="dxa"/>
            <w:vAlign w:val="bottom"/>
          </w:tcPr>
          <w:p>
            <w:pPr>
              <w:ind w:left="260"/>
              <w:spacing w:after="0"/>
              <w:rPr>
                <w:sz w:val="20"/>
                <w:szCs w:val="20"/>
                <w:color w:val="auto"/>
              </w:rPr>
            </w:pPr>
            <w:r>
              <w:rPr>
                <w:rFonts w:ascii="Arial" w:cs="Arial" w:eastAsia="Arial" w:hAnsi="Arial"/>
                <w:sz w:val="19"/>
                <w:szCs w:val="19"/>
                <w:color w:val="auto"/>
              </w:rPr>
              <w:t>Termination of Registration Rights</w:t>
            </w:r>
          </w:p>
        </w:tc>
        <w:tc>
          <w:tcPr>
            <w:tcW w:w="248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572"/>
        </w:trPr>
        <w:tc>
          <w:tcPr>
            <w:tcW w:w="540" w:type="dxa"/>
            <w:vAlign w:val="bottom"/>
          </w:tcPr>
          <w:p>
            <w:pPr>
              <w:jc w:val="right"/>
              <w:ind w:right="303"/>
              <w:spacing w:after="0"/>
              <w:rPr>
                <w:sz w:val="20"/>
                <w:szCs w:val="20"/>
                <w:color w:val="auto"/>
              </w:rPr>
            </w:pPr>
            <w:r>
              <w:rPr>
                <w:rFonts w:ascii="Arial" w:cs="Arial" w:eastAsia="Arial" w:hAnsi="Arial"/>
                <w:sz w:val="19"/>
                <w:szCs w:val="19"/>
                <w:color w:val="auto"/>
                <w:w w:val="75"/>
              </w:rPr>
              <w:t>2.</w:t>
            </w:r>
          </w:p>
        </w:tc>
        <w:tc>
          <w:tcPr>
            <w:tcW w:w="8200" w:type="dxa"/>
            <w:vAlign w:val="bottom"/>
            <w:gridSpan w:val="2"/>
          </w:tcPr>
          <w:p>
            <w:pPr>
              <w:ind w:left="400"/>
              <w:spacing w:after="0"/>
              <w:rPr>
                <w:sz w:val="20"/>
                <w:szCs w:val="20"/>
                <w:color w:val="auto"/>
              </w:rPr>
            </w:pPr>
            <w:r>
              <w:rPr>
                <w:rFonts w:ascii="Arial" w:cs="Arial" w:eastAsia="Arial" w:hAnsi="Arial"/>
                <w:sz w:val="19"/>
                <w:szCs w:val="19"/>
                <w:color w:val="auto"/>
              </w:rPr>
              <w:t>Covenants of the Company</w:t>
            </w:r>
          </w:p>
        </w:tc>
        <w:tc>
          <w:tcPr>
            <w:tcW w:w="24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2.1</w:t>
            </w:r>
          </w:p>
        </w:tc>
        <w:tc>
          <w:tcPr>
            <w:tcW w:w="7200" w:type="dxa"/>
            <w:vAlign w:val="bottom"/>
          </w:tcPr>
          <w:p>
            <w:pPr>
              <w:ind w:left="260"/>
              <w:spacing w:after="0"/>
              <w:rPr>
                <w:sz w:val="20"/>
                <w:szCs w:val="20"/>
                <w:color w:val="auto"/>
              </w:rPr>
            </w:pPr>
            <w:r>
              <w:rPr>
                <w:rFonts w:ascii="Arial" w:cs="Arial" w:eastAsia="Arial" w:hAnsi="Arial"/>
                <w:sz w:val="19"/>
                <w:szCs w:val="19"/>
                <w:color w:val="auto"/>
              </w:rPr>
              <w:t>Delivery of Financial Statements</w:t>
            </w:r>
          </w:p>
        </w:tc>
        <w:tc>
          <w:tcPr>
            <w:tcW w:w="24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2.2</w:t>
            </w:r>
          </w:p>
        </w:tc>
        <w:tc>
          <w:tcPr>
            <w:tcW w:w="7200" w:type="dxa"/>
            <w:vAlign w:val="bottom"/>
          </w:tcPr>
          <w:p>
            <w:pPr>
              <w:ind w:left="260"/>
              <w:spacing w:after="0"/>
              <w:rPr>
                <w:sz w:val="20"/>
                <w:szCs w:val="20"/>
                <w:color w:val="auto"/>
              </w:rPr>
            </w:pPr>
            <w:r>
              <w:rPr>
                <w:rFonts w:ascii="Arial" w:cs="Arial" w:eastAsia="Arial" w:hAnsi="Arial"/>
                <w:sz w:val="19"/>
                <w:szCs w:val="19"/>
                <w:color w:val="auto"/>
              </w:rPr>
              <w:t>Inspection</w:t>
            </w:r>
          </w:p>
        </w:tc>
        <w:tc>
          <w:tcPr>
            <w:tcW w:w="24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2.3</w:t>
            </w:r>
          </w:p>
        </w:tc>
        <w:tc>
          <w:tcPr>
            <w:tcW w:w="7200" w:type="dxa"/>
            <w:vAlign w:val="bottom"/>
          </w:tcPr>
          <w:p>
            <w:pPr>
              <w:ind w:left="260"/>
              <w:spacing w:after="0"/>
              <w:rPr>
                <w:sz w:val="20"/>
                <w:szCs w:val="20"/>
                <w:color w:val="auto"/>
              </w:rPr>
            </w:pPr>
            <w:r>
              <w:rPr>
                <w:rFonts w:ascii="Arial" w:cs="Arial" w:eastAsia="Arial" w:hAnsi="Arial"/>
                <w:sz w:val="19"/>
                <w:szCs w:val="19"/>
                <w:color w:val="auto"/>
              </w:rPr>
              <w:t>Right of First Offer</w:t>
            </w:r>
          </w:p>
        </w:tc>
        <w:tc>
          <w:tcPr>
            <w:tcW w:w="248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2.4</w:t>
            </w:r>
          </w:p>
        </w:tc>
        <w:tc>
          <w:tcPr>
            <w:tcW w:w="7200" w:type="dxa"/>
            <w:vAlign w:val="bottom"/>
          </w:tcPr>
          <w:p>
            <w:pPr>
              <w:ind w:left="260"/>
              <w:spacing w:after="0"/>
              <w:rPr>
                <w:sz w:val="20"/>
                <w:szCs w:val="20"/>
                <w:color w:val="auto"/>
              </w:rPr>
            </w:pPr>
            <w:r>
              <w:rPr>
                <w:rFonts w:ascii="Arial" w:cs="Arial" w:eastAsia="Arial" w:hAnsi="Arial"/>
                <w:sz w:val="19"/>
                <w:szCs w:val="19"/>
                <w:color w:val="auto"/>
              </w:rPr>
              <w:t>Employee Agreements</w:t>
            </w:r>
          </w:p>
        </w:tc>
        <w:tc>
          <w:tcPr>
            <w:tcW w:w="248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2.5</w:t>
            </w:r>
          </w:p>
        </w:tc>
        <w:tc>
          <w:tcPr>
            <w:tcW w:w="7200" w:type="dxa"/>
            <w:vAlign w:val="bottom"/>
          </w:tcPr>
          <w:p>
            <w:pPr>
              <w:ind w:left="260"/>
              <w:spacing w:after="0"/>
              <w:rPr>
                <w:sz w:val="20"/>
                <w:szCs w:val="20"/>
                <w:color w:val="auto"/>
              </w:rPr>
            </w:pPr>
            <w:r>
              <w:rPr>
                <w:rFonts w:ascii="Arial" w:cs="Arial" w:eastAsia="Arial" w:hAnsi="Arial"/>
                <w:sz w:val="19"/>
                <w:szCs w:val="19"/>
                <w:color w:val="auto"/>
              </w:rPr>
              <w:t>Reimbursement for Outside Directors</w:t>
            </w:r>
          </w:p>
        </w:tc>
        <w:tc>
          <w:tcPr>
            <w:tcW w:w="248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2.6</w:t>
            </w:r>
          </w:p>
        </w:tc>
        <w:tc>
          <w:tcPr>
            <w:tcW w:w="7200" w:type="dxa"/>
            <w:vAlign w:val="bottom"/>
          </w:tcPr>
          <w:p>
            <w:pPr>
              <w:ind w:left="260"/>
              <w:spacing w:after="0"/>
              <w:rPr>
                <w:sz w:val="20"/>
                <w:szCs w:val="20"/>
                <w:color w:val="auto"/>
              </w:rPr>
            </w:pPr>
            <w:r>
              <w:rPr>
                <w:rFonts w:ascii="Arial" w:cs="Arial" w:eastAsia="Arial" w:hAnsi="Arial"/>
                <w:sz w:val="19"/>
                <w:szCs w:val="19"/>
                <w:color w:val="auto"/>
              </w:rPr>
              <w:t>Key-Man Insurance</w:t>
            </w:r>
          </w:p>
        </w:tc>
        <w:tc>
          <w:tcPr>
            <w:tcW w:w="248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2.7</w:t>
            </w:r>
          </w:p>
        </w:tc>
        <w:tc>
          <w:tcPr>
            <w:tcW w:w="7200" w:type="dxa"/>
            <w:vAlign w:val="bottom"/>
          </w:tcPr>
          <w:p>
            <w:pPr>
              <w:ind w:left="260"/>
              <w:spacing w:after="0"/>
              <w:rPr>
                <w:sz w:val="20"/>
                <w:szCs w:val="20"/>
                <w:color w:val="auto"/>
              </w:rPr>
            </w:pPr>
            <w:r>
              <w:rPr>
                <w:rFonts w:ascii="Arial" w:cs="Arial" w:eastAsia="Arial" w:hAnsi="Arial"/>
                <w:sz w:val="19"/>
                <w:szCs w:val="19"/>
                <w:color w:val="auto"/>
              </w:rPr>
              <w:t>Observer Rights</w:t>
            </w:r>
          </w:p>
        </w:tc>
        <w:tc>
          <w:tcPr>
            <w:tcW w:w="248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2.8</w:t>
            </w:r>
          </w:p>
        </w:tc>
        <w:tc>
          <w:tcPr>
            <w:tcW w:w="7200" w:type="dxa"/>
            <w:vAlign w:val="bottom"/>
          </w:tcPr>
          <w:p>
            <w:pPr>
              <w:ind w:left="260"/>
              <w:spacing w:after="0"/>
              <w:rPr>
                <w:sz w:val="20"/>
                <w:szCs w:val="20"/>
                <w:color w:val="auto"/>
              </w:rPr>
            </w:pPr>
            <w:r>
              <w:rPr>
                <w:rFonts w:ascii="Arial" w:cs="Arial" w:eastAsia="Arial" w:hAnsi="Arial"/>
                <w:sz w:val="19"/>
                <w:szCs w:val="19"/>
                <w:color w:val="auto"/>
              </w:rPr>
              <w:t>Confidentiality</w:t>
            </w:r>
          </w:p>
        </w:tc>
        <w:tc>
          <w:tcPr>
            <w:tcW w:w="248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2.9</w:t>
            </w:r>
          </w:p>
        </w:tc>
        <w:tc>
          <w:tcPr>
            <w:tcW w:w="7200" w:type="dxa"/>
            <w:vAlign w:val="bottom"/>
          </w:tcPr>
          <w:p>
            <w:pPr>
              <w:ind w:left="260"/>
              <w:spacing w:after="0"/>
              <w:rPr>
                <w:sz w:val="20"/>
                <w:szCs w:val="20"/>
                <w:color w:val="auto"/>
              </w:rPr>
            </w:pPr>
            <w:r>
              <w:rPr>
                <w:rFonts w:ascii="Arial" w:cs="Arial" w:eastAsia="Arial" w:hAnsi="Arial"/>
                <w:sz w:val="19"/>
                <w:szCs w:val="19"/>
                <w:color w:val="auto"/>
              </w:rPr>
              <w:t>Insurance</w:t>
            </w:r>
          </w:p>
        </w:tc>
        <w:tc>
          <w:tcPr>
            <w:tcW w:w="248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2.10</w:t>
            </w:r>
          </w:p>
        </w:tc>
        <w:tc>
          <w:tcPr>
            <w:tcW w:w="7200" w:type="dxa"/>
            <w:vAlign w:val="bottom"/>
          </w:tcPr>
          <w:p>
            <w:pPr>
              <w:ind w:left="260"/>
              <w:spacing w:after="0"/>
              <w:rPr>
                <w:sz w:val="20"/>
                <w:szCs w:val="20"/>
                <w:color w:val="auto"/>
              </w:rPr>
            </w:pPr>
            <w:r>
              <w:rPr>
                <w:rFonts w:ascii="Arial" w:cs="Arial" w:eastAsia="Arial" w:hAnsi="Arial"/>
                <w:sz w:val="19"/>
                <w:szCs w:val="19"/>
                <w:color w:val="auto"/>
              </w:rPr>
              <w:t>Qualified Small Business Stock</w:t>
            </w:r>
          </w:p>
        </w:tc>
        <w:tc>
          <w:tcPr>
            <w:tcW w:w="248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2.11</w:t>
            </w:r>
          </w:p>
        </w:tc>
        <w:tc>
          <w:tcPr>
            <w:tcW w:w="7200" w:type="dxa"/>
            <w:vAlign w:val="bottom"/>
          </w:tcPr>
          <w:p>
            <w:pPr>
              <w:ind w:left="260"/>
              <w:spacing w:after="0"/>
              <w:rPr>
                <w:sz w:val="20"/>
                <w:szCs w:val="20"/>
                <w:color w:val="auto"/>
              </w:rPr>
            </w:pPr>
            <w:r>
              <w:rPr>
                <w:rFonts w:ascii="Arial" w:cs="Arial" w:eastAsia="Arial" w:hAnsi="Arial"/>
                <w:sz w:val="19"/>
                <w:szCs w:val="19"/>
                <w:color w:val="auto"/>
              </w:rPr>
              <w:t>Employee Confidentiality</w:t>
            </w:r>
          </w:p>
        </w:tc>
        <w:tc>
          <w:tcPr>
            <w:tcW w:w="248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2.12</w:t>
            </w:r>
          </w:p>
        </w:tc>
        <w:tc>
          <w:tcPr>
            <w:tcW w:w="7200" w:type="dxa"/>
            <w:vAlign w:val="bottom"/>
          </w:tcPr>
          <w:p>
            <w:pPr>
              <w:ind w:left="260"/>
              <w:spacing w:after="0"/>
              <w:rPr>
                <w:sz w:val="20"/>
                <w:szCs w:val="20"/>
                <w:color w:val="auto"/>
              </w:rPr>
            </w:pPr>
            <w:r>
              <w:rPr>
                <w:rFonts w:ascii="Arial" w:cs="Arial" w:eastAsia="Arial" w:hAnsi="Arial"/>
                <w:sz w:val="19"/>
                <w:szCs w:val="19"/>
                <w:color w:val="auto"/>
              </w:rPr>
              <w:t>Termination of Covenants</w:t>
            </w:r>
          </w:p>
        </w:tc>
        <w:tc>
          <w:tcPr>
            <w:tcW w:w="24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2.13</w:t>
            </w:r>
          </w:p>
        </w:tc>
        <w:tc>
          <w:tcPr>
            <w:tcW w:w="7200" w:type="dxa"/>
            <w:vAlign w:val="bottom"/>
          </w:tcPr>
          <w:p>
            <w:pPr>
              <w:ind w:left="260"/>
              <w:spacing w:after="0"/>
              <w:rPr>
                <w:sz w:val="20"/>
                <w:szCs w:val="20"/>
                <w:color w:val="auto"/>
              </w:rPr>
            </w:pPr>
            <w:r>
              <w:rPr>
                <w:rFonts w:ascii="Arial" w:cs="Arial" w:eastAsia="Arial" w:hAnsi="Arial"/>
                <w:sz w:val="19"/>
                <w:szCs w:val="19"/>
                <w:color w:val="auto"/>
              </w:rPr>
              <w:t>Successor Indemnification</w:t>
            </w:r>
          </w:p>
        </w:tc>
        <w:tc>
          <w:tcPr>
            <w:tcW w:w="24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2.14</w:t>
            </w:r>
          </w:p>
        </w:tc>
        <w:tc>
          <w:tcPr>
            <w:tcW w:w="7200" w:type="dxa"/>
            <w:vAlign w:val="bottom"/>
          </w:tcPr>
          <w:p>
            <w:pPr>
              <w:ind w:left="260"/>
              <w:spacing w:after="0"/>
              <w:rPr>
                <w:sz w:val="20"/>
                <w:szCs w:val="20"/>
                <w:color w:val="auto"/>
              </w:rPr>
            </w:pPr>
            <w:r>
              <w:rPr>
                <w:rFonts w:ascii="Arial" w:cs="Arial" w:eastAsia="Arial" w:hAnsi="Arial"/>
                <w:sz w:val="19"/>
                <w:szCs w:val="19"/>
                <w:color w:val="auto"/>
              </w:rPr>
              <w:t>Fund Indemnity</w:t>
            </w:r>
          </w:p>
        </w:tc>
        <w:tc>
          <w:tcPr>
            <w:tcW w:w="24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572"/>
        </w:trPr>
        <w:tc>
          <w:tcPr>
            <w:tcW w:w="540" w:type="dxa"/>
            <w:vAlign w:val="bottom"/>
          </w:tcPr>
          <w:p>
            <w:pPr>
              <w:jc w:val="right"/>
              <w:ind w:right="303"/>
              <w:spacing w:after="0"/>
              <w:rPr>
                <w:sz w:val="20"/>
                <w:szCs w:val="20"/>
                <w:color w:val="auto"/>
              </w:rPr>
            </w:pPr>
            <w:r>
              <w:rPr>
                <w:rFonts w:ascii="Arial" w:cs="Arial" w:eastAsia="Arial" w:hAnsi="Arial"/>
                <w:sz w:val="19"/>
                <w:szCs w:val="19"/>
                <w:color w:val="auto"/>
                <w:w w:val="75"/>
              </w:rPr>
              <w:t>3.</w:t>
            </w:r>
          </w:p>
        </w:tc>
        <w:tc>
          <w:tcPr>
            <w:tcW w:w="8200" w:type="dxa"/>
            <w:vAlign w:val="bottom"/>
            <w:gridSpan w:val="2"/>
          </w:tcPr>
          <w:p>
            <w:pPr>
              <w:ind w:left="400"/>
              <w:spacing w:after="0"/>
              <w:rPr>
                <w:sz w:val="20"/>
                <w:szCs w:val="20"/>
                <w:color w:val="auto"/>
              </w:rPr>
            </w:pPr>
            <w:r>
              <w:rPr>
                <w:rFonts w:ascii="Arial" w:cs="Arial" w:eastAsia="Arial" w:hAnsi="Arial"/>
                <w:sz w:val="19"/>
                <w:szCs w:val="19"/>
                <w:color w:val="auto"/>
              </w:rPr>
              <w:t>Miscellaneous</w:t>
            </w:r>
          </w:p>
        </w:tc>
        <w:tc>
          <w:tcPr>
            <w:tcW w:w="24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3.1</w:t>
            </w:r>
          </w:p>
        </w:tc>
        <w:tc>
          <w:tcPr>
            <w:tcW w:w="7200" w:type="dxa"/>
            <w:vAlign w:val="bottom"/>
          </w:tcPr>
          <w:p>
            <w:pPr>
              <w:ind w:left="260"/>
              <w:spacing w:after="0"/>
              <w:rPr>
                <w:sz w:val="20"/>
                <w:szCs w:val="20"/>
                <w:color w:val="auto"/>
              </w:rPr>
            </w:pPr>
            <w:r>
              <w:rPr>
                <w:rFonts w:ascii="Arial" w:cs="Arial" w:eastAsia="Arial" w:hAnsi="Arial"/>
                <w:sz w:val="19"/>
                <w:szCs w:val="19"/>
                <w:color w:val="auto"/>
              </w:rPr>
              <w:t>Entire Agreement</w:t>
            </w:r>
          </w:p>
        </w:tc>
        <w:tc>
          <w:tcPr>
            <w:tcW w:w="24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3.2</w:t>
            </w:r>
          </w:p>
        </w:tc>
        <w:tc>
          <w:tcPr>
            <w:tcW w:w="7200" w:type="dxa"/>
            <w:vAlign w:val="bottom"/>
          </w:tcPr>
          <w:p>
            <w:pPr>
              <w:ind w:left="260"/>
              <w:spacing w:after="0"/>
              <w:rPr>
                <w:sz w:val="20"/>
                <w:szCs w:val="20"/>
                <w:color w:val="auto"/>
              </w:rPr>
            </w:pPr>
            <w:r>
              <w:rPr>
                <w:rFonts w:ascii="Arial" w:cs="Arial" w:eastAsia="Arial" w:hAnsi="Arial"/>
                <w:sz w:val="19"/>
                <w:szCs w:val="19"/>
                <w:color w:val="auto"/>
              </w:rPr>
              <w:t>Successors and Assigns</w:t>
            </w:r>
          </w:p>
        </w:tc>
        <w:tc>
          <w:tcPr>
            <w:tcW w:w="24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3.3</w:t>
            </w:r>
          </w:p>
        </w:tc>
        <w:tc>
          <w:tcPr>
            <w:tcW w:w="7200" w:type="dxa"/>
            <w:vAlign w:val="bottom"/>
          </w:tcPr>
          <w:p>
            <w:pPr>
              <w:ind w:left="260"/>
              <w:spacing w:after="0"/>
              <w:rPr>
                <w:sz w:val="20"/>
                <w:szCs w:val="20"/>
                <w:color w:val="auto"/>
              </w:rPr>
            </w:pPr>
            <w:r>
              <w:rPr>
                <w:rFonts w:ascii="Arial" w:cs="Arial" w:eastAsia="Arial" w:hAnsi="Arial"/>
                <w:sz w:val="19"/>
                <w:szCs w:val="19"/>
                <w:color w:val="auto"/>
              </w:rPr>
              <w:t>Amendments and Waivers</w:t>
            </w:r>
          </w:p>
        </w:tc>
        <w:tc>
          <w:tcPr>
            <w:tcW w:w="2480" w:type="dxa"/>
            <w:vAlign w:val="bottom"/>
          </w:tcPr>
          <w:p>
            <w:pPr>
              <w:jc w:val="right"/>
              <w:spacing w:after="0"/>
              <w:rPr>
                <w:sz w:val="20"/>
                <w:szCs w:val="20"/>
                <w:color w:val="auto"/>
              </w:rPr>
            </w:pPr>
            <w:r>
              <w:rPr>
                <w:rFonts w:ascii="Arial" w:cs="Arial" w:eastAsia="Arial" w:hAnsi="Arial"/>
                <w:sz w:val="19"/>
                <w:szCs w:val="19"/>
                <w:color w:val="auto"/>
              </w:rPr>
              <w:t>20</w:t>
            </w:r>
          </w:p>
        </w:tc>
      </w:tr>
    </w:tbl>
    <w:p>
      <w:pPr>
        <w:spacing w:after="0" w:line="200" w:lineRule="exact"/>
        <w:rPr>
          <w:sz w:val="20"/>
          <w:szCs w:val="20"/>
          <w:color w:val="auto"/>
        </w:rPr>
      </w:pPr>
    </w:p>
    <w:p>
      <w:pPr>
        <w:sectPr>
          <w:pgSz w:w="11900" w:h="16838" w:orient="portrait"/>
          <w:cols w:equalWidth="0" w:num="1">
            <w:col w:w="11220"/>
          </w:cols>
          <w:pgMar w:left="340" w:top="1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220"/>
          </w:cols>
          <w:pgMar w:left="340" w:top="1296" w:right="339" w:bottom="1440" w:gutter="0" w:footer="0" w:header="0"/>
          <w:type w:val="continuous"/>
        </w:sectPr>
      </w:pPr>
    </w:p>
    <w:bookmarkStart w:id="262" w:name="page263"/>
    <w:bookmarkEnd w:id="262"/>
    <w:tbl>
      <w:tblPr>
        <w:tblLayout w:type="fixed"/>
        <w:tblInd w:w="0" w:type="dxa"/>
        <w:tblCellMar>
          <w:top w:w="0" w:type="dxa"/>
          <w:left w:w="0" w:type="dxa"/>
          <w:bottom w:w="0" w:type="dxa"/>
          <w:right w:w="0" w:type="dxa"/>
        </w:tblCellMar>
      </w:tblPr>
      <w:tr>
        <w:trPr>
          <w:trHeight w:val="248"/>
        </w:trPr>
        <w:tc>
          <w:tcPr>
            <w:tcW w:w="600" w:type="dxa"/>
            <w:vAlign w:val="bottom"/>
          </w:tcPr>
          <w:p>
            <w:pPr>
              <w:spacing w:after="0"/>
              <w:rPr>
                <w:sz w:val="20"/>
                <w:szCs w:val="20"/>
                <w:color w:val="auto"/>
              </w:rPr>
            </w:pPr>
            <w:r>
              <w:rPr>
                <w:rFonts w:ascii="Arial" w:cs="Arial" w:eastAsia="Arial" w:hAnsi="Arial"/>
                <w:sz w:val="19"/>
                <w:szCs w:val="19"/>
                <w:color w:val="auto"/>
              </w:rPr>
              <w:t>3.4</w:t>
            </w:r>
          </w:p>
        </w:tc>
        <w:tc>
          <w:tcPr>
            <w:tcW w:w="6120" w:type="dxa"/>
            <w:vAlign w:val="bottom"/>
          </w:tcPr>
          <w:p>
            <w:pPr>
              <w:ind w:left="260"/>
              <w:spacing w:after="0"/>
              <w:rPr>
                <w:sz w:val="20"/>
                <w:szCs w:val="20"/>
                <w:color w:val="auto"/>
              </w:rPr>
            </w:pPr>
            <w:r>
              <w:rPr>
                <w:rFonts w:ascii="Arial" w:cs="Arial" w:eastAsia="Arial" w:hAnsi="Arial"/>
                <w:sz w:val="19"/>
                <w:szCs w:val="19"/>
                <w:color w:val="auto"/>
              </w:rPr>
              <w:t>Notices</w:t>
            </w:r>
          </w:p>
        </w:tc>
        <w:tc>
          <w:tcPr>
            <w:tcW w:w="35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3.5</w:t>
            </w:r>
          </w:p>
        </w:tc>
        <w:tc>
          <w:tcPr>
            <w:tcW w:w="6120" w:type="dxa"/>
            <w:vAlign w:val="bottom"/>
          </w:tcPr>
          <w:p>
            <w:pPr>
              <w:ind w:left="260"/>
              <w:spacing w:after="0"/>
              <w:rPr>
                <w:sz w:val="20"/>
                <w:szCs w:val="20"/>
                <w:color w:val="auto"/>
              </w:rPr>
            </w:pPr>
            <w:r>
              <w:rPr>
                <w:rFonts w:ascii="Arial" w:cs="Arial" w:eastAsia="Arial" w:hAnsi="Arial"/>
                <w:sz w:val="19"/>
                <w:szCs w:val="19"/>
                <w:color w:val="auto"/>
              </w:rPr>
              <w:t>Severability</w:t>
            </w:r>
          </w:p>
        </w:tc>
        <w:tc>
          <w:tcPr>
            <w:tcW w:w="35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3.6</w:t>
            </w:r>
          </w:p>
        </w:tc>
        <w:tc>
          <w:tcPr>
            <w:tcW w:w="6120" w:type="dxa"/>
            <w:vAlign w:val="bottom"/>
          </w:tcPr>
          <w:p>
            <w:pPr>
              <w:ind w:left="260"/>
              <w:spacing w:after="0"/>
              <w:rPr>
                <w:sz w:val="20"/>
                <w:szCs w:val="20"/>
                <w:color w:val="auto"/>
              </w:rPr>
            </w:pPr>
            <w:r>
              <w:rPr>
                <w:rFonts w:ascii="Arial" w:cs="Arial" w:eastAsia="Arial" w:hAnsi="Arial"/>
                <w:sz w:val="19"/>
                <w:szCs w:val="19"/>
                <w:color w:val="auto"/>
              </w:rPr>
              <w:t>Governing Law</w:t>
            </w:r>
          </w:p>
        </w:tc>
        <w:tc>
          <w:tcPr>
            <w:tcW w:w="35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3.7</w:t>
            </w:r>
          </w:p>
        </w:tc>
        <w:tc>
          <w:tcPr>
            <w:tcW w:w="6120" w:type="dxa"/>
            <w:vAlign w:val="bottom"/>
          </w:tcPr>
          <w:p>
            <w:pPr>
              <w:ind w:left="260"/>
              <w:spacing w:after="0"/>
              <w:rPr>
                <w:sz w:val="20"/>
                <w:szCs w:val="20"/>
                <w:color w:val="auto"/>
              </w:rPr>
            </w:pPr>
            <w:r>
              <w:rPr>
                <w:rFonts w:ascii="Arial" w:cs="Arial" w:eastAsia="Arial" w:hAnsi="Arial"/>
                <w:sz w:val="19"/>
                <w:szCs w:val="19"/>
                <w:color w:val="auto"/>
              </w:rPr>
              <w:t>Counterparts</w:t>
            </w:r>
          </w:p>
        </w:tc>
        <w:tc>
          <w:tcPr>
            <w:tcW w:w="35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3.8</w:t>
            </w:r>
          </w:p>
        </w:tc>
        <w:tc>
          <w:tcPr>
            <w:tcW w:w="6120" w:type="dxa"/>
            <w:vAlign w:val="bottom"/>
          </w:tcPr>
          <w:p>
            <w:pPr>
              <w:ind w:left="260"/>
              <w:spacing w:after="0"/>
              <w:rPr>
                <w:sz w:val="20"/>
                <w:szCs w:val="20"/>
                <w:color w:val="auto"/>
              </w:rPr>
            </w:pPr>
            <w:r>
              <w:rPr>
                <w:rFonts w:ascii="Arial" w:cs="Arial" w:eastAsia="Arial" w:hAnsi="Arial"/>
                <w:sz w:val="19"/>
                <w:szCs w:val="19"/>
                <w:color w:val="auto"/>
              </w:rPr>
              <w:t>Titles and Subtitles</w:t>
            </w:r>
          </w:p>
        </w:tc>
        <w:tc>
          <w:tcPr>
            <w:tcW w:w="356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3.9</w:t>
            </w:r>
          </w:p>
        </w:tc>
        <w:tc>
          <w:tcPr>
            <w:tcW w:w="6120" w:type="dxa"/>
            <w:vAlign w:val="bottom"/>
          </w:tcPr>
          <w:p>
            <w:pPr>
              <w:ind w:left="260"/>
              <w:spacing w:after="0"/>
              <w:rPr>
                <w:sz w:val="20"/>
                <w:szCs w:val="20"/>
                <w:color w:val="auto"/>
              </w:rPr>
            </w:pPr>
            <w:r>
              <w:rPr>
                <w:rFonts w:ascii="Arial" w:cs="Arial" w:eastAsia="Arial" w:hAnsi="Arial"/>
                <w:sz w:val="19"/>
                <w:szCs w:val="19"/>
                <w:color w:val="auto"/>
              </w:rPr>
              <w:t>Aggregation of Stock</w:t>
            </w:r>
          </w:p>
        </w:tc>
        <w:tc>
          <w:tcPr>
            <w:tcW w:w="356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3.10</w:t>
            </w:r>
          </w:p>
        </w:tc>
        <w:tc>
          <w:tcPr>
            <w:tcW w:w="6120" w:type="dxa"/>
            <w:vAlign w:val="bottom"/>
          </w:tcPr>
          <w:p>
            <w:pPr>
              <w:ind w:left="260"/>
              <w:spacing w:after="0"/>
              <w:rPr>
                <w:sz w:val="20"/>
                <w:szCs w:val="20"/>
                <w:color w:val="auto"/>
              </w:rPr>
            </w:pPr>
            <w:r>
              <w:rPr>
                <w:rFonts w:ascii="Arial" w:cs="Arial" w:eastAsia="Arial" w:hAnsi="Arial"/>
                <w:sz w:val="19"/>
                <w:szCs w:val="19"/>
                <w:color w:val="auto"/>
              </w:rPr>
              <w:t>Additional Investors</w:t>
            </w:r>
          </w:p>
        </w:tc>
        <w:tc>
          <w:tcPr>
            <w:tcW w:w="356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3.11</w:t>
            </w:r>
          </w:p>
        </w:tc>
        <w:tc>
          <w:tcPr>
            <w:tcW w:w="6120" w:type="dxa"/>
            <w:vAlign w:val="bottom"/>
          </w:tcPr>
          <w:p>
            <w:pPr>
              <w:ind w:left="260"/>
              <w:spacing w:after="0"/>
              <w:rPr>
                <w:sz w:val="20"/>
                <w:szCs w:val="20"/>
                <w:color w:val="auto"/>
              </w:rPr>
            </w:pPr>
            <w:r>
              <w:rPr>
                <w:rFonts w:ascii="Arial" w:cs="Arial" w:eastAsia="Arial" w:hAnsi="Arial"/>
                <w:sz w:val="19"/>
                <w:szCs w:val="19"/>
                <w:color w:val="auto"/>
              </w:rPr>
              <w:t>Termination of Prior Agreement</w:t>
            </w:r>
          </w:p>
        </w:tc>
        <w:tc>
          <w:tcPr>
            <w:tcW w:w="3560" w:type="dxa"/>
            <w:vAlign w:val="bottom"/>
          </w:tcPr>
          <w:p>
            <w:pPr>
              <w:jc w:val="right"/>
              <w:spacing w:after="0"/>
              <w:rPr>
                <w:sz w:val="20"/>
                <w:szCs w:val="20"/>
                <w:color w:val="auto"/>
              </w:rPr>
            </w:pPr>
            <w:r>
              <w:rPr>
                <w:rFonts w:ascii="Arial" w:cs="Arial" w:eastAsia="Arial" w:hAnsi="Arial"/>
                <w:sz w:val="19"/>
                <w:szCs w:val="19"/>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0280"/>
          </w:cols>
          <w:pgMar w:left="1280" w:top="1350" w:right="3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9"/>
          <w:szCs w:val="19"/>
          <w:b w:val="1"/>
          <w:bCs w:val="1"/>
          <w:color w:val="auto"/>
        </w:rPr>
        <w:t>EXPENSIFY,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AMENDED AND RESTATED INVESTORS’ RIGHTS AGREEMENT</w:t>
      </w:r>
    </w:p>
    <w:p>
      <w:pPr>
        <w:spacing w:after="0" w:line="165" w:lineRule="exact"/>
        <w:rPr>
          <w:sz w:val="20"/>
          <w:szCs w:val="20"/>
          <w:color w:val="auto"/>
        </w:rPr>
      </w:pPr>
    </w:p>
    <w:p>
      <w:pPr>
        <w:ind w:firstLine="1169"/>
        <w:spacing w:after="0" w:line="270" w:lineRule="auto"/>
        <w:rPr>
          <w:sz w:val="20"/>
          <w:szCs w:val="20"/>
          <w:color w:val="auto"/>
        </w:rPr>
      </w:pPr>
      <w:r>
        <w:rPr>
          <w:rFonts w:ascii="Arial" w:cs="Arial" w:eastAsia="Arial" w:hAnsi="Arial"/>
          <w:sz w:val="19"/>
          <w:szCs w:val="19"/>
          <w:color w:val="auto"/>
        </w:rPr>
        <w:t>This Amended and Restated Investors’ Rights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January 22, 2015 (the “</w:t>
      </w:r>
      <w:r>
        <w:rPr>
          <w:rFonts w:ascii="Arial" w:cs="Arial" w:eastAsia="Arial" w:hAnsi="Arial"/>
          <w:sz w:val="19"/>
          <w:szCs w:val="19"/>
          <w:u w:val="single" w:color="auto"/>
          <w:color w:val="auto"/>
        </w:rPr>
        <w:t>Effective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by and among EXPENSIFY,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and the holders of the Company’s Preferred Stock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(the “</w:t>
      </w:r>
      <w:r>
        <w:rPr>
          <w:rFonts w:ascii="Arial" w:cs="Arial" w:eastAsia="Arial" w:hAnsi="Arial"/>
          <w:sz w:val="19"/>
          <w:szCs w:val="19"/>
          <w:u w:val="single" w:color="auto"/>
          <w:color w:val="auto"/>
        </w:rPr>
        <w:t>Investors</w:t>
      </w:r>
      <w:r>
        <w:rPr>
          <w:rFonts w:ascii="Arial" w:cs="Arial" w:eastAsia="Arial" w:hAnsi="Arial"/>
          <w:sz w:val="19"/>
          <w:szCs w:val="19"/>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RECITALS</w:t>
      </w:r>
    </w:p>
    <w:p>
      <w:pPr>
        <w:spacing w:after="0" w:line="159" w:lineRule="exact"/>
        <w:rPr>
          <w:sz w:val="20"/>
          <w:szCs w:val="20"/>
          <w:color w:val="auto"/>
        </w:rPr>
      </w:pPr>
    </w:p>
    <w:p>
      <w:pPr>
        <w:ind w:right="40" w:firstLine="1169"/>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certain of the Investors (the “</w:t>
      </w:r>
      <w:r>
        <w:rPr>
          <w:rFonts w:ascii="Arial" w:cs="Arial" w:eastAsia="Arial" w:hAnsi="Arial"/>
          <w:sz w:val="19"/>
          <w:szCs w:val="19"/>
          <w:u w:val="single" w:color="auto"/>
          <w:color w:val="auto"/>
        </w:rPr>
        <w:t>Existing Investors</w:t>
      </w:r>
      <w:r>
        <w:rPr>
          <w:rFonts w:ascii="Arial" w:cs="Arial" w:eastAsia="Arial" w:hAnsi="Arial"/>
          <w:sz w:val="19"/>
          <w:szCs w:val="19"/>
          <w:color w:val="auto"/>
        </w:rPr>
        <w:t>”) hold shares of the Company’s Series A Preferred Stock, Series B</w:t>
      </w:r>
      <w:r>
        <w:rPr>
          <w:rFonts w:ascii="Arial" w:cs="Arial" w:eastAsia="Arial" w:hAnsi="Arial"/>
          <w:sz w:val="19"/>
          <w:szCs w:val="19"/>
          <w:b w:val="1"/>
          <w:bCs w:val="1"/>
          <w:color w:val="auto"/>
        </w:rPr>
        <w:t xml:space="preserve"> </w:t>
      </w:r>
      <w:r>
        <w:rPr>
          <w:rFonts w:ascii="Arial" w:cs="Arial" w:eastAsia="Arial" w:hAnsi="Arial"/>
          <w:sz w:val="19"/>
          <w:szCs w:val="19"/>
          <w:color w:val="auto"/>
        </w:rPr>
        <w:t>Preferred Stock, Series B-1 Preferred Stock and/or shares of Common Stock issued upon conversion thereof and possess registration rights, information rights, rights of first offer, and other rights pursuant to that certain Amended and Restated Investors’ Rights Agreement, as amended, dated as of May 15, 2014 between the Company and such Investors (the “</w:t>
      </w:r>
      <w:r>
        <w:rPr>
          <w:rFonts w:ascii="Arial" w:cs="Arial" w:eastAsia="Arial" w:hAnsi="Arial"/>
          <w:sz w:val="19"/>
          <w:szCs w:val="19"/>
          <w:u w:val="single" w:color="auto"/>
          <w:color w:val="auto"/>
        </w:rPr>
        <w:t>Prior Agreement</w:t>
      </w:r>
      <w:r>
        <w:rPr>
          <w:rFonts w:ascii="Arial" w:cs="Arial" w:eastAsia="Arial" w:hAnsi="Arial"/>
          <w:sz w:val="19"/>
          <w:szCs w:val="19"/>
          <w:color w:val="auto"/>
        </w:rPr>
        <w:t>”);</w:t>
      </w:r>
    </w:p>
    <w:p>
      <w:pPr>
        <w:spacing w:after="0" w:line="99" w:lineRule="exact"/>
        <w:rPr>
          <w:sz w:val="20"/>
          <w:szCs w:val="20"/>
          <w:color w:val="auto"/>
        </w:rPr>
      </w:pPr>
    </w:p>
    <w:p>
      <w:pPr>
        <w:jc w:val="both"/>
        <w:ind w:right="520" w:firstLine="1169"/>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certain of the Investors are parties to that certain Series C Preferred Stock Purchase Agreement of even date</w:t>
      </w:r>
      <w:r>
        <w:rPr>
          <w:rFonts w:ascii="Arial" w:cs="Arial" w:eastAsia="Arial" w:hAnsi="Arial"/>
          <w:sz w:val="19"/>
          <w:szCs w:val="19"/>
          <w:b w:val="1"/>
          <w:bCs w:val="1"/>
          <w:color w:val="auto"/>
        </w:rPr>
        <w:t xml:space="preserve"> </w:t>
      </w:r>
      <w:r>
        <w:rPr>
          <w:rFonts w:ascii="Arial" w:cs="Arial" w:eastAsia="Arial" w:hAnsi="Arial"/>
          <w:sz w:val="19"/>
          <w:szCs w:val="19"/>
          <w:color w:val="auto"/>
        </w:rPr>
        <w:t>herewith between the Company and certain of the Investors (the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under which certain of the Company’s and such Investors’ obligations are conditioned upon the execution and delivery of this Agreement by such Investors, Existing Investors holding a majority of the Registrable Securities, and the Company;</w:t>
      </w:r>
    </w:p>
    <w:p>
      <w:pPr>
        <w:spacing w:after="0" w:line="99" w:lineRule="exact"/>
        <w:rPr>
          <w:sz w:val="20"/>
          <w:szCs w:val="20"/>
          <w:color w:val="auto"/>
        </w:rPr>
      </w:pPr>
    </w:p>
    <w:p>
      <w:pPr>
        <w:ind w:right="100" w:firstLine="1169"/>
        <w:spacing w:after="0" w:line="27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Section 3.4 of the Prior Agreement, any term of the Prior Agreement may be amended or waived only</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written consent of the Company and the holders of a majority of the Registrable Securities (as defined in the Prior Agreement) then outstanding; and</w:t>
      </w:r>
    </w:p>
    <w:p>
      <w:pPr>
        <w:spacing w:after="0" w:line="95" w:lineRule="exact"/>
        <w:rPr>
          <w:sz w:val="20"/>
          <w:szCs w:val="20"/>
          <w:color w:val="auto"/>
        </w:rPr>
      </w:pPr>
    </w:p>
    <w:p>
      <w:pPr>
        <w:ind w:right="20" w:firstLine="1169"/>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and the Existing Investors, which represent a majority of the Registrable Securities currently</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desire to amend and restate the Prior Agreement in its entirety and to accept the rights created pursuant to this Agreement in lieu of the rights granted to them under the Prior Agreement; and the Company and such Existing Investors executing this Agreement together represent sufficient signatory authority to amend and restate the Prior Agreement.</w:t>
      </w:r>
    </w:p>
    <w:p>
      <w:pPr>
        <w:spacing w:after="0" w:line="99" w:lineRule="exact"/>
        <w:rPr>
          <w:sz w:val="20"/>
          <w:szCs w:val="20"/>
          <w:color w:val="auto"/>
        </w:rPr>
      </w:pPr>
    </w:p>
    <w:p>
      <w:pPr>
        <w:ind w:left="11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the parties to this Agreement agree as follows: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AGREEMENT</w:t>
      </w:r>
    </w:p>
    <w:p>
      <w:pPr>
        <w:spacing w:after="0" w:line="159" w:lineRule="exact"/>
        <w:rPr>
          <w:sz w:val="20"/>
          <w:szCs w:val="20"/>
          <w:color w:val="auto"/>
        </w:rPr>
      </w:pPr>
    </w:p>
    <w:p>
      <w:pPr>
        <w:ind w:left="920" w:hanging="338"/>
        <w:spacing w:after="0"/>
        <w:tabs>
          <w:tab w:leader="none" w:pos="920" w:val="left"/>
        </w:tabs>
        <w:numPr>
          <w:ilvl w:val="0"/>
          <w:numId w:val="145"/>
        </w:numPr>
        <w:rPr>
          <w:rFonts w:ascii="Arial" w:cs="Arial" w:eastAsia="Arial" w:hAnsi="Arial"/>
          <w:sz w:val="19"/>
          <w:szCs w:val="19"/>
          <w:color w:val="auto"/>
        </w:rPr>
      </w:pPr>
      <w:r>
        <w:rPr>
          <w:rFonts w:ascii="Arial" w:cs="Arial" w:eastAsia="Arial" w:hAnsi="Arial"/>
          <w:sz w:val="19"/>
          <w:szCs w:val="19"/>
          <w:b w:val="1"/>
          <w:bCs w:val="1"/>
          <w:u w:val="single" w:color="auto"/>
          <w:color w:val="auto"/>
        </w:rPr>
        <w:t>Registration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the Investors covenant and agree as follows:</w:t>
      </w:r>
    </w:p>
    <w:p>
      <w:pPr>
        <w:spacing w:after="0" w:line="159" w:lineRule="exact"/>
        <w:rPr>
          <w:rFonts w:ascii="Arial" w:cs="Arial" w:eastAsia="Arial" w:hAnsi="Arial"/>
          <w:sz w:val="19"/>
          <w:szCs w:val="19"/>
          <w:color w:val="auto"/>
        </w:rPr>
      </w:pPr>
    </w:p>
    <w:p>
      <w:pPr>
        <w:ind w:left="1160"/>
        <w:spacing w:after="0"/>
        <w:rPr>
          <w:rFonts w:ascii="Arial" w:cs="Arial" w:eastAsia="Arial" w:hAnsi="Arial"/>
          <w:sz w:val="19"/>
          <w:szCs w:val="19"/>
          <w:color w:val="auto"/>
        </w:rPr>
      </w:pPr>
      <w:r>
        <w:rPr>
          <w:rFonts w:ascii="Arial" w:cs="Arial" w:eastAsia="Arial" w:hAnsi="Arial"/>
          <w:sz w:val="19"/>
          <w:szCs w:val="19"/>
          <w:color w:val="auto"/>
        </w:rPr>
        <w:t xml:space="preserve">1.1  </w:t>
      </w: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w:t>
      </w:r>
      <w:r>
        <w:rPr>
          <w:rFonts w:ascii="Arial" w:cs="Arial" w:eastAsia="Arial" w:hAnsi="Arial"/>
          <w:sz w:val="19"/>
          <w:szCs w:val="19"/>
          <w:color w:val="auto"/>
        </w:rPr>
        <w:t xml:space="preserve"> For purposes of this Agreement:</w:t>
      </w:r>
    </w:p>
    <w:p>
      <w:pPr>
        <w:spacing w:after="0" w:line="165" w:lineRule="exact"/>
        <w:rPr>
          <w:rFonts w:ascii="Arial" w:cs="Arial" w:eastAsia="Arial" w:hAnsi="Arial"/>
          <w:sz w:val="19"/>
          <w:szCs w:val="19"/>
          <w:color w:val="auto"/>
        </w:rPr>
      </w:pPr>
    </w:p>
    <w:p>
      <w:pPr>
        <w:ind w:right="80" w:firstLine="1751"/>
        <w:spacing w:after="0" w:line="286" w:lineRule="auto"/>
        <w:tabs>
          <w:tab w:leader="none" w:pos="2161" w:val="left"/>
        </w:tabs>
        <w:numPr>
          <w:ilvl w:val="1"/>
          <w:numId w:val="145"/>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any successor thereto)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296" w:right="339" w:bottom="1440" w:gutter="0" w:footer="0" w:header="0"/>
        </w:sectPr>
      </w:pPr>
    </w:p>
    <w:bookmarkStart w:id="264" w:name="page265"/>
    <w:bookmarkEnd w:id="264"/>
    <w:p>
      <w:pPr>
        <w:ind w:left="-100" w:right="300" w:firstLine="1751"/>
        <w:spacing w:after="0" w:line="348" w:lineRule="auto"/>
        <w:tabs>
          <w:tab w:leader="none" w:pos="207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Form S-3</w:t>
      </w:r>
      <w:r>
        <w:rPr>
          <w:rFonts w:ascii="Arial" w:cs="Arial" w:eastAsia="Arial" w:hAnsi="Arial"/>
          <w:sz w:val="17"/>
          <w:szCs w:val="17"/>
          <w:color w:val="auto"/>
        </w:rPr>
        <w:t>” means such form under the Securities Act as in effect on the date hereof or any successor form under the Securities Act that permits significant incorporation by reference of the Company’s public filings under the Exchange Act;</w:t>
      </w:r>
    </w:p>
    <w:p>
      <w:pPr>
        <w:spacing w:after="0" w:line="42" w:lineRule="exact"/>
        <w:rPr>
          <w:rFonts w:ascii="Arial" w:cs="Arial" w:eastAsia="Arial" w:hAnsi="Arial"/>
          <w:sz w:val="17"/>
          <w:szCs w:val="17"/>
          <w:color w:val="auto"/>
        </w:rPr>
      </w:pPr>
    </w:p>
    <w:p>
      <w:pPr>
        <w:ind w:left="2060" w:hanging="409"/>
        <w:spacing w:after="0"/>
        <w:tabs>
          <w:tab w:leader="none" w:pos="206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Free Writing Prospectus</w:t>
      </w:r>
      <w:r>
        <w:rPr>
          <w:rFonts w:ascii="Arial" w:cs="Arial" w:eastAsia="Arial" w:hAnsi="Arial"/>
          <w:sz w:val="19"/>
          <w:szCs w:val="19"/>
          <w:color w:val="auto"/>
        </w:rPr>
        <w:t>” means a free writing prospectus, as defined by Rule 405;</w:t>
      </w:r>
    </w:p>
    <w:p>
      <w:pPr>
        <w:spacing w:after="0" w:line="159" w:lineRule="exact"/>
        <w:rPr>
          <w:rFonts w:ascii="Arial" w:cs="Arial" w:eastAsia="Arial" w:hAnsi="Arial"/>
          <w:sz w:val="19"/>
          <w:szCs w:val="19"/>
          <w:color w:val="auto"/>
        </w:rPr>
      </w:pPr>
    </w:p>
    <w:p>
      <w:pPr>
        <w:ind w:left="-100" w:right="100" w:firstLine="1751"/>
        <w:spacing w:after="0" w:line="286" w:lineRule="auto"/>
        <w:tabs>
          <w:tab w:leader="none" w:pos="2072"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Holder</w:t>
      </w:r>
      <w:r>
        <w:rPr>
          <w:rFonts w:ascii="Arial" w:cs="Arial" w:eastAsia="Arial" w:hAnsi="Arial"/>
          <w:sz w:val="19"/>
          <w:szCs w:val="19"/>
          <w:color w:val="auto"/>
        </w:rPr>
        <w:t>” means any person owning or having the right to acquire Registrable Securities or any assignee thereof in accordance with Section 1.12 of this Agreement;</w:t>
      </w:r>
    </w:p>
    <w:p>
      <w:pPr>
        <w:spacing w:after="0" w:line="88" w:lineRule="exact"/>
        <w:rPr>
          <w:rFonts w:ascii="Arial" w:cs="Arial" w:eastAsia="Arial" w:hAnsi="Arial"/>
          <w:sz w:val="19"/>
          <w:szCs w:val="19"/>
          <w:color w:val="auto"/>
        </w:rPr>
      </w:pPr>
    </w:p>
    <w:p>
      <w:pPr>
        <w:ind w:left="-100" w:right="620" w:firstLine="1751"/>
        <w:spacing w:after="0" w:line="286" w:lineRule="auto"/>
        <w:tabs>
          <w:tab w:leader="none" w:pos="2061"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Initial Offering</w:t>
      </w:r>
      <w:r>
        <w:rPr>
          <w:rFonts w:ascii="Arial" w:cs="Arial" w:eastAsia="Arial" w:hAnsi="Arial"/>
          <w:sz w:val="19"/>
          <w:szCs w:val="19"/>
          <w:color w:val="auto"/>
        </w:rPr>
        <w:t>” means the Company’s first firm commitment underwritten public offering of its Common Stock under the Securities Act.</w:t>
      </w:r>
    </w:p>
    <w:p>
      <w:pPr>
        <w:spacing w:after="0" w:line="88" w:lineRule="exact"/>
        <w:rPr>
          <w:rFonts w:ascii="Arial" w:cs="Arial" w:eastAsia="Arial" w:hAnsi="Arial"/>
          <w:sz w:val="19"/>
          <w:szCs w:val="19"/>
          <w:color w:val="auto"/>
        </w:rPr>
      </w:pPr>
    </w:p>
    <w:p>
      <w:pPr>
        <w:ind w:left="-100" w:right="160" w:firstLine="1751"/>
        <w:spacing w:after="0" w:line="316" w:lineRule="auto"/>
        <w:tabs>
          <w:tab w:leader="none" w:pos="20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Major Investor</w:t>
      </w:r>
      <w:r>
        <w:rPr>
          <w:rFonts w:ascii="Arial" w:cs="Arial" w:eastAsia="Arial" w:hAnsi="Arial"/>
          <w:sz w:val="17"/>
          <w:szCs w:val="17"/>
          <w:color w:val="auto"/>
        </w:rPr>
        <w:t>” means any Investor that holds at least 60,000 shares of the Preferred Stock or the Common Stock issued upon conversion thereof (subject to adjustment for stock splits, stock dividends, combinations, reclassifications or the like). A Major Investor includes any general partners, managing members and affiliates of a Major Investor, including any Affiliated Funds;</w:t>
      </w:r>
    </w:p>
    <w:p>
      <w:pPr>
        <w:spacing w:after="0" w:line="68" w:lineRule="exact"/>
        <w:rPr>
          <w:rFonts w:ascii="Arial" w:cs="Arial" w:eastAsia="Arial" w:hAnsi="Arial"/>
          <w:sz w:val="17"/>
          <w:szCs w:val="17"/>
          <w:color w:val="auto"/>
        </w:rPr>
      </w:pPr>
    </w:p>
    <w:p>
      <w:pPr>
        <w:ind w:left="2060" w:hanging="409"/>
        <w:spacing w:after="0"/>
        <w:tabs>
          <w:tab w:leader="none" w:pos="206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Qualified IPO</w:t>
      </w:r>
      <w:r>
        <w:rPr>
          <w:rFonts w:ascii="Arial" w:cs="Arial" w:eastAsia="Arial" w:hAnsi="Arial"/>
          <w:sz w:val="19"/>
          <w:szCs w:val="19"/>
          <w:color w:val="auto"/>
        </w:rPr>
        <w:t>” shall have the meaning ascribed to such term in the Restated Certificate;</w:t>
      </w:r>
    </w:p>
    <w:p>
      <w:pPr>
        <w:spacing w:after="0" w:line="159" w:lineRule="exact"/>
        <w:rPr>
          <w:rFonts w:ascii="Arial" w:cs="Arial" w:eastAsia="Arial" w:hAnsi="Arial"/>
          <w:sz w:val="19"/>
          <w:szCs w:val="19"/>
          <w:color w:val="auto"/>
        </w:rPr>
      </w:pPr>
    </w:p>
    <w:p>
      <w:pPr>
        <w:jc w:val="both"/>
        <w:ind w:left="-100" w:right="480" w:firstLine="1751"/>
        <w:spacing w:after="0" w:line="270" w:lineRule="auto"/>
        <w:tabs>
          <w:tab w:leader="none" w:pos="2072"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terms “</w:t>
      </w:r>
      <w:r>
        <w:rPr>
          <w:rFonts w:ascii="Arial" w:cs="Arial" w:eastAsia="Arial" w:hAnsi="Arial"/>
          <w:sz w:val="19"/>
          <w:szCs w:val="19"/>
          <w:u w:val="single" w:color="auto"/>
          <w:color w:val="auto"/>
        </w:rPr>
        <w:t>register</w:t>
      </w:r>
      <w:r>
        <w:rPr>
          <w:rFonts w:ascii="Arial" w:cs="Arial" w:eastAsia="Arial" w:hAnsi="Arial"/>
          <w:sz w:val="19"/>
          <w:szCs w:val="19"/>
          <w:color w:val="auto"/>
        </w:rPr>
        <w:t>,” “</w:t>
      </w:r>
      <w:r>
        <w:rPr>
          <w:rFonts w:ascii="Arial" w:cs="Arial" w:eastAsia="Arial" w:hAnsi="Arial"/>
          <w:sz w:val="19"/>
          <w:szCs w:val="19"/>
          <w:u w:val="single" w:color="auto"/>
          <w:color w:val="auto"/>
        </w:rPr>
        <w:t>registered</w:t>
      </w:r>
      <w:r>
        <w:rPr>
          <w:rFonts w:ascii="Arial" w:cs="Arial" w:eastAsia="Arial" w:hAnsi="Arial"/>
          <w:sz w:val="19"/>
          <w:szCs w:val="19"/>
          <w:color w:val="auto"/>
        </w:rPr>
        <w:t>,” and “</w:t>
      </w:r>
      <w:r>
        <w:rPr>
          <w:rFonts w:ascii="Arial" w:cs="Arial" w:eastAsia="Arial" w:hAnsi="Arial"/>
          <w:sz w:val="19"/>
          <w:szCs w:val="19"/>
          <w:u w:val="single" w:color="auto"/>
          <w:color w:val="auto"/>
        </w:rPr>
        <w:t>registration</w:t>
      </w:r>
      <w:r>
        <w:rPr>
          <w:rFonts w:ascii="Arial" w:cs="Arial" w:eastAsia="Arial" w:hAnsi="Arial"/>
          <w:sz w:val="19"/>
          <w:szCs w:val="19"/>
          <w:color w:val="auto"/>
        </w:rPr>
        <w:t>” refer to a registration effected by preparing and filing a registration statement or similar document in compliance with the Securities Act, and the declaration or ordering of effectiveness of such registration statement or document;</w:t>
      </w:r>
    </w:p>
    <w:p>
      <w:pPr>
        <w:spacing w:after="0" w:line="102" w:lineRule="exact"/>
        <w:rPr>
          <w:rFonts w:ascii="Arial" w:cs="Arial" w:eastAsia="Arial" w:hAnsi="Arial"/>
          <w:sz w:val="19"/>
          <w:szCs w:val="19"/>
          <w:color w:val="auto"/>
        </w:rPr>
      </w:pPr>
    </w:p>
    <w:p>
      <w:pPr>
        <w:ind w:left="-100" w:firstLine="1751"/>
        <w:spacing w:after="0" w:line="274" w:lineRule="auto"/>
        <w:tabs>
          <w:tab w:leader="none" w:pos="202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xml:space="preserve">” means (i) the shares of Common Stock issuable or issued upon conversion of the Preferred Stock, and (ii) any other shares of Common Stock of the Company issued as (or issuable upon the conversion or exercise of any warrant, right or other security that is issued as) a dividend or other distribution with respect to, or in exchange for or in replacement of, the shares listed in (i);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definition shall exclude in all cases any Registrable Securities sold by a person in a transaction in which his or her rights under this Agreement are not assigned. Notwithstanding the foregoing, Common Stock or other securities shall only be treated as Registrable Securities if and so long as (A) they have not been sold to or through a broker or dealer or underwriter in a public distribution or a public securities transaction, and (B) they have not been sold in a transaction exempt from the registration and prospectus delivery requirements of the Securities Act under Section 4(1) thereof so that all transfer restrictions, and restrictive legends with respect thereto, if any, are removed upon the consummation of such sale;</w:t>
      </w:r>
    </w:p>
    <w:p>
      <w:pPr>
        <w:spacing w:after="0" w:line="101" w:lineRule="exact"/>
        <w:rPr>
          <w:rFonts w:ascii="Arial" w:cs="Arial" w:eastAsia="Arial" w:hAnsi="Arial"/>
          <w:sz w:val="18"/>
          <w:szCs w:val="18"/>
          <w:color w:val="auto"/>
        </w:rPr>
      </w:pPr>
    </w:p>
    <w:p>
      <w:pPr>
        <w:ind w:left="-100" w:right="140" w:firstLine="1751"/>
        <w:spacing w:after="0" w:line="270" w:lineRule="auto"/>
        <w:tabs>
          <w:tab w:leader="none" w:pos="2029"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number of shares of “</w:t>
      </w:r>
      <w:r>
        <w:rPr>
          <w:rFonts w:ascii="Arial" w:cs="Arial" w:eastAsia="Arial" w:hAnsi="Arial"/>
          <w:sz w:val="19"/>
          <w:szCs w:val="19"/>
          <w:u w:val="single" w:color="auto"/>
          <w:color w:val="auto"/>
        </w:rPr>
        <w:t>Registrable Securities then outstanding</w:t>
      </w:r>
      <w:r>
        <w:rPr>
          <w:rFonts w:ascii="Arial" w:cs="Arial" w:eastAsia="Arial" w:hAnsi="Arial"/>
          <w:sz w:val="19"/>
          <w:szCs w:val="19"/>
          <w:color w:val="auto"/>
        </w:rPr>
        <w:t>” shall be determined by the number of shares of Common Stock outstanding which are, and the number of shares of Common Stock issuable pursuant to then exercisable or convertible securities which are,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040"/>
          </w:cols>
          <w:pgMar w:left="420" w:top="1302" w:right="439" w:bottom="1440" w:gutter="0" w:footer="0" w:header="0"/>
        </w:sectPr>
      </w:pPr>
    </w:p>
    <w:bookmarkStart w:id="265" w:name="page266"/>
    <w:bookmarkEnd w:id="265"/>
    <w:p>
      <w:pPr>
        <w:ind w:right="560" w:firstLine="1751"/>
        <w:spacing w:after="0" w:line="286" w:lineRule="auto"/>
        <w:tabs>
          <w:tab w:leader="none" w:pos="217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Restated Certificate</w:t>
      </w:r>
      <w:r>
        <w:rPr>
          <w:rFonts w:ascii="Arial" w:cs="Arial" w:eastAsia="Arial" w:hAnsi="Arial"/>
          <w:sz w:val="19"/>
          <w:szCs w:val="19"/>
          <w:color w:val="auto"/>
        </w:rPr>
        <w:t>” means the Company’s Amended and Restated Certificate of Incorporation as amended from time to time;</w:t>
      </w:r>
    </w:p>
    <w:p>
      <w:pPr>
        <w:spacing w:after="0" w:line="88" w:lineRule="exact"/>
        <w:rPr>
          <w:rFonts w:ascii="Arial" w:cs="Arial" w:eastAsia="Arial" w:hAnsi="Arial"/>
          <w:sz w:val="19"/>
          <w:szCs w:val="19"/>
          <w:color w:val="auto"/>
        </w:rPr>
      </w:pPr>
    </w:p>
    <w:p>
      <w:pPr>
        <w:ind w:left="2120" w:hanging="369"/>
        <w:spacing w:after="0"/>
        <w:tabs>
          <w:tab w:leader="none" w:pos="212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 and</w:t>
      </w:r>
    </w:p>
    <w:p>
      <w:pPr>
        <w:spacing w:after="0" w:line="159" w:lineRule="exact"/>
        <w:rPr>
          <w:rFonts w:ascii="Arial" w:cs="Arial" w:eastAsia="Arial" w:hAnsi="Arial"/>
          <w:sz w:val="19"/>
          <w:szCs w:val="19"/>
          <w:color w:val="auto"/>
        </w:rPr>
      </w:pPr>
    </w:p>
    <w:p>
      <w:pPr>
        <w:ind w:right="120" w:firstLine="1751"/>
        <w:spacing w:after="0" w:line="286" w:lineRule="auto"/>
        <w:tabs>
          <w:tab w:leader="none" w:pos="2226"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 (and any successor thereto) and the rules and regulations promulgated thereunder.</w:t>
      </w:r>
    </w:p>
    <w:p>
      <w:pPr>
        <w:spacing w:after="0" w:line="82"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7"/>
          <w:szCs w:val="17"/>
          <w:b w:val="1"/>
          <w:bCs w:val="1"/>
          <w:u w:val="single" w:color="auto"/>
          <w:color w:val="auto"/>
        </w:rPr>
        <w:t>Request for Registration</w:t>
      </w:r>
      <w:r>
        <w:rPr>
          <w:rFonts w:ascii="Arial" w:cs="Arial" w:eastAsia="Arial" w:hAnsi="Arial"/>
          <w:sz w:val="17"/>
          <w:szCs w:val="17"/>
          <w:color w:val="auto"/>
        </w:rPr>
        <w:t>.</w:t>
      </w:r>
    </w:p>
    <w:p>
      <w:pPr>
        <w:spacing w:after="0" w:line="165" w:lineRule="exact"/>
        <w:rPr>
          <w:sz w:val="20"/>
          <w:szCs w:val="20"/>
          <w:color w:val="auto"/>
        </w:rPr>
      </w:pPr>
    </w:p>
    <w:p>
      <w:pPr>
        <w:ind w:right="140" w:firstLine="1751"/>
        <w:spacing w:after="0" w:line="259" w:lineRule="auto"/>
        <w:tabs>
          <w:tab w:leader="none" w:pos="2165"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If the Company shall receive at any time after the earlier of (i) the fifth anniversary of the Effective Date of this Agreement, or (ii) six months after the effective date of the Initial Offering, a written request from the Holders of a majority of the Registrable Securities then outstanding that the Company file a registration statement under the Securities Act, provided that the anticipated aggregate offering price, net of selling expenses, would exceed $10,000,000, then the Company shall, within 20 days of the receipt thereof, give written notice of such request to all Holders and shall, subject to the limitations of subsection 1.2(b), use its best efforts to file as soon as practicable, and in any event within 30 days of the receipt of such request, a registration statement under the Securities Act covering all Registrable Securities which the Holders request to be registered.</w:t>
      </w:r>
    </w:p>
    <w:p>
      <w:pPr>
        <w:spacing w:after="0" w:line="115" w:lineRule="exact"/>
        <w:rPr>
          <w:rFonts w:ascii="Arial" w:cs="Arial" w:eastAsia="Arial" w:hAnsi="Arial"/>
          <w:sz w:val="19"/>
          <w:szCs w:val="19"/>
          <w:color w:val="auto"/>
        </w:rPr>
      </w:pPr>
    </w:p>
    <w:p>
      <w:pPr>
        <w:ind w:firstLine="1751"/>
        <w:spacing w:after="0" w:line="271" w:lineRule="auto"/>
        <w:tabs>
          <w:tab w:leader="none" w:pos="217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the Holders initiating the registration request hereunder (“</w:t>
      </w:r>
      <w:r>
        <w:rPr>
          <w:rFonts w:ascii="Arial" w:cs="Arial" w:eastAsia="Arial" w:hAnsi="Arial"/>
          <w:sz w:val="18"/>
          <w:szCs w:val="18"/>
          <w:u w:val="single" w:color="auto"/>
          <w:color w:val="auto"/>
        </w:rPr>
        <w:t>Initiating Holders</w:t>
      </w:r>
      <w:r>
        <w:rPr>
          <w:rFonts w:ascii="Arial" w:cs="Arial" w:eastAsia="Arial" w:hAnsi="Arial"/>
          <w:sz w:val="18"/>
          <w:szCs w:val="18"/>
          <w:color w:val="auto"/>
        </w:rPr>
        <w:t xml:space="preserve">”)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subsection 1.2(a). The underwriter will be selected by a majority in interest of the Initiating Holders and shall be reasonably acceptable to the Company. In such event, the right of any Holder to include his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(together with the Company as provided in subsection 1.5(e)) enter into an underwriting agreement in customary form with the underwriter or underwriters selected for such underwriting. Notwithstanding any other provision of this Section 1.2, if the underwriter advises the Company in writing that marketing factors require a limitation of the number of shares to be underwritten, then the Company shall so advise all Holders of Registrable Securities which would otherwise be underwritten pursuant hereto, and the number of shares of Registrable Securities that may be included in the underwriting shall be allocated among all participating Holders thereof, including the Initiating Holders, in proportion (as nearly as practicable) to the amount of Registrable Securities of the Company owned by each participating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number of shares of Registrable Securities to be included in such underwriting shall not be reduced unless all other securities are first entirely excluded from the underwriting.</w:t>
      </w:r>
    </w:p>
    <w:p>
      <w:pPr>
        <w:spacing w:after="0" w:line="111" w:lineRule="exact"/>
        <w:rPr>
          <w:rFonts w:ascii="Arial" w:cs="Arial" w:eastAsia="Arial" w:hAnsi="Arial"/>
          <w:sz w:val="18"/>
          <w:szCs w:val="18"/>
          <w:color w:val="auto"/>
        </w:rPr>
      </w:pPr>
    </w:p>
    <w:p>
      <w:pPr>
        <w:ind w:right="40" w:firstLine="1751"/>
        <w:spacing w:after="0" w:line="286" w:lineRule="auto"/>
        <w:tabs>
          <w:tab w:leader="none" w:pos="2165" w:val="left"/>
        </w:tabs>
        <w:numPr>
          <w:ilvl w:val="0"/>
          <w:numId w:val="148"/>
        </w:numPr>
        <w:rPr>
          <w:rFonts w:ascii="Arial" w:cs="Arial" w:eastAsia="Arial" w:hAnsi="Arial"/>
          <w:sz w:val="19"/>
          <w:szCs w:val="19"/>
          <w:color w:val="auto"/>
        </w:rPr>
      </w:pPr>
      <w:r>
        <w:rPr>
          <w:rFonts w:ascii="Arial" w:cs="Arial" w:eastAsia="Arial" w:hAnsi="Arial"/>
          <w:sz w:val="19"/>
          <w:szCs w:val="19"/>
          <w:color w:val="auto"/>
        </w:rPr>
        <w:t>Notwithstanding the foregoing, if the Company shall furnish to Holders requesting a registration statement pursuant to this Section 1.2, a certificate signed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02" w:right="339" w:bottom="1440" w:gutter="0" w:footer="0" w:header="0"/>
        </w:sectPr>
      </w:pPr>
    </w:p>
    <w:bookmarkStart w:id="266" w:name="page267"/>
    <w:bookmarkEnd w:id="266"/>
    <w:p>
      <w:pPr>
        <w:ind w:right="20"/>
        <w:spacing w:after="0" w:line="275" w:lineRule="auto"/>
        <w:rPr>
          <w:sz w:val="20"/>
          <w:szCs w:val="20"/>
          <w:color w:val="auto"/>
        </w:rPr>
      </w:pPr>
      <w:r>
        <w:rPr>
          <w:rFonts w:ascii="Arial" w:cs="Arial" w:eastAsia="Arial" w:hAnsi="Arial"/>
          <w:sz w:val="18"/>
          <w:szCs w:val="18"/>
          <w:color w:val="auto"/>
        </w:rPr>
        <w:t>the Chief Executive Officer or President of the Company stating that in the good faith judgment of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it would be seriously detrimental to the Company and its stockholders for such registration statement to be filed and it is therefore essential to defer the filing of such registration statement, the Company shall have the right to defer such filing for a period of not more than 90 days after receipt of the request of the Initiating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may not utilize this right more than once in any twelve-month period,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Company shall not register any securities for the account of itself or any other stockholder during such 90 day period (other than a Qualified IPO, a registration relating solely to the sale of securities to participants in a Company stock plan or a transaction covered by Rule 145 under the Securities Act, or a registration in which the only stock being registered is Common Stock issuable upon conversion of debt securities which are also being registered).</w:t>
      </w:r>
    </w:p>
    <w:p>
      <w:pPr>
        <w:spacing w:after="0" w:line="100" w:lineRule="exact"/>
        <w:rPr>
          <w:sz w:val="20"/>
          <w:szCs w:val="20"/>
          <w:color w:val="auto"/>
        </w:rPr>
      </w:pPr>
    </w:p>
    <w:p>
      <w:pPr>
        <w:ind w:left="1760"/>
        <w:spacing w:after="0"/>
        <w:tabs>
          <w:tab w:leader="none" w:pos="216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7"/>
          <w:szCs w:val="17"/>
          <w:color w:val="auto"/>
        </w:rPr>
        <w:t>In addition, the Company shall not be obligated to effect, or to take any action to effect, any registration pursuant to</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this Section 1.2:</w:t>
      </w:r>
    </w:p>
    <w:p>
      <w:pPr>
        <w:spacing w:after="0" w:line="143" w:lineRule="exact"/>
        <w:rPr>
          <w:sz w:val="20"/>
          <w:szCs w:val="20"/>
          <w:color w:val="auto"/>
        </w:rPr>
      </w:pPr>
    </w:p>
    <w:p>
      <w:pPr>
        <w:ind w:left="2340"/>
        <w:spacing w:after="0"/>
        <w:tabs>
          <w:tab w:leader="none" w:pos="268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7"/>
          <w:szCs w:val="17"/>
          <w:color w:val="auto"/>
        </w:rPr>
        <w:t>After the Company has effected 2 registrations pursuant to this Section 1.2 and such registrations have been</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declared or ordered effective;</w:t>
      </w:r>
    </w:p>
    <w:p>
      <w:pPr>
        <w:spacing w:after="0" w:line="143" w:lineRule="exact"/>
        <w:rPr>
          <w:sz w:val="20"/>
          <w:szCs w:val="20"/>
          <w:color w:val="auto"/>
        </w:rPr>
      </w:pPr>
    </w:p>
    <w:p>
      <w:pPr>
        <w:ind w:right="560" w:firstLine="2336"/>
        <w:spacing w:after="0" w:line="286" w:lineRule="auto"/>
        <w:tabs>
          <w:tab w:leader="none" w:pos="277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During the period commencing on the effective date of the registration statement for the initial public offering of the Company’s securities and ending on a date 180 days after the effective date of such registration; or</w:t>
      </w:r>
    </w:p>
    <w:p>
      <w:pPr>
        <w:spacing w:after="0" w:line="88" w:lineRule="exact"/>
        <w:rPr>
          <w:rFonts w:ascii="Arial" w:cs="Arial" w:eastAsia="Arial" w:hAnsi="Arial"/>
          <w:sz w:val="19"/>
          <w:szCs w:val="19"/>
          <w:color w:val="auto"/>
        </w:rPr>
      </w:pPr>
    </w:p>
    <w:p>
      <w:pPr>
        <w:ind w:firstLine="2336"/>
        <w:spacing w:after="0" w:line="264" w:lineRule="auto"/>
        <w:tabs>
          <w:tab w:leader="none" w:pos="282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If the Company delivers notice to the Holders within 20 days of the Company’s receipt of the Initiating Holders’ registration request declaring the Company’s intention to file within 60 days a registration statement for the Company’s initial public offering, provided that the Company is actively employing in good faith all commercially reasonable efforts to cause such registration statement to become effective.</w:t>
      </w:r>
    </w:p>
    <w:p>
      <w:pPr>
        <w:spacing w:after="0" w:line="104" w:lineRule="exact"/>
        <w:rPr>
          <w:sz w:val="20"/>
          <w:szCs w:val="20"/>
          <w:color w:val="auto"/>
        </w:rPr>
      </w:pPr>
    </w:p>
    <w:p>
      <w:pPr>
        <w:ind w:right="40" w:firstLine="1169"/>
        <w:spacing w:after="0" w:line="258"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b w:val="1"/>
          <w:bCs w:val="1"/>
          <w:u w:val="single" w:color="auto"/>
          <w:color w:val="auto"/>
        </w:rPr>
        <w:t>Company Registration</w:t>
      </w:r>
      <w:r>
        <w:rPr>
          <w:rFonts w:ascii="Arial" w:cs="Arial" w:eastAsia="Arial" w:hAnsi="Arial"/>
          <w:sz w:val="19"/>
          <w:szCs w:val="19"/>
          <w:b w:val="1"/>
          <w:bCs w:val="1"/>
          <w:color w:val="auto"/>
        </w:rPr>
        <w:t>.</w:t>
      </w:r>
      <w:r>
        <w:rPr>
          <w:rFonts w:ascii="Arial" w:cs="Arial" w:eastAsia="Arial" w:hAnsi="Arial"/>
          <w:sz w:val="19"/>
          <w:szCs w:val="19"/>
          <w:color w:val="auto"/>
        </w:rPr>
        <w:t xml:space="preserve"> If (but without any obligation to do so) the Company proposes to register (including for this purpose a registration effected by the Company for stockholders other than the Holders) any of its stock under the Securities Act in connection with the public offering of such securities solely for cash (other than a registration relating solely to the sale of securities to participants in a Company stock plan or a transaction covered by Rule 145 under the Securities Act, a registration in which the only stock being registered is Common Stock issuable upon conversion of debt securities which are also being registered, or any registration on any form which does not include substantially the same information as would be required to be included in a registration statement covering the sale of the Registrable Securities), the Company shall, at such time, promptly give each Holder written notice of such registration. Upon the written request of each Holder given within 20 days after mailing of such notice by the Company in accordance with Section 3.5, the Company shall, subject to the provisions of Section 1.8, cause to be registered under the Securities Act all of the Registrable Securities that each such Holder has requested to be registered.</w:t>
      </w:r>
    </w:p>
    <w:p>
      <w:pPr>
        <w:spacing w:after="0" w:line="111" w:lineRule="exact"/>
        <w:rPr>
          <w:sz w:val="20"/>
          <w:szCs w:val="20"/>
          <w:color w:val="auto"/>
        </w:rPr>
      </w:pPr>
    </w:p>
    <w:p>
      <w:pPr>
        <w:ind w:right="160" w:firstLine="1169"/>
        <w:spacing w:after="0" w:line="292"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b w:val="1"/>
          <w:bCs w:val="1"/>
          <w:u w:val="single" w:color="auto"/>
          <w:color w:val="auto"/>
        </w:rPr>
        <w:t>Form S-3 Registration</w:t>
      </w:r>
      <w:r>
        <w:rPr>
          <w:rFonts w:ascii="Arial" w:cs="Arial" w:eastAsia="Arial" w:hAnsi="Arial"/>
          <w:sz w:val="19"/>
          <w:szCs w:val="19"/>
          <w:b w:val="1"/>
          <w:bCs w:val="1"/>
          <w:color w:val="auto"/>
        </w:rPr>
        <w:t>.</w:t>
      </w:r>
      <w:r>
        <w:rPr>
          <w:rFonts w:ascii="Arial" w:cs="Arial" w:eastAsia="Arial" w:hAnsi="Arial"/>
          <w:sz w:val="19"/>
          <w:szCs w:val="19"/>
          <w:color w:val="auto"/>
        </w:rPr>
        <w:t xml:space="preserve"> In case the Company shall receive from the Holders of at least 20% of the Registrable Securities then outstanding a written request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02" w:right="339" w:bottom="1440" w:gutter="0" w:footer="0" w:header="0"/>
        </w:sectPr>
      </w:pPr>
    </w:p>
    <w:bookmarkStart w:id="267" w:name="page268"/>
    <w:bookmarkEnd w:id="267"/>
    <w:p>
      <w:pPr>
        <w:ind w:right="80"/>
        <w:spacing w:after="0" w:line="286" w:lineRule="auto"/>
        <w:rPr>
          <w:sz w:val="20"/>
          <w:szCs w:val="20"/>
          <w:color w:val="auto"/>
        </w:rPr>
      </w:pPr>
      <w:r>
        <w:rPr>
          <w:rFonts w:ascii="Arial" w:cs="Arial" w:eastAsia="Arial" w:hAnsi="Arial"/>
          <w:sz w:val="19"/>
          <w:szCs w:val="19"/>
          <w:color w:val="auto"/>
        </w:rPr>
        <w:t>Company effect a registration on Form S-3 and any related qualification or compliance with respect to all or a part of the Registrable Securities owned by such Holders, the Company will:</w:t>
      </w:r>
    </w:p>
    <w:p>
      <w:pPr>
        <w:spacing w:after="0" w:line="88" w:lineRule="exact"/>
        <w:rPr>
          <w:sz w:val="20"/>
          <w:szCs w:val="20"/>
          <w:color w:val="auto"/>
        </w:rPr>
      </w:pPr>
    </w:p>
    <w:p>
      <w:pPr>
        <w:ind w:left="2160" w:hanging="409"/>
        <w:spacing w:after="0"/>
        <w:tabs>
          <w:tab w:leader="none" w:pos="2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and any related qualification or compliance, to all other</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Holders; and</w:t>
      </w:r>
    </w:p>
    <w:p>
      <w:pPr>
        <w:spacing w:after="0" w:line="143" w:lineRule="exact"/>
        <w:rPr>
          <w:sz w:val="20"/>
          <w:szCs w:val="20"/>
          <w:color w:val="auto"/>
        </w:rPr>
      </w:pPr>
    </w:p>
    <w:p>
      <w:pPr>
        <w:ind w:firstLine="1751"/>
        <w:spacing w:after="0" w:line="271" w:lineRule="auto"/>
        <w:tabs>
          <w:tab w:leader="none" w:pos="217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as soon as practicable, effect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 or Holders joining in such request as are specified in a written request given within 15 days after receipt of such written notice from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to effect any such registration, qualification or compliance, pursuant to this Section 1.4: (i) if Form S-3 is not available for such offering by the Holders; (ii)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$3,000,000; (iii) if the Company shall furnish to the Holders a certificate signed by the Chief Executive Officer or President of the Company stating that in the good faith judgment of the Board of Directors, it would be seriously detrimental to the Company and its stockholders for such Form S-3 Registration to be effected at such time, in which event the Company shall have the right to defer the filing of the Form S-3 registration statement for a period of not more than 120 days after receipt of the request of the Holder or Holders under this Section 1.4;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utilize this right more than once in any 12-month period; (iv) if the Company has, within the 12-month period preceding the date of such request, already effected two registrations on Form S-3 for the Holders pursuant to this Section 1.4; (v) in any particular jurisdiction in which the Company would be required to qualify to do business or to execute a general consent to service of process in effecting such registration, qualification or compliance unless the Company is already qualified to do business or subject to service of process in that jurisdiction; or (vi) during the period ending 90 days after the effective date of a registration statement subject to Section 1.3, unless such registration statement is pursuant to an initial public offering, in which case the period shall be 180 days.</w:t>
      </w:r>
    </w:p>
    <w:p>
      <w:pPr>
        <w:spacing w:after="0" w:line="104" w:lineRule="exact"/>
        <w:rPr>
          <w:rFonts w:ascii="Arial" w:cs="Arial" w:eastAsia="Arial" w:hAnsi="Arial"/>
          <w:sz w:val="18"/>
          <w:szCs w:val="18"/>
          <w:color w:val="auto"/>
        </w:rPr>
      </w:pPr>
    </w:p>
    <w:p>
      <w:pPr>
        <w:ind w:right="100" w:firstLine="1751"/>
        <w:spacing w:after="0" w:line="264" w:lineRule="auto"/>
        <w:tabs>
          <w:tab w:leader="none" w:pos="2165" w:val="left"/>
        </w:tabs>
        <w:numPr>
          <w:ilvl w:val="0"/>
          <w:numId w:val="151"/>
        </w:numPr>
        <w:rPr>
          <w:rFonts w:ascii="Arial" w:cs="Arial" w:eastAsia="Arial" w:hAnsi="Arial"/>
          <w:sz w:val="19"/>
          <w:szCs w:val="19"/>
          <w:color w:val="auto"/>
        </w:rPr>
      </w:pPr>
      <w:r>
        <w:rPr>
          <w:rFonts w:ascii="Arial" w:cs="Arial" w:eastAsia="Arial" w:hAnsi="Arial"/>
          <w:sz w:val="19"/>
          <w:szCs w:val="19"/>
          <w:color w:val="auto"/>
        </w:rPr>
        <w:t>Subject to the foregoing, the Company shall file a registration statement covering the Registrable Securities and other securities so requested to be registered as soon as practicable after receipt of the request or requests of the Holders. Registrations effected pursuant to this Section 1.4 shall not be counted as demands for registration or registrations effected pursuant to Sections 1.2 or 1.3, respectively.</w:t>
      </w:r>
    </w:p>
    <w:p>
      <w:pPr>
        <w:spacing w:after="0" w:line="104" w:lineRule="exact"/>
        <w:rPr>
          <w:sz w:val="20"/>
          <w:szCs w:val="20"/>
          <w:color w:val="auto"/>
        </w:rPr>
      </w:pPr>
    </w:p>
    <w:p>
      <w:pPr>
        <w:ind w:right="700" w:firstLine="1169"/>
        <w:spacing w:after="0" w:line="292"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b w:val="1"/>
          <w:bCs w:val="1"/>
          <w:u w:val="single" w:color="auto"/>
          <w:color w:val="auto"/>
        </w:rPr>
        <w:t>Obligations of the Company</w:t>
      </w:r>
      <w:r>
        <w:rPr>
          <w:rFonts w:ascii="Arial" w:cs="Arial" w:eastAsia="Arial" w:hAnsi="Arial"/>
          <w:sz w:val="19"/>
          <w:szCs w:val="19"/>
          <w:b w:val="1"/>
          <w:bCs w:val="1"/>
          <w:color w:val="auto"/>
        </w:rPr>
        <w:t>.</w:t>
      </w:r>
      <w:r>
        <w:rPr>
          <w:rFonts w:ascii="Arial" w:cs="Arial" w:eastAsia="Arial" w:hAnsi="Arial"/>
          <w:sz w:val="19"/>
          <w:szCs w:val="19"/>
          <w:color w:val="auto"/>
        </w:rPr>
        <w:t xml:space="preserve"> Whenever required under this Section 1 to effect the registration of any Registrable Securities, the Company shall, as expeditiously as reasonably possible:</w:t>
      </w:r>
    </w:p>
    <w:p>
      <w:pPr>
        <w:spacing w:after="0" w:line="83" w:lineRule="exact"/>
        <w:rPr>
          <w:sz w:val="20"/>
          <w:szCs w:val="20"/>
          <w:color w:val="auto"/>
        </w:rPr>
      </w:pPr>
    </w:p>
    <w:p>
      <w:pPr>
        <w:ind w:right="100" w:firstLine="1751"/>
        <w:spacing w:after="0" w:line="348" w:lineRule="auto"/>
        <w:tabs>
          <w:tab w:leader="none" w:pos="216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02" w:right="339" w:bottom="1440" w:gutter="0" w:footer="0" w:header="0"/>
        </w:sectPr>
      </w:pPr>
    </w:p>
    <w:bookmarkStart w:id="268" w:name="page269"/>
    <w:bookmarkEnd w:id="268"/>
    <w:p>
      <w:pPr>
        <w:ind w:right="480"/>
        <w:spacing w:after="0" w:line="286" w:lineRule="auto"/>
        <w:rPr>
          <w:sz w:val="20"/>
          <w:szCs w:val="20"/>
          <w:color w:val="auto"/>
        </w:rPr>
      </w:pPr>
      <w:r>
        <w:rPr>
          <w:rFonts w:ascii="Arial" w:cs="Arial" w:eastAsia="Arial" w:hAnsi="Arial"/>
          <w:sz w:val="19"/>
          <w:szCs w:val="19"/>
          <w:color w:val="auto"/>
        </w:rPr>
        <w:t>registered thereunder, keep such registration statement effective for up to 120 days, or until the distribution described in such registration statement is completed, if earlier.</w:t>
      </w:r>
    </w:p>
    <w:p>
      <w:pPr>
        <w:spacing w:after="0" w:line="88" w:lineRule="exact"/>
        <w:rPr>
          <w:sz w:val="20"/>
          <w:szCs w:val="20"/>
          <w:color w:val="auto"/>
        </w:rPr>
      </w:pPr>
    </w:p>
    <w:p>
      <w:pPr>
        <w:jc w:val="both"/>
        <w:ind w:right="20" w:firstLine="1751"/>
        <w:spacing w:after="0" w:line="264" w:lineRule="auto"/>
        <w:tabs>
          <w:tab w:leader="none" w:pos="217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up to 120 days, or until the distribution described in such registration statement is completed, if earlier.</w:t>
      </w:r>
    </w:p>
    <w:p>
      <w:pPr>
        <w:spacing w:after="0" w:line="110" w:lineRule="exact"/>
        <w:rPr>
          <w:rFonts w:ascii="Arial" w:cs="Arial" w:eastAsia="Arial" w:hAnsi="Arial"/>
          <w:sz w:val="19"/>
          <w:szCs w:val="19"/>
          <w:color w:val="auto"/>
        </w:rPr>
      </w:pPr>
    </w:p>
    <w:p>
      <w:pPr>
        <w:jc w:val="both"/>
        <w:ind w:right="280" w:firstLine="1751"/>
        <w:spacing w:after="0" w:line="270" w:lineRule="auto"/>
        <w:tabs>
          <w:tab w:leader="none" w:pos="2165" w:val="left"/>
        </w:tabs>
        <w:numPr>
          <w:ilvl w:val="0"/>
          <w:numId w:val="153"/>
        </w:numPr>
        <w:rPr>
          <w:rFonts w:ascii="Arial" w:cs="Arial" w:eastAsia="Arial" w:hAnsi="Arial"/>
          <w:sz w:val="19"/>
          <w:szCs w:val="19"/>
          <w:color w:val="auto"/>
        </w:rPr>
      </w:pPr>
      <w:r>
        <w:rPr>
          <w:rFonts w:ascii="Arial" w:cs="Arial" w:eastAsia="Arial" w:hAnsi="Arial"/>
          <w:sz w:val="19"/>
          <w:szCs w:val="19"/>
          <w:color w:val="auto"/>
        </w:rPr>
        <w:t>Furnish to the Holders such numbers of copies of a prospectus, including a preliminary prospectus and any Free Writing Prospectus, in conformity with the requirements of the Securities Act, and such other documents as they may reasonably request in order to facilitate the disposition of Registrable Securities owned by them.</w:t>
      </w:r>
    </w:p>
    <w:p>
      <w:pPr>
        <w:spacing w:after="0" w:line="102" w:lineRule="exact"/>
        <w:rPr>
          <w:rFonts w:ascii="Arial" w:cs="Arial" w:eastAsia="Arial" w:hAnsi="Arial"/>
          <w:sz w:val="19"/>
          <w:szCs w:val="19"/>
          <w:color w:val="auto"/>
        </w:rPr>
      </w:pPr>
    </w:p>
    <w:p>
      <w:pPr>
        <w:ind w:right="40" w:firstLine="1751"/>
        <w:spacing w:after="0" w:line="284" w:lineRule="auto"/>
        <w:tabs>
          <w:tab w:leader="none" w:pos="217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Use its best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in connection therewith or as a condition thereto to qualify to do business or to file a general consent to service of process in any such states or jurisdictions unless the Company is already qualified to do business or subject to service of process in such jurisdiction.</w:t>
      </w:r>
    </w:p>
    <w:p>
      <w:pPr>
        <w:spacing w:after="0" w:line="92" w:lineRule="exact"/>
        <w:rPr>
          <w:rFonts w:ascii="Arial" w:cs="Arial" w:eastAsia="Arial" w:hAnsi="Arial"/>
          <w:sz w:val="18"/>
          <w:szCs w:val="18"/>
          <w:color w:val="auto"/>
        </w:rPr>
      </w:pPr>
    </w:p>
    <w:p>
      <w:pPr>
        <w:ind w:right="40" w:firstLine="1751"/>
        <w:spacing w:after="0" w:line="270" w:lineRule="auto"/>
        <w:tabs>
          <w:tab w:leader="none" w:pos="2165"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02" w:lineRule="exact"/>
        <w:rPr>
          <w:rFonts w:ascii="Arial" w:cs="Arial" w:eastAsia="Arial" w:hAnsi="Arial"/>
          <w:sz w:val="19"/>
          <w:szCs w:val="19"/>
          <w:color w:val="auto"/>
        </w:rPr>
      </w:pPr>
    </w:p>
    <w:p>
      <w:pPr>
        <w:ind w:firstLine="1751"/>
        <w:spacing w:after="0" w:line="273" w:lineRule="auto"/>
        <w:tabs>
          <w:tab w:leader="none" w:pos="214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Notify each Holder of Registrable Securities covered by such registration statement at any time when a prospectus or Free Writing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 such obligation to continue for 120 days. Following the effective date of such registration statement, notify the Holders of any request by the SEC that the Company amend or supplement such registration statement, or the associated prospectus.</w:t>
      </w:r>
    </w:p>
    <w:p>
      <w:pPr>
        <w:spacing w:after="0" w:line="105" w:lineRule="exact"/>
        <w:rPr>
          <w:rFonts w:ascii="Arial" w:cs="Arial" w:eastAsia="Arial" w:hAnsi="Arial"/>
          <w:sz w:val="18"/>
          <w:szCs w:val="18"/>
          <w:color w:val="auto"/>
        </w:rPr>
      </w:pPr>
    </w:p>
    <w:p>
      <w:pPr>
        <w:ind w:right="380" w:firstLine="1751"/>
        <w:spacing w:after="0" w:line="286" w:lineRule="auto"/>
        <w:tabs>
          <w:tab w:leader="none" w:pos="217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Cause all such Registrable Securities registered pursuant hereunder to be listed on each securities exchange on which similar securities issued by the Company are then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160"/>
          </w:cols>
          <w:pgMar w:left="320" w:top="1302" w:right="419" w:bottom="1440" w:gutter="0" w:footer="0" w:header="0"/>
        </w:sectPr>
      </w:pPr>
    </w:p>
    <w:bookmarkStart w:id="269" w:name="page270"/>
    <w:bookmarkEnd w:id="269"/>
    <w:p>
      <w:pPr>
        <w:ind w:right="480" w:firstLine="1751"/>
        <w:spacing w:after="0" w:line="286" w:lineRule="auto"/>
        <w:tabs>
          <w:tab w:leader="none" w:pos="217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88" w:lineRule="exact"/>
        <w:rPr>
          <w:rFonts w:ascii="Arial" w:cs="Arial" w:eastAsia="Arial" w:hAnsi="Arial"/>
          <w:sz w:val="19"/>
          <w:szCs w:val="19"/>
          <w:color w:val="auto"/>
        </w:rPr>
      </w:pPr>
    </w:p>
    <w:p>
      <w:pPr>
        <w:ind w:firstLine="1751"/>
        <w:spacing w:after="0" w:line="259" w:lineRule="auto"/>
        <w:tabs>
          <w:tab w:leader="none" w:pos="213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Use its best efforts to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(i) an opinion, dated such date, of the counsel representing the Company for the purposes of such registration, in form and substance as is customarily given to underwriters in an underwritten public offering, addressed to the underwriters and (ii)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15" w:lineRule="exact"/>
        <w:rPr>
          <w:rFonts w:ascii="Arial" w:cs="Arial" w:eastAsia="Arial" w:hAnsi="Arial"/>
          <w:sz w:val="19"/>
          <w:szCs w:val="19"/>
          <w:color w:val="auto"/>
        </w:rPr>
      </w:pPr>
    </w:p>
    <w:p>
      <w:pPr>
        <w:ind w:right="20" w:firstLine="1751"/>
        <w:spacing w:after="0" w:line="264" w:lineRule="auto"/>
        <w:tabs>
          <w:tab w:leader="none" w:pos="213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Make generally available to its security holders, and to deliver to each Holder participating in the registration statement, an earnings statement of the Company that will satisfy the provisions of Section 11(a) of the Securities Act covering a period of 12 months beginning after the effective date of such registration statement as soon as reasonably practicable after the termination of such 12 month period.</w:t>
      </w:r>
    </w:p>
    <w:p>
      <w:pPr>
        <w:spacing w:after="0" w:line="104" w:lineRule="exact"/>
        <w:rPr>
          <w:sz w:val="20"/>
          <w:szCs w:val="20"/>
          <w:color w:val="auto"/>
        </w:rPr>
      </w:pPr>
    </w:p>
    <w:p>
      <w:pPr>
        <w:ind w:firstLine="1169"/>
        <w:spacing w:after="0" w:line="276"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u w:val="single" w:color="auto"/>
          <w:color w:val="auto"/>
        </w:rPr>
        <w:t>Furnish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reasonably shall be required to effect the registration of such Holder’s Registrable Securities. The Company shall have no obligation with respect to any registration requested pursuant to Section 1.2 or Section 1.4 of this Agreement if, as a result of the application of the preceding sentence,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subsection 1.2(a) or subsection 1.4(b)(ii), whichever is applicable.</w:t>
      </w:r>
    </w:p>
    <w:p>
      <w:pPr>
        <w:spacing w:after="0" w:line="93"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7"/>
          <w:szCs w:val="17"/>
          <w:b w:val="1"/>
          <w:bCs w:val="1"/>
          <w:u w:val="single" w:color="auto"/>
          <w:color w:val="auto"/>
        </w:rPr>
        <w:t>Expenses of Registration</w:t>
      </w:r>
      <w:r>
        <w:rPr>
          <w:rFonts w:ascii="Arial" w:cs="Arial" w:eastAsia="Arial" w:hAnsi="Arial"/>
          <w:sz w:val="17"/>
          <w:szCs w:val="17"/>
          <w:color w:val="auto"/>
        </w:rPr>
        <w:t>.</w:t>
      </w:r>
    </w:p>
    <w:p>
      <w:pPr>
        <w:spacing w:after="0" w:line="159" w:lineRule="exact"/>
        <w:rPr>
          <w:sz w:val="20"/>
          <w:szCs w:val="20"/>
          <w:color w:val="auto"/>
        </w:rPr>
      </w:pPr>
    </w:p>
    <w:p>
      <w:pPr>
        <w:ind w:firstLine="1751"/>
        <w:spacing w:after="0" w:line="259" w:lineRule="auto"/>
        <w:tabs>
          <w:tab w:leader="none" w:pos="2165" w:val="left"/>
        </w:tabs>
        <w:numPr>
          <w:ilvl w:val="0"/>
          <w:numId w:val="155"/>
        </w:numPr>
        <w:rPr>
          <w:rFonts w:ascii="Arial" w:cs="Arial" w:eastAsia="Arial" w:hAnsi="Arial"/>
          <w:sz w:val="19"/>
          <w:szCs w:val="19"/>
          <w:color w:val="auto"/>
        </w:rPr>
      </w:pPr>
      <w:r>
        <w:rPr>
          <w:rFonts w:ascii="Arial" w:cs="Arial" w:eastAsia="Arial" w:hAnsi="Arial"/>
          <w:sz w:val="19"/>
          <w:szCs w:val="19"/>
          <w:b w:val="1"/>
          <w:bCs w:val="1"/>
          <w:u w:val="single" w:color="auto"/>
          <w:color w:val="auto"/>
        </w:rPr>
        <w:t>Demand Registration</w:t>
      </w:r>
      <w:r>
        <w:rPr>
          <w:rFonts w:ascii="Arial" w:cs="Arial" w:eastAsia="Arial" w:hAnsi="Arial"/>
          <w:sz w:val="19"/>
          <w:szCs w:val="19"/>
          <w:b w:val="1"/>
          <w:bCs w:val="1"/>
          <w:color w:val="auto"/>
        </w:rPr>
        <w:t xml:space="preserve">. </w:t>
      </w:r>
      <w:r>
        <w:rPr>
          <w:rFonts w:ascii="Arial" w:cs="Arial" w:eastAsia="Arial" w:hAnsi="Arial"/>
          <w:sz w:val="19"/>
          <w:szCs w:val="19"/>
          <w:color w:val="auto"/>
        </w:rPr>
        <w:t>All expenses other than underwriting discounts and commissions incurred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registrations, filings or qualifications pursuant to Section 1.2, including (without limitation) all registration, filing and qualification fees, printers’ and accounting fees, fees and disbursements of counsel for the Company, and the reasonable fees and disbursements of one counsel for the selling Holders selected by them with the approval of the Company, which approval shall not be unreasonably withheld, shall be borne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required to pay for any expenses of any registration proceeding begun pursuant to Section 1.2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02" w:right="339" w:bottom="1440" w:gutter="0" w:footer="0" w:header="0"/>
        </w:sectPr>
      </w:pPr>
    </w:p>
    <w:bookmarkStart w:id="270" w:name="page271"/>
    <w:bookmarkEnd w:id="270"/>
    <w:p>
      <w:pPr>
        <w:ind w:left="3" w:right="220"/>
        <w:spacing w:after="0" w:line="280" w:lineRule="auto"/>
        <w:rPr>
          <w:sz w:val="20"/>
          <w:szCs w:val="20"/>
          <w:color w:val="auto"/>
        </w:rPr>
      </w:pPr>
      <w:r>
        <w:rPr>
          <w:rFonts w:ascii="Arial" w:cs="Arial" w:eastAsia="Arial" w:hAnsi="Arial"/>
          <w:sz w:val="18"/>
          <w:szCs w:val="18"/>
          <w:color w:val="auto"/>
        </w:rPr>
        <w:t xml:space="preserve">registration), unless the Holders of a majority of the Registrable Securities agree to forfeit their right to one demand registration pursuant to Section 1.2;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the time of such withdrawal, the Holders (i) have learned of a material adverse change in the condition, business, or prospects of the Company that was not known to the Holders at the time of their request and (ii) have withdrawn the request with reasonable promptness following disclosure by the Company of such material adverse change, then the Holders shall not be required to pay any of such expenses and shall not forfeit their rights pursuant to Section 1.2.</w:t>
      </w:r>
    </w:p>
    <w:p>
      <w:pPr>
        <w:spacing w:after="0" w:line="90" w:lineRule="exact"/>
        <w:rPr>
          <w:sz w:val="20"/>
          <w:szCs w:val="20"/>
          <w:color w:val="auto"/>
        </w:rPr>
      </w:pPr>
    </w:p>
    <w:p>
      <w:pPr>
        <w:ind w:left="3" w:right="80" w:firstLine="1751"/>
        <w:spacing w:after="0" w:line="301" w:lineRule="auto"/>
        <w:tabs>
          <w:tab w:leader="none" w:pos="2178" w:val="left"/>
        </w:tabs>
        <w:numPr>
          <w:ilvl w:val="0"/>
          <w:numId w:val="156"/>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All expenses other than underwriting discounts and commissions incurred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registrations, filings or qualifications of Registrable Securities pursuant to Section 1.3 for each Holder (which right may be assigned as provided in Section 1.12), including (without limitation) all registration, filing, and qualification fees, printers’ and accounting fees, fees and disbursements of counsel for the Company and the reasonable fees and disbursements of one counsel for the selling Holder or Holders selected by them with the approval of the Company, which approval shall not be unreasonably withheld, shall be borne by the Company.</w:t>
      </w:r>
    </w:p>
    <w:p>
      <w:pPr>
        <w:spacing w:after="0" w:line="77" w:lineRule="exact"/>
        <w:rPr>
          <w:rFonts w:ascii="Arial" w:cs="Arial" w:eastAsia="Arial" w:hAnsi="Arial"/>
          <w:sz w:val="17"/>
          <w:szCs w:val="17"/>
          <w:color w:val="auto"/>
        </w:rPr>
      </w:pPr>
    </w:p>
    <w:p>
      <w:pPr>
        <w:ind w:left="2163" w:hanging="409"/>
        <w:spacing w:after="0"/>
        <w:tabs>
          <w:tab w:leader="none" w:pos="2163" w:val="left"/>
        </w:tabs>
        <w:numPr>
          <w:ilvl w:val="0"/>
          <w:numId w:val="156"/>
        </w:numPr>
        <w:rPr>
          <w:rFonts w:ascii="Arial" w:cs="Arial" w:eastAsia="Arial" w:hAnsi="Arial"/>
          <w:sz w:val="19"/>
          <w:szCs w:val="19"/>
          <w:color w:val="auto"/>
        </w:rPr>
      </w:pPr>
      <w:r>
        <w:rPr>
          <w:rFonts w:ascii="Arial" w:cs="Arial" w:eastAsia="Arial" w:hAnsi="Arial"/>
          <w:sz w:val="19"/>
          <w:szCs w:val="19"/>
          <w:b w:val="1"/>
          <w:bCs w:val="1"/>
          <w:u w:val="single" w:color="auto"/>
          <w:color w:val="auto"/>
        </w:rPr>
        <w:t>Registration on Form S-3</w:t>
      </w:r>
      <w:r>
        <w:rPr>
          <w:rFonts w:ascii="Arial" w:cs="Arial" w:eastAsia="Arial" w:hAnsi="Arial"/>
          <w:sz w:val="19"/>
          <w:szCs w:val="19"/>
          <w:b w:val="1"/>
          <w:bCs w:val="1"/>
          <w:color w:val="auto"/>
        </w:rPr>
        <w:t xml:space="preserve">. </w:t>
      </w:r>
      <w:r>
        <w:rPr>
          <w:rFonts w:ascii="Arial" w:cs="Arial" w:eastAsia="Arial" w:hAnsi="Arial"/>
          <w:sz w:val="19"/>
          <w:szCs w:val="19"/>
          <w:color w:val="auto"/>
        </w:rPr>
        <w:t>All expenses incurred in connection with a registration requested pursuant to</w:t>
      </w:r>
    </w:p>
    <w:p>
      <w:pPr>
        <w:spacing w:after="0" w:line="35" w:lineRule="exact"/>
        <w:rPr>
          <w:sz w:val="20"/>
          <w:szCs w:val="20"/>
          <w:color w:val="auto"/>
        </w:rPr>
      </w:pPr>
    </w:p>
    <w:p>
      <w:pPr>
        <w:ind w:left="3" w:right="40"/>
        <w:spacing w:after="0" w:line="258" w:lineRule="auto"/>
        <w:rPr>
          <w:sz w:val="20"/>
          <w:szCs w:val="20"/>
          <w:color w:val="auto"/>
        </w:rPr>
      </w:pPr>
      <w:r>
        <w:rPr>
          <w:rFonts w:ascii="Arial" w:cs="Arial" w:eastAsia="Arial" w:hAnsi="Arial"/>
          <w:sz w:val="19"/>
          <w:szCs w:val="19"/>
          <w:color w:val="auto"/>
        </w:rPr>
        <w:t>Section 1.4, including (without limitation) all registration, filing, qualification, printers’ and accounting fees and the reasonable fees and disbursements of one counsel for the selling Holder or Holders selected by them with the approval of the Company, which approval shall not be unreasonably withheld, and counsel for the Company, and any underwriters’ discounts or commissions associated with Registrable Securities, shall be borne by the Company, up to a maximum of $35,000.</w:t>
      </w:r>
    </w:p>
    <w:p>
      <w:pPr>
        <w:spacing w:after="0" w:line="110" w:lineRule="exact"/>
        <w:rPr>
          <w:sz w:val="20"/>
          <w:szCs w:val="20"/>
          <w:color w:val="auto"/>
        </w:rPr>
      </w:pPr>
    </w:p>
    <w:p>
      <w:pPr>
        <w:ind w:left="3" w:firstLine="1169"/>
        <w:spacing w:after="0" w:line="286"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b w:val="1"/>
          <w:bCs w:val="1"/>
          <w:u w:val="single" w:color="auto"/>
          <w:color w:val="auto"/>
        </w:rPr>
        <w:t>Underwriting Requirements</w:t>
      </w:r>
      <w:r>
        <w:rPr>
          <w:rFonts w:ascii="Arial" w:cs="Arial" w:eastAsia="Arial" w:hAnsi="Arial"/>
          <w:sz w:val="17"/>
          <w:szCs w:val="17"/>
          <w:b w:val="1"/>
          <w:bCs w:val="1"/>
          <w:color w:val="auto"/>
        </w:rPr>
        <w:t>.</w:t>
      </w:r>
      <w:r>
        <w:rPr>
          <w:rFonts w:ascii="Arial" w:cs="Arial" w:eastAsia="Arial" w:hAnsi="Arial"/>
          <w:sz w:val="17"/>
          <w:szCs w:val="17"/>
          <w:color w:val="auto"/>
        </w:rPr>
        <w:t xml:space="preserve"> In connection with any offering involving an underwriting of shares of the Company’s capital stock, the Company shall not be required under Section 1.3 to include any of the Holders’ securities in such underwriting unless they accept the terms of the underwriting as agreed upon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(the securities so included to be apportioned pro rata among the selling stockholders according to the total amount of securities entitled to be included therein owned by each selling stockholder or in such other proportions as shall mutually be agreed to by such selling stockholders) but in no event shall</w:t>
      </w:r>
    </w:p>
    <w:p>
      <w:pPr>
        <w:spacing w:after="0" w:line="7" w:lineRule="exact"/>
        <w:rPr>
          <w:sz w:val="20"/>
          <w:szCs w:val="20"/>
          <w:color w:val="auto"/>
        </w:rPr>
      </w:pPr>
    </w:p>
    <w:p>
      <w:pPr>
        <w:ind w:left="3" w:right="260" w:hanging="3"/>
        <w:spacing w:after="0" w:line="257" w:lineRule="auto"/>
        <w:tabs>
          <w:tab w:leader="none" w:pos="23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amount of securities of the selling Holders included in the offering be reduced below 30% of the total amount of securities included in such offering, unless such offering is the initial public offering of the Company’s securities, in which case, the selling stockholders may be excluded if the underwriters make the determination described above and no other stockholder’s securities are included or (ii) without the consent of the holders of a majority of the Registrable Securities, any securities held by any non-Holder be included if any securities held by any selling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3"/>
          </w:cols>
          <w:pgMar w:left="317" w:top="1302" w:right="339" w:bottom="1440" w:gutter="0" w:footer="0" w:header="0"/>
        </w:sectPr>
      </w:pPr>
    </w:p>
    <w:bookmarkStart w:id="271" w:name="page272"/>
    <w:bookmarkEnd w:id="271"/>
    <w:p>
      <w:pPr>
        <w:spacing w:after="0" w:line="260" w:lineRule="auto"/>
        <w:rPr>
          <w:sz w:val="20"/>
          <w:szCs w:val="20"/>
          <w:color w:val="auto"/>
        </w:rPr>
      </w:pPr>
      <w:r>
        <w:rPr>
          <w:rFonts w:ascii="Arial" w:cs="Arial" w:eastAsia="Arial" w:hAnsi="Arial"/>
          <w:sz w:val="19"/>
          <w:szCs w:val="19"/>
          <w:color w:val="auto"/>
        </w:rPr>
        <w:t>are excluded. For purposes of the preceding parenthetical concerning apportionment, for any selling stockholder which is a Holder of Registrable Securities and which is a limited liability company, partnership or corporation, the partners, retired partners, Affiliated Funds and stockholders of such Holder, or the estates and family members of any such partners and retired partners and any trusts for the benefit of any of the foregoing persons shall be deemed to be a single “</w:t>
      </w:r>
      <w:r>
        <w:rPr>
          <w:rFonts w:ascii="Arial" w:cs="Arial" w:eastAsia="Arial" w:hAnsi="Arial"/>
          <w:sz w:val="19"/>
          <w:szCs w:val="19"/>
          <w:u w:val="single" w:color="auto"/>
          <w:color w:val="auto"/>
        </w:rPr>
        <w:t>selling stockholder</w:t>
      </w:r>
      <w:r>
        <w:rPr>
          <w:rFonts w:ascii="Arial" w:cs="Arial" w:eastAsia="Arial" w:hAnsi="Arial"/>
          <w:sz w:val="19"/>
          <w:szCs w:val="19"/>
          <w:color w:val="auto"/>
        </w:rPr>
        <w:t>,” and any pro-rata reduction with respect to such “selling stockholder” shall be based upon the aggregate amount of shares carrying registration rights owned by all entities and individuals included in such “selling stockholder,” as defined in this sentence.</w:t>
      </w:r>
    </w:p>
    <w:p>
      <w:pPr>
        <w:spacing w:after="0" w:line="108" w:lineRule="exact"/>
        <w:rPr>
          <w:sz w:val="20"/>
          <w:szCs w:val="20"/>
          <w:color w:val="auto"/>
        </w:rPr>
      </w:pPr>
    </w:p>
    <w:p>
      <w:pPr>
        <w:ind w:firstLine="1169"/>
        <w:spacing w:after="0" w:line="322"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Delay of Registration</w:t>
      </w:r>
      <w:r>
        <w:rPr>
          <w:rFonts w:ascii="Arial" w:cs="Arial" w:eastAsia="Arial" w:hAnsi="Arial"/>
          <w:sz w:val="18"/>
          <w:szCs w:val="18"/>
          <w:b w:val="1"/>
          <w:bCs w:val="1"/>
          <w:color w:val="auto"/>
        </w:rPr>
        <w:t>.</w:t>
      </w:r>
      <w:r>
        <w:rPr>
          <w:rFonts w:ascii="Arial" w:cs="Arial" w:eastAsia="Arial" w:hAnsi="Arial"/>
          <w:sz w:val="18"/>
          <w:szCs w:val="18"/>
          <w:color w:val="auto"/>
        </w:rPr>
        <w:t xml:space="preserve"> No Holder shall have any right to obtain or seek an injunction restraining or otherwise delaying any such registration as the result of any controversy that might arise with respect to the interpretation or implementation of this Section 1.</w:t>
      </w:r>
    </w:p>
    <w:p>
      <w:pPr>
        <w:spacing w:after="0" w:line="54" w:lineRule="exact"/>
        <w:rPr>
          <w:sz w:val="20"/>
          <w:szCs w:val="20"/>
          <w:color w:val="auto"/>
        </w:rPr>
      </w:pPr>
    </w:p>
    <w:p>
      <w:pPr>
        <w:ind w:left="1160"/>
        <w:spacing w:after="0"/>
        <w:tabs>
          <w:tab w:leader="none" w:pos="1680" w:val="left"/>
        </w:tabs>
        <w:rPr>
          <w:sz w:val="20"/>
          <w:szCs w:val="20"/>
          <w:color w:val="auto"/>
        </w:rPr>
      </w:pPr>
      <w:r>
        <w:rPr>
          <w:rFonts w:ascii="Arial" w:cs="Arial" w:eastAsia="Arial" w:hAnsi="Arial"/>
          <w:sz w:val="19"/>
          <w:szCs w:val="19"/>
          <w:color w:val="auto"/>
        </w:rPr>
        <w:t>1.10</w:t>
      </w:r>
      <w:r>
        <w:rPr>
          <w:sz w:val="20"/>
          <w:szCs w:val="20"/>
          <w:color w:val="auto"/>
        </w:rPr>
        <w:tab/>
      </w: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 the event any Registrable Securities are included in a registration statement under this Section 1:</w:t>
      </w:r>
    </w:p>
    <w:p>
      <w:pPr>
        <w:spacing w:after="0" w:line="165" w:lineRule="exact"/>
        <w:rPr>
          <w:sz w:val="20"/>
          <w:szCs w:val="20"/>
          <w:color w:val="auto"/>
        </w:rPr>
      </w:pPr>
    </w:p>
    <w:p>
      <w:pPr>
        <w:ind w:firstLine="1751"/>
        <w:spacing w:after="0" w:line="270" w:lineRule="auto"/>
        <w:tabs>
          <w:tab w:leader="none" w:pos="216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the extent permitted by law, the Company will indemnify and hold harmless each Holder (including each of its officers, directors, members and partners),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8"/>
          <w:szCs w:val="18"/>
          <w:u w:val="single" w:color="auto"/>
          <w:color w:val="auto"/>
        </w:rPr>
        <w:t>Violation</w:t>
      </w:r>
      <w:r>
        <w:rPr>
          <w:rFonts w:ascii="Arial" w:cs="Arial" w:eastAsia="Arial" w:hAnsi="Arial"/>
          <w:sz w:val="18"/>
          <w:szCs w:val="18"/>
          <w:color w:val="auto"/>
        </w:rPr>
        <w:t xml:space="preserve">”): (i) any untrue statement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the Company will pay to each such Holder, underwriter, controlling person or other aforementioned person for, as incurred, any legal or other expenses reasonably incurred by them in connection with investigating or defending any such loss, claim, damage, liability, or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indemnity agreement contained in this subsection 1.10(a) shall not apply to amounts paid in settlement of any such loss, claim, damage, liability, or action if such settlement is effected without the consent of the Company (which consent shall not be unreasonably withheld), nor shall the Company be liable to any Holder, underwriter or controlling person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or controlling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302" w:right="339" w:bottom="1440" w:gutter="0" w:footer="0" w:header="0"/>
        </w:sectPr>
      </w:pPr>
    </w:p>
    <w:bookmarkStart w:id="272" w:name="page273"/>
    <w:bookmarkEnd w:id="272"/>
    <w:p>
      <w:pPr>
        <w:ind w:right="100" w:firstLine="1751"/>
        <w:spacing w:after="0" w:line="272" w:lineRule="auto"/>
        <w:tabs>
          <w:tab w:leader="none" w:pos="217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To the extent permitted by law, each selling Holder, severally and not jointly, will indemnify and hold harmless the Company, each of its directors, each of its officers who has signed the registration statement, each person, if any, who controls the Company within the meaning of the Securities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as incurred, any legal or other expenses reasonably incurred by any person intended to be indemnified pursuant to this subsection 1.10(b), in connection with investigating or defending any such loss, claim, damage, liability, or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indemnity agreement contained in this subsection 1.10(b)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any indemnity under this subsection 1.10(b) exceed the net proceeds from the offering received by such Holder, except in the case of willful fraud by such Holder.</w:t>
      </w:r>
    </w:p>
    <w:p>
      <w:pPr>
        <w:spacing w:after="0" w:line="104" w:lineRule="exact"/>
        <w:rPr>
          <w:rFonts w:ascii="Arial" w:cs="Arial" w:eastAsia="Arial" w:hAnsi="Arial"/>
          <w:sz w:val="18"/>
          <w:szCs w:val="18"/>
          <w:color w:val="auto"/>
        </w:rPr>
      </w:pPr>
    </w:p>
    <w:p>
      <w:pPr>
        <w:ind w:firstLine="1751"/>
        <w:spacing w:after="0" w:line="256" w:lineRule="auto"/>
        <w:tabs>
          <w:tab w:leader="none" w:pos="2165"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this Section 1.10 of notice of the commencement of any action (including any governmental action) for which a party may be entitled to indemnification, such indemnified party will, if a claim in respect thereof is to be made against any indemnifying party under this Section 1.10,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indemnified party (together with all other indemnified parties which may be represented without conflict by one counsel) shall have the right to retain one separate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to the extent materially prejudicial to its ability to defend such action, shall relieve such indemnifying party of any liability to the indemnified party under this Section 1.10, but the omission so to deliver written notice to the indemnifying party will not relieve it of any liability that it may have to any indemnified party otherwise than under this Section 1.10.</w:t>
      </w:r>
    </w:p>
    <w:p>
      <w:pPr>
        <w:spacing w:after="0" w:line="124" w:lineRule="exact"/>
        <w:rPr>
          <w:rFonts w:ascii="Arial" w:cs="Arial" w:eastAsia="Arial" w:hAnsi="Arial"/>
          <w:sz w:val="19"/>
          <w:szCs w:val="19"/>
          <w:color w:val="auto"/>
        </w:rPr>
      </w:pPr>
    </w:p>
    <w:p>
      <w:pPr>
        <w:ind w:right="20" w:firstLine="1751"/>
        <w:spacing w:after="0" w:line="264" w:lineRule="auto"/>
        <w:tabs>
          <w:tab w:leader="none" w:pos="217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If the indemnification provided for in this Section 1.10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02" w:right="339" w:bottom="1440" w:gutter="0" w:footer="0" w:header="0"/>
        </w:sectPr>
      </w:pPr>
    </w:p>
    <w:bookmarkStart w:id="273" w:name="page274"/>
    <w:bookmarkEnd w:id="273"/>
    <w:p>
      <w:pPr>
        <w:spacing w:after="0" w:line="275" w:lineRule="auto"/>
        <w:rPr>
          <w:sz w:val="20"/>
          <w:szCs w:val="20"/>
          <w:color w:val="auto"/>
        </w:rPr>
      </w:pPr>
      <w:r>
        <w:rPr>
          <w:rFonts w:ascii="Arial" w:cs="Arial" w:eastAsia="Arial" w:hAnsi="Arial"/>
          <w:sz w:val="18"/>
          <w:szCs w:val="18"/>
          <w:color w:val="auto"/>
        </w:rPr>
        <w:t xml:space="preserve">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any contribution by a Holder under this Subsection 1.10(d) (when combined with any amounts paid pursuant to Subsection 1.10(b)) exceed the net proceeds from the offering received by such Holder, except in the case of willful fraud by such Holder. The relative fault of the indemnifying party and of the indemnified party shall be determined by reference to, among other things, whether the untrue or allegedly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00" w:lineRule="exact"/>
        <w:rPr>
          <w:sz w:val="20"/>
          <w:szCs w:val="20"/>
          <w:color w:val="auto"/>
        </w:rPr>
      </w:pPr>
    </w:p>
    <w:p>
      <w:pPr>
        <w:jc w:val="both"/>
        <w:ind w:right="260" w:firstLine="1751"/>
        <w:spacing w:after="0" w:line="270" w:lineRule="auto"/>
        <w:tabs>
          <w:tab w:leader="none" w:pos="2165" w:val="left"/>
        </w:tabs>
        <w:numPr>
          <w:ilvl w:val="0"/>
          <w:numId w:val="160"/>
        </w:numPr>
        <w:rPr>
          <w:rFonts w:ascii="Arial" w:cs="Arial" w:eastAsia="Arial" w:hAnsi="Arial"/>
          <w:sz w:val="19"/>
          <w:szCs w:val="19"/>
          <w:color w:val="auto"/>
        </w:rPr>
      </w:pPr>
      <w:r>
        <w:rPr>
          <w:rFonts w:ascii="Arial" w:cs="Arial" w:eastAsia="Arial" w:hAnsi="Arial"/>
          <w:sz w:val="19"/>
          <w:szCs w:val="19"/>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02" w:lineRule="exact"/>
        <w:rPr>
          <w:rFonts w:ascii="Arial" w:cs="Arial" w:eastAsia="Arial" w:hAnsi="Arial"/>
          <w:sz w:val="19"/>
          <w:szCs w:val="19"/>
          <w:color w:val="auto"/>
        </w:rPr>
      </w:pPr>
    </w:p>
    <w:p>
      <w:pPr>
        <w:ind w:right="60" w:firstLine="1751"/>
        <w:spacing w:after="0" w:line="286" w:lineRule="auto"/>
        <w:tabs>
          <w:tab w:leader="none" w:pos="214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obligations of the Company and Holders under this Section 1.10 shall survive the completion of any offering of Registrable Securities in a registration statement under this Section 1, and otherwise.</w:t>
      </w:r>
    </w:p>
    <w:p>
      <w:pPr>
        <w:spacing w:after="0" w:line="82" w:lineRule="exact"/>
        <w:rPr>
          <w:sz w:val="20"/>
          <w:szCs w:val="20"/>
          <w:color w:val="auto"/>
        </w:rPr>
      </w:pPr>
    </w:p>
    <w:p>
      <w:pPr>
        <w:ind w:right="60" w:firstLine="1169"/>
        <w:spacing w:after="0" w:line="273"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b w:val="1"/>
          <w:bCs w:val="1"/>
          <w:u w:val="single" w:color="auto"/>
          <w:color w:val="auto"/>
        </w:rPr>
        <w:t>Reports Under the Exchange Act</w:t>
      </w:r>
      <w:r>
        <w:rPr>
          <w:rFonts w:ascii="Arial" w:cs="Arial" w:eastAsia="Arial" w:hAnsi="Arial"/>
          <w:sz w:val="19"/>
          <w:szCs w:val="19"/>
          <w:color w:val="auto"/>
        </w:rPr>
        <w:t>. With a view to making available to the Holders the benefits of Rule 144 promulgated under the Securities Act and any other rule or regulation of the SEC that may at any time permit a Holder to sell securities of the Company to the public without registration or pursuant to a registration on Form S-3, the Company agrees to:</w:t>
      </w:r>
    </w:p>
    <w:p>
      <w:pPr>
        <w:spacing w:after="0" w:line="101" w:lineRule="exact"/>
        <w:rPr>
          <w:sz w:val="20"/>
          <w:szCs w:val="20"/>
          <w:color w:val="auto"/>
        </w:rPr>
      </w:pPr>
    </w:p>
    <w:p>
      <w:pPr>
        <w:ind w:right="360" w:firstLine="1751"/>
        <w:spacing w:after="0" w:line="291" w:lineRule="auto"/>
        <w:tabs>
          <w:tab w:leader="none" w:pos="216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SEC Rule 144, at all times after the effective date of the first registration statement filed by the Company for the offering of its securities to the general public so long as the Company remains subject to the periodic reporting requirements under Sections 13 or 15(d) of the Exchange Act;</w:t>
      </w:r>
    </w:p>
    <w:p>
      <w:pPr>
        <w:spacing w:after="0" w:line="87" w:lineRule="exact"/>
        <w:rPr>
          <w:rFonts w:ascii="Arial" w:cs="Arial" w:eastAsia="Arial" w:hAnsi="Arial"/>
          <w:sz w:val="18"/>
          <w:szCs w:val="18"/>
          <w:color w:val="auto"/>
        </w:rPr>
      </w:pPr>
    </w:p>
    <w:p>
      <w:pPr>
        <w:ind w:right="180" w:firstLine="1751"/>
        <w:spacing w:after="0" w:line="264" w:lineRule="auto"/>
        <w:tabs>
          <w:tab w:leader="none" w:pos="217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take such action, including the voluntary registration of its Common Stock under Section 12 of the Exchange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110" w:lineRule="exact"/>
        <w:rPr>
          <w:rFonts w:ascii="Arial" w:cs="Arial" w:eastAsia="Arial" w:hAnsi="Arial"/>
          <w:sz w:val="19"/>
          <w:szCs w:val="19"/>
          <w:color w:val="auto"/>
        </w:rPr>
      </w:pPr>
    </w:p>
    <w:p>
      <w:pPr>
        <w:ind w:right="100" w:firstLine="1751"/>
        <w:spacing w:after="0" w:line="286" w:lineRule="auto"/>
        <w:tabs>
          <w:tab w:leader="none" w:pos="2165" w:val="left"/>
        </w:tabs>
        <w:numPr>
          <w:ilvl w:val="0"/>
          <w:numId w:val="161"/>
        </w:numPr>
        <w:rPr>
          <w:rFonts w:ascii="Arial" w:cs="Arial" w:eastAsia="Arial" w:hAnsi="Arial"/>
          <w:sz w:val="19"/>
          <w:szCs w:val="19"/>
          <w:color w:val="auto"/>
        </w:rPr>
      </w:pPr>
      <w:r>
        <w:rPr>
          <w:rFonts w:ascii="Arial" w:cs="Arial" w:eastAsia="Arial" w:hAnsi="Arial"/>
          <w:sz w:val="19"/>
          <w:szCs w:val="19"/>
          <w:color w:val="auto"/>
        </w:rPr>
        <w:t>file with the SEC in a timely manner all reports and other documents required of the Company under the Securities Act and the Exchange Act; and</w:t>
      </w:r>
    </w:p>
    <w:p>
      <w:pPr>
        <w:spacing w:after="0" w:line="88" w:lineRule="exact"/>
        <w:rPr>
          <w:rFonts w:ascii="Arial" w:cs="Arial" w:eastAsia="Arial" w:hAnsi="Arial"/>
          <w:sz w:val="19"/>
          <w:szCs w:val="19"/>
          <w:color w:val="auto"/>
        </w:rPr>
      </w:pPr>
    </w:p>
    <w:p>
      <w:pPr>
        <w:jc w:val="both"/>
        <w:ind w:right="160" w:firstLine="1751"/>
        <w:spacing w:after="0" w:line="264" w:lineRule="auto"/>
        <w:tabs>
          <w:tab w:leader="none" w:pos="217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furnish to any Holder, so long as the Holder owns any Registrable Securities, forthwith upon request (i) a written statement by the Company that it has complied with the reporting requirements of SEC Rule 144 (at any time after 90 days after the effective date of the first registration statement filed by the Company), the Securities Act and the Exchange Act (at any time after it has become subject to such reporting requirements), or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302" w:right="339" w:bottom="1440" w:gutter="0" w:footer="0" w:header="0"/>
        </w:sectPr>
      </w:pPr>
    </w:p>
    <w:bookmarkStart w:id="274" w:name="page275"/>
    <w:bookmarkEnd w:id="274"/>
    <w:p>
      <w:pPr>
        <w:ind w:right="260"/>
        <w:spacing w:after="0" w:line="264" w:lineRule="auto"/>
        <w:rPr>
          <w:sz w:val="20"/>
          <w:szCs w:val="20"/>
          <w:color w:val="auto"/>
        </w:rPr>
      </w:pPr>
      <w:r>
        <w:rPr>
          <w:rFonts w:ascii="Arial" w:cs="Arial" w:eastAsia="Arial" w:hAnsi="Arial"/>
          <w:sz w:val="19"/>
          <w:szCs w:val="19"/>
          <w:color w:val="auto"/>
        </w:rPr>
        <w:t>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04" w:lineRule="exact"/>
        <w:rPr>
          <w:sz w:val="20"/>
          <w:szCs w:val="20"/>
          <w:color w:val="auto"/>
        </w:rPr>
      </w:pPr>
    </w:p>
    <w:p>
      <w:pPr>
        <w:ind w:firstLine="1169"/>
        <w:spacing w:after="0" w:line="271"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Assignment of Registration Rights</w:t>
      </w:r>
      <w:r>
        <w:rPr>
          <w:rFonts w:ascii="Arial" w:cs="Arial" w:eastAsia="Arial" w:hAnsi="Arial"/>
          <w:sz w:val="18"/>
          <w:szCs w:val="18"/>
          <w:b w:val="1"/>
          <w:bCs w:val="1"/>
          <w:color w:val="auto"/>
        </w:rPr>
        <w:t>.</w:t>
      </w:r>
      <w:r>
        <w:rPr>
          <w:rFonts w:ascii="Arial" w:cs="Arial" w:eastAsia="Arial" w:hAnsi="Arial"/>
          <w:sz w:val="18"/>
          <w:szCs w:val="18"/>
          <w:color w:val="auto"/>
        </w:rPr>
        <w:t xml:space="preserve"> The rights to cause the Company to register Registrable Securities pursuant to this Section 1 may be assigned (but only with all related obligations) by a Holder to a transferee or assignee (i) who, with the addition of the transferred shares, holds at least 100,000 shares of such securities (subject to adjustment for stock splits, stock dividends, reclassification or the like) (or is assigned all of the shares held by the transferring Holder, if less than 100,000 shares), (ii) that is a subsidiary, parent, partner, limited partner, retired partner, member, retired member or stockholder of a Holder, (iii) that is an affiliated fund or entity of the Holder, which means with respect to a limited liability company or a limited partnership, a fund or entity managed by the same manager or managing member or general partner or management company or by an entity controlling, controlled by, or under common control with such manager or managing member or general partner or management company (such a fund or entity, an “</w:t>
      </w:r>
      <w:r>
        <w:rPr>
          <w:rFonts w:ascii="Arial" w:cs="Arial" w:eastAsia="Arial" w:hAnsi="Arial"/>
          <w:sz w:val="18"/>
          <w:szCs w:val="18"/>
          <w:u w:val="single" w:color="auto"/>
          <w:color w:val="auto"/>
        </w:rPr>
        <w:t>Affiliated Fund</w:t>
      </w:r>
      <w:r>
        <w:rPr>
          <w:rFonts w:ascii="Arial" w:cs="Arial" w:eastAsia="Arial" w:hAnsi="Arial"/>
          <w:sz w:val="18"/>
          <w:szCs w:val="18"/>
          <w:color w:val="auto"/>
        </w:rPr>
        <w:t>”), (iv) who is a Holder’s child, stepchild, grandchild, parent, stepparent, grandparent, spouse, sibling, mother-in-law, father-in-law, son-in-law, daughter-in-law, brother-in-law, or sister-in-law (such a relation, a Holder’s “</w:t>
      </w:r>
      <w:r>
        <w:rPr>
          <w:rFonts w:ascii="Arial" w:cs="Arial" w:eastAsia="Arial" w:hAnsi="Arial"/>
          <w:sz w:val="18"/>
          <w:szCs w:val="18"/>
          <w:u w:val="single" w:color="auto"/>
          <w:color w:val="auto"/>
        </w:rPr>
        <w:t>Immediate Family Member</w:t>
      </w:r>
      <w:r>
        <w:rPr>
          <w:rFonts w:ascii="Arial" w:cs="Arial" w:eastAsia="Arial" w:hAnsi="Arial"/>
          <w:sz w:val="18"/>
          <w:szCs w:val="18"/>
          <w:color w:val="auto"/>
        </w:rPr>
        <w:t xml:space="preserve">”, which term shall include adoptive relationships), or (v) that is a trust, partnership, limited liability company or corporation, the use of which is for estate planning purposes for the benefit of an individual Holder or such Holder’s Immediate Family Member,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is, within a reasonable time after such transfer, furnished with written notice of the name and address of such transferee or assignee and the securities with respect to which such registration rights are being assigned;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assignment shall be effective only if the transferee agrees in writing to be bound by this Agreement and immediately following such transfer the further disposition of such securities by the transferee or assignee is restricted under the Securities Act. For the purposes of determining the number of shares of Registrable Securities held by a transferee or assignee, the holdings of transferees and assignees of (x) a partnership who are partners or retired partners of such partnership or (y) a limited liability company who are members or retired members of such limited liability company (including Immediate Family Members of such partners or members who acquire Registrable Securities by gift, will or intestate succession) shall be aggregated together and with the partnership or limited liability company; provided that all assignees and transferees who would not qualify individually for assignment of registration rights shall have a single attorney-in-fact for the purpose of exercising any rights, receiving notices or taking any action under Section 1.</w:t>
      </w:r>
    </w:p>
    <w:p>
      <w:pPr>
        <w:spacing w:after="0" w:line="97" w:lineRule="exact"/>
        <w:rPr>
          <w:sz w:val="20"/>
          <w:szCs w:val="20"/>
          <w:color w:val="auto"/>
        </w:rPr>
      </w:pPr>
    </w:p>
    <w:p>
      <w:pPr>
        <w:ind w:right="40" w:firstLine="1169"/>
        <w:spacing w:after="0" w:line="263"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b w:val="1"/>
          <w:bCs w:val="1"/>
          <w:u w:val="single" w:color="auto"/>
          <w:color w:val="auto"/>
        </w:rPr>
        <w:t>Limitations on Subsequent Registration Rights</w:t>
      </w:r>
      <w:r>
        <w:rPr>
          <w:rFonts w:ascii="Arial" w:cs="Arial" w:eastAsia="Arial" w:hAnsi="Arial"/>
          <w:sz w:val="19"/>
          <w:szCs w:val="19"/>
          <w:color w:val="auto"/>
        </w:rPr>
        <w:t>. From and after the date of this Agreement, the Company shall not, without the prior written consent of the Holders of a majority of the outstanding Registrable Securities, enter into any agreement with any holder or prospective holder of any securities of the Company which would allow such holder or prospective holder (a) to include such securities in any registration filed under Section 1.2, Section 1.3 or Section 1.4 hereof, unless under the terms of such agreement, such holder or prospective holder may include such securities in any such registration only to the extent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1302" w:right="319" w:bottom="1440" w:gutter="0" w:footer="0" w:header="0"/>
        </w:sectPr>
      </w:pPr>
    </w:p>
    <w:bookmarkStart w:id="275" w:name="page276"/>
    <w:bookmarkEnd w:id="275"/>
    <w:p>
      <w:pPr>
        <w:ind w:right="280"/>
        <w:spacing w:after="0" w:line="286" w:lineRule="auto"/>
        <w:rPr>
          <w:sz w:val="20"/>
          <w:szCs w:val="20"/>
          <w:color w:val="auto"/>
        </w:rPr>
      </w:pPr>
      <w:r>
        <w:rPr>
          <w:rFonts w:ascii="Arial" w:cs="Arial" w:eastAsia="Arial" w:hAnsi="Arial"/>
          <w:sz w:val="19"/>
          <w:szCs w:val="19"/>
          <w:color w:val="auto"/>
        </w:rPr>
        <w:t>inclusion of his securities will not reduce the amount of the Registrable Securities of the Holders which is included or (b) to make a demand registration.</w:t>
      </w:r>
    </w:p>
    <w:p>
      <w:pPr>
        <w:spacing w:after="0" w:line="82" w:lineRule="exact"/>
        <w:rPr>
          <w:sz w:val="20"/>
          <w:szCs w:val="20"/>
          <w:color w:val="auto"/>
        </w:rPr>
      </w:pPr>
    </w:p>
    <w:p>
      <w:pPr>
        <w:ind w:left="1160"/>
        <w:spacing w:after="0"/>
        <w:tabs>
          <w:tab w:leader="none" w:pos="1680" w:val="left"/>
        </w:tabs>
        <w:rPr>
          <w:sz w:val="20"/>
          <w:szCs w:val="20"/>
          <w:color w:val="auto"/>
        </w:rPr>
      </w:pPr>
      <w:r>
        <w:rPr>
          <w:rFonts w:ascii="Arial" w:cs="Arial" w:eastAsia="Arial" w:hAnsi="Arial"/>
          <w:sz w:val="19"/>
          <w:szCs w:val="19"/>
          <w:color w:val="auto"/>
        </w:rPr>
        <w:t>1.14</w:t>
      </w:r>
      <w:r>
        <w:rPr>
          <w:sz w:val="20"/>
          <w:szCs w:val="20"/>
          <w:color w:val="auto"/>
        </w:rPr>
        <w:tab/>
      </w:r>
      <w:r>
        <w:rPr>
          <w:rFonts w:ascii="Arial" w:cs="Arial" w:eastAsia="Arial" w:hAnsi="Arial"/>
          <w:sz w:val="17"/>
          <w:szCs w:val="17"/>
          <w:b w:val="1"/>
          <w:bCs w:val="1"/>
          <w:u w:val="single" w:color="auto"/>
          <w:color w:val="auto"/>
        </w:rPr>
        <w:t>Lock-Up Agreement</w:t>
      </w:r>
      <w:r>
        <w:rPr>
          <w:rFonts w:ascii="Arial" w:cs="Arial" w:eastAsia="Arial" w:hAnsi="Arial"/>
          <w:sz w:val="17"/>
          <w:szCs w:val="17"/>
          <w:color w:val="auto"/>
        </w:rPr>
        <w:t>.</w:t>
      </w:r>
    </w:p>
    <w:p>
      <w:pPr>
        <w:spacing w:after="0" w:line="159" w:lineRule="exact"/>
        <w:rPr>
          <w:sz w:val="20"/>
          <w:szCs w:val="20"/>
          <w:color w:val="auto"/>
        </w:rPr>
      </w:pPr>
    </w:p>
    <w:p>
      <w:pPr>
        <w:ind w:firstLine="1751"/>
        <w:spacing w:after="0" w:line="259" w:lineRule="auto"/>
        <w:tabs>
          <w:tab w:leader="none" w:pos="2165"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Lock-Up Period;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the initial public offering of the Company’s securities and upon</w:t>
      </w:r>
      <w:r>
        <w:rPr>
          <w:rFonts w:ascii="Arial" w:cs="Arial" w:eastAsia="Arial" w:hAnsi="Arial"/>
          <w:sz w:val="19"/>
          <w:szCs w:val="19"/>
          <w:b w:val="1"/>
          <w:bCs w:val="1"/>
          <w:color w:val="auto"/>
        </w:rPr>
        <w:t xml:space="preserve"> </w:t>
      </w:r>
      <w:r>
        <w:rPr>
          <w:rFonts w:ascii="Arial" w:cs="Arial" w:eastAsia="Arial" w:hAnsi="Arial"/>
          <w:sz w:val="19"/>
          <w:szCs w:val="19"/>
          <w:color w:val="auto"/>
        </w:rPr>
        <w:t>request of the Company or the underwriters managing such offering of the Company’s securities, each Holder agrees not to sell, make any short sale of, loan, grant any option for the purchase of, or otherwise dispose of any securities of the Company, acquired prior to the offering (other than those included in the registration) without the prior written consent of the Company or such underwriters, as the case may be, for a period not to exceed 180 days (but subject to such extension(s) as may be required by the underwriters in order to publish research reports while complying with Rule 2711 of the Financial Industry Regulatory Authority, Inc.) from the effective date of such registration as may be requested by the Company or such managing underwriters and to execute an agreement reflecting the foregoing as may be requested by the underwriters at the time of the Company’s initial public offering.</w:t>
      </w:r>
    </w:p>
    <w:p>
      <w:pPr>
        <w:spacing w:after="0" w:line="111" w:lineRule="exact"/>
        <w:rPr>
          <w:rFonts w:ascii="Arial" w:cs="Arial" w:eastAsia="Arial" w:hAnsi="Arial"/>
          <w:sz w:val="19"/>
          <w:szCs w:val="19"/>
          <w:color w:val="auto"/>
        </w:rPr>
      </w:pPr>
    </w:p>
    <w:p>
      <w:pPr>
        <w:ind w:right="100" w:firstLine="1751"/>
        <w:spacing w:after="0" w:line="273" w:lineRule="auto"/>
        <w:tabs>
          <w:tab w:leader="none" w:pos="2176"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obligations described in Section 1.14(a) shall apply only if all officers and directors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all one-percent (1%) stockholders enter into similar agreements, and shall not apply to a registration relating solely to employee benefit plans, or to a registration relating solely to a transaction pursuant to Rule 145 under the Securities Act.</w:t>
      </w:r>
    </w:p>
    <w:p>
      <w:pPr>
        <w:spacing w:after="0" w:line="94" w:lineRule="exact"/>
        <w:rPr>
          <w:rFonts w:ascii="Arial" w:cs="Arial" w:eastAsia="Arial" w:hAnsi="Arial"/>
          <w:sz w:val="19"/>
          <w:szCs w:val="19"/>
          <w:color w:val="auto"/>
        </w:rPr>
      </w:pPr>
    </w:p>
    <w:p>
      <w:pPr>
        <w:ind w:right="80" w:firstLine="1751"/>
        <w:spacing w:after="0" w:line="355" w:lineRule="auto"/>
        <w:tabs>
          <w:tab w:leader="none" w:pos="2165" w:val="left"/>
        </w:tabs>
        <w:numPr>
          <w:ilvl w:val="0"/>
          <w:numId w:val="162"/>
        </w:numPr>
        <w:rPr>
          <w:rFonts w:ascii="Arial" w:cs="Arial" w:eastAsia="Arial" w:hAnsi="Arial"/>
          <w:sz w:val="17"/>
          <w:szCs w:val="17"/>
          <w:color w:val="auto"/>
        </w:rPr>
      </w:pPr>
      <w:r>
        <w:rPr>
          <w:rFonts w:ascii="Arial" w:cs="Arial" w:eastAsia="Arial" w:hAnsi="Arial"/>
          <w:sz w:val="17"/>
          <w:szCs w:val="17"/>
          <w:b w:val="1"/>
          <w:bCs w:val="1"/>
          <w:u w:val="single" w:color="auto"/>
          <w:color w:val="auto"/>
        </w:rPr>
        <w:t>Stop-Transfer Instructions</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enforce the foregoing covenants, the Company may impose stop-transfer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instructions with respect to the securities of each Holder (and the securities of every other person subject to the restrictions in Section 1.14(a)).</w:t>
      </w:r>
    </w:p>
    <w:p>
      <w:pPr>
        <w:spacing w:after="0" w:line="30" w:lineRule="exact"/>
        <w:rPr>
          <w:rFonts w:ascii="Arial" w:cs="Arial" w:eastAsia="Arial" w:hAnsi="Arial"/>
          <w:sz w:val="17"/>
          <w:szCs w:val="17"/>
          <w:color w:val="auto"/>
        </w:rPr>
      </w:pPr>
    </w:p>
    <w:p>
      <w:pPr>
        <w:ind w:right="120" w:firstLine="1751"/>
        <w:spacing w:after="0" w:line="267" w:lineRule="auto"/>
        <w:tabs>
          <w:tab w:leader="none" w:pos="2176"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Transferees Bound</w:t>
      </w:r>
      <w:r>
        <w:rPr>
          <w:rFonts w:ascii="Arial" w:cs="Arial" w:eastAsia="Arial" w:hAnsi="Arial"/>
          <w:sz w:val="19"/>
          <w:szCs w:val="19"/>
          <w:b w:val="1"/>
          <w:bCs w:val="1"/>
          <w:color w:val="auto"/>
        </w:rPr>
        <w:t xml:space="preserve">. </w:t>
      </w:r>
      <w:r>
        <w:rPr>
          <w:rFonts w:ascii="Arial" w:cs="Arial" w:eastAsia="Arial" w:hAnsi="Arial"/>
          <w:sz w:val="19"/>
          <w:szCs w:val="19"/>
          <w:color w:val="auto"/>
        </w:rPr>
        <w:t>Each Holder agrees that prior to the Company’s initial public offering it will not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securities of the Company unless each transferee agrees in writing to be bound by all of the provisions of this Section 1.14,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Section 1.14(d) shall not apply to transfers pursuant to a registration statement or transfers after the 12-month anniversary of the effective date of the Company’s initial registration statement subject to this Section 1.14.</w:t>
      </w:r>
    </w:p>
    <w:p>
      <w:pPr>
        <w:spacing w:after="0" w:line="99" w:lineRule="exact"/>
        <w:rPr>
          <w:sz w:val="20"/>
          <w:szCs w:val="20"/>
          <w:color w:val="auto"/>
        </w:rPr>
      </w:pPr>
    </w:p>
    <w:p>
      <w:pPr>
        <w:ind w:firstLine="1169"/>
        <w:spacing w:after="0" w:line="261"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b w:val="1"/>
          <w:bCs w:val="1"/>
          <w:u w:val="single" w:color="auto"/>
          <w:color w:val="auto"/>
        </w:rPr>
        <w:t>Termination of Registration Rights</w:t>
      </w:r>
      <w:r>
        <w:rPr>
          <w:rFonts w:ascii="Arial" w:cs="Arial" w:eastAsia="Arial" w:hAnsi="Arial"/>
          <w:sz w:val="19"/>
          <w:szCs w:val="19"/>
          <w:b w:val="1"/>
          <w:bCs w:val="1"/>
          <w:color w:val="auto"/>
        </w:rPr>
        <w:t>.</w:t>
      </w:r>
      <w:r>
        <w:rPr>
          <w:rFonts w:ascii="Arial" w:cs="Arial" w:eastAsia="Arial" w:hAnsi="Arial"/>
          <w:sz w:val="19"/>
          <w:szCs w:val="19"/>
          <w:color w:val="auto"/>
        </w:rPr>
        <w:t xml:space="preserve"> No Holder shall be entitled to exercise any right provided for in this Section 1 after the earlier of (a) five (5) years following the consummation of a Qualified IPO, (b) as to any Holder, such earlier time after the Qualified IPO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in compliance with Rule 144, or (c) upon termination of the Agreement, as provided in Section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00"/>
          </w:cols>
          <w:pgMar w:left="320" w:top="1301" w:right="379" w:bottom="1440" w:gutter="0" w:footer="0" w:header="0"/>
        </w:sectPr>
      </w:pPr>
    </w:p>
    <w:bookmarkStart w:id="276" w:name="page277"/>
    <w:bookmarkEnd w:id="276"/>
    <w:p>
      <w:pPr>
        <w:ind w:left="920" w:hanging="338"/>
        <w:spacing w:after="0"/>
        <w:tabs>
          <w:tab w:leader="none" w:pos="920" w:val="left"/>
        </w:tabs>
        <w:numPr>
          <w:ilvl w:val="0"/>
          <w:numId w:val="163"/>
        </w:numPr>
        <w:rPr>
          <w:rFonts w:ascii="Arial" w:cs="Arial" w:eastAsia="Arial" w:hAnsi="Arial"/>
          <w:sz w:val="19"/>
          <w:szCs w:val="19"/>
          <w:color w:val="auto"/>
        </w:rPr>
      </w:pPr>
      <w:r>
        <w:rPr>
          <w:rFonts w:ascii="Arial" w:cs="Arial" w:eastAsia="Arial" w:hAnsi="Arial"/>
          <w:sz w:val="19"/>
          <w:szCs w:val="19"/>
          <w:b w:val="1"/>
          <w:bCs w:val="1"/>
          <w:u w:val="single" w:color="auto"/>
          <w:color w:val="auto"/>
        </w:rPr>
        <w:t>Covenants of the Company</w:t>
      </w:r>
      <w:r>
        <w:rPr>
          <w:rFonts w:ascii="Arial" w:cs="Arial" w:eastAsia="Arial" w:hAnsi="Arial"/>
          <w:sz w:val="19"/>
          <w:szCs w:val="19"/>
          <w:color w:val="auto"/>
        </w:rPr>
        <w:t>.</w:t>
      </w:r>
    </w:p>
    <w:p>
      <w:pPr>
        <w:spacing w:after="0" w:line="159" w:lineRule="exact"/>
        <w:rPr>
          <w:sz w:val="20"/>
          <w:szCs w:val="20"/>
          <w:color w:val="auto"/>
        </w:rPr>
      </w:pPr>
    </w:p>
    <w:p>
      <w:pPr>
        <w:ind w:firstLine="1169"/>
        <w:spacing w:after="0" w:line="26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b w:val="1"/>
          <w:bCs w:val="1"/>
          <w:u w:val="single" w:color="auto"/>
          <w:color w:val="auto"/>
        </w:rPr>
        <w:t>Delivery of Financial Statements</w:t>
      </w:r>
      <w:r>
        <w:rPr>
          <w:rFonts w:ascii="Arial" w:cs="Arial" w:eastAsia="Arial" w:hAnsi="Arial"/>
          <w:sz w:val="19"/>
          <w:szCs w:val="19"/>
          <w:b w:val="1"/>
          <w:bCs w:val="1"/>
          <w:color w:val="auto"/>
        </w:rPr>
        <w:t>.</w:t>
      </w:r>
      <w:r>
        <w:rPr>
          <w:rFonts w:ascii="Arial" w:cs="Arial" w:eastAsia="Arial" w:hAnsi="Arial"/>
          <w:sz w:val="19"/>
          <w:szCs w:val="19"/>
          <w:color w:val="auto"/>
        </w:rPr>
        <w:t xml:space="preserve"> Upon request, the Company shall deliver to each Major Investor (as long as such Major Investor is not a competitor of the Company; provided that for all purposes of this Agreement financial investors shall not be deemed competitors of the Company merely because they have investments in competitive companies or otherwise as a result of their investing activity):</w:t>
      </w:r>
    </w:p>
    <w:p>
      <w:pPr>
        <w:spacing w:after="0" w:line="105" w:lineRule="exact"/>
        <w:rPr>
          <w:sz w:val="20"/>
          <w:szCs w:val="20"/>
          <w:color w:val="auto"/>
        </w:rPr>
      </w:pPr>
    </w:p>
    <w:p>
      <w:pPr>
        <w:ind w:right="60" w:firstLine="1751"/>
        <w:spacing w:after="0" w:line="262" w:lineRule="auto"/>
        <w:tabs>
          <w:tab w:leader="none" w:pos="216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as soon as practicable, but in any event within 120 days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(“GAAP”), and audited and certified by independent public accountants selected by the Board of Directors (including the Preferred Designees (as defined in the Restated Certificate));</w:t>
      </w:r>
    </w:p>
    <w:p>
      <w:pPr>
        <w:spacing w:after="0" w:line="110" w:lineRule="exact"/>
        <w:rPr>
          <w:rFonts w:ascii="Arial" w:cs="Arial" w:eastAsia="Arial" w:hAnsi="Arial"/>
          <w:sz w:val="19"/>
          <w:szCs w:val="19"/>
          <w:color w:val="auto"/>
        </w:rPr>
      </w:pPr>
    </w:p>
    <w:p>
      <w:pPr>
        <w:ind w:right="120" w:firstLine="1751"/>
        <w:spacing w:after="0" w:line="264" w:lineRule="auto"/>
        <w:tabs>
          <w:tab w:leader="none" w:pos="217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as soon as practicable, but in any event within 45 days after the end of each quarter, an unaudited profit or loss statement, a statement of cash flows for such quarter and an unaudited balance sheet as of the end of such quarter, all prepared in accordance with GAAP (except that such financial statements may (i) be subject to normal year-end audit adjustments and (ii) not contain all notes thereto that may be required in accordance with GAAP);</w:t>
      </w:r>
    </w:p>
    <w:p>
      <w:pPr>
        <w:spacing w:after="0" w:line="110" w:lineRule="exact"/>
        <w:rPr>
          <w:rFonts w:ascii="Arial" w:cs="Arial" w:eastAsia="Arial" w:hAnsi="Arial"/>
          <w:sz w:val="19"/>
          <w:szCs w:val="19"/>
          <w:color w:val="auto"/>
        </w:rPr>
      </w:pPr>
    </w:p>
    <w:p>
      <w:pPr>
        <w:ind w:right="120" w:firstLine="1751"/>
        <w:spacing w:after="0" w:line="264" w:lineRule="auto"/>
        <w:tabs>
          <w:tab w:leader="none" w:pos="216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as soon as practicable, but in any event within 30 days after the end of each month, an unaudited profit or loss statement, a statement of cash flows for such month and an unaudited balance sheet as of the end of such month, all prepared in accordance with GAAP (except that such financial statements may (i) be subject to normal year-end audit adjustments and (ii) not contain all notes thereto that may be required in accordance with GAAP); and</w:t>
      </w:r>
    </w:p>
    <w:p>
      <w:pPr>
        <w:spacing w:after="0" w:line="110" w:lineRule="exact"/>
        <w:rPr>
          <w:rFonts w:ascii="Arial" w:cs="Arial" w:eastAsia="Arial" w:hAnsi="Arial"/>
          <w:sz w:val="19"/>
          <w:szCs w:val="19"/>
          <w:color w:val="auto"/>
        </w:rPr>
      </w:pPr>
    </w:p>
    <w:p>
      <w:pPr>
        <w:ind w:right="180" w:firstLine="1751"/>
        <w:spacing w:after="0" w:line="270" w:lineRule="auto"/>
        <w:tabs>
          <w:tab w:leader="none" w:pos="217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as soon as practicable, but in any event prior to the end of each fiscal year, a budget and business plan for the next fiscal year, prepared on a monthly basis, and, as soon as prepared, any other updated or revised budgets for such fiscal year prepared by the Company.</w:t>
      </w:r>
    </w:p>
    <w:p>
      <w:pPr>
        <w:spacing w:after="0" w:line="97" w:lineRule="exact"/>
        <w:rPr>
          <w:sz w:val="20"/>
          <w:szCs w:val="20"/>
          <w:color w:val="auto"/>
        </w:rPr>
      </w:pPr>
    </w:p>
    <w:p>
      <w:pPr>
        <w:ind w:right="80" w:firstLine="1169"/>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Inspection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shall permit each Major Investor (as long as such Major Investor is not a competitor of the Company), at such Major Investor’s expense, to visit and inspect the Company’s properties, to examine its books of account and records and to discuss the Company’s affairs, finances and accounts with its officers, all at such reasonable times as may be requested by the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obligated pursuant to this Section 2.2 to provide access to any information (a) that it reasonably and in good faith considers to be a trade secret or similar confidential information, unless the requesting Major Investor has entered into an enforceable confidentiality agreement in a form reasonably acceptable to the Company or (b) the disclosure of which would adversely affect the attorney-client privilege between the Company and its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296" w:right="339" w:bottom="1440" w:gutter="0" w:footer="0" w:header="0"/>
        </w:sectPr>
      </w:pPr>
    </w:p>
    <w:bookmarkStart w:id="277" w:name="page278"/>
    <w:bookmarkEnd w:id="277"/>
    <w:p>
      <w:pPr>
        <w:ind w:right="80" w:firstLine="1169"/>
        <w:spacing w:after="0" w:line="286"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Right of First Offer</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the terms and conditions specified in this Section 2.3, the Company hereby grants to each Major Investor (as long as such Major Investor is not a competitor of the Company) a right of first offer with respect to future sales by the Company of its Shares (as hereinafter defined). A Major Investor who chooses to exercise the right of first offer may designate as purchasers under such right itself or its partners or affiliates, including Affiliated Funds, in such proportions as it deems appropriate.</w:t>
      </w:r>
    </w:p>
    <w:p>
      <w:pPr>
        <w:spacing w:after="0" w:line="91" w:lineRule="exact"/>
        <w:rPr>
          <w:sz w:val="20"/>
          <w:szCs w:val="20"/>
          <w:color w:val="auto"/>
        </w:rPr>
      </w:pPr>
    </w:p>
    <w:p>
      <w:pPr>
        <w:ind w:right="340" w:firstLine="1169"/>
        <w:spacing w:after="0" w:line="270" w:lineRule="auto"/>
        <w:rPr>
          <w:sz w:val="20"/>
          <w:szCs w:val="20"/>
          <w:color w:val="auto"/>
        </w:rPr>
      </w:pPr>
      <w:r>
        <w:rPr>
          <w:rFonts w:ascii="Arial" w:cs="Arial" w:eastAsia="Arial" w:hAnsi="Arial"/>
          <w:sz w:val="19"/>
          <w:szCs w:val="19"/>
          <w:color w:val="auto"/>
        </w:rPr>
        <w:t>Each time the Company proposes to offer any shares of, or securities convertible into or exchangeable or exercisable for any shares of, any class of its capital stock (“</w:t>
      </w:r>
      <w:r>
        <w:rPr>
          <w:rFonts w:ascii="Arial" w:cs="Arial" w:eastAsia="Arial" w:hAnsi="Arial"/>
          <w:sz w:val="19"/>
          <w:szCs w:val="19"/>
          <w:u w:val="single" w:color="auto"/>
          <w:color w:val="auto"/>
        </w:rPr>
        <w:t>Shares</w:t>
      </w:r>
      <w:r>
        <w:rPr>
          <w:rFonts w:ascii="Arial" w:cs="Arial" w:eastAsia="Arial" w:hAnsi="Arial"/>
          <w:sz w:val="19"/>
          <w:szCs w:val="19"/>
          <w:color w:val="auto"/>
        </w:rPr>
        <w:t>”), the Company shall first make an offering of such Shares to each Major Investor in accordance with the following provisions:</w:t>
      </w:r>
    </w:p>
    <w:p>
      <w:pPr>
        <w:spacing w:after="0" w:line="103" w:lineRule="exact"/>
        <w:rPr>
          <w:sz w:val="20"/>
          <w:szCs w:val="20"/>
          <w:color w:val="auto"/>
        </w:rPr>
      </w:pPr>
    </w:p>
    <w:p>
      <w:pPr>
        <w:ind w:right="340" w:firstLine="1169"/>
        <w:spacing w:after="0" w:line="315" w:lineRule="auto"/>
        <w:rPr>
          <w:sz w:val="20"/>
          <w:szCs w:val="20"/>
          <w:color w:val="auto"/>
        </w:rPr>
      </w:pPr>
      <w:r>
        <w:rPr>
          <w:rFonts w:ascii="Arial" w:cs="Arial" w:eastAsia="Arial" w:hAnsi="Arial"/>
          <w:sz w:val="18"/>
          <w:szCs w:val="18"/>
          <w:color w:val="auto"/>
        </w:rPr>
        <w:t>The Company shall deliver a notice (the “</w:t>
      </w:r>
      <w:r>
        <w:rPr>
          <w:rFonts w:ascii="Arial" w:cs="Arial" w:eastAsia="Arial" w:hAnsi="Arial"/>
          <w:sz w:val="18"/>
          <w:szCs w:val="18"/>
          <w:u w:val="single" w:color="auto"/>
          <w:color w:val="auto"/>
        </w:rPr>
        <w:t>RFO Notice</w:t>
      </w:r>
      <w:r>
        <w:rPr>
          <w:rFonts w:ascii="Arial" w:cs="Arial" w:eastAsia="Arial" w:hAnsi="Arial"/>
          <w:sz w:val="18"/>
          <w:szCs w:val="18"/>
          <w:color w:val="auto"/>
        </w:rPr>
        <w:t>”) to the Major Investors stating (i) its bona fide intention to offer such Shares, (ii) the number of such Shares to be offered, and (iii) the price and terms, if any, upon which it proposes to offer such Shares.</w:t>
      </w:r>
    </w:p>
    <w:p>
      <w:pPr>
        <w:spacing w:after="0" w:line="66" w:lineRule="exact"/>
        <w:rPr>
          <w:sz w:val="20"/>
          <w:szCs w:val="20"/>
          <w:color w:val="auto"/>
        </w:rPr>
      </w:pPr>
    </w:p>
    <w:p>
      <w:pPr>
        <w:ind w:firstLine="1169"/>
        <w:spacing w:after="0" w:line="272" w:lineRule="auto"/>
        <w:rPr>
          <w:sz w:val="20"/>
          <w:szCs w:val="20"/>
          <w:color w:val="auto"/>
        </w:rPr>
      </w:pPr>
      <w:r>
        <w:rPr>
          <w:rFonts w:ascii="Arial" w:cs="Arial" w:eastAsia="Arial" w:hAnsi="Arial"/>
          <w:sz w:val="18"/>
          <w:szCs w:val="18"/>
          <w:color w:val="auto"/>
        </w:rPr>
        <w:t>Within 15 calendar days after delivery of the RFO Notice, the Major Investor may elect to purchase or obtain, at the price and on the terms specified in the RFO Notice, up to that portion of such Shares which equals the proportion that the number of shares of Common Stock issued and held, or issuable upon conversion and exercise of all convertible or exercisable securities then held, by such Major Investor bears to the sum of (A) the total number of shares of Common Stock then outstanding (assuming full conversion and exercise of all convertible or exercisable securities) and (B) shares of Common Stock issuable to employees, consultants or directors pursuant to a stock option plan, restricted stock plan, or other stock plan approved by the Board of Directors. Such purchase shall be completed at the same closing as that of any third party purchasers or at an additional closing thereunder. The Company shall promptly, in writing, inform each Major Investor that purchases all the shares available to it (each, a “</w:t>
      </w:r>
      <w:r>
        <w:rPr>
          <w:rFonts w:ascii="Arial" w:cs="Arial" w:eastAsia="Arial" w:hAnsi="Arial"/>
          <w:sz w:val="18"/>
          <w:szCs w:val="18"/>
          <w:u w:val="single" w:color="auto"/>
          <w:color w:val="auto"/>
        </w:rPr>
        <w:t>Fully-Exercising Investor</w:t>
      </w:r>
      <w:r>
        <w:rPr>
          <w:rFonts w:ascii="Arial" w:cs="Arial" w:eastAsia="Arial" w:hAnsi="Arial"/>
          <w:sz w:val="18"/>
          <w:szCs w:val="18"/>
          <w:color w:val="auto"/>
        </w:rPr>
        <w:t>”) of any other Major Investor’s failure to do likewise. During the 10-day period commencing after receipt of such information, each Fully-Exercising Investor shall be entitled to obtain that portion of the Shares for which Major Investors were entitled to subscribe but which were not subscribed for by the Major Investors that is equal to the proportion that the number of shares of Common Stock issued and held, or issuable upon conversion and exercise of all convertible or exercisable securities then held, by such Fully-Exercising Investor bears to the total number of shares of Common Stock then issued and held, or issuable upon conversion of the Preferred Stock then held, by all Fully-Exercising Investors.</w:t>
      </w:r>
    </w:p>
    <w:p>
      <w:pPr>
        <w:spacing w:after="0" w:line="105" w:lineRule="exact"/>
        <w:rPr>
          <w:sz w:val="20"/>
          <w:szCs w:val="20"/>
          <w:color w:val="auto"/>
        </w:rPr>
      </w:pPr>
    </w:p>
    <w:p>
      <w:pPr>
        <w:ind w:right="120" w:firstLine="1169"/>
        <w:spacing w:after="0" w:line="280" w:lineRule="auto"/>
        <w:rPr>
          <w:sz w:val="20"/>
          <w:szCs w:val="20"/>
          <w:color w:val="auto"/>
        </w:rPr>
      </w:pPr>
      <w:r>
        <w:rPr>
          <w:rFonts w:ascii="Arial" w:cs="Arial" w:eastAsia="Arial" w:hAnsi="Arial"/>
          <w:sz w:val="18"/>
          <w:szCs w:val="18"/>
          <w:color w:val="auto"/>
        </w:rPr>
        <w:t>The Company may, during the 45-day period following the expiration of the period provided in subsection 2.3(b) hereof, offer the remaining unsubscribed portion of the Shares to any person or persons at a price not less than, and upon terms no more favorable to the offeree than, those specified in the RFO Notice. If the Company does not enter into an agreement for the sale of the Shares within such period, or if such agreement is not consummated within 60 days of the execution thereof, the right provided hereunder shall be deemed to be revived and such Shares shall not be offered unless first reoffered to the Major Investors in accordance herewith.</w:t>
      </w:r>
    </w:p>
    <w:p>
      <w:pPr>
        <w:spacing w:after="0" w:line="96" w:lineRule="exact"/>
        <w:rPr>
          <w:sz w:val="20"/>
          <w:szCs w:val="20"/>
          <w:color w:val="auto"/>
        </w:rPr>
      </w:pPr>
    </w:p>
    <w:p>
      <w:pPr>
        <w:ind w:right="240" w:firstLine="1169"/>
        <w:spacing w:after="0" w:line="286" w:lineRule="auto"/>
        <w:rPr>
          <w:sz w:val="20"/>
          <w:szCs w:val="20"/>
          <w:color w:val="auto"/>
        </w:rPr>
      </w:pPr>
      <w:r>
        <w:rPr>
          <w:rFonts w:ascii="Arial" w:cs="Arial" w:eastAsia="Arial" w:hAnsi="Arial"/>
          <w:sz w:val="19"/>
          <w:szCs w:val="19"/>
          <w:color w:val="auto"/>
        </w:rPr>
        <w:t>The right of first offer in this Section 2.3 shall not be applicable to Shares that are excluded from the definition of “Additional Stock” set forth in Section 4(d)(i)(B) of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20"/>
          </w:cols>
          <w:pgMar w:left="320" w:top="1296" w:right="359" w:bottom="1440" w:gutter="0" w:footer="0" w:header="0"/>
        </w:sectPr>
      </w:pPr>
    </w:p>
    <w:bookmarkStart w:id="278" w:name="page279"/>
    <w:bookmarkEnd w:id="278"/>
    <w:p>
      <w:pPr>
        <w:ind w:right="80"/>
        <w:spacing w:after="0" w:line="264" w:lineRule="auto"/>
        <w:rPr>
          <w:sz w:val="20"/>
          <w:szCs w:val="20"/>
          <w:color w:val="auto"/>
        </w:rPr>
      </w:pPr>
      <w:r>
        <w:rPr>
          <w:rFonts w:ascii="Arial" w:cs="Arial" w:eastAsia="Arial" w:hAnsi="Arial"/>
          <w:sz w:val="19"/>
          <w:szCs w:val="19"/>
          <w:color w:val="auto"/>
        </w:rPr>
        <w:t>IV(B) of the Restated Certificate. In addition to the foregoing, the right of first offer in this Section 2.3 shall not be applicable with respect to any Major Investor and any subsequent securities issuance, if (i) at the time of such subsequent securities issuance, the Major Investor is not an “accredited investor,” as that term is then defined in Rule 501(a) under the Securities Act, and (ii) such subsequent securities issuance is otherwise being offered only to accredited investors.</w:t>
      </w:r>
    </w:p>
    <w:p>
      <w:pPr>
        <w:spacing w:after="0" w:line="104" w:lineRule="exact"/>
        <w:rPr>
          <w:sz w:val="20"/>
          <w:szCs w:val="20"/>
          <w:color w:val="auto"/>
        </w:rPr>
      </w:pPr>
    </w:p>
    <w:p>
      <w:pPr>
        <w:ind w:firstLine="1169"/>
        <w:spacing w:after="0" w:line="27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Employee Agreements</w:t>
      </w:r>
      <w:r>
        <w:rPr>
          <w:rFonts w:ascii="Arial" w:cs="Arial" w:eastAsia="Arial" w:hAnsi="Arial"/>
          <w:sz w:val="18"/>
          <w:szCs w:val="18"/>
          <w:b w:val="1"/>
          <w:bCs w:val="1"/>
          <w:color w:val="auto"/>
        </w:rPr>
        <w:t>.</w:t>
      </w:r>
      <w:r>
        <w:rPr>
          <w:rFonts w:ascii="Arial" w:cs="Arial" w:eastAsia="Arial" w:hAnsi="Arial"/>
          <w:sz w:val="18"/>
          <w:szCs w:val="18"/>
          <w:color w:val="auto"/>
        </w:rPr>
        <w:t xml:space="preserve"> Unless approved by the Board of Directors of the Company, all future employees of the Company who shall purchase, or receive options to purchase, shares of the Company’s Common Stock following the date hereof shall be required to execute stock purchase or option agreements providing for (i) vesting of shares over a four-year period with the first 25% of such shares vesting following twelve (12) months of continued employment or services, and the remaining shares vesting in equal monthly installments over the following 36 months thereafter, (ii) a 180-day lockup period in connection with the Company’s initial public offering and (iii) restrictions on the transfer of such securities. The Company will not provide for any form of equity vesting acceleration for future employees without the approval of the Board of Directors, including the Preferred Directors (as defined in the Restated Certificate). The Company shall retain a right of first refusal on transfers of Common Stock held by employees and consultants and the right to repurchase unvested shares at the lesser of cost or fair market value until the Company’s initial public offering.</w:t>
      </w:r>
    </w:p>
    <w:p>
      <w:pPr>
        <w:spacing w:after="0" w:line="94" w:lineRule="exact"/>
        <w:rPr>
          <w:sz w:val="20"/>
          <w:szCs w:val="20"/>
          <w:color w:val="auto"/>
        </w:rPr>
      </w:pPr>
    </w:p>
    <w:p>
      <w:pPr>
        <w:ind w:right="360" w:firstLine="1169"/>
        <w:spacing w:after="0" w:line="267"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b w:val="1"/>
          <w:bCs w:val="1"/>
          <w:u w:val="single" w:color="auto"/>
          <w:color w:val="auto"/>
        </w:rPr>
        <w:t>Reimbursement for Outside Directors and Board Observers</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shall reimburse all reasonable out-of-pocket expenses incurred by members of the Board of Directors elected solely by the holders of Preferred Stock and any Board observers pursuant to Section 2.7 below in connection with the attendance of meetings of the Board of Directors (or any committee thereof) and other meetings or events attended by such persons on behalf of the Company.</w:t>
      </w:r>
    </w:p>
    <w:p>
      <w:pPr>
        <w:spacing w:after="0" w:line="99" w:lineRule="exact"/>
        <w:rPr>
          <w:sz w:val="20"/>
          <w:szCs w:val="20"/>
          <w:color w:val="auto"/>
        </w:rPr>
      </w:pPr>
    </w:p>
    <w:p>
      <w:pPr>
        <w:ind w:right="140" w:firstLine="1169"/>
        <w:spacing w:after="0" w:line="28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Key-Man Insurance</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shall within ninety (90) days of the date hereof use its commercially reasonable efforts to obtain from financially sound and reputable insurers, and maintain, term life insurance on the life of David Barrett in an amount satisfactory to the Board of Directors, including the Preferred Directors (as defined in the Voting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said amount shall not be less than two (2) million dollars. Such policy shall name the Company as loss payee and shall not be cancelable by the Company without prior approval of the Board of Directors, including the Preferred Directors.</w:t>
      </w:r>
    </w:p>
    <w:p>
      <w:pPr>
        <w:spacing w:after="0" w:line="91"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7"/>
          <w:szCs w:val="17"/>
          <w:b w:val="1"/>
          <w:bCs w:val="1"/>
          <w:u w:val="single" w:color="auto"/>
          <w:color w:val="auto"/>
        </w:rPr>
        <w:t>Observer Rights</w:t>
      </w:r>
      <w:r>
        <w:rPr>
          <w:rFonts w:ascii="Arial" w:cs="Arial" w:eastAsia="Arial" w:hAnsi="Arial"/>
          <w:sz w:val="17"/>
          <w:szCs w:val="17"/>
          <w:b w:val="1"/>
          <w:bCs w:val="1"/>
          <w:color w:val="auto"/>
        </w:rPr>
        <w:t>.</w:t>
      </w:r>
    </w:p>
    <w:p>
      <w:pPr>
        <w:spacing w:after="0" w:line="165" w:lineRule="exact"/>
        <w:rPr>
          <w:sz w:val="20"/>
          <w:szCs w:val="20"/>
          <w:color w:val="auto"/>
        </w:rPr>
      </w:pPr>
    </w:p>
    <w:p>
      <w:pPr>
        <w:ind w:right="20" w:firstLine="1167"/>
        <w:spacing w:after="0" w:line="296" w:lineRule="auto"/>
        <w:tabs>
          <w:tab w:leader="none" w:pos="157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As long as Point Judith Venture Fund III, L.P., Point Judith Venture Fund III (Q.P.), L.P. and their affiliates (together, “</w:t>
      </w:r>
      <w:r>
        <w:rPr>
          <w:rFonts w:ascii="Arial" w:cs="Arial" w:eastAsia="Arial" w:hAnsi="Arial"/>
          <w:sz w:val="17"/>
          <w:szCs w:val="17"/>
          <w:u w:val="single" w:color="auto"/>
          <w:color w:val="auto"/>
        </w:rPr>
        <w:t>Point</w:t>
      </w:r>
      <w:r>
        <w:rPr>
          <w:rFonts w:ascii="Arial" w:cs="Arial" w:eastAsia="Arial" w:hAnsi="Arial"/>
          <w:sz w:val="17"/>
          <w:szCs w:val="17"/>
          <w:color w:val="auto"/>
        </w:rPr>
        <w:t xml:space="preserve"> </w:t>
      </w:r>
      <w:r>
        <w:rPr>
          <w:rFonts w:ascii="Arial" w:cs="Arial" w:eastAsia="Arial" w:hAnsi="Arial"/>
          <w:sz w:val="17"/>
          <w:szCs w:val="17"/>
          <w:u w:val="single" w:color="auto"/>
          <w:color w:val="auto"/>
        </w:rPr>
        <w:t>Judith</w:t>
      </w:r>
      <w:r>
        <w:rPr>
          <w:rFonts w:ascii="Arial" w:cs="Arial" w:eastAsia="Arial" w:hAnsi="Arial"/>
          <w:sz w:val="17"/>
          <w:szCs w:val="17"/>
          <w:color w:val="auto"/>
        </w:rPr>
        <w:t xml:space="preserve">”) own at least 50% of the shares of Series B-1 Preferred Stock originally acquired by Point Judith pursuant to the Purchase Agreement or an equivalent amount of Common Stock issued upon conversion thereof (as appropriately adjusted for any stock split, dividend, combination or other recapitalization), the Company shall invite a representative of Point Judith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302" w:right="339" w:bottom="1440" w:gutter="0" w:footer="0" w:header="0"/>
        </w:sectPr>
      </w:pPr>
    </w:p>
    <w:bookmarkStart w:id="279" w:name="page280"/>
    <w:bookmarkEnd w:id="279"/>
    <w:p>
      <w:pPr>
        <w:jc w:val="both"/>
        <w:ind w:right="400"/>
        <w:spacing w:after="0" w:line="262" w:lineRule="auto"/>
        <w:rPr>
          <w:sz w:val="20"/>
          <w:szCs w:val="20"/>
          <w:color w:val="auto"/>
        </w:rPr>
      </w:pPr>
      <w:r>
        <w:rPr>
          <w:rFonts w:ascii="Arial" w:cs="Arial" w:eastAsia="Arial" w:hAnsi="Arial"/>
          <w:sz w:val="19"/>
          <w:szCs w:val="19"/>
          <w:color w:val="auto"/>
        </w:rPr>
        <w:t xml:space="preserve">representative shall agree to hold in confidence and trust and to act in a fiduciary manner with respect to all information so provided;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would result in disclosure of trade secrets to such representative or if such Investor or its representative is or is affiliated with a direct competitor of the Company.</w:t>
      </w:r>
    </w:p>
    <w:p>
      <w:pPr>
        <w:spacing w:after="0" w:line="111" w:lineRule="exact"/>
        <w:rPr>
          <w:sz w:val="20"/>
          <w:szCs w:val="20"/>
          <w:color w:val="auto"/>
        </w:rPr>
      </w:pPr>
    </w:p>
    <w:p>
      <w:pPr>
        <w:ind w:right="20" w:firstLine="1167"/>
        <w:spacing w:after="0" w:line="291" w:lineRule="auto"/>
        <w:tabs>
          <w:tab w:leader="none" w:pos="1581"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As long as Coyote Ridge Partners LLC and its affiliates (“</w:t>
      </w:r>
      <w:r>
        <w:rPr>
          <w:rFonts w:ascii="Arial" w:cs="Arial" w:eastAsia="Arial" w:hAnsi="Arial"/>
          <w:sz w:val="17"/>
          <w:szCs w:val="17"/>
          <w:u w:val="single" w:color="auto"/>
          <w:color w:val="auto"/>
        </w:rPr>
        <w:t>Coyote Ridge</w:t>
      </w:r>
      <w:r>
        <w:rPr>
          <w:rFonts w:ascii="Arial" w:cs="Arial" w:eastAsia="Arial" w:hAnsi="Arial"/>
          <w:sz w:val="17"/>
          <w:szCs w:val="17"/>
          <w:color w:val="auto"/>
        </w:rPr>
        <w:t xml:space="preserve">”) owns at least owns at least 50% of the shares of Series B-1 Preferred Stock originally acquired by Coyote Ridge pursuant to the Purchase Agreement or an equivalent amount of Common Stock issued upon conversion thereof (as appropriately adjusted for any stock split, dividend, combination or other recapitalization), the Company shall invite a representative of Coyote Ridge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representative shall agree to hold in confidence and trust and to act in a fiduciary manner with respect to all information so provided;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would result in disclosure of trade secrets to such representative or if such Investor or its representative is or is affiliated with a direct competitor of the Company.</w:t>
      </w:r>
    </w:p>
    <w:p>
      <w:pPr>
        <w:spacing w:after="0" w:line="89" w:lineRule="exact"/>
        <w:rPr>
          <w:rFonts w:ascii="Arial" w:cs="Arial" w:eastAsia="Arial" w:hAnsi="Arial"/>
          <w:sz w:val="17"/>
          <w:szCs w:val="17"/>
          <w:color w:val="auto"/>
        </w:rPr>
      </w:pPr>
    </w:p>
    <w:p>
      <w:pPr>
        <w:ind w:firstLine="1167"/>
        <w:spacing w:after="0" w:line="292" w:lineRule="auto"/>
        <w:tabs>
          <w:tab w:leader="none" w:pos="157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As long as ARBA Capital LLC and its affiliates (“</w:t>
      </w:r>
      <w:r>
        <w:rPr>
          <w:rFonts w:ascii="Arial" w:cs="Arial" w:eastAsia="Arial" w:hAnsi="Arial"/>
          <w:sz w:val="17"/>
          <w:szCs w:val="17"/>
          <w:u w:val="single" w:color="auto"/>
          <w:color w:val="auto"/>
        </w:rPr>
        <w:t>ARBA</w:t>
      </w:r>
      <w:r>
        <w:rPr>
          <w:rFonts w:ascii="Arial" w:cs="Arial" w:eastAsia="Arial" w:hAnsi="Arial"/>
          <w:sz w:val="17"/>
          <w:szCs w:val="17"/>
          <w:color w:val="auto"/>
        </w:rPr>
        <w:t xml:space="preserve">”) owns at least 250,000 shares of Preferred Stock or an equivalent amount of Common Stock issued upon conversion thereof (as appropriately adjusted for any stock split, dividend, combination or other recapitalization), the Company shall invite a representative of ARBA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representative shall agree to hold in confidence and trust and to act in a fiduciary manner with respect to all information so provided;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would result in disclosure of trade secrets to such representative or if such Investor or its representative is or is affiliated with a direct competitor of the Company.</w:t>
      </w:r>
    </w:p>
    <w:p>
      <w:pPr>
        <w:spacing w:after="0" w:line="82" w:lineRule="exact"/>
        <w:rPr>
          <w:sz w:val="20"/>
          <w:szCs w:val="20"/>
          <w:color w:val="auto"/>
        </w:rPr>
      </w:pPr>
    </w:p>
    <w:p>
      <w:pPr>
        <w:ind w:right="60" w:firstLine="1169"/>
        <w:spacing w:after="0" w:line="263"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w:t>
      </w:r>
      <w:r>
        <w:rPr>
          <w:rFonts w:ascii="Arial" w:cs="Arial" w:eastAsia="Arial" w:hAnsi="Arial"/>
          <w:sz w:val="19"/>
          <w:szCs w:val="19"/>
          <w:color w:val="auto"/>
        </w:rPr>
        <w:t xml:space="preserve"> Each Investor agrees, severally and not jointly, to use the same degree of care as such Investor uses to protect its own confidential information for any information obtained pursuant to this Agreement or otherwise as a stockholder of the Company which the Company identifies in writing as being proprietary or confidential and such Investor acknowledges that it will not, unless otherwise required by law or the rules of any national securities exchange, association or marketplace, disclose such information without the prior written consent of the Company except such information that (a) was in the public domain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302" w:right="339" w:bottom="1440" w:gutter="0" w:footer="0" w:header="0"/>
        </w:sectPr>
      </w:pPr>
    </w:p>
    <w:bookmarkStart w:id="280" w:name="page281"/>
    <w:bookmarkEnd w:id="280"/>
    <w:p>
      <w:pPr>
        <w:spacing w:after="0" w:line="272" w:lineRule="auto"/>
        <w:rPr>
          <w:sz w:val="20"/>
          <w:szCs w:val="20"/>
          <w:color w:val="auto"/>
        </w:rPr>
      </w:pPr>
      <w:r>
        <w:rPr>
          <w:rFonts w:ascii="Arial" w:cs="Arial" w:eastAsia="Arial" w:hAnsi="Arial"/>
          <w:sz w:val="18"/>
          <w:szCs w:val="18"/>
          <w:color w:val="auto"/>
        </w:rPr>
        <w:t>to the time it was furnished to such Investor, (b) is or becomes (through no willful improper action or inaction by such Investor) generally available to the public, (c) was in its possession or known by such Investor without restriction prior to receipt from the Company, (d) was rightfully disclosed to such Investor by a third party without restriction or (e) was independently developed without any use of the Company’s confidential information. Notwithstanding the foregoing, each Investor that is a limited partnership or limited liability company may disclose such proprietary or confidential information to any former partners or members who retained an economic interest in such Investor, current or prospective partner of the partnership or any subsequent partnership under common investment management, limited partner, general partner, member or management company of such Investor (or any employee or representative of any of the foregoing) (each of the foregoing Persons, a “</w:t>
      </w:r>
      <w:r>
        <w:rPr>
          <w:rFonts w:ascii="Arial" w:cs="Arial" w:eastAsia="Arial" w:hAnsi="Arial"/>
          <w:sz w:val="18"/>
          <w:szCs w:val="18"/>
          <w:u w:val="single" w:color="auto"/>
          <w:color w:val="auto"/>
        </w:rPr>
        <w:t>Permitted Disclosee</w:t>
      </w:r>
      <w:r>
        <w:rPr>
          <w:rFonts w:ascii="Arial" w:cs="Arial" w:eastAsia="Arial" w:hAnsi="Arial"/>
          <w:sz w:val="18"/>
          <w:szCs w:val="18"/>
          <w:color w:val="auto"/>
        </w:rPr>
        <w:t xml:space="preserve">”) or legal counsel, accountants or representatives for such Investor. Furthermore, nothing contained herein shall prevent any Investor or any Permitted Disclosee from (i) entering into any business, entering into any agreement with a third party, or investing in or engaging in investment discussions with any other company (whether or not competitive with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Investor or Permitted Disclosee does not, except as permitted in accordance with this Section 2.8, disclose or otherwise make use of any proprietary or confidential information of the Company in connection with such activities, or (ii) making any disclosures required by law, rule, regulation or court or other governmental order.</w:t>
      </w:r>
    </w:p>
    <w:p>
      <w:pPr>
        <w:spacing w:after="0" w:line="99" w:lineRule="exact"/>
        <w:rPr>
          <w:sz w:val="20"/>
          <w:szCs w:val="20"/>
          <w:color w:val="auto"/>
        </w:rPr>
      </w:pPr>
    </w:p>
    <w:p>
      <w:pPr>
        <w:jc w:val="both"/>
        <w:ind w:right="220" w:firstLine="1169"/>
        <w:spacing w:after="0" w:line="267"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The Company shall use its commercially reasonable efforts to maintain from financially sound and reputable insurers, Directors and Officers liability insurance in an amount of at least three (3) million dollars on terms and conditions satisfactory to the Board of Directors, including the Preferred Directors, until such time as the Board of Directors, including the Preferred Directors, determines that such insurance should be discontinued.</w:t>
      </w:r>
    </w:p>
    <w:p>
      <w:pPr>
        <w:spacing w:after="0" w:line="99" w:lineRule="exact"/>
        <w:rPr>
          <w:sz w:val="20"/>
          <w:szCs w:val="20"/>
          <w:color w:val="auto"/>
        </w:rPr>
      </w:pPr>
    </w:p>
    <w:p>
      <w:pPr>
        <w:ind w:right="40" w:firstLine="1169"/>
        <w:spacing w:after="0" w:line="291"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u w:val="single" w:color="auto"/>
          <w:color w:val="auto"/>
        </w:rPr>
        <w:t>Qualified Small Business Stock</w:t>
      </w:r>
      <w:r>
        <w:rPr>
          <w:rFonts w:ascii="Arial" w:cs="Arial" w:eastAsia="Arial" w:hAnsi="Arial"/>
          <w:sz w:val="17"/>
          <w:szCs w:val="17"/>
          <w:color w:val="auto"/>
        </w:rPr>
        <w:t>. The Company shall use commercially reasonable efforts to cause the shares of Series C Preferred Stock issued pursuant to the Purchase Agreement, as well as any shares into which such shares are converted, within the meaning of Section 1202(f) of the Internal Revenue Code (the “</w:t>
      </w:r>
      <w:r>
        <w:rPr>
          <w:rFonts w:ascii="Arial" w:cs="Arial" w:eastAsia="Arial" w:hAnsi="Arial"/>
          <w:sz w:val="17"/>
          <w:szCs w:val="17"/>
          <w:u w:val="single" w:color="auto"/>
          <w:color w:val="auto"/>
        </w:rPr>
        <w:t>Code</w:t>
      </w:r>
      <w:r>
        <w:rPr>
          <w:rFonts w:ascii="Arial" w:cs="Arial" w:eastAsia="Arial" w:hAnsi="Arial"/>
          <w:sz w:val="17"/>
          <w:szCs w:val="17"/>
          <w:color w:val="auto"/>
        </w:rPr>
        <w:t>”), to constitute “qualified small business stock” as defined in Section 1202(c) of the Code; provided, however, that such requirement shall not be applicable if the Board of Directors of the Company determines, in its good-faith business judgment, that such qualification is inconsistent with the best interests of the Company. The Company shall submit to its stockholders (including the Investors) and to the Internal Revenue Service any reports that may be required under Section 1202(d)(1)(C) of the Code and the regulations promulgated thereunder. In addition, within twenty (20) business days after any Investor’s written request therefor, the Company shall, at its option, either (i) deliver to such Investor a written statement indicating whether (and what portion of) such Investor’s interest in the Company constitutes “qualified small business stock” as defined in Section 1202(c) of the Code or (ii)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w:t>
      </w:r>
    </w:p>
    <w:p>
      <w:pPr>
        <w:spacing w:after="0" w:line="84" w:lineRule="exact"/>
        <w:rPr>
          <w:sz w:val="20"/>
          <w:szCs w:val="20"/>
          <w:color w:val="auto"/>
        </w:rPr>
      </w:pPr>
    </w:p>
    <w:p>
      <w:pPr>
        <w:ind w:right="840" w:firstLine="1169"/>
        <w:spacing w:after="0" w:line="292"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b w:val="1"/>
          <w:bCs w:val="1"/>
          <w:u w:val="single" w:color="auto"/>
          <w:color w:val="auto"/>
        </w:rPr>
        <w:t>Employee Confidentiality</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will cause (i) each person now or hereafter employed by it or by any subsidiary (or engaged by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301" w:right="339" w:bottom="1440" w:gutter="0" w:footer="0" w:header="0"/>
        </w:sectPr>
      </w:pPr>
    </w:p>
    <w:bookmarkStart w:id="281" w:name="page282"/>
    <w:bookmarkEnd w:id="281"/>
    <w:p>
      <w:pPr>
        <w:spacing w:after="0" w:line="280" w:lineRule="auto"/>
        <w:rPr>
          <w:sz w:val="20"/>
          <w:szCs w:val="20"/>
          <w:color w:val="auto"/>
        </w:rPr>
      </w:pPr>
      <w:r>
        <w:rPr>
          <w:rFonts w:ascii="Arial" w:cs="Arial" w:eastAsia="Arial" w:hAnsi="Arial"/>
          <w:sz w:val="18"/>
          <w:szCs w:val="18"/>
          <w:color w:val="auto"/>
        </w:rPr>
        <w:t>as a consultant/independent contractor) with access to confidential information and/or trade secrets to enter into a nondisclosure and proprietary rights assignment agreement; and (ii) each Key Employee (as defined in the Purchase Agreement) to enter into a one (1) year nonsolicitation agreement substantially in the form approved by the Board of Directors. In addition, the Company shall not amend, modify, terminate, waive, or otherwise alter, in whole or in part, any of the above-referenced agreements or any restricted stock agreement between the Company and any employee, without the approval of the Board of Directors, including the Preferred Directors.</w:t>
      </w:r>
    </w:p>
    <w:p>
      <w:pPr>
        <w:spacing w:after="0" w:line="90" w:lineRule="exact"/>
        <w:rPr>
          <w:sz w:val="20"/>
          <w:szCs w:val="20"/>
          <w:color w:val="auto"/>
        </w:rPr>
      </w:pPr>
    </w:p>
    <w:p>
      <w:pPr>
        <w:ind w:right="340" w:firstLine="1169"/>
        <w:spacing w:after="0" w:line="267"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b w:val="1"/>
          <w:bCs w:val="1"/>
          <w:u w:val="single" w:color="auto"/>
          <w:color w:val="auto"/>
        </w:rPr>
        <w:t>Termination of Covenants</w:t>
      </w:r>
      <w:r>
        <w:rPr>
          <w:rFonts w:ascii="Arial" w:cs="Arial" w:eastAsia="Arial" w:hAnsi="Arial"/>
          <w:sz w:val="19"/>
          <w:szCs w:val="19"/>
          <w:b w:val="1"/>
          <w:bCs w:val="1"/>
          <w:color w:val="auto"/>
        </w:rPr>
        <w:t>.</w:t>
      </w:r>
      <w:r>
        <w:rPr>
          <w:rFonts w:ascii="Arial" w:cs="Arial" w:eastAsia="Arial" w:hAnsi="Arial"/>
          <w:sz w:val="19"/>
          <w:szCs w:val="19"/>
          <w:color w:val="auto"/>
        </w:rPr>
        <w:t xml:space="preserve"> The covenants set forth in this Section 2 shall terminate as to each Holder and be of no further force or effect, upon the earlier of: (a) a Liquidation Transaction (as defined in the Restated Certificate), (b) the Company becoming subject to the reporting provisions of the Securities Exchange Act of 1934, as amended, and (c) immediately prior to the consummation of a Qualified IPO.</w:t>
      </w:r>
    </w:p>
    <w:p>
      <w:pPr>
        <w:spacing w:after="0" w:line="99" w:lineRule="exact"/>
        <w:rPr>
          <w:sz w:val="20"/>
          <w:szCs w:val="20"/>
          <w:color w:val="auto"/>
        </w:rPr>
      </w:pPr>
    </w:p>
    <w:p>
      <w:pPr>
        <w:ind w:right="100" w:firstLine="1169"/>
        <w:spacing w:after="0" w:line="263"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b w:val="1"/>
          <w:bCs w:val="1"/>
          <w:u w:val="single" w:color="auto"/>
          <w:color w:val="auto"/>
        </w:rPr>
        <w:t>Successor Indemnification</w:t>
      </w:r>
      <w:r>
        <w:rPr>
          <w:rFonts w:ascii="Arial" w:cs="Arial" w:eastAsia="Arial" w:hAnsi="Arial"/>
          <w:sz w:val="19"/>
          <w:szCs w:val="19"/>
          <w:b w:val="1"/>
          <w:bCs w:val="1"/>
          <w:color w:val="auto"/>
        </w:rPr>
        <w:t>.</w:t>
      </w:r>
      <w:r>
        <w:rPr>
          <w:rFonts w:ascii="Arial" w:cs="Arial" w:eastAsia="Arial" w:hAnsi="Arial"/>
          <w:sz w:val="19"/>
          <w:szCs w:val="19"/>
          <w:color w:val="auto"/>
        </w:rPr>
        <w:t xml:space="preserve">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06" w:lineRule="exact"/>
        <w:rPr>
          <w:sz w:val="20"/>
          <w:szCs w:val="20"/>
          <w:color w:val="auto"/>
        </w:rPr>
      </w:pPr>
    </w:p>
    <w:p>
      <w:pPr>
        <w:ind w:right="140" w:firstLine="1169"/>
        <w:spacing w:after="0" w:line="272"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u w:val="single" w:color="auto"/>
          <w:color w:val="auto"/>
        </w:rPr>
        <w:t>Fund Indemnity</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hereby acknowledges that one (1) or more of the directors nominated to serve on the Board of Directors by the Investors (each a “</w:t>
      </w:r>
      <w:r>
        <w:rPr>
          <w:rFonts w:ascii="Arial" w:cs="Arial" w:eastAsia="Arial" w:hAnsi="Arial"/>
          <w:sz w:val="18"/>
          <w:szCs w:val="18"/>
          <w:u w:val="single" w:color="auto"/>
          <w:color w:val="auto"/>
        </w:rPr>
        <w:t>Fund Director</w:t>
      </w:r>
      <w:r>
        <w:rPr>
          <w:rFonts w:ascii="Arial" w:cs="Arial" w:eastAsia="Arial" w:hAnsi="Arial"/>
          <w:sz w:val="18"/>
          <w:szCs w:val="18"/>
          <w:color w:val="auto"/>
        </w:rPr>
        <w:t>”) may have certain rights to indemnification, advancement of expenses and/or insurance provided by one or more of the Investors and certain of their affiliates (collectively, the “</w:t>
      </w:r>
      <w:r>
        <w:rPr>
          <w:rFonts w:ascii="Arial" w:cs="Arial" w:eastAsia="Arial" w:hAnsi="Arial"/>
          <w:sz w:val="18"/>
          <w:szCs w:val="18"/>
          <w:u w:val="single" w:color="auto"/>
          <w:color w:val="auto"/>
        </w:rPr>
        <w:t>Fund Indemnitors</w:t>
      </w:r>
      <w:r>
        <w:rPr>
          <w:rFonts w:ascii="Arial" w:cs="Arial" w:eastAsia="Arial" w:hAnsi="Arial"/>
          <w:sz w:val="18"/>
          <w:szCs w:val="18"/>
          <w:color w:val="auto"/>
        </w:rPr>
        <w:t>”).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302" w:right="339" w:bottom="1440" w:gutter="0" w:footer="0" w:header="0"/>
        </w:sectPr>
      </w:pPr>
    </w:p>
    <w:bookmarkStart w:id="282" w:name="page283"/>
    <w:bookmarkEnd w:id="282"/>
    <w:p>
      <w:pPr>
        <w:ind w:left="920" w:hanging="338"/>
        <w:spacing w:after="0"/>
        <w:tabs>
          <w:tab w:leader="none" w:pos="920" w:val="left"/>
        </w:tabs>
        <w:numPr>
          <w:ilvl w:val="0"/>
          <w:numId w:val="167"/>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w:t>
      </w:r>
    </w:p>
    <w:p>
      <w:pPr>
        <w:spacing w:after="0" w:line="159" w:lineRule="exact"/>
        <w:rPr>
          <w:sz w:val="20"/>
          <w:szCs w:val="20"/>
          <w:color w:val="auto"/>
        </w:rPr>
      </w:pPr>
    </w:p>
    <w:p>
      <w:pPr>
        <w:ind w:right="240" w:firstLine="1169"/>
        <w:spacing w:after="0" w:line="273"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w:t>
      </w:r>
      <w:r>
        <w:rPr>
          <w:rFonts w:ascii="Arial" w:cs="Arial" w:eastAsia="Arial" w:hAnsi="Arial"/>
          <w:sz w:val="19"/>
          <w:szCs w:val="19"/>
          <w:color w:val="auto"/>
        </w:rPr>
        <w:t xml:space="preserve"> This Agreement constitutes the entire agreement between the parties hereto pertaining to the subject matter hereof, and any and all other written or oral agreements relating to the subject matter hereof existing between the parties hereto are expressly canceled.</w:t>
      </w:r>
    </w:p>
    <w:p>
      <w:pPr>
        <w:spacing w:after="0" w:line="95" w:lineRule="exact"/>
        <w:rPr>
          <w:sz w:val="20"/>
          <w:szCs w:val="20"/>
          <w:color w:val="auto"/>
        </w:rPr>
      </w:pPr>
    </w:p>
    <w:p>
      <w:pPr>
        <w:ind w:right="200" w:firstLine="1169"/>
        <w:spacing w:after="0" w:line="28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otherwise provided in this Agreement, the terms and conditions of this Agreement shall inure to the benefit of and be binding upon the respective permitted successors and assigns of the parties (including transferees of any of the Preferred Stock or any Common Stock issued upon conversion thereof).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91" w:lineRule="exact"/>
        <w:rPr>
          <w:sz w:val="20"/>
          <w:szCs w:val="20"/>
          <w:color w:val="auto"/>
        </w:rPr>
      </w:pPr>
    </w:p>
    <w:p>
      <w:pPr>
        <w:ind w:firstLine="1169"/>
        <w:spacing w:after="0" w:line="27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Amendments and Waivers</w:t>
      </w:r>
      <w:r>
        <w:rPr>
          <w:rFonts w:ascii="Arial" w:cs="Arial" w:eastAsia="Arial" w:hAnsi="Arial"/>
          <w:sz w:val="18"/>
          <w:szCs w:val="18"/>
          <w:b w:val="1"/>
          <w:bCs w:val="1"/>
          <w:color w:val="auto"/>
        </w:rPr>
        <w:t>.</w:t>
      </w:r>
      <w:r>
        <w:rPr>
          <w:rFonts w:ascii="Arial" w:cs="Arial" w:eastAsia="Arial" w:hAnsi="Arial"/>
          <w:sz w:val="18"/>
          <w:szCs w:val="18"/>
          <w:color w:val="auto"/>
        </w:rPr>
        <w:t xml:space="preserve"> Any term of this Agreement may be amended or waived only with the written consent of the Company and the holders of a majority of the Registrable Securities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amendment or waiver applies to Investors in the same fashion;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amendment or waiver of the rights granted to the Major Investors in Sections 2.1, 2.2. and 2.3 shall require the consent of a majority in interest of the Registrable Securities then held by the Major Investors,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amendment or waiver of the rights granted to the Major Investors in Section 2.3 and this proviso, shall require the consent of two-thirds-in-interest of the Registrable Securities then held by the Major Investors. Any amendment or waiver effected in accordance with this paragraph shall be binding upon each party to the Agreement, whether or not such party has signed such amendment or waiver, each future holder of all such Registrable Securities, and the Company.</w:t>
      </w:r>
    </w:p>
    <w:p>
      <w:pPr>
        <w:spacing w:after="0" w:line="93" w:lineRule="exact"/>
        <w:rPr>
          <w:sz w:val="20"/>
          <w:szCs w:val="20"/>
          <w:color w:val="auto"/>
        </w:rPr>
      </w:pPr>
    </w:p>
    <w:p>
      <w:pPr>
        <w:ind w:firstLine="1169"/>
        <w:spacing w:after="0" w:line="267"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w:t>
      </w:r>
      <w:r>
        <w:rPr>
          <w:rFonts w:ascii="Arial" w:cs="Arial" w:eastAsia="Arial" w:hAnsi="Arial"/>
          <w:sz w:val="19"/>
          <w:szCs w:val="19"/>
          <w:color w:val="auto"/>
        </w:rPr>
        <w:t xml:space="preserve"> Unless otherwise provided, any notice required or permitted by this Agreement shall be in writing and shall be deemed sufficient upon delivery, when delivered personally or by overnight courier or sent by facsimile, or 48 hours after being deposited in the U.S. mail, as certified or registered mail, with postage prepaid, and addressed to the party to be notified at such party’s address or facsimile number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or as subsequently modified by written notice.</w:t>
      </w:r>
    </w:p>
    <w:p>
      <w:pPr>
        <w:spacing w:after="0" w:line="99" w:lineRule="exact"/>
        <w:rPr>
          <w:sz w:val="20"/>
          <w:szCs w:val="20"/>
          <w:color w:val="auto"/>
        </w:rPr>
      </w:pPr>
    </w:p>
    <w:p>
      <w:pPr>
        <w:ind w:right="200" w:firstLine="1169"/>
        <w:spacing w:after="0" w:line="273"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w:t>
      </w:r>
      <w:r>
        <w:rPr>
          <w:rFonts w:ascii="Arial" w:cs="Arial" w:eastAsia="Arial" w:hAnsi="Arial"/>
          <w:sz w:val="19"/>
          <w:szCs w:val="19"/>
          <w:color w:val="auto"/>
        </w:rPr>
        <w:t xml:space="preserve"> If one or more provisions of this Agreement are held to be unenforceable under applicable law, such provision shall be excluded from this Agreement, the balance of the Agreement shall be interpreted as if such provision were so excluded and shall be enforceable in accordance with its terms.</w:t>
      </w:r>
    </w:p>
    <w:p>
      <w:pPr>
        <w:spacing w:after="0" w:line="95" w:lineRule="exact"/>
        <w:rPr>
          <w:sz w:val="20"/>
          <w:szCs w:val="20"/>
          <w:color w:val="auto"/>
        </w:rPr>
      </w:pPr>
    </w:p>
    <w:p>
      <w:pPr>
        <w:ind w:right="880" w:firstLine="1169"/>
        <w:spacing w:after="0" w:line="32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and all acts and transactions pursuant hereto shall be governed, construed and interpreted in accordance with the laws of the State of California, without giving effect to principles of conflicts of laws.</w:t>
      </w:r>
    </w:p>
    <w:p>
      <w:pPr>
        <w:spacing w:after="0" w:line="54" w:lineRule="exact"/>
        <w:rPr>
          <w:sz w:val="20"/>
          <w:szCs w:val="20"/>
          <w:color w:val="auto"/>
        </w:rPr>
      </w:pPr>
    </w:p>
    <w:p>
      <w:pPr>
        <w:ind w:right="140" w:firstLine="1169"/>
        <w:spacing w:after="0" w:line="292"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w:t>
      </w:r>
      <w:r>
        <w:rPr>
          <w:rFonts w:ascii="Arial" w:cs="Arial" w:eastAsia="Arial" w:hAnsi="Arial"/>
          <w:sz w:val="19"/>
          <w:szCs w:val="19"/>
          <w:color w:val="auto"/>
        </w:rPr>
        <w:t xml:space="preserve"> This Agreement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296" w:right="339" w:bottom="1440" w:gutter="0" w:footer="0" w:header="0"/>
        </w:sectPr>
      </w:pPr>
    </w:p>
    <w:bookmarkStart w:id="283" w:name="page284"/>
    <w:bookmarkEnd w:id="283"/>
    <w:p>
      <w:pPr>
        <w:ind w:right="600" w:firstLine="1169"/>
        <w:spacing w:after="0" w:line="292"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b w:val="1"/>
          <w:bCs w:val="1"/>
          <w:u w:val="single" w:color="auto"/>
          <w:color w:val="auto"/>
        </w:rPr>
        <w:t>Titles and Subtitles</w:t>
      </w:r>
      <w:r>
        <w:rPr>
          <w:rFonts w:ascii="Arial" w:cs="Arial" w:eastAsia="Arial" w:hAnsi="Arial"/>
          <w:sz w:val="19"/>
          <w:szCs w:val="19"/>
          <w:b w:val="1"/>
          <w:bCs w:val="1"/>
          <w:color w:val="auto"/>
        </w:rPr>
        <w:t>.</w:t>
      </w:r>
      <w:r>
        <w:rPr>
          <w:rFonts w:ascii="Arial" w:cs="Arial" w:eastAsia="Arial" w:hAnsi="Arial"/>
          <w:sz w:val="19"/>
          <w:szCs w:val="19"/>
          <w:color w:val="auto"/>
        </w:rPr>
        <w:t xml:space="preserve"> The titles and subtitles used in this Agreement are used for convenience only and are not to be considered in construing or interpreting this Agreement.</w:t>
      </w:r>
    </w:p>
    <w:p>
      <w:pPr>
        <w:spacing w:after="0" w:line="77" w:lineRule="exact"/>
        <w:rPr>
          <w:sz w:val="20"/>
          <w:szCs w:val="20"/>
          <w:color w:val="auto"/>
        </w:rPr>
      </w:pPr>
    </w:p>
    <w:p>
      <w:pPr>
        <w:ind w:right="620" w:firstLine="1169"/>
        <w:spacing w:after="0" w:line="292"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b w:val="1"/>
          <w:bCs w:val="1"/>
          <w:u w:val="single" w:color="auto"/>
          <w:color w:val="auto"/>
        </w:rPr>
        <w:t>Aggregation of Stock</w:t>
      </w:r>
      <w:r>
        <w:rPr>
          <w:rFonts w:ascii="Arial" w:cs="Arial" w:eastAsia="Arial" w:hAnsi="Arial"/>
          <w:sz w:val="19"/>
          <w:szCs w:val="19"/>
          <w:b w:val="1"/>
          <w:bCs w:val="1"/>
          <w:color w:val="auto"/>
        </w:rPr>
        <w:t>.</w:t>
      </w:r>
      <w:r>
        <w:rPr>
          <w:rFonts w:ascii="Arial" w:cs="Arial" w:eastAsia="Arial" w:hAnsi="Arial"/>
          <w:sz w:val="19"/>
          <w:szCs w:val="19"/>
          <w:color w:val="auto"/>
        </w:rPr>
        <w:t xml:space="preserve"> All shares of Registrable Securities held or acquired by affiliated entities or persons shall be aggregated together for the purpose of determining the availability of any rights under this Agreement.</w:t>
      </w:r>
    </w:p>
    <w:p>
      <w:pPr>
        <w:spacing w:after="0" w:line="77" w:lineRule="exact"/>
        <w:rPr>
          <w:sz w:val="20"/>
          <w:szCs w:val="20"/>
          <w:color w:val="auto"/>
        </w:rPr>
      </w:pPr>
    </w:p>
    <w:p>
      <w:pPr>
        <w:jc w:val="both"/>
        <w:ind w:firstLine="1169"/>
        <w:spacing w:after="0" w:line="273"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b w:val="1"/>
          <w:bCs w:val="1"/>
          <w:u w:val="single" w:color="auto"/>
          <w:color w:val="auto"/>
        </w:rPr>
        <w:t>Additional Investors</w:t>
      </w:r>
      <w:r>
        <w:rPr>
          <w:rFonts w:ascii="Arial" w:cs="Arial" w:eastAsia="Arial" w:hAnsi="Arial"/>
          <w:sz w:val="19"/>
          <w:szCs w:val="19"/>
          <w:color w:val="auto"/>
        </w:rPr>
        <w:t xml:space="preserve">. Notwithstanding Section 3.4, no consent shall be necessary to add additional Investors as signatories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Investors have purchased shares of the Company’s Series C Preferred Stock pursuant to the subsequent closing provisions of Section 1.2 of the Purchase Agreement.</w:t>
      </w:r>
    </w:p>
    <w:p>
      <w:pPr>
        <w:spacing w:after="0" w:line="95" w:lineRule="exact"/>
        <w:rPr>
          <w:sz w:val="20"/>
          <w:szCs w:val="20"/>
          <w:color w:val="auto"/>
        </w:rPr>
      </w:pPr>
    </w:p>
    <w:p>
      <w:pPr>
        <w:ind w:right="60" w:firstLine="1169"/>
        <w:spacing w:after="0" w:line="292"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b w:val="1"/>
          <w:bCs w:val="1"/>
          <w:u w:val="single" w:color="auto"/>
          <w:color w:val="auto"/>
        </w:rPr>
        <w:t>Termination of Prior Agreement</w:t>
      </w:r>
      <w:r>
        <w:rPr>
          <w:rFonts w:ascii="Arial" w:cs="Arial" w:eastAsia="Arial" w:hAnsi="Arial"/>
          <w:sz w:val="19"/>
          <w:szCs w:val="19"/>
          <w:b w:val="1"/>
          <w:bCs w:val="1"/>
          <w:color w:val="auto"/>
        </w:rPr>
        <w:t>.</w:t>
      </w:r>
      <w:r>
        <w:rPr>
          <w:rFonts w:ascii="Arial" w:cs="Arial" w:eastAsia="Arial" w:hAnsi="Arial"/>
          <w:sz w:val="19"/>
          <w:szCs w:val="19"/>
          <w:color w:val="auto"/>
        </w:rPr>
        <w:t xml:space="preserve"> Upon the effectiveness of this Agreement, the Prior Agreement shall terminate and be of no further force and effect, and shall be superseded and replaced in its entirety by this Agreement.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296" w:right="3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9"/>
          <w:szCs w:val="19"/>
          <w:color w:val="auto"/>
        </w:rPr>
        <w:t>The parties have executed this Amended and Restated Investors’ Rights Agreement as of the date first above written.</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EXPENSIFY,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0" w:type="dxa"/>
            <w:vAlign w:val="bottom"/>
          </w:tcPr>
          <w:p>
            <w:pPr>
              <w:spacing w:after="0"/>
              <w:rPr>
                <w:sz w:val="20"/>
                <w:szCs w:val="20"/>
                <w:color w:val="auto"/>
              </w:rPr>
            </w:pPr>
            <w:r>
              <w:rPr>
                <w:rFonts w:ascii="Arial" w:cs="Arial" w:eastAsia="Arial" w:hAnsi="Arial"/>
                <w:sz w:val="19"/>
                <w:szCs w:val="19"/>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Barrett</w:t>
            </w:r>
          </w:p>
        </w:tc>
      </w:tr>
      <w:tr>
        <w:trPr>
          <w:trHeight w:val="545"/>
        </w:trPr>
        <w:tc>
          <w:tcPr>
            <w:tcW w:w="920" w:type="dxa"/>
            <w:vAlign w:val="bottom"/>
          </w:tcPr>
          <w:p>
            <w:pPr>
              <w:spacing w:after="0"/>
              <w:rPr>
                <w:sz w:val="20"/>
                <w:szCs w:val="20"/>
                <w:color w:val="auto"/>
              </w:rPr>
            </w:pPr>
            <w:r>
              <w:rPr>
                <w:rFonts w:ascii="Arial" w:cs="Arial" w:eastAsia="Arial" w:hAnsi="Arial"/>
                <w:sz w:val="19"/>
                <w:szCs w:val="19"/>
                <w:color w:val="auto"/>
              </w:rPr>
              <w:t>Name:</w:t>
            </w:r>
          </w:p>
        </w:tc>
        <w:tc>
          <w:tcPr>
            <w:tcW w:w="4760" w:type="dxa"/>
            <w:vAlign w:val="bottom"/>
          </w:tcPr>
          <w:p>
            <w:pPr>
              <w:ind w:left="20"/>
              <w:spacing w:after="0"/>
              <w:rPr>
                <w:sz w:val="20"/>
                <w:szCs w:val="20"/>
                <w:color w:val="auto"/>
              </w:rPr>
            </w:pPr>
            <w:r>
              <w:rPr>
                <w:rFonts w:ascii="Arial" w:cs="Arial" w:eastAsia="Arial" w:hAnsi="Arial"/>
                <w:sz w:val="19"/>
                <w:szCs w:val="19"/>
                <w:color w:val="auto"/>
              </w:rPr>
              <w:t>David Barrett</w:t>
            </w:r>
          </w:p>
        </w:tc>
      </w:tr>
      <w:tr>
        <w:trPr>
          <w:trHeight w:val="670"/>
        </w:trPr>
        <w:tc>
          <w:tcPr>
            <w:tcW w:w="920" w:type="dxa"/>
            <w:vAlign w:val="bottom"/>
          </w:tcPr>
          <w:p>
            <w:pPr>
              <w:spacing w:after="0"/>
              <w:rPr>
                <w:sz w:val="20"/>
                <w:szCs w:val="20"/>
                <w:color w:val="auto"/>
              </w:rPr>
            </w:pPr>
            <w:r>
              <w:rPr>
                <w:rFonts w:ascii="Arial" w:cs="Arial" w:eastAsia="Arial" w:hAnsi="Arial"/>
                <w:sz w:val="19"/>
                <w:szCs w:val="19"/>
                <w:color w:val="auto"/>
              </w:rPr>
              <w:t>Title:</w:t>
            </w:r>
          </w:p>
        </w:tc>
        <w:tc>
          <w:tcPr>
            <w:tcW w:w="4760" w:type="dxa"/>
            <w:vAlign w:val="bottom"/>
          </w:tcPr>
          <w:p>
            <w:pPr>
              <w:ind w:left="20"/>
              <w:spacing w:after="0"/>
              <w:rPr>
                <w:sz w:val="20"/>
                <w:szCs w:val="20"/>
                <w:color w:val="auto"/>
              </w:rPr>
            </w:pPr>
            <w:r>
              <w:rPr>
                <w:rFonts w:ascii="Arial" w:cs="Arial" w:eastAsia="Arial" w:hAnsi="Arial"/>
                <w:sz w:val="19"/>
                <w:szCs w:val="19"/>
                <w:color w:val="auto"/>
              </w:rPr>
              <w:t>President and Chief Executive Officer</w:t>
            </w: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88 Kearny, #1600</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 94104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39"/>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939"/>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10280"/>
          </w:cols>
          <w:pgMar w:left="340" w:top="1302" w:right="1279" w:bottom="1440" w:gutter="0" w:footer="0" w:header="0"/>
        </w:sectPr>
      </w:pPr>
    </w:p>
    <w:bookmarkStart w:id="285" w:name="page286"/>
    <w:bookmarkEnd w:id="285"/>
    <w:p>
      <w:pPr>
        <w:ind w:left="40"/>
        <w:spacing w:after="0"/>
        <w:rPr>
          <w:sz w:val="20"/>
          <w:szCs w:val="20"/>
          <w:color w:val="auto"/>
        </w:rPr>
      </w:pPr>
      <w:r>
        <w:rPr>
          <w:rFonts w:ascii="Arial" w:cs="Arial" w:eastAsia="Arial" w:hAnsi="Arial"/>
          <w:sz w:val="19"/>
          <w:szCs w:val="19"/>
          <w:color w:val="auto"/>
        </w:rPr>
        <w:t>The parties have executed this Amended and Restated Investors’ Rights Agreement as of the date first above written.</w:t>
      </w:r>
    </w:p>
    <w:p>
      <w:pPr>
        <w:spacing w:after="0" w:line="202" w:lineRule="exact"/>
        <w:rPr>
          <w:sz w:val="20"/>
          <w:szCs w:val="20"/>
          <w:color w:val="auto"/>
        </w:rPr>
      </w:pPr>
    </w:p>
    <w:p>
      <w:pPr>
        <w:ind w:left="2520"/>
        <w:spacing w:after="0"/>
        <w:rPr>
          <w:sz w:val="20"/>
          <w:szCs w:val="20"/>
          <w:color w:val="auto"/>
        </w:rPr>
      </w:pPr>
      <w:r>
        <w:rPr>
          <w:rFonts w:ascii="Arial" w:cs="Arial" w:eastAsia="Arial" w:hAnsi="Arial"/>
          <w:sz w:val="19"/>
          <w:szCs w:val="19"/>
          <w:b w:val="1"/>
          <w:bCs w:val="1"/>
          <w:color w:val="auto"/>
        </w:rPr>
        <w:t>INVESTORS:</w:t>
      </w:r>
    </w:p>
    <w:p>
      <w:pPr>
        <w:spacing w:after="0" w:line="196"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OPENVIEW VENTURE PARTNERS IV, L.P.</w:t>
      </w:r>
    </w:p>
    <w:p>
      <w:pPr>
        <w:spacing w:after="0" w:line="202" w:lineRule="exact"/>
        <w:rPr>
          <w:sz w:val="20"/>
          <w:szCs w:val="20"/>
          <w:color w:val="auto"/>
        </w:rPr>
      </w:pPr>
    </w:p>
    <w:tbl>
      <w:tblPr>
        <w:tblLayout w:type="fixed"/>
        <w:tblInd w:w="3040" w:type="dxa"/>
        <w:tblCellMar>
          <w:top w:w="0" w:type="dxa"/>
          <w:left w:w="0" w:type="dxa"/>
          <w:bottom w:w="0" w:type="dxa"/>
          <w:right w:w="0" w:type="dxa"/>
        </w:tblCellMar>
      </w:tblPr>
      <w:tr>
        <w:trPr>
          <w:trHeight w:val="248"/>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5960" w:type="dxa"/>
            <w:vAlign w:val="bottom"/>
          </w:tcPr>
          <w:p>
            <w:pPr>
              <w:ind w:left="20"/>
              <w:spacing w:after="0"/>
              <w:rPr>
                <w:sz w:val="20"/>
                <w:szCs w:val="20"/>
                <w:color w:val="auto"/>
              </w:rPr>
            </w:pPr>
            <w:r>
              <w:rPr>
                <w:rFonts w:ascii="Arial" w:cs="Arial" w:eastAsia="Arial" w:hAnsi="Arial"/>
                <w:sz w:val="19"/>
                <w:szCs w:val="19"/>
                <w:color w:val="auto"/>
              </w:rPr>
              <w:t>OPENVIEW GENERAL PARTNER IV,</w:t>
            </w:r>
          </w:p>
        </w:tc>
      </w:tr>
      <w:tr>
        <w:trPr>
          <w:trHeight w:val="280"/>
        </w:trPr>
        <w:tc>
          <w:tcPr>
            <w:tcW w:w="7100" w:type="dxa"/>
            <w:vAlign w:val="bottom"/>
            <w:gridSpan w:val="2"/>
          </w:tcPr>
          <w:p>
            <w:pPr>
              <w:spacing w:after="0"/>
              <w:rPr>
                <w:sz w:val="20"/>
                <w:szCs w:val="20"/>
                <w:color w:val="auto"/>
              </w:rPr>
            </w:pPr>
            <w:r>
              <w:rPr>
                <w:rFonts w:ascii="Arial" w:cs="Arial" w:eastAsia="Arial" w:hAnsi="Arial"/>
                <w:sz w:val="19"/>
                <w:szCs w:val="19"/>
                <w:color w:val="auto"/>
              </w:rPr>
              <w:t>L.P., its general partner</w:t>
            </w:r>
          </w:p>
        </w:tc>
      </w:tr>
      <w:tr>
        <w:trPr>
          <w:trHeight w:val="414"/>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5960" w:type="dxa"/>
            <w:vAlign w:val="bottom"/>
          </w:tcPr>
          <w:p>
            <w:pPr>
              <w:ind w:left="20"/>
              <w:spacing w:after="0"/>
              <w:rPr>
                <w:sz w:val="20"/>
                <w:szCs w:val="20"/>
                <w:color w:val="auto"/>
              </w:rPr>
            </w:pPr>
            <w:r>
              <w:rPr>
                <w:rFonts w:ascii="Arial" w:cs="Arial" w:eastAsia="Arial" w:hAnsi="Arial"/>
                <w:sz w:val="19"/>
                <w:szCs w:val="19"/>
                <w:color w:val="auto"/>
              </w:rPr>
              <w:t>OPENVIEW MANAGEMENT, LLC, its</w:t>
            </w:r>
          </w:p>
        </w:tc>
      </w:tr>
      <w:tr>
        <w:trPr>
          <w:trHeight w:val="280"/>
        </w:trPr>
        <w:tc>
          <w:tcPr>
            <w:tcW w:w="7100" w:type="dxa"/>
            <w:vAlign w:val="bottom"/>
            <w:gridSpan w:val="2"/>
          </w:tcPr>
          <w:p>
            <w:pPr>
              <w:spacing w:after="0"/>
              <w:rPr>
                <w:sz w:val="20"/>
                <w:szCs w:val="20"/>
                <w:color w:val="auto"/>
              </w:rPr>
            </w:pPr>
            <w:r>
              <w:rPr>
                <w:rFonts w:ascii="Arial" w:cs="Arial" w:eastAsia="Arial" w:hAnsi="Arial"/>
                <w:sz w:val="19"/>
                <w:szCs w:val="19"/>
                <w:color w:val="auto"/>
              </w:rPr>
              <w:t>general partner</w:t>
            </w:r>
          </w:p>
        </w:tc>
      </w:tr>
      <w:tr>
        <w:trPr>
          <w:trHeight w:val="556"/>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Scott Maxwell</w:t>
            </w:r>
          </w:p>
        </w:tc>
      </w:tr>
      <w:tr>
        <w:trPr>
          <w:trHeight w:val="455"/>
        </w:trPr>
        <w:tc>
          <w:tcPr>
            <w:tcW w:w="1140" w:type="dxa"/>
            <w:vAlign w:val="bottom"/>
          </w:tcPr>
          <w:p>
            <w:pPr>
              <w:spacing w:after="0"/>
              <w:rPr>
                <w:sz w:val="20"/>
                <w:szCs w:val="20"/>
                <w:color w:val="auto"/>
              </w:rPr>
            </w:pPr>
            <w:r>
              <w:rPr>
                <w:rFonts w:ascii="Arial" w:cs="Arial" w:eastAsia="Arial" w:hAnsi="Arial"/>
                <w:sz w:val="19"/>
                <w:szCs w:val="19"/>
                <w:color w:val="auto"/>
              </w:rPr>
              <w:t>Name:</w:t>
            </w:r>
          </w:p>
        </w:tc>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Scott Maxwell</w:t>
            </w:r>
          </w:p>
        </w:tc>
      </w:tr>
      <w:tr>
        <w:trPr>
          <w:trHeight w:val="265"/>
        </w:trPr>
        <w:tc>
          <w:tcPr>
            <w:tcW w:w="1140" w:type="dxa"/>
            <w:vAlign w:val="bottom"/>
          </w:tcPr>
          <w:p>
            <w:pPr>
              <w:spacing w:after="0"/>
              <w:rPr>
                <w:sz w:val="23"/>
                <w:szCs w:val="23"/>
                <w:color w:val="auto"/>
              </w:rPr>
            </w:pPr>
          </w:p>
        </w:tc>
        <w:tc>
          <w:tcPr>
            <w:tcW w:w="5960" w:type="dxa"/>
            <w:vAlign w:val="bottom"/>
          </w:tcPr>
          <w:p>
            <w:pPr>
              <w:ind w:left="2740"/>
              <w:spacing w:after="0"/>
              <w:rPr>
                <w:sz w:val="20"/>
                <w:szCs w:val="20"/>
                <w:color w:val="auto"/>
              </w:rPr>
            </w:pPr>
            <w:r>
              <w:rPr>
                <w:rFonts w:ascii="Arial" w:cs="Arial" w:eastAsia="Arial" w:hAnsi="Arial"/>
                <w:sz w:val="19"/>
                <w:szCs w:val="19"/>
                <w:color w:val="auto"/>
              </w:rPr>
              <w:t>(print)</w:t>
            </w:r>
          </w:p>
        </w:tc>
      </w:tr>
      <w:tr>
        <w:trPr>
          <w:trHeight w:val="556"/>
        </w:trPr>
        <w:tc>
          <w:tcPr>
            <w:tcW w:w="1140" w:type="dxa"/>
            <w:vAlign w:val="bottom"/>
          </w:tcPr>
          <w:p>
            <w:pPr>
              <w:spacing w:after="0"/>
              <w:rPr>
                <w:sz w:val="20"/>
                <w:szCs w:val="20"/>
                <w:color w:val="auto"/>
              </w:rPr>
            </w:pPr>
            <w:r>
              <w:rPr>
                <w:rFonts w:ascii="Arial" w:cs="Arial" w:eastAsia="Arial" w:hAnsi="Arial"/>
                <w:sz w:val="19"/>
                <w:szCs w:val="19"/>
                <w:color w:val="auto"/>
              </w:rPr>
              <w:t>Title:</w:t>
            </w:r>
          </w:p>
        </w:tc>
        <w:tc>
          <w:tcPr>
            <w:tcW w:w="5960" w:type="dxa"/>
            <w:vAlign w:val="bottom"/>
            <w:tcBorders>
              <w:bottom w:val="single" w:sz="8" w:color="auto"/>
            </w:tcBorders>
          </w:tcPr>
          <w:p>
            <w:pPr>
              <w:spacing w:after="0"/>
              <w:rPr>
                <w:sz w:val="24"/>
                <w:szCs w:val="24"/>
                <w:color w:val="auto"/>
              </w:rPr>
            </w:pPr>
          </w:p>
        </w:tc>
      </w:tr>
      <w:tr>
        <w:trPr>
          <w:trHeight w:val="626"/>
        </w:trPr>
        <w:tc>
          <w:tcPr>
            <w:tcW w:w="1140" w:type="dxa"/>
            <w:vAlign w:val="bottom"/>
          </w:tcPr>
          <w:p>
            <w:pPr>
              <w:spacing w:after="0"/>
              <w:rPr>
                <w:sz w:val="20"/>
                <w:szCs w:val="20"/>
                <w:color w:val="auto"/>
              </w:rPr>
            </w:pPr>
            <w:r>
              <w:rPr>
                <w:rFonts w:ascii="Arial" w:cs="Arial" w:eastAsia="Arial" w:hAnsi="Arial"/>
                <w:sz w:val="19"/>
                <w:szCs w:val="19"/>
                <w:color w:val="auto"/>
              </w:rPr>
              <w:t>Address:</w:t>
            </w:r>
          </w:p>
        </w:tc>
        <w:tc>
          <w:tcPr>
            <w:tcW w:w="5960" w:type="dxa"/>
            <w:vAlign w:val="bottom"/>
          </w:tcPr>
          <w:p>
            <w:pPr>
              <w:ind w:left="20"/>
              <w:spacing w:after="0"/>
              <w:rPr>
                <w:sz w:val="20"/>
                <w:szCs w:val="20"/>
                <w:color w:val="auto"/>
              </w:rPr>
            </w:pPr>
            <w:r>
              <w:rPr>
                <w:rFonts w:ascii="Arial" w:cs="Arial" w:eastAsia="Arial" w:hAnsi="Arial"/>
                <w:sz w:val="19"/>
                <w:szCs w:val="19"/>
                <w:color w:val="auto"/>
              </w:rPr>
              <w:t>308 Congress Street, 7</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w:t>
            </w:r>
          </w:p>
        </w:tc>
      </w:tr>
      <w:tr>
        <w:trPr>
          <w:trHeight w:val="231"/>
        </w:trPr>
        <w:tc>
          <w:tcPr>
            <w:tcW w:w="114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Arial" w:cs="Arial" w:eastAsia="Arial" w:hAnsi="Arial"/>
                <w:sz w:val="19"/>
                <w:szCs w:val="19"/>
                <w:color w:val="auto"/>
              </w:rPr>
              <w:t>Boston, MA 02210</w:t>
            </w:r>
          </w:p>
        </w:tc>
      </w:tr>
      <w:tr>
        <w:trPr>
          <w:trHeight w:val="248"/>
        </w:trPr>
        <w:tc>
          <w:tcPr>
            <w:tcW w:w="1140" w:type="dxa"/>
            <w:vAlign w:val="bottom"/>
          </w:tcPr>
          <w:p>
            <w:pPr>
              <w:spacing w:after="0"/>
              <w:rPr>
                <w:sz w:val="21"/>
                <w:szCs w:val="21"/>
                <w:color w:val="auto"/>
              </w:rPr>
            </w:pPr>
          </w:p>
        </w:tc>
        <w:tc>
          <w:tcPr>
            <w:tcW w:w="5960" w:type="dxa"/>
            <w:vAlign w:val="bottom"/>
          </w:tcPr>
          <w:p>
            <w:pPr>
              <w:ind w:left="20"/>
              <w:spacing w:after="0"/>
              <w:rPr>
                <w:sz w:val="20"/>
                <w:szCs w:val="20"/>
                <w:color w:val="auto"/>
              </w:rPr>
            </w:pPr>
            <w:r>
              <w:rPr>
                <w:rFonts w:ascii="Arial" w:cs="Arial" w:eastAsia="Arial" w:hAnsi="Arial"/>
                <w:sz w:val="19"/>
                <w:szCs w:val="19"/>
                <w:color w:val="auto"/>
              </w:rPr>
              <w:t>Facsimile: (617) 478-7501</w:t>
            </w:r>
          </w:p>
        </w:tc>
      </w:tr>
      <w:tr>
        <w:trPr>
          <w:trHeight w:val="670"/>
        </w:trPr>
        <w:tc>
          <w:tcPr>
            <w:tcW w:w="7100" w:type="dxa"/>
            <w:vAlign w:val="bottom"/>
            <w:gridSpan w:val="2"/>
          </w:tcPr>
          <w:p>
            <w:pPr>
              <w:spacing w:after="0"/>
              <w:rPr>
                <w:sz w:val="20"/>
                <w:szCs w:val="20"/>
                <w:color w:val="auto"/>
              </w:rPr>
            </w:pPr>
            <w:r>
              <w:rPr>
                <w:rFonts w:ascii="Arial" w:cs="Arial" w:eastAsia="Arial" w:hAnsi="Arial"/>
                <w:sz w:val="19"/>
                <w:szCs w:val="19"/>
                <w:b w:val="1"/>
                <w:bCs w:val="1"/>
                <w:color w:val="auto"/>
              </w:rPr>
              <w:t>OPENVIEW AFFILIATES FUND IV, L.P.</w:t>
            </w:r>
          </w:p>
        </w:tc>
      </w:tr>
      <w:tr>
        <w:trPr>
          <w:trHeight w:val="548"/>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5960" w:type="dxa"/>
            <w:vAlign w:val="bottom"/>
          </w:tcPr>
          <w:p>
            <w:pPr>
              <w:ind w:left="20"/>
              <w:spacing w:after="0"/>
              <w:rPr>
                <w:sz w:val="20"/>
                <w:szCs w:val="20"/>
                <w:color w:val="auto"/>
              </w:rPr>
            </w:pPr>
            <w:r>
              <w:rPr>
                <w:rFonts w:ascii="Arial" w:cs="Arial" w:eastAsia="Arial" w:hAnsi="Arial"/>
                <w:sz w:val="19"/>
                <w:szCs w:val="19"/>
                <w:color w:val="auto"/>
              </w:rPr>
              <w:t>OPENVIEW GENERAL PARTNER IV,</w:t>
            </w:r>
          </w:p>
        </w:tc>
      </w:tr>
      <w:tr>
        <w:trPr>
          <w:trHeight w:val="280"/>
        </w:trPr>
        <w:tc>
          <w:tcPr>
            <w:tcW w:w="7100" w:type="dxa"/>
            <w:vAlign w:val="bottom"/>
            <w:gridSpan w:val="2"/>
          </w:tcPr>
          <w:p>
            <w:pPr>
              <w:spacing w:after="0"/>
              <w:rPr>
                <w:sz w:val="20"/>
                <w:szCs w:val="20"/>
                <w:color w:val="auto"/>
              </w:rPr>
            </w:pPr>
            <w:r>
              <w:rPr>
                <w:rFonts w:ascii="Arial" w:cs="Arial" w:eastAsia="Arial" w:hAnsi="Arial"/>
                <w:sz w:val="19"/>
                <w:szCs w:val="19"/>
                <w:color w:val="auto"/>
              </w:rPr>
              <w:t>L.P., its general partner</w:t>
            </w:r>
          </w:p>
        </w:tc>
      </w:tr>
      <w:tr>
        <w:trPr>
          <w:trHeight w:val="548"/>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5960" w:type="dxa"/>
            <w:vAlign w:val="bottom"/>
          </w:tcPr>
          <w:p>
            <w:pPr>
              <w:ind w:left="20"/>
              <w:spacing w:after="0"/>
              <w:rPr>
                <w:sz w:val="20"/>
                <w:szCs w:val="20"/>
                <w:color w:val="auto"/>
              </w:rPr>
            </w:pPr>
            <w:r>
              <w:rPr>
                <w:rFonts w:ascii="Arial" w:cs="Arial" w:eastAsia="Arial" w:hAnsi="Arial"/>
                <w:sz w:val="19"/>
                <w:szCs w:val="19"/>
                <w:color w:val="auto"/>
              </w:rPr>
              <w:t>OPENVIEW MANAGEMENT, LLC, its</w:t>
            </w:r>
          </w:p>
        </w:tc>
      </w:tr>
      <w:tr>
        <w:trPr>
          <w:trHeight w:val="280"/>
        </w:trPr>
        <w:tc>
          <w:tcPr>
            <w:tcW w:w="7100" w:type="dxa"/>
            <w:vAlign w:val="bottom"/>
            <w:gridSpan w:val="2"/>
          </w:tcPr>
          <w:p>
            <w:pPr>
              <w:spacing w:after="0"/>
              <w:rPr>
                <w:sz w:val="20"/>
                <w:szCs w:val="20"/>
                <w:color w:val="auto"/>
              </w:rPr>
            </w:pPr>
            <w:r>
              <w:rPr>
                <w:rFonts w:ascii="Arial" w:cs="Arial" w:eastAsia="Arial" w:hAnsi="Arial"/>
                <w:sz w:val="19"/>
                <w:szCs w:val="19"/>
                <w:color w:val="auto"/>
              </w:rPr>
              <w:t>general partner</w:t>
            </w:r>
          </w:p>
        </w:tc>
      </w:tr>
      <w:tr>
        <w:trPr>
          <w:trHeight w:val="556"/>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Scott Maxwell</w:t>
            </w:r>
          </w:p>
        </w:tc>
      </w:tr>
      <w:tr>
        <w:trPr>
          <w:trHeight w:val="504"/>
        </w:trPr>
        <w:tc>
          <w:tcPr>
            <w:tcW w:w="1140" w:type="dxa"/>
            <w:vAlign w:val="bottom"/>
          </w:tcPr>
          <w:p>
            <w:pPr>
              <w:spacing w:after="0"/>
              <w:rPr>
                <w:sz w:val="20"/>
                <w:szCs w:val="20"/>
                <w:color w:val="auto"/>
              </w:rPr>
            </w:pPr>
            <w:r>
              <w:rPr>
                <w:rFonts w:ascii="Arial" w:cs="Arial" w:eastAsia="Arial" w:hAnsi="Arial"/>
                <w:sz w:val="19"/>
                <w:szCs w:val="19"/>
                <w:color w:val="auto"/>
              </w:rPr>
              <w:t>Name:</w:t>
            </w:r>
          </w:p>
        </w:tc>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Scott Maxwell</w:t>
            </w:r>
          </w:p>
        </w:tc>
      </w:tr>
      <w:tr>
        <w:trPr>
          <w:trHeight w:val="265"/>
        </w:trPr>
        <w:tc>
          <w:tcPr>
            <w:tcW w:w="1140" w:type="dxa"/>
            <w:vAlign w:val="bottom"/>
          </w:tcPr>
          <w:p>
            <w:pPr>
              <w:spacing w:after="0"/>
              <w:rPr>
                <w:sz w:val="23"/>
                <w:szCs w:val="23"/>
                <w:color w:val="auto"/>
              </w:rPr>
            </w:pPr>
          </w:p>
        </w:tc>
        <w:tc>
          <w:tcPr>
            <w:tcW w:w="5960" w:type="dxa"/>
            <w:vAlign w:val="bottom"/>
          </w:tcPr>
          <w:p>
            <w:pPr>
              <w:ind w:left="2740"/>
              <w:spacing w:after="0"/>
              <w:rPr>
                <w:sz w:val="20"/>
                <w:szCs w:val="20"/>
                <w:color w:val="auto"/>
              </w:rPr>
            </w:pPr>
            <w:r>
              <w:rPr>
                <w:rFonts w:ascii="Arial" w:cs="Arial" w:eastAsia="Arial" w:hAnsi="Arial"/>
                <w:sz w:val="19"/>
                <w:szCs w:val="19"/>
                <w:color w:val="auto"/>
              </w:rPr>
              <w:t>(print)</w:t>
            </w:r>
          </w:p>
        </w:tc>
      </w:tr>
      <w:tr>
        <w:trPr>
          <w:trHeight w:val="422"/>
        </w:trPr>
        <w:tc>
          <w:tcPr>
            <w:tcW w:w="1140" w:type="dxa"/>
            <w:vAlign w:val="bottom"/>
          </w:tcPr>
          <w:p>
            <w:pPr>
              <w:spacing w:after="0"/>
              <w:rPr>
                <w:sz w:val="20"/>
                <w:szCs w:val="20"/>
                <w:color w:val="auto"/>
              </w:rPr>
            </w:pPr>
            <w:r>
              <w:rPr>
                <w:rFonts w:ascii="Arial" w:cs="Arial" w:eastAsia="Arial" w:hAnsi="Arial"/>
                <w:sz w:val="19"/>
                <w:szCs w:val="19"/>
                <w:color w:val="auto"/>
              </w:rPr>
              <w:t>Title:</w:t>
            </w:r>
          </w:p>
        </w:tc>
        <w:tc>
          <w:tcPr>
            <w:tcW w:w="5960" w:type="dxa"/>
            <w:vAlign w:val="bottom"/>
            <w:tcBorders>
              <w:bottom w:val="single" w:sz="8" w:color="auto"/>
            </w:tcBorders>
          </w:tcPr>
          <w:p>
            <w:pPr>
              <w:spacing w:after="0"/>
              <w:rPr>
                <w:sz w:val="24"/>
                <w:szCs w:val="24"/>
                <w:color w:val="auto"/>
              </w:rPr>
            </w:pPr>
          </w:p>
        </w:tc>
      </w:tr>
      <w:tr>
        <w:trPr>
          <w:trHeight w:val="431"/>
        </w:trPr>
        <w:tc>
          <w:tcPr>
            <w:tcW w:w="1140" w:type="dxa"/>
            <w:vAlign w:val="bottom"/>
          </w:tcPr>
          <w:p>
            <w:pPr>
              <w:spacing w:after="0"/>
              <w:rPr>
                <w:sz w:val="20"/>
                <w:szCs w:val="20"/>
                <w:color w:val="auto"/>
              </w:rPr>
            </w:pPr>
            <w:r>
              <w:rPr>
                <w:rFonts w:ascii="Arial" w:cs="Arial" w:eastAsia="Arial" w:hAnsi="Arial"/>
                <w:sz w:val="19"/>
                <w:szCs w:val="19"/>
                <w:color w:val="auto"/>
              </w:rPr>
              <w:t>Address:</w:t>
            </w:r>
          </w:p>
        </w:tc>
        <w:tc>
          <w:tcPr>
            <w:tcW w:w="5960" w:type="dxa"/>
            <w:vAlign w:val="bottom"/>
          </w:tcPr>
          <w:p>
            <w:pPr>
              <w:ind w:left="20"/>
              <w:spacing w:after="0"/>
              <w:rPr>
                <w:sz w:val="20"/>
                <w:szCs w:val="20"/>
                <w:color w:val="auto"/>
              </w:rPr>
            </w:pPr>
            <w:r>
              <w:rPr>
                <w:rFonts w:ascii="Arial" w:cs="Arial" w:eastAsia="Arial" w:hAnsi="Arial"/>
                <w:sz w:val="19"/>
                <w:szCs w:val="19"/>
                <w:color w:val="auto"/>
              </w:rPr>
              <w:t>308 Congress Street, 7</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w:t>
            </w:r>
          </w:p>
        </w:tc>
      </w:tr>
      <w:tr>
        <w:trPr>
          <w:trHeight w:val="231"/>
        </w:trPr>
        <w:tc>
          <w:tcPr>
            <w:tcW w:w="114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Arial" w:cs="Arial" w:eastAsia="Arial" w:hAnsi="Arial"/>
                <w:sz w:val="19"/>
                <w:szCs w:val="19"/>
                <w:color w:val="auto"/>
              </w:rPr>
              <w:t>Boston, MA 02210</w:t>
            </w:r>
          </w:p>
        </w:tc>
      </w:tr>
      <w:tr>
        <w:trPr>
          <w:trHeight w:val="248"/>
        </w:trPr>
        <w:tc>
          <w:tcPr>
            <w:tcW w:w="1140" w:type="dxa"/>
            <w:vAlign w:val="bottom"/>
          </w:tcPr>
          <w:p>
            <w:pPr>
              <w:spacing w:after="0"/>
              <w:rPr>
                <w:sz w:val="21"/>
                <w:szCs w:val="21"/>
                <w:color w:val="auto"/>
              </w:rPr>
            </w:pPr>
          </w:p>
        </w:tc>
        <w:tc>
          <w:tcPr>
            <w:tcW w:w="5960" w:type="dxa"/>
            <w:vAlign w:val="bottom"/>
          </w:tcPr>
          <w:p>
            <w:pPr>
              <w:ind w:left="420"/>
              <w:spacing w:after="0"/>
              <w:rPr>
                <w:sz w:val="20"/>
                <w:szCs w:val="20"/>
                <w:color w:val="auto"/>
              </w:rPr>
            </w:pPr>
            <w:r>
              <w:rPr>
                <w:rFonts w:ascii="Arial" w:cs="Arial" w:eastAsia="Arial" w:hAnsi="Arial"/>
                <w:sz w:val="19"/>
                <w:szCs w:val="19"/>
                <w:color w:val="auto"/>
              </w:rPr>
              <w:t>Facsimile: (617) 478-7501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10140"/>
          </w:cols>
          <w:pgMar w:left="1440" w:top="1302" w:right="31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t>The parties have executed this Amended and Restated Investors’ Rights Agreement as of the date first above written.</w:t>
      </w:r>
    </w:p>
    <w:p>
      <w:pPr>
        <w:spacing w:after="0" w:line="213" w:lineRule="exact"/>
        <w:rPr>
          <w:sz w:val="20"/>
          <w:szCs w:val="20"/>
          <w:color w:val="auto"/>
        </w:rPr>
      </w:pPr>
    </w:p>
    <w:p>
      <w:pPr>
        <w:ind w:left="4600"/>
        <w:spacing w:after="0"/>
        <w:rPr>
          <w:sz w:val="20"/>
          <w:szCs w:val="20"/>
          <w:color w:val="auto"/>
        </w:rPr>
      </w:pPr>
      <w:r>
        <w:rPr>
          <w:rFonts w:ascii="Arial" w:cs="Arial" w:eastAsia="Arial" w:hAnsi="Arial"/>
          <w:sz w:val="19"/>
          <w:szCs w:val="19"/>
          <w:b w:val="1"/>
          <w:bCs w:val="1"/>
          <w:color w:val="auto"/>
        </w:rPr>
        <w:t>INVESTORS:</w:t>
      </w:r>
    </w:p>
    <w:p>
      <w:pPr>
        <w:spacing w:after="0" w:line="360"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Redpoint Ventures IV, L.P., by its General Partner</w:t>
      </w:r>
    </w:p>
    <w:p>
      <w:pPr>
        <w:spacing w:after="0" w:line="62"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Redpoint Ventures IV, LLC</w:t>
      </w:r>
    </w:p>
    <w:p>
      <w:pPr>
        <w:spacing w:after="0" w:line="200" w:lineRule="exact"/>
        <w:rPr>
          <w:sz w:val="20"/>
          <w:szCs w:val="20"/>
          <w:color w:val="auto"/>
        </w:rPr>
      </w:pPr>
    </w:p>
    <w:p>
      <w:pPr>
        <w:spacing w:after="0" w:line="300"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Redpoint Associates IV, LLC, as nominee</w:t>
      </w:r>
    </w:p>
    <w:p>
      <w:pPr>
        <w:spacing w:after="0" w:line="200" w:lineRule="exact"/>
        <w:rPr>
          <w:sz w:val="20"/>
          <w:szCs w:val="20"/>
          <w:color w:val="auto"/>
        </w:rPr>
      </w:pPr>
    </w:p>
    <w:p>
      <w:pPr>
        <w:spacing w:after="0" w:line="251" w:lineRule="exact"/>
        <w:rPr>
          <w:sz w:val="20"/>
          <w:szCs w:val="20"/>
          <w:color w:val="auto"/>
        </w:rPr>
      </w:pPr>
    </w:p>
    <w:tbl>
      <w:tblPr>
        <w:tblLayout w:type="fixed"/>
        <w:tblInd w:w="4600" w:type="dxa"/>
        <w:tblCellMar>
          <w:top w:w="0" w:type="dxa"/>
          <w:left w:w="0" w:type="dxa"/>
          <w:bottom w:w="0" w:type="dxa"/>
          <w:right w:w="0" w:type="dxa"/>
        </w:tblCellMar>
      </w:tblPr>
      <w:tr>
        <w:trPr>
          <w:trHeight w:val="255"/>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Timothy Haley</w:t>
            </w:r>
          </w:p>
        </w:tc>
      </w:tr>
      <w:tr>
        <w:trPr>
          <w:trHeight w:val="650"/>
        </w:trPr>
        <w:tc>
          <w:tcPr>
            <w:tcW w:w="1140" w:type="dxa"/>
            <w:vAlign w:val="bottom"/>
          </w:tcPr>
          <w:p>
            <w:pPr>
              <w:spacing w:after="0"/>
              <w:rPr>
                <w:sz w:val="20"/>
                <w:szCs w:val="20"/>
                <w:color w:val="auto"/>
              </w:rPr>
            </w:pPr>
            <w:r>
              <w:rPr>
                <w:rFonts w:ascii="Arial" w:cs="Arial" w:eastAsia="Arial" w:hAnsi="Arial"/>
                <w:sz w:val="19"/>
                <w:szCs w:val="19"/>
                <w:color w:val="auto"/>
              </w:rPr>
              <w:t>Name:</w:t>
            </w:r>
          </w:p>
        </w:tc>
        <w:tc>
          <w:tcPr>
            <w:tcW w:w="37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Timothy Haley</w:t>
            </w:r>
          </w:p>
        </w:tc>
      </w:tr>
      <w:tr>
        <w:trPr>
          <w:trHeight w:val="650"/>
        </w:trPr>
        <w:tc>
          <w:tcPr>
            <w:tcW w:w="1140" w:type="dxa"/>
            <w:vAlign w:val="bottom"/>
          </w:tcPr>
          <w:p>
            <w:pPr>
              <w:spacing w:after="0"/>
              <w:rPr>
                <w:sz w:val="20"/>
                <w:szCs w:val="20"/>
                <w:color w:val="auto"/>
              </w:rPr>
            </w:pPr>
            <w:r>
              <w:rPr>
                <w:rFonts w:ascii="Arial" w:cs="Arial" w:eastAsia="Arial" w:hAnsi="Arial"/>
                <w:sz w:val="19"/>
                <w:szCs w:val="19"/>
                <w:color w:val="auto"/>
              </w:rPr>
              <w:t>Title:</w:t>
            </w:r>
          </w:p>
        </w:tc>
        <w:tc>
          <w:tcPr>
            <w:tcW w:w="37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Managing Director</w:t>
            </w:r>
          </w:p>
        </w:tc>
      </w:tr>
    </w:tbl>
    <w:p>
      <w:pPr>
        <w:spacing w:after="0" w:line="395"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Address:</w:t>
      </w:r>
    </w:p>
    <w:p>
      <w:pPr>
        <w:spacing w:after="0" w:line="62"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3000 Sand Hill Road</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Menlo Park, CA 94025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10139"/>
          </w:cols>
          <w:pgMar w:left="320" w:top="1302" w:right="1440" w:bottom="1440" w:gutter="0" w:footer="0" w:header="0"/>
        </w:sectPr>
      </w:pPr>
    </w:p>
    <w:bookmarkStart w:id="287" w:name="page288"/>
    <w:bookmarkEnd w:id="287"/>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ectPr>
          <w:pgSz w:w="11900" w:h="16838" w:orient="portrait"/>
          <w:cols w:equalWidth="0" w:num="1">
            <w:col w:w="9180"/>
          </w:cols>
          <w:pgMar w:left="1440" w:top="1302" w:right="1279" w:bottom="1440" w:gutter="0" w:footer="0" w:header="0"/>
        </w:sectPr>
      </w:pP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9"/>
          <w:szCs w:val="19"/>
          <w:b w:val="1"/>
          <w:bCs w:val="1"/>
          <w:color w:val="auto"/>
        </w:rPr>
        <w:t>INVESTORS:</w:t>
      </w:r>
    </w:p>
    <w:p>
      <w:pPr>
        <w:spacing w:after="0" w:line="354" w:lineRule="exact"/>
        <w:rPr>
          <w:sz w:val="20"/>
          <w:szCs w:val="20"/>
          <w:color w:val="auto"/>
        </w:rPr>
      </w:pPr>
    </w:p>
    <w:p>
      <w:pPr>
        <w:ind w:left="2360"/>
        <w:spacing w:after="0"/>
        <w:rPr>
          <w:sz w:val="20"/>
          <w:szCs w:val="20"/>
          <w:color w:val="auto"/>
        </w:rPr>
      </w:pPr>
      <w:r>
        <w:rPr>
          <w:rFonts w:ascii="Arial" w:cs="Arial" w:eastAsia="Arial" w:hAnsi="Arial"/>
          <w:sz w:val="19"/>
          <w:szCs w:val="19"/>
          <w:b w:val="1"/>
          <w:bCs w:val="1"/>
          <w:color w:val="auto"/>
        </w:rPr>
        <w:t>ARBA CAPITAL LLC, A CALIFORNIA</w:t>
      </w:r>
    </w:p>
    <w:p>
      <w:pPr>
        <w:spacing w:after="0" w:line="35" w:lineRule="exact"/>
        <w:rPr>
          <w:sz w:val="20"/>
          <w:szCs w:val="20"/>
          <w:color w:val="auto"/>
        </w:rPr>
      </w:pPr>
    </w:p>
    <w:p>
      <w:pPr>
        <w:ind w:left="2360"/>
        <w:spacing w:after="0"/>
        <w:rPr>
          <w:sz w:val="20"/>
          <w:szCs w:val="20"/>
          <w:color w:val="auto"/>
        </w:rPr>
      </w:pPr>
      <w:r>
        <w:rPr>
          <w:rFonts w:ascii="Arial" w:cs="Arial" w:eastAsia="Arial" w:hAnsi="Arial"/>
          <w:sz w:val="19"/>
          <w:szCs w:val="19"/>
          <w:b w:val="1"/>
          <w:bCs w:val="1"/>
          <w:color w:val="auto"/>
        </w:rPr>
        <w:t>LIMITED LIABILITY COMPANY</w:t>
      </w:r>
    </w:p>
    <w:p>
      <w:pPr>
        <w:spacing w:after="0" w:line="314" w:lineRule="exact"/>
        <w:rPr>
          <w:sz w:val="20"/>
          <w:szCs w:val="20"/>
          <w:color w:val="auto"/>
        </w:rPr>
      </w:pPr>
    </w:p>
    <w:tbl>
      <w:tblPr>
        <w:tblLayout w:type="fixed"/>
        <w:tblInd w:w="2360" w:type="dxa"/>
        <w:tblCellMar>
          <w:top w:w="0" w:type="dxa"/>
          <w:left w:w="0" w:type="dxa"/>
          <w:bottom w:w="0" w:type="dxa"/>
          <w:right w:w="0" w:type="dxa"/>
        </w:tblCellMar>
      </w:tblPr>
      <w:tr>
        <w:trPr>
          <w:trHeight w:val="248"/>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4580" w:type="dxa"/>
            <w:vAlign w:val="bottom"/>
          </w:tcPr>
          <w:p>
            <w:pPr>
              <w:ind w:left="20"/>
              <w:spacing w:after="0"/>
              <w:rPr>
                <w:sz w:val="20"/>
                <w:szCs w:val="20"/>
                <w:color w:val="auto"/>
              </w:rPr>
            </w:pPr>
            <w:r>
              <w:rPr>
                <w:rFonts w:ascii="Arial" w:cs="Arial" w:eastAsia="Arial" w:hAnsi="Arial"/>
                <w:sz w:val="19"/>
                <w:szCs w:val="19"/>
                <w:color w:val="auto"/>
              </w:rPr>
              <w:t>FBH Associates, LLC,</w:t>
            </w:r>
          </w:p>
        </w:tc>
      </w:tr>
      <w:tr>
        <w:trPr>
          <w:trHeight w:val="264"/>
        </w:trPr>
        <w:tc>
          <w:tcPr>
            <w:tcW w:w="5720" w:type="dxa"/>
            <w:vAlign w:val="bottom"/>
            <w:gridSpan w:val="2"/>
          </w:tcPr>
          <w:p>
            <w:pPr>
              <w:spacing w:after="0"/>
              <w:rPr>
                <w:sz w:val="20"/>
                <w:szCs w:val="20"/>
                <w:color w:val="auto"/>
              </w:rPr>
            </w:pPr>
            <w:r>
              <w:rPr>
                <w:rFonts w:ascii="Arial" w:cs="Arial" w:eastAsia="Arial" w:hAnsi="Arial"/>
                <w:sz w:val="19"/>
                <w:szCs w:val="19"/>
                <w:color w:val="auto"/>
              </w:rPr>
              <w:t>A California limited liability company,</w:t>
            </w:r>
          </w:p>
        </w:tc>
      </w:tr>
      <w:tr>
        <w:trPr>
          <w:trHeight w:val="248"/>
        </w:trPr>
        <w:tc>
          <w:tcPr>
            <w:tcW w:w="1140" w:type="dxa"/>
            <w:vAlign w:val="bottom"/>
          </w:tcPr>
          <w:p>
            <w:pPr>
              <w:spacing w:after="0"/>
              <w:rPr>
                <w:sz w:val="20"/>
                <w:szCs w:val="20"/>
                <w:color w:val="auto"/>
              </w:rPr>
            </w:pPr>
            <w:r>
              <w:rPr>
                <w:rFonts w:ascii="Arial" w:cs="Arial" w:eastAsia="Arial" w:hAnsi="Arial"/>
                <w:sz w:val="19"/>
                <w:szCs w:val="19"/>
                <w:color w:val="auto"/>
              </w:rPr>
              <w:t>Manager</w:t>
            </w:r>
          </w:p>
        </w:tc>
        <w:tc>
          <w:tcPr>
            <w:tcW w:w="4580" w:type="dxa"/>
            <w:vAlign w:val="bottom"/>
          </w:tcPr>
          <w:p>
            <w:pPr>
              <w:spacing w:after="0"/>
              <w:rPr>
                <w:sz w:val="21"/>
                <w:szCs w:val="21"/>
                <w:color w:val="auto"/>
              </w:rPr>
            </w:pPr>
          </w:p>
        </w:tc>
      </w:tr>
      <w:tr>
        <w:trPr>
          <w:trHeight w:val="580"/>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James G.B. DeMartini, III</w:t>
            </w:r>
          </w:p>
        </w:tc>
      </w:tr>
      <w:tr>
        <w:trPr>
          <w:trHeight w:val="504"/>
        </w:trPr>
        <w:tc>
          <w:tcPr>
            <w:tcW w:w="1140" w:type="dxa"/>
            <w:vAlign w:val="bottom"/>
          </w:tcPr>
          <w:p>
            <w:pPr>
              <w:spacing w:after="0"/>
              <w:rPr>
                <w:sz w:val="20"/>
                <w:szCs w:val="20"/>
                <w:color w:val="auto"/>
              </w:rPr>
            </w:pPr>
            <w:r>
              <w:rPr>
                <w:rFonts w:ascii="Arial" w:cs="Arial" w:eastAsia="Arial" w:hAnsi="Arial"/>
                <w:sz w:val="19"/>
                <w:szCs w:val="19"/>
                <w:color w:val="auto"/>
              </w:rPr>
              <w:t>Address:</w:t>
            </w:r>
          </w:p>
        </w:tc>
        <w:tc>
          <w:tcPr>
            <w:tcW w:w="4580" w:type="dxa"/>
            <w:vAlign w:val="bottom"/>
          </w:tcPr>
          <w:p>
            <w:pPr>
              <w:ind w:left="20"/>
              <w:spacing w:after="0"/>
              <w:rPr>
                <w:sz w:val="20"/>
                <w:szCs w:val="20"/>
                <w:color w:val="auto"/>
              </w:rPr>
            </w:pPr>
            <w:r>
              <w:rPr>
                <w:rFonts w:ascii="Arial" w:cs="Arial" w:eastAsia="Arial" w:hAnsi="Arial"/>
                <w:sz w:val="19"/>
                <w:szCs w:val="19"/>
                <w:color w:val="auto"/>
              </w:rPr>
              <w:t>C/O Seiler LLP</w:t>
            </w:r>
          </w:p>
        </w:tc>
      </w:tr>
      <w:tr>
        <w:trPr>
          <w:trHeight w:val="248"/>
        </w:trPr>
        <w:tc>
          <w:tcPr>
            <w:tcW w:w="1140" w:type="dxa"/>
            <w:vAlign w:val="bottom"/>
          </w:tcPr>
          <w:p>
            <w:pPr>
              <w:spacing w:after="0"/>
              <w:rPr>
                <w:sz w:val="21"/>
                <w:szCs w:val="21"/>
                <w:color w:val="auto"/>
              </w:rPr>
            </w:pPr>
          </w:p>
        </w:tc>
        <w:tc>
          <w:tcPr>
            <w:tcW w:w="4580" w:type="dxa"/>
            <w:vAlign w:val="bottom"/>
          </w:tcPr>
          <w:p>
            <w:pPr>
              <w:ind w:left="20"/>
              <w:spacing w:after="0"/>
              <w:rPr>
                <w:sz w:val="20"/>
                <w:szCs w:val="20"/>
                <w:color w:val="auto"/>
              </w:rPr>
            </w:pPr>
            <w:r>
              <w:rPr>
                <w:rFonts w:ascii="Arial" w:cs="Arial" w:eastAsia="Arial" w:hAnsi="Arial"/>
                <w:sz w:val="19"/>
                <w:szCs w:val="19"/>
                <w:color w:val="auto"/>
                <w:w w:val="99"/>
              </w:rPr>
              <w:t>Three Lagoon Dr. Suite 400, Redwood City, CA 94065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2" w:right="1279" w:bottom="1440" w:gutter="0" w:footer="0" w:header="0"/>
          <w:type w:val="continuous"/>
        </w:sectPr>
      </w:pPr>
    </w:p>
    <w:bookmarkStart w:id="288" w:name="page289"/>
    <w:bookmarkEnd w:id="288"/>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ectPr>
          <w:pgSz w:w="11900" w:h="16838" w:orient="portrait"/>
          <w:cols w:equalWidth="0" w:num="1">
            <w:col w:w="9180"/>
          </w:cols>
          <w:pgMar w:left="1440" w:top="1302" w:right="1279" w:bottom="1440" w:gutter="0" w:footer="0" w:header="0"/>
        </w:sectPr>
      </w:pP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9"/>
          <w:szCs w:val="19"/>
          <w:b w:val="1"/>
          <w:bCs w:val="1"/>
          <w:color w:val="auto"/>
        </w:rPr>
        <w:t>INVESTORS:</w:t>
      </w: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Baseline 2008 Seed Fund, LLC</w:t>
      </w:r>
    </w:p>
    <w:p>
      <w:pPr>
        <w:spacing w:after="0" w:line="200" w:lineRule="exact"/>
        <w:rPr>
          <w:sz w:val="20"/>
          <w:szCs w:val="20"/>
          <w:color w:val="auto"/>
        </w:rPr>
      </w:pPr>
    </w:p>
    <w:p>
      <w:pPr>
        <w:spacing w:after="0" w:line="306" w:lineRule="exact"/>
        <w:rPr>
          <w:sz w:val="20"/>
          <w:szCs w:val="20"/>
          <w:color w:val="auto"/>
        </w:rPr>
      </w:pPr>
    </w:p>
    <w:p>
      <w:pPr>
        <w:ind w:left="3360"/>
        <w:spacing w:after="0"/>
        <w:tabs>
          <w:tab w:leader="none" w:pos="44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Steve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27940</wp:posOffset>
            </wp:positionV>
            <wp:extent cx="286893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68930" cy="7620"/>
                    </a:xfrm>
                    <a:prstGeom prst="rect">
                      <a:avLst/>
                    </a:prstGeom>
                    <a:noFill/>
                  </pic:spPr>
                </pic:pic>
              </a:graphicData>
            </a:graphic>
          </wp:anchor>
        </w:drawing>
      </w:r>
    </w:p>
    <w:p>
      <w:pPr>
        <w:spacing w:after="0" w:line="54"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Steven Anderson</w:t>
      </w:r>
    </w:p>
    <w:p>
      <w:pPr>
        <w:spacing w:after="0" w:line="29"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Managing Member</w:t>
      </w:r>
    </w:p>
    <w:p>
      <w:pPr>
        <w:spacing w:after="0" w:line="314"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Address:</w:t>
      </w:r>
    </w:p>
    <w:p>
      <w:pPr>
        <w:spacing w:after="0" w:line="62"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1800 Filbert Street</w:t>
      </w:r>
    </w:p>
    <w:p>
      <w:pPr>
        <w:spacing w:after="0" w:line="29"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San Francisco, CA 94123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2" w:right="1279" w:bottom="1440" w:gutter="0" w:footer="0" w:header="0"/>
          <w:type w:val="continuous"/>
        </w:sectPr>
      </w:pPr>
    </w:p>
    <w:bookmarkStart w:id="289" w:name="page290"/>
    <w:bookmarkEnd w:id="289"/>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9"/>
          <w:szCs w:val="19"/>
          <w:b w:val="1"/>
          <w:bCs w:val="1"/>
          <w:color w:val="auto"/>
        </w:rPr>
        <w:t>INVESTORS:</w:t>
      </w:r>
    </w:p>
    <w:p>
      <w:pPr>
        <w:spacing w:after="0" w:line="200" w:lineRule="exact"/>
        <w:rPr>
          <w:sz w:val="20"/>
          <w:szCs w:val="20"/>
          <w:color w:val="auto"/>
        </w:rPr>
      </w:pPr>
    </w:p>
    <w:p>
      <w:pPr>
        <w:spacing w:after="0" w:line="300" w:lineRule="exact"/>
        <w:rPr>
          <w:sz w:val="20"/>
          <w:szCs w:val="20"/>
          <w:color w:val="auto"/>
        </w:rPr>
      </w:pPr>
    </w:p>
    <w:p>
      <w:pPr>
        <w:ind w:left="4540"/>
        <w:spacing w:after="0"/>
        <w:rPr>
          <w:sz w:val="20"/>
          <w:szCs w:val="20"/>
          <w:color w:val="auto"/>
        </w:rPr>
      </w:pPr>
      <w:r>
        <w:rPr>
          <w:rFonts w:ascii="Arial" w:cs="Arial" w:eastAsia="Arial" w:hAnsi="Arial"/>
          <w:sz w:val="19"/>
          <w:szCs w:val="19"/>
          <w:b w:val="1"/>
          <w:bCs w:val="1"/>
          <w:color w:val="auto"/>
        </w:rPr>
        <w:t>Travis Kalanick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464820</wp:posOffset>
            </wp:positionV>
            <wp:extent cx="356489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648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(Signature)</w:t>
      </w:r>
    </w:p>
    <w:p>
      <w:pPr>
        <w:spacing w:after="0" w:line="200" w:lineRule="exact"/>
        <w:rPr>
          <w:sz w:val="20"/>
          <w:szCs w:val="20"/>
          <w:color w:val="auto"/>
        </w:rPr>
      </w:pPr>
    </w:p>
    <w:p>
      <w:pPr>
        <w:spacing w:after="0" w:line="251"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337185</wp:posOffset>
            </wp:positionV>
            <wp:extent cx="283019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30195" cy="762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182880</wp:posOffset>
            </wp:positionV>
            <wp:extent cx="283019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301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2" w:right="1279" w:bottom="1440" w:gutter="0" w:footer="0" w:header="0"/>
        </w:sectPr>
      </w:pPr>
    </w:p>
    <w:bookmarkStart w:id="290" w:name="page291"/>
    <w:bookmarkEnd w:id="290"/>
    <w:p>
      <w:pPr>
        <w:ind w:left="40"/>
        <w:spacing w:after="0"/>
        <w:rPr>
          <w:sz w:val="20"/>
          <w:szCs w:val="20"/>
          <w:color w:val="auto"/>
        </w:rPr>
      </w:pPr>
      <w:r>
        <w:rPr>
          <w:rFonts w:ascii="Arial" w:cs="Arial" w:eastAsia="Arial" w:hAnsi="Arial"/>
          <w:sz w:val="18"/>
          <w:szCs w:val="18"/>
          <w:color w:val="auto"/>
        </w:rPr>
        <w:t>The parties have executed this Amended and Restated Investors’ Rights Agreement as of the date first above written.</w:t>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INVESTORS:</w:t>
      </w:r>
    </w:p>
    <w:p>
      <w:pPr>
        <w:spacing w:after="0" w:line="330"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POINT JUDITH VENTURE FUND III, L.P.</w:t>
      </w:r>
    </w:p>
    <w:p>
      <w:pPr>
        <w:spacing w:after="0" w:line="336" w:lineRule="exact"/>
        <w:rPr>
          <w:sz w:val="20"/>
          <w:szCs w:val="20"/>
          <w:color w:val="auto"/>
        </w:rPr>
      </w:pPr>
    </w:p>
    <w:p>
      <w:pPr>
        <w:ind w:left="3440"/>
        <w:spacing w:after="0"/>
        <w:tabs>
          <w:tab w:leader="none" w:pos="3980" w:val="left"/>
        </w:tabs>
        <w:rPr>
          <w:sz w:val="20"/>
          <w:szCs w:val="20"/>
          <w:color w:val="auto"/>
        </w:rPr>
      </w:pPr>
      <w:r>
        <w:rPr>
          <w:rFonts w:ascii="Arial" w:cs="Arial" w:eastAsia="Arial" w:hAnsi="Arial"/>
          <w:sz w:val="19"/>
          <w:szCs w:val="19"/>
          <w:color w:val="auto"/>
        </w:rPr>
        <w:t>By:</w:t>
        <w:tab/>
        <w:t>Point Judith Capital Partners III, LLC</w:t>
      </w:r>
    </w:p>
    <w:p>
      <w:pPr>
        <w:spacing w:after="0" w:line="62" w:lineRule="exact"/>
        <w:rPr>
          <w:sz w:val="20"/>
          <w:szCs w:val="20"/>
          <w:color w:val="auto"/>
        </w:rPr>
      </w:pPr>
    </w:p>
    <w:p>
      <w:pPr>
        <w:ind w:left="3440"/>
        <w:spacing w:after="0"/>
        <w:tabs>
          <w:tab w:leader="none" w:pos="398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General Partner</w:t>
      </w:r>
    </w:p>
    <w:p>
      <w:pPr>
        <w:spacing w:after="0" w:line="330" w:lineRule="exact"/>
        <w:rPr>
          <w:sz w:val="20"/>
          <w:szCs w:val="20"/>
          <w:color w:val="auto"/>
        </w:rPr>
      </w:pPr>
    </w:p>
    <w:p>
      <w:pPr>
        <w:ind w:left="4000"/>
        <w:spacing w:after="0"/>
        <w:tabs>
          <w:tab w:leader="none" w:pos="4540" w:val="left"/>
        </w:tabs>
        <w:rPr>
          <w:sz w:val="20"/>
          <w:szCs w:val="20"/>
          <w:color w:val="auto"/>
        </w:rPr>
      </w:pPr>
      <w:r>
        <w:rPr>
          <w:rFonts w:ascii="Arial" w:cs="Arial" w:eastAsia="Arial" w:hAnsi="Arial"/>
          <w:sz w:val="19"/>
          <w:szCs w:val="19"/>
          <w:color w:val="auto"/>
        </w:rPr>
        <w:t>By:</w:t>
        <w:tab/>
        <w:t>Point Judith Management Company III, LLC</w:t>
      </w:r>
    </w:p>
    <w:p>
      <w:pPr>
        <w:spacing w:after="0" w:line="62" w:lineRule="exact"/>
        <w:rPr>
          <w:sz w:val="20"/>
          <w:szCs w:val="20"/>
          <w:color w:val="auto"/>
        </w:rPr>
      </w:pPr>
    </w:p>
    <w:p>
      <w:pPr>
        <w:ind w:left="4000"/>
        <w:spacing w:after="0"/>
        <w:tabs>
          <w:tab w:leader="none" w:pos="454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Manager</w:t>
      </w:r>
    </w:p>
    <w:p>
      <w:pPr>
        <w:spacing w:after="0" w:line="330" w:lineRule="exact"/>
        <w:rPr>
          <w:sz w:val="20"/>
          <w:szCs w:val="20"/>
          <w:color w:val="auto"/>
        </w:rPr>
      </w:pPr>
    </w:p>
    <w:tbl>
      <w:tblPr>
        <w:tblLayout w:type="fixed"/>
        <w:tblInd w:w="4560" w:type="dxa"/>
        <w:tblCellMar>
          <w:top w:w="0" w:type="dxa"/>
          <w:left w:w="0" w:type="dxa"/>
          <w:bottom w:w="0" w:type="dxa"/>
          <w:right w:w="0" w:type="dxa"/>
        </w:tblCellMar>
      </w:tblPr>
      <w:tr>
        <w:trPr>
          <w:trHeight w:val="255"/>
        </w:trPr>
        <w:tc>
          <w:tcPr>
            <w:tcW w:w="1100" w:type="dxa"/>
            <w:vAlign w:val="bottom"/>
          </w:tcPr>
          <w:p>
            <w:pPr>
              <w:spacing w:after="0"/>
              <w:rPr>
                <w:sz w:val="20"/>
                <w:szCs w:val="20"/>
                <w:color w:val="auto"/>
              </w:rPr>
            </w:pPr>
            <w:r>
              <w:rPr>
                <w:rFonts w:ascii="Arial" w:cs="Arial" w:eastAsia="Arial" w:hAnsi="Arial"/>
                <w:sz w:val="19"/>
                <w:szCs w:val="19"/>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J. Martirano</w:t>
            </w:r>
          </w:p>
        </w:tc>
      </w:tr>
      <w:tr>
        <w:trPr>
          <w:trHeight w:val="265"/>
        </w:trPr>
        <w:tc>
          <w:tcPr>
            <w:tcW w:w="1100" w:type="dxa"/>
            <w:vAlign w:val="bottom"/>
          </w:tcPr>
          <w:p>
            <w:pPr>
              <w:spacing w:after="0"/>
              <w:rPr>
                <w:sz w:val="20"/>
                <w:szCs w:val="20"/>
                <w:color w:val="auto"/>
              </w:rPr>
            </w:pPr>
            <w:r>
              <w:rPr>
                <w:rFonts w:ascii="Arial" w:cs="Arial" w:eastAsia="Arial" w:hAnsi="Arial"/>
                <w:sz w:val="19"/>
                <w:szCs w:val="19"/>
                <w:color w:val="auto"/>
              </w:rPr>
              <w:t>Name:</w:t>
            </w:r>
          </w:p>
        </w:tc>
        <w:tc>
          <w:tcPr>
            <w:tcW w:w="4020" w:type="dxa"/>
            <w:vAlign w:val="bottom"/>
          </w:tcPr>
          <w:p>
            <w:pPr>
              <w:ind w:left="20"/>
              <w:spacing w:after="0"/>
              <w:rPr>
                <w:sz w:val="20"/>
                <w:szCs w:val="20"/>
                <w:color w:val="auto"/>
              </w:rPr>
            </w:pPr>
            <w:r>
              <w:rPr>
                <w:rFonts w:ascii="Arial" w:cs="Arial" w:eastAsia="Arial" w:hAnsi="Arial"/>
                <w:sz w:val="19"/>
                <w:szCs w:val="19"/>
                <w:color w:val="auto"/>
              </w:rPr>
              <w:t>David J. Martirano</w:t>
            </w:r>
          </w:p>
        </w:tc>
      </w:tr>
      <w:tr>
        <w:trPr>
          <w:trHeight w:val="280"/>
        </w:trPr>
        <w:tc>
          <w:tcPr>
            <w:tcW w:w="1100" w:type="dxa"/>
            <w:vAlign w:val="bottom"/>
          </w:tcPr>
          <w:p>
            <w:pPr>
              <w:spacing w:after="0"/>
              <w:rPr>
                <w:sz w:val="20"/>
                <w:szCs w:val="20"/>
                <w:color w:val="auto"/>
              </w:rPr>
            </w:pPr>
            <w:r>
              <w:rPr>
                <w:rFonts w:ascii="Arial" w:cs="Arial" w:eastAsia="Arial" w:hAnsi="Arial"/>
                <w:sz w:val="19"/>
                <w:szCs w:val="19"/>
                <w:color w:val="auto"/>
              </w:rPr>
              <w:t>Title:</w:t>
            </w:r>
          </w:p>
        </w:tc>
        <w:tc>
          <w:tcPr>
            <w:tcW w:w="4020" w:type="dxa"/>
            <w:vAlign w:val="bottom"/>
          </w:tcPr>
          <w:p>
            <w:pPr>
              <w:ind w:left="20"/>
              <w:spacing w:after="0"/>
              <w:rPr>
                <w:sz w:val="20"/>
                <w:szCs w:val="20"/>
                <w:color w:val="auto"/>
              </w:rPr>
            </w:pPr>
            <w:r>
              <w:rPr>
                <w:rFonts w:ascii="Arial" w:cs="Arial" w:eastAsia="Arial" w:hAnsi="Arial"/>
                <w:sz w:val="19"/>
                <w:szCs w:val="19"/>
                <w:color w:val="auto"/>
              </w:rPr>
              <w:t>Manager</w:t>
            </w:r>
          </w:p>
        </w:tc>
      </w:tr>
    </w:tbl>
    <w:p>
      <w:pPr>
        <w:spacing w:after="0" w:line="294"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POINT JUDITH VENTURE FUND III (Q.P.), L.P.</w:t>
      </w:r>
    </w:p>
    <w:p>
      <w:pPr>
        <w:spacing w:after="0" w:line="336" w:lineRule="exact"/>
        <w:rPr>
          <w:sz w:val="20"/>
          <w:szCs w:val="20"/>
          <w:color w:val="auto"/>
        </w:rPr>
      </w:pPr>
    </w:p>
    <w:p>
      <w:pPr>
        <w:ind w:left="3440"/>
        <w:spacing w:after="0"/>
        <w:tabs>
          <w:tab w:leader="none" w:pos="3980" w:val="left"/>
        </w:tabs>
        <w:rPr>
          <w:sz w:val="20"/>
          <w:szCs w:val="20"/>
          <w:color w:val="auto"/>
        </w:rPr>
      </w:pPr>
      <w:r>
        <w:rPr>
          <w:rFonts w:ascii="Arial" w:cs="Arial" w:eastAsia="Arial" w:hAnsi="Arial"/>
          <w:sz w:val="19"/>
          <w:szCs w:val="19"/>
          <w:color w:val="auto"/>
        </w:rPr>
        <w:t>By:</w:t>
        <w:tab/>
        <w:t>Point Judith Capital Partners III, LLC</w:t>
      </w:r>
    </w:p>
    <w:p>
      <w:pPr>
        <w:spacing w:after="0" w:line="62" w:lineRule="exact"/>
        <w:rPr>
          <w:sz w:val="20"/>
          <w:szCs w:val="20"/>
          <w:color w:val="auto"/>
        </w:rPr>
      </w:pPr>
    </w:p>
    <w:p>
      <w:pPr>
        <w:ind w:left="3440"/>
        <w:spacing w:after="0"/>
        <w:tabs>
          <w:tab w:leader="none" w:pos="398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General Partner</w:t>
      </w:r>
    </w:p>
    <w:p>
      <w:pPr>
        <w:spacing w:after="0" w:line="330" w:lineRule="exact"/>
        <w:rPr>
          <w:sz w:val="20"/>
          <w:szCs w:val="20"/>
          <w:color w:val="auto"/>
        </w:rPr>
      </w:pPr>
    </w:p>
    <w:p>
      <w:pPr>
        <w:ind w:left="4000"/>
        <w:spacing w:after="0"/>
        <w:tabs>
          <w:tab w:leader="none" w:pos="4540" w:val="left"/>
        </w:tabs>
        <w:rPr>
          <w:sz w:val="20"/>
          <w:szCs w:val="20"/>
          <w:color w:val="auto"/>
        </w:rPr>
      </w:pPr>
      <w:r>
        <w:rPr>
          <w:rFonts w:ascii="Arial" w:cs="Arial" w:eastAsia="Arial" w:hAnsi="Arial"/>
          <w:sz w:val="19"/>
          <w:szCs w:val="19"/>
          <w:color w:val="auto"/>
        </w:rPr>
        <w:t>By:</w:t>
        <w:tab/>
        <w:t>Point Judith Management Company III, LLC</w:t>
      </w:r>
    </w:p>
    <w:p>
      <w:pPr>
        <w:spacing w:after="0" w:line="62" w:lineRule="exact"/>
        <w:rPr>
          <w:sz w:val="20"/>
          <w:szCs w:val="20"/>
          <w:color w:val="auto"/>
        </w:rPr>
      </w:pPr>
    </w:p>
    <w:p>
      <w:pPr>
        <w:ind w:left="4000"/>
        <w:spacing w:after="0"/>
        <w:tabs>
          <w:tab w:leader="none" w:pos="454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39" w:lineRule="exact"/>
        <w:rPr>
          <w:sz w:val="20"/>
          <w:szCs w:val="20"/>
          <w:color w:val="auto"/>
        </w:rPr>
      </w:pPr>
    </w:p>
    <w:tbl>
      <w:tblPr>
        <w:tblLayout w:type="fixed"/>
        <w:tblInd w:w="4560" w:type="dxa"/>
        <w:tblCellMar>
          <w:top w:w="0" w:type="dxa"/>
          <w:left w:w="0" w:type="dxa"/>
          <w:bottom w:w="0" w:type="dxa"/>
          <w:right w:w="0" w:type="dxa"/>
        </w:tblCellMar>
      </w:tblPr>
      <w:tr>
        <w:trPr>
          <w:trHeight w:val="255"/>
        </w:trPr>
        <w:tc>
          <w:tcPr>
            <w:tcW w:w="1100" w:type="dxa"/>
            <w:vAlign w:val="bottom"/>
          </w:tcPr>
          <w:p>
            <w:pPr>
              <w:spacing w:after="0"/>
              <w:rPr>
                <w:sz w:val="20"/>
                <w:szCs w:val="20"/>
                <w:color w:val="auto"/>
              </w:rPr>
            </w:pPr>
            <w:r>
              <w:rPr>
                <w:rFonts w:ascii="Arial" w:cs="Arial" w:eastAsia="Arial" w:hAnsi="Arial"/>
                <w:sz w:val="19"/>
                <w:szCs w:val="19"/>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J. Martirano</w:t>
            </w:r>
          </w:p>
        </w:tc>
      </w:tr>
      <w:tr>
        <w:trPr>
          <w:trHeight w:val="265"/>
        </w:trPr>
        <w:tc>
          <w:tcPr>
            <w:tcW w:w="1100" w:type="dxa"/>
            <w:vAlign w:val="bottom"/>
          </w:tcPr>
          <w:p>
            <w:pPr>
              <w:spacing w:after="0"/>
              <w:rPr>
                <w:sz w:val="20"/>
                <w:szCs w:val="20"/>
                <w:color w:val="auto"/>
              </w:rPr>
            </w:pPr>
            <w:r>
              <w:rPr>
                <w:rFonts w:ascii="Arial" w:cs="Arial" w:eastAsia="Arial" w:hAnsi="Arial"/>
                <w:sz w:val="19"/>
                <w:szCs w:val="19"/>
                <w:color w:val="auto"/>
              </w:rPr>
              <w:t>Name:</w:t>
            </w:r>
          </w:p>
        </w:tc>
        <w:tc>
          <w:tcPr>
            <w:tcW w:w="4020" w:type="dxa"/>
            <w:vAlign w:val="bottom"/>
          </w:tcPr>
          <w:p>
            <w:pPr>
              <w:ind w:left="20"/>
              <w:spacing w:after="0"/>
              <w:rPr>
                <w:sz w:val="20"/>
                <w:szCs w:val="20"/>
                <w:color w:val="auto"/>
              </w:rPr>
            </w:pPr>
            <w:r>
              <w:rPr>
                <w:rFonts w:ascii="Arial" w:cs="Arial" w:eastAsia="Arial" w:hAnsi="Arial"/>
                <w:sz w:val="19"/>
                <w:szCs w:val="19"/>
                <w:color w:val="auto"/>
              </w:rPr>
              <w:t>David J. Martirano</w:t>
            </w:r>
          </w:p>
        </w:tc>
      </w:tr>
      <w:tr>
        <w:trPr>
          <w:trHeight w:val="280"/>
        </w:trPr>
        <w:tc>
          <w:tcPr>
            <w:tcW w:w="1100" w:type="dxa"/>
            <w:vAlign w:val="bottom"/>
          </w:tcPr>
          <w:p>
            <w:pPr>
              <w:spacing w:after="0"/>
              <w:rPr>
                <w:sz w:val="20"/>
                <w:szCs w:val="20"/>
                <w:color w:val="auto"/>
              </w:rPr>
            </w:pPr>
            <w:r>
              <w:rPr>
                <w:rFonts w:ascii="Arial" w:cs="Arial" w:eastAsia="Arial" w:hAnsi="Arial"/>
                <w:sz w:val="19"/>
                <w:szCs w:val="19"/>
                <w:color w:val="auto"/>
              </w:rPr>
              <w:t>Title:</w:t>
            </w:r>
          </w:p>
        </w:tc>
        <w:tc>
          <w:tcPr>
            <w:tcW w:w="4020" w:type="dxa"/>
            <w:vAlign w:val="bottom"/>
          </w:tcPr>
          <w:p>
            <w:pPr>
              <w:ind w:left="20"/>
              <w:spacing w:after="0"/>
              <w:rPr>
                <w:sz w:val="20"/>
                <w:szCs w:val="20"/>
                <w:color w:val="auto"/>
              </w:rPr>
            </w:pPr>
            <w:r>
              <w:rPr>
                <w:rFonts w:ascii="Arial" w:cs="Arial" w:eastAsia="Arial" w:hAnsi="Arial"/>
                <w:sz w:val="19"/>
                <w:szCs w:val="19"/>
                <w:color w:val="auto"/>
              </w:rPr>
              <w:t>Manager</w:t>
            </w:r>
          </w:p>
        </w:tc>
      </w:tr>
    </w:tbl>
    <w:p>
      <w:pPr>
        <w:spacing w:after="0" w:line="300"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680"/>
          </w:cols>
          <w:pgMar w:left="1440" w:top="1302" w:right="779" w:bottom="1440" w:gutter="0" w:footer="0" w:header="0"/>
        </w:sectPr>
      </w:pPr>
    </w:p>
    <w:bookmarkStart w:id="291" w:name="page292"/>
    <w:bookmarkEnd w:id="291"/>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ectPr>
          <w:pgSz w:w="11900" w:h="16838" w:orient="portrait"/>
          <w:cols w:equalWidth="0" w:num="1">
            <w:col w:w="9180"/>
          </w:cols>
          <w:pgMar w:left="1440" w:top="1301" w:right="1279" w:bottom="1440" w:gutter="0" w:footer="0" w:header="0"/>
        </w:sectPr>
      </w:pP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INVESTORS:</w:t>
      </w:r>
    </w:p>
    <w:p>
      <w:pPr>
        <w:spacing w:after="0" w:line="330"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COYOTE RIDGE PARTNERS, LLC</w:t>
      </w:r>
    </w:p>
    <w:p>
      <w:pPr>
        <w:spacing w:after="0" w:line="336" w:lineRule="exact"/>
        <w:rPr>
          <w:sz w:val="20"/>
          <w:szCs w:val="20"/>
          <w:color w:val="auto"/>
        </w:rPr>
      </w:pPr>
    </w:p>
    <w:tbl>
      <w:tblPr>
        <w:tblLayout w:type="fixed"/>
        <w:tblInd w:w="3440" w:type="dxa"/>
        <w:tblCellMar>
          <w:top w:w="0" w:type="dxa"/>
          <w:left w:w="0" w:type="dxa"/>
          <w:bottom w:w="0" w:type="dxa"/>
          <w:right w:w="0" w:type="dxa"/>
        </w:tblCellMar>
      </w:tblPr>
      <w:tr>
        <w:trPr>
          <w:trHeight w:val="255"/>
        </w:trPr>
        <w:tc>
          <w:tcPr>
            <w:tcW w:w="940" w:type="dxa"/>
            <w:vAlign w:val="bottom"/>
          </w:tcPr>
          <w:p>
            <w:pPr>
              <w:spacing w:after="0"/>
              <w:rPr>
                <w:sz w:val="20"/>
                <w:szCs w:val="20"/>
                <w:color w:val="auto"/>
              </w:rPr>
            </w:pPr>
            <w:r>
              <w:rPr>
                <w:rFonts w:ascii="Arial" w:cs="Arial" w:eastAsia="Arial" w:hAnsi="Arial"/>
                <w:sz w:val="19"/>
                <w:szCs w:val="19"/>
                <w:color w:val="auto"/>
              </w:rPr>
              <w:t>By:</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Ronald F. Gong</w:t>
            </w:r>
          </w:p>
        </w:tc>
      </w:tr>
      <w:tr>
        <w:trPr>
          <w:trHeight w:val="528"/>
        </w:trPr>
        <w:tc>
          <w:tcPr>
            <w:tcW w:w="940" w:type="dxa"/>
            <w:vAlign w:val="bottom"/>
          </w:tcPr>
          <w:p>
            <w:pPr>
              <w:spacing w:after="0"/>
              <w:rPr>
                <w:sz w:val="20"/>
                <w:szCs w:val="20"/>
                <w:color w:val="auto"/>
              </w:rPr>
            </w:pPr>
            <w:r>
              <w:rPr>
                <w:rFonts w:ascii="Arial" w:cs="Arial" w:eastAsia="Arial" w:hAnsi="Arial"/>
                <w:sz w:val="19"/>
                <w:szCs w:val="19"/>
                <w:color w:val="auto"/>
              </w:rPr>
              <w:t>Name:</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Ronald F. Gong</w:t>
            </w:r>
          </w:p>
        </w:tc>
      </w:tr>
      <w:tr>
        <w:trPr>
          <w:trHeight w:val="528"/>
        </w:trPr>
        <w:tc>
          <w:tcPr>
            <w:tcW w:w="940" w:type="dxa"/>
            <w:vAlign w:val="bottom"/>
          </w:tcPr>
          <w:p>
            <w:pPr>
              <w:spacing w:after="0"/>
              <w:rPr>
                <w:sz w:val="20"/>
                <w:szCs w:val="20"/>
                <w:color w:val="auto"/>
              </w:rPr>
            </w:pPr>
            <w:r>
              <w:rPr>
                <w:rFonts w:ascii="Arial" w:cs="Arial" w:eastAsia="Arial" w:hAnsi="Arial"/>
                <w:sz w:val="19"/>
                <w:szCs w:val="19"/>
                <w:color w:val="auto"/>
              </w:rPr>
              <w:t>Title:</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Manager</w:t>
            </w:r>
          </w:p>
        </w:tc>
      </w:tr>
      <w:tr>
        <w:trPr>
          <w:trHeight w:val="504"/>
        </w:trPr>
        <w:tc>
          <w:tcPr>
            <w:tcW w:w="940" w:type="dxa"/>
            <w:vAlign w:val="bottom"/>
          </w:tcPr>
          <w:p>
            <w:pPr>
              <w:spacing w:after="0"/>
              <w:rPr>
                <w:sz w:val="20"/>
                <w:szCs w:val="20"/>
                <w:color w:val="auto"/>
              </w:rPr>
            </w:pPr>
            <w:r>
              <w:rPr>
                <w:rFonts w:ascii="Arial" w:cs="Arial" w:eastAsia="Arial" w:hAnsi="Arial"/>
                <w:sz w:val="19"/>
                <w:szCs w:val="19"/>
                <w:color w:val="auto"/>
              </w:rPr>
              <w:t>Address:</w:t>
            </w:r>
          </w:p>
        </w:tc>
        <w:tc>
          <w:tcPr>
            <w:tcW w:w="3360" w:type="dxa"/>
            <w:vAlign w:val="bottom"/>
          </w:tcPr>
          <w:p>
            <w:pPr>
              <w:ind w:left="500"/>
              <w:spacing w:after="0"/>
              <w:rPr>
                <w:sz w:val="20"/>
                <w:szCs w:val="20"/>
                <w:color w:val="auto"/>
              </w:rPr>
            </w:pPr>
            <w:r>
              <w:rPr>
                <w:rFonts w:ascii="Arial" w:cs="Arial" w:eastAsia="Arial" w:hAnsi="Arial"/>
                <w:sz w:val="19"/>
                <w:szCs w:val="19"/>
                <w:color w:val="auto"/>
              </w:rPr>
              <w:t>2200 Geng Rd, Ste 100</w:t>
            </w:r>
          </w:p>
        </w:tc>
      </w:tr>
      <w:tr>
        <w:trPr>
          <w:trHeight w:val="248"/>
        </w:trPr>
        <w:tc>
          <w:tcPr>
            <w:tcW w:w="940" w:type="dxa"/>
            <w:vAlign w:val="bottom"/>
          </w:tcPr>
          <w:p>
            <w:pPr>
              <w:spacing w:after="0"/>
              <w:rPr>
                <w:sz w:val="21"/>
                <w:szCs w:val="21"/>
                <w:color w:val="auto"/>
              </w:rPr>
            </w:pPr>
          </w:p>
        </w:tc>
        <w:tc>
          <w:tcPr>
            <w:tcW w:w="3360" w:type="dxa"/>
            <w:vAlign w:val="bottom"/>
          </w:tcPr>
          <w:p>
            <w:pPr>
              <w:ind w:left="500"/>
              <w:spacing w:after="0"/>
              <w:rPr>
                <w:sz w:val="20"/>
                <w:szCs w:val="20"/>
                <w:color w:val="auto"/>
              </w:rPr>
            </w:pPr>
            <w:r>
              <w:rPr>
                <w:rFonts w:ascii="Arial" w:cs="Arial" w:eastAsia="Arial" w:hAnsi="Arial"/>
                <w:sz w:val="19"/>
                <w:szCs w:val="19"/>
                <w:color w:val="auto"/>
              </w:rPr>
              <w:t>Palo Alto, CA 94303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1" w:right="1279" w:bottom="1440" w:gutter="0" w:footer="0" w:header="0"/>
          <w:type w:val="continuous"/>
        </w:sectPr>
      </w:pPr>
    </w:p>
    <w:bookmarkStart w:id="292" w:name="page293"/>
    <w:bookmarkEnd w:id="292"/>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ectPr>
          <w:pgSz w:w="11900" w:h="16838" w:orient="portrait"/>
          <w:cols w:equalWidth="0" w:num="1">
            <w:col w:w="9180"/>
          </w:cols>
          <w:pgMar w:left="1440" w:top="1301" w:right="1279" w:bottom="1440" w:gutter="0" w:footer="0" w:header="0"/>
        </w:sectPr>
      </w:pP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9"/>
          <w:szCs w:val="19"/>
          <w:b w:val="1"/>
          <w:bCs w:val="1"/>
          <w:color w:val="auto"/>
        </w:rPr>
        <w:t>MORPHEUS PARTNERS</w:t>
      </w:r>
    </w:p>
    <w:p>
      <w:pPr>
        <w:spacing w:after="0" w:line="200" w:lineRule="exact"/>
        <w:rPr>
          <w:sz w:val="20"/>
          <w:szCs w:val="20"/>
          <w:color w:val="auto"/>
        </w:rPr>
      </w:pPr>
    </w:p>
    <w:p>
      <w:pPr>
        <w:spacing w:after="0" w:line="257" w:lineRule="exact"/>
        <w:rPr>
          <w:sz w:val="20"/>
          <w:szCs w:val="20"/>
          <w:color w:val="auto"/>
        </w:rPr>
      </w:pPr>
    </w:p>
    <w:tbl>
      <w:tblPr>
        <w:tblLayout w:type="fixed"/>
        <w:tblInd w:w="3360" w:type="dxa"/>
        <w:tblCellMar>
          <w:top w:w="0" w:type="dxa"/>
          <w:left w:w="0" w:type="dxa"/>
          <w:bottom w:w="0" w:type="dxa"/>
          <w:right w:w="0" w:type="dxa"/>
        </w:tblCellMar>
      </w:tblPr>
      <w:tr>
        <w:trPr>
          <w:trHeight w:val="255"/>
        </w:trPr>
        <w:tc>
          <w:tcPr>
            <w:tcW w:w="940" w:type="dxa"/>
            <w:vAlign w:val="bottom"/>
          </w:tcPr>
          <w:p>
            <w:pPr>
              <w:spacing w:after="0"/>
              <w:rPr>
                <w:sz w:val="20"/>
                <w:szCs w:val="20"/>
                <w:color w:val="auto"/>
              </w:rPr>
            </w:pPr>
            <w:r>
              <w:rPr>
                <w:rFonts w:ascii="Arial" w:cs="Arial" w:eastAsia="Arial" w:hAnsi="Arial"/>
                <w:sz w:val="19"/>
                <w:szCs w:val="19"/>
                <w:color w:val="auto"/>
              </w:rPr>
              <w:t>By:</w:t>
            </w:r>
          </w:p>
        </w:tc>
        <w:tc>
          <w:tcPr>
            <w:tcW w:w="3780" w:type="dxa"/>
            <w:vAlign w:val="bottom"/>
            <w:tcBorders>
              <w:bottom w:val="single" w:sz="8" w:color="auto"/>
            </w:tcBorders>
          </w:tcPr>
          <w:p>
            <w:pPr>
              <w:spacing w:after="0"/>
              <w:rPr>
                <w:sz w:val="22"/>
                <w:szCs w:val="22"/>
                <w:color w:val="auto"/>
              </w:rPr>
            </w:pPr>
          </w:p>
        </w:tc>
      </w:tr>
      <w:tr>
        <w:trPr>
          <w:trHeight w:val="552"/>
        </w:trPr>
        <w:tc>
          <w:tcPr>
            <w:tcW w:w="940" w:type="dxa"/>
            <w:vAlign w:val="bottom"/>
          </w:tcPr>
          <w:p>
            <w:pPr>
              <w:spacing w:after="0"/>
              <w:rPr>
                <w:sz w:val="20"/>
                <w:szCs w:val="20"/>
                <w:color w:val="auto"/>
              </w:rPr>
            </w:pPr>
            <w:r>
              <w:rPr>
                <w:rFonts w:ascii="Arial" w:cs="Arial" w:eastAsia="Arial" w:hAnsi="Arial"/>
                <w:sz w:val="19"/>
                <w:szCs w:val="19"/>
                <w:color w:val="auto"/>
              </w:rPr>
              <w:t>Name:</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Gilbert Cohen</w:t>
            </w:r>
          </w:p>
        </w:tc>
      </w:tr>
      <w:tr>
        <w:trPr>
          <w:trHeight w:val="553"/>
        </w:trPr>
        <w:tc>
          <w:tcPr>
            <w:tcW w:w="940" w:type="dxa"/>
            <w:vAlign w:val="bottom"/>
          </w:tcPr>
          <w:p>
            <w:pPr>
              <w:spacing w:after="0"/>
              <w:rPr>
                <w:sz w:val="20"/>
                <w:szCs w:val="20"/>
                <w:color w:val="auto"/>
              </w:rPr>
            </w:pPr>
            <w:r>
              <w:rPr>
                <w:rFonts w:ascii="Arial" w:cs="Arial" w:eastAsia="Arial" w:hAnsi="Arial"/>
                <w:sz w:val="19"/>
                <w:szCs w:val="19"/>
                <w:color w:val="auto"/>
              </w:rPr>
              <w:t>Title:</w:t>
            </w:r>
          </w:p>
        </w:tc>
        <w:tc>
          <w:tcPr>
            <w:tcW w:w="3780" w:type="dxa"/>
            <w:vAlign w:val="bottom"/>
            <w:tcBorders>
              <w:bottom w:val="single" w:sz="8" w:color="auto"/>
            </w:tcBorders>
          </w:tcPr>
          <w:p>
            <w:pPr>
              <w:spacing w:after="0"/>
              <w:rPr>
                <w:sz w:val="24"/>
                <w:szCs w:val="24"/>
                <w:color w:val="auto"/>
              </w:rPr>
            </w:pPr>
          </w:p>
        </w:tc>
      </w:tr>
      <w:tr>
        <w:trPr>
          <w:trHeight w:val="529"/>
        </w:trPr>
        <w:tc>
          <w:tcPr>
            <w:tcW w:w="940" w:type="dxa"/>
            <w:vAlign w:val="bottom"/>
          </w:tcPr>
          <w:p>
            <w:pPr>
              <w:spacing w:after="0"/>
              <w:rPr>
                <w:sz w:val="20"/>
                <w:szCs w:val="20"/>
                <w:color w:val="auto"/>
              </w:rPr>
            </w:pPr>
            <w:r>
              <w:rPr>
                <w:rFonts w:ascii="Arial" w:cs="Arial" w:eastAsia="Arial" w:hAnsi="Arial"/>
                <w:sz w:val="19"/>
                <w:szCs w:val="19"/>
                <w:color w:val="auto"/>
              </w:rPr>
              <w:t>Address:</w:t>
            </w:r>
          </w:p>
        </w:tc>
        <w:tc>
          <w:tcPr>
            <w:tcW w:w="3780" w:type="dxa"/>
            <w:vAlign w:val="bottom"/>
          </w:tcPr>
          <w:p>
            <w:pPr>
              <w:ind w:left="500"/>
              <w:spacing w:after="0"/>
              <w:rPr>
                <w:sz w:val="20"/>
                <w:szCs w:val="20"/>
                <w:color w:val="auto"/>
              </w:rPr>
            </w:pPr>
            <w:r>
              <w:rPr>
                <w:rFonts w:ascii="Arial" w:cs="Arial" w:eastAsia="Arial" w:hAnsi="Arial"/>
                <w:sz w:val="19"/>
                <w:szCs w:val="19"/>
                <w:color w:val="auto"/>
              </w:rPr>
              <w:t>176 East 71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Street</w:t>
            </w:r>
          </w:p>
        </w:tc>
      </w:tr>
      <w:tr>
        <w:trPr>
          <w:trHeight w:val="248"/>
        </w:trPr>
        <w:tc>
          <w:tcPr>
            <w:tcW w:w="940" w:type="dxa"/>
            <w:vAlign w:val="bottom"/>
          </w:tcPr>
          <w:p>
            <w:pPr>
              <w:spacing w:after="0"/>
              <w:rPr>
                <w:sz w:val="21"/>
                <w:szCs w:val="21"/>
                <w:color w:val="auto"/>
              </w:rPr>
            </w:pPr>
          </w:p>
        </w:tc>
        <w:tc>
          <w:tcPr>
            <w:tcW w:w="3780" w:type="dxa"/>
            <w:vAlign w:val="bottom"/>
          </w:tcPr>
          <w:p>
            <w:pPr>
              <w:ind w:left="500"/>
              <w:spacing w:after="0"/>
              <w:rPr>
                <w:sz w:val="20"/>
                <w:szCs w:val="20"/>
                <w:color w:val="auto"/>
              </w:rPr>
            </w:pPr>
            <w:r>
              <w:rPr>
                <w:rFonts w:ascii="Arial" w:cs="Arial" w:eastAsia="Arial" w:hAnsi="Arial"/>
                <w:sz w:val="19"/>
                <w:szCs w:val="19"/>
                <w:color w:val="auto"/>
              </w:rPr>
              <w:t>New York, NY 10021-5159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1" w:right="1279" w:bottom="1440" w:gutter="0" w:footer="0" w:header="0"/>
          <w:type w:val="continuous"/>
        </w:sectPr>
      </w:pPr>
    </w:p>
    <w:bookmarkStart w:id="293" w:name="page294"/>
    <w:bookmarkEnd w:id="293"/>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9"/>
          <w:szCs w:val="19"/>
          <w:b w:val="1"/>
          <w:bCs w:val="1"/>
          <w:color w:val="auto"/>
        </w:rPr>
        <w:t>INVESTORS:</w:t>
      </w:r>
    </w:p>
    <w:p>
      <w:pPr>
        <w:spacing w:after="0" w:line="200" w:lineRule="exact"/>
        <w:rPr>
          <w:sz w:val="20"/>
          <w:szCs w:val="20"/>
          <w:color w:val="auto"/>
        </w:rPr>
      </w:pPr>
    </w:p>
    <w:p>
      <w:pPr>
        <w:spacing w:after="0" w:line="264" w:lineRule="exact"/>
        <w:rPr>
          <w:sz w:val="20"/>
          <w:szCs w:val="20"/>
          <w:color w:val="auto"/>
        </w:rPr>
      </w:pPr>
    </w:p>
    <w:p>
      <w:pPr>
        <w:ind w:left="4480"/>
        <w:spacing w:after="0"/>
        <w:rPr>
          <w:sz w:val="20"/>
          <w:szCs w:val="20"/>
          <w:color w:val="auto"/>
        </w:rPr>
      </w:pPr>
      <w:r>
        <w:rPr>
          <w:rFonts w:ascii="Arial" w:cs="Arial" w:eastAsia="Arial" w:hAnsi="Arial"/>
          <w:sz w:val="19"/>
          <w:szCs w:val="19"/>
          <w:b w:val="1"/>
          <w:bCs w:val="1"/>
          <w:color w:val="auto"/>
        </w:rPr>
        <w:t>Jitendra Saxena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441960</wp:posOffset>
            </wp:positionV>
            <wp:extent cx="360362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036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80"/>
        <w:spacing w:after="0"/>
        <w:rPr>
          <w:sz w:val="20"/>
          <w:szCs w:val="20"/>
          <w:color w:val="auto"/>
        </w:rPr>
      </w:pPr>
      <w:r>
        <w:rPr>
          <w:rFonts w:ascii="Arial" w:cs="Arial" w:eastAsia="Arial" w:hAnsi="Arial"/>
          <w:sz w:val="19"/>
          <w:szCs w:val="19"/>
          <w:color w:val="auto"/>
        </w:rPr>
        <w:t>(Signature)</w:t>
      </w:r>
    </w:p>
    <w:p>
      <w:pPr>
        <w:sectPr>
          <w:pgSz w:w="11900" w:h="16838" w:orient="portrait"/>
          <w:cols w:equalWidth="0" w:num="1">
            <w:col w:w="9180"/>
          </w:cols>
          <w:pgMar w:left="1440" w:top="1302" w:right="127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47 Flanagan Drive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Framingham, MA 01701</w:t>
      </w:r>
    </w:p>
    <w:p>
      <w:pPr>
        <w:spacing w:after="0" w:line="200" w:lineRule="exact"/>
        <w:rPr>
          <w:sz w:val="20"/>
          <w:szCs w:val="20"/>
          <w:color w:val="auto"/>
        </w:rPr>
      </w:pPr>
    </w:p>
    <w:p>
      <w:pPr>
        <w:sectPr>
          <w:pgSz w:w="11900" w:h="16838" w:orient="portrait"/>
          <w:cols w:equalWidth="0" w:num="2">
            <w:col w:w="5160" w:space="460"/>
            <w:col w:w="3560"/>
          </w:cols>
          <w:pgMar w:left="1440" w:top="1302"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2" w:right="1279" w:bottom="1440" w:gutter="0" w:footer="0" w:header="0"/>
          <w:type w:val="continuous"/>
        </w:sectPr>
      </w:pPr>
    </w:p>
    <w:bookmarkStart w:id="294" w:name="page295"/>
    <w:bookmarkEnd w:id="294"/>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9"/>
          <w:szCs w:val="19"/>
          <w:b w:val="1"/>
          <w:bCs w:val="1"/>
          <w:color w:val="auto"/>
        </w:rPr>
        <w:t>INVESTORS:</w:t>
      </w:r>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9"/>
          <w:szCs w:val="19"/>
          <w:b w:val="1"/>
          <w:bCs w:val="1"/>
          <w:color w:val="auto"/>
        </w:rPr>
        <w:t>Michael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441960</wp:posOffset>
            </wp:positionV>
            <wp:extent cx="370459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7045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(Signature)</w:t>
      </w:r>
    </w:p>
    <w:p>
      <w:pPr>
        <w:sectPr>
          <w:pgSz w:w="11900" w:h="16838" w:orient="portrait"/>
          <w:cols w:equalWidth="0" w:num="1">
            <w:col w:w="9180"/>
          </w:cols>
          <w:pgMar w:left="1440" w:top="1302" w:right="127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284 Summer Avenue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Reading, MA 01867</w:t>
      </w:r>
    </w:p>
    <w:p>
      <w:pPr>
        <w:spacing w:after="0" w:line="200" w:lineRule="exact"/>
        <w:rPr>
          <w:sz w:val="20"/>
          <w:szCs w:val="20"/>
          <w:color w:val="auto"/>
        </w:rPr>
      </w:pPr>
    </w:p>
    <w:p>
      <w:pPr>
        <w:sectPr>
          <w:pgSz w:w="11900" w:h="16838" w:orient="portrait"/>
          <w:cols w:equalWidth="0" w:num="2">
            <w:col w:w="5000" w:space="480"/>
            <w:col w:w="3700"/>
          </w:cols>
          <w:pgMar w:left="1440" w:top="1302"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2" w:right="1279" w:bottom="1440" w:gutter="0" w:footer="0" w:header="0"/>
          <w:type w:val="continuous"/>
        </w:sectPr>
      </w:pPr>
    </w:p>
    <w:bookmarkStart w:id="295" w:name="page296"/>
    <w:bookmarkEnd w:id="295"/>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ectPr>
          <w:pgSz w:w="11900" w:h="16838" w:orient="portrait"/>
          <w:cols w:equalWidth="0" w:num="1">
            <w:col w:w="9180"/>
          </w:cols>
          <w:pgMar w:left="1440" w:top="1302" w:right="1279" w:bottom="1440" w:gutter="0" w:footer="0" w:header="0"/>
        </w:sectPr>
      </w:pP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9"/>
          <w:szCs w:val="19"/>
          <w:b w:val="1"/>
          <w:bCs w:val="1"/>
          <w:color w:val="auto"/>
        </w:rPr>
        <w:t>INVESTORS:</w:t>
      </w: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BARRACUDA NETWORKS, INC.</w:t>
      </w:r>
    </w:p>
    <w:p>
      <w:pPr>
        <w:spacing w:after="0" w:line="200" w:lineRule="exact"/>
        <w:rPr>
          <w:sz w:val="20"/>
          <w:szCs w:val="20"/>
          <w:color w:val="auto"/>
        </w:rPr>
      </w:pPr>
    </w:p>
    <w:p>
      <w:pPr>
        <w:spacing w:after="0" w:line="257" w:lineRule="exact"/>
        <w:rPr>
          <w:sz w:val="20"/>
          <w:szCs w:val="20"/>
          <w:color w:val="auto"/>
        </w:rPr>
      </w:pPr>
    </w:p>
    <w:tbl>
      <w:tblPr>
        <w:tblLayout w:type="fixed"/>
        <w:tblInd w:w="3200" w:type="dxa"/>
        <w:tblCellMar>
          <w:top w:w="0" w:type="dxa"/>
          <w:left w:w="0" w:type="dxa"/>
          <w:bottom w:w="0" w:type="dxa"/>
          <w:right w:w="0" w:type="dxa"/>
        </w:tblCellMar>
      </w:tblPr>
      <w:tr>
        <w:trPr>
          <w:trHeight w:val="255"/>
        </w:trPr>
        <w:tc>
          <w:tcPr>
            <w:tcW w:w="940" w:type="dxa"/>
            <w:vAlign w:val="bottom"/>
          </w:tcPr>
          <w:p>
            <w:pPr>
              <w:spacing w:after="0"/>
              <w:rPr>
                <w:sz w:val="20"/>
                <w:szCs w:val="20"/>
                <w:color w:val="auto"/>
              </w:rPr>
            </w:pPr>
            <w:r>
              <w:rPr>
                <w:rFonts w:ascii="Arial" w:cs="Arial" w:eastAsia="Arial" w:hAnsi="Arial"/>
                <w:sz w:val="19"/>
                <w:szCs w:val="19"/>
                <w:color w:val="auto"/>
              </w:rPr>
              <w:t>By:</w:t>
            </w:r>
          </w:p>
        </w:tc>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Faugno</w:t>
            </w:r>
          </w:p>
        </w:tc>
      </w:tr>
      <w:tr>
        <w:trPr>
          <w:trHeight w:val="528"/>
        </w:trPr>
        <w:tc>
          <w:tcPr>
            <w:tcW w:w="940" w:type="dxa"/>
            <w:vAlign w:val="bottom"/>
          </w:tcPr>
          <w:p>
            <w:pPr>
              <w:spacing w:after="0"/>
              <w:rPr>
                <w:sz w:val="20"/>
                <w:szCs w:val="20"/>
                <w:color w:val="auto"/>
              </w:rPr>
            </w:pPr>
            <w:r>
              <w:rPr>
                <w:rFonts w:ascii="Arial" w:cs="Arial" w:eastAsia="Arial" w:hAnsi="Arial"/>
                <w:sz w:val="19"/>
                <w:szCs w:val="19"/>
                <w:color w:val="auto"/>
              </w:rPr>
              <w:t>Name:</w:t>
            </w:r>
          </w:p>
        </w:tc>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David Faugno</w:t>
            </w:r>
          </w:p>
        </w:tc>
      </w:tr>
      <w:tr>
        <w:trPr>
          <w:trHeight w:val="528"/>
        </w:trPr>
        <w:tc>
          <w:tcPr>
            <w:tcW w:w="940" w:type="dxa"/>
            <w:vAlign w:val="bottom"/>
          </w:tcPr>
          <w:p>
            <w:pPr>
              <w:spacing w:after="0"/>
              <w:rPr>
                <w:sz w:val="20"/>
                <w:szCs w:val="20"/>
                <w:color w:val="auto"/>
              </w:rPr>
            </w:pPr>
            <w:r>
              <w:rPr>
                <w:rFonts w:ascii="Arial" w:cs="Arial" w:eastAsia="Arial" w:hAnsi="Arial"/>
                <w:sz w:val="19"/>
                <w:szCs w:val="19"/>
                <w:color w:val="auto"/>
              </w:rPr>
              <w:t>Title:</w:t>
            </w:r>
          </w:p>
        </w:tc>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Chief Financial Officer</w:t>
            </w:r>
          </w:p>
        </w:tc>
      </w:tr>
    </w:tbl>
    <w:p>
      <w:pPr>
        <w:spacing w:after="0" w:line="27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Address: 3175 S. Winchester Blvd., Campbell, CA 95008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2" w:right="1279" w:bottom="1440" w:gutter="0" w:footer="0" w:header="0"/>
          <w:type w:val="continuous"/>
        </w:sectPr>
      </w:pPr>
    </w:p>
    <w:bookmarkStart w:id="296" w:name="page297"/>
    <w:bookmarkEnd w:id="296"/>
    <w:p>
      <w:pPr>
        <w:jc w:val="right"/>
        <w:spacing w:after="0"/>
        <w:rPr>
          <w:sz w:val="20"/>
          <w:szCs w:val="20"/>
          <w:color w:val="auto"/>
        </w:rPr>
      </w:pPr>
      <w:r>
        <w:rPr>
          <w:rFonts w:ascii="Arial" w:cs="Arial" w:eastAsia="Arial" w:hAnsi="Arial"/>
          <w:sz w:val="16"/>
          <w:szCs w:val="16"/>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color w:val="auto"/>
        </w:rPr>
        <w:t>THIS WARRANT AND THE SHARES ISSUABLE HEREUNDER HAVE NOT BEEN REGISTERED UNDER THE SECURITIES ACT OF 1933, AS AMENDED (THE “</w:t>
      </w:r>
      <w:r>
        <w:rPr>
          <w:rFonts w:ascii="Arial" w:cs="Arial" w:eastAsia="Arial" w:hAnsi="Arial"/>
          <w:sz w:val="19"/>
          <w:szCs w:val="19"/>
          <w:b w:val="1"/>
          <w:bCs w:val="1"/>
          <w:u w:val="single" w:color="auto"/>
          <w:color w:val="auto"/>
        </w:rPr>
        <w:t>ACT</w:t>
      </w:r>
      <w:r>
        <w:rPr>
          <w:rFonts w:ascii="Arial" w:cs="Arial" w:eastAsia="Arial" w:hAnsi="Arial"/>
          <w:sz w:val="19"/>
          <w:szCs w:val="19"/>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WARRANT TO PURCHASE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Company: </w:t>
      </w:r>
      <w:r>
        <w:rPr>
          <w:rFonts w:ascii="Arial" w:cs="Arial" w:eastAsia="Arial" w:hAnsi="Arial"/>
          <w:sz w:val="19"/>
          <w:szCs w:val="19"/>
          <w:color w:val="auto"/>
        </w:rPr>
        <w:t>EXPENSIFY,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Shares of Common Stock: </w:t>
      </w:r>
      <w:r>
        <w:rPr>
          <w:rFonts w:ascii="Arial" w:cs="Arial" w:eastAsia="Arial" w:hAnsi="Arial"/>
          <w:sz w:val="18"/>
          <w:szCs w:val="18"/>
          <w:color w:val="auto"/>
        </w:rPr>
        <w:t>15,000, plus all Additional Shares which Holder is entitled to purchase pursuant to Section 1.7</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Warrant Price: </w:t>
      </w:r>
      <w:r>
        <w:rPr>
          <w:rFonts w:ascii="Arial" w:cs="Arial" w:eastAsia="Arial" w:hAnsi="Arial"/>
          <w:sz w:val="19"/>
          <w:szCs w:val="19"/>
          <w:color w:val="auto"/>
        </w:rPr>
        <w:t>$0.683 per share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Issue Date: </w:t>
      </w:r>
      <w:r>
        <w:rPr>
          <w:rFonts w:ascii="Arial" w:cs="Arial" w:eastAsia="Arial" w:hAnsi="Arial"/>
          <w:sz w:val="19"/>
          <w:szCs w:val="19"/>
          <w:color w:val="auto"/>
        </w:rPr>
        <w:t>September 19, 2013</w:t>
      </w:r>
    </w:p>
    <w:p>
      <w:pPr>
        <w:spacing w:after="0" w:line="13" w:lineRule="exact"/>
        <w:rPr>
          <w:sz w:val="20"/>
          <w:szCs w:val="20"/>
          <w:color w:val="auto"/>
        </w:rPr>
      </w:pPr>
    </w:p>
    <w:p>
      <w:pPr>
        <w:spacing w:after="0"/>
        <w:tabs>
          <w:tab w:leader="none" w:pos="3180" w:val="left"/>
        </w:tabs>
        <w:rPr>
          <w:sz w:val="20"/>
          <w:szCs w:val="20"/>
          <w:color w:val="auto"/>
        </w:rPr>
      </w:pPr>
      <w:r>
        <w:rPr>
          <w:rFonts w:ascii="Arial" w:cs="Arial" w:eastAsia="Arial" w:hAnsi="Arial"/>
          <w:sz w:val="19"/>
          <w:szCs w:val="19"/>
          <w:b w:val="1"/>
          <w:bCs w:val="1"/>
          <w:color w:val="auto"/>
        </w:rPr>
        <w:t xml:space="preserve">Expiration Date: </w:t>
      </w:r>
      <w:r>
        <w:rPr>
          <w:rFonts w:ascii="Arial" w:cs="Arial" w:eastAsia="Arial" w:hAnsi="Arial"/>
          <w:sz w:val="19"/>
          <w:szCs w:val="19"/>
          <w:color w:val="auto"/>
        </w:rPr>
        <w:t>September 19, 2023</w:t>
      </w:r>
      <w:r>
        <w:rPr>
          <w:sz w:val="20"/>
          <w:szCs w:val="20"/>
          <w:color w:val="auto"/>
        </w:rPr>
        <w:tab/>
      </w:r>
      <w:r>
        <w:rPr>
          <w:rFonts w:ascii="Arial" w:cs="Arial" w:eastAsia="Arial" w:hAnsi="Arial"/>
          <w:sz w:val="17"/>
          <w:szCs w:val="17"/>
          <w:color w:val="auto"/>
        </w:rPr>
        <w:t>See also Section 5.1(b).</w:t>
      </w:r>
    </w:p>
    <w:p>
      <w:pPr>
        <w:spacing w:after="0" w:line="13" w:lineRule="exact"/>
        <w:rPr>
          <w:sz w:val="20"/>
          <w:szCs w:val="20"/>
          <w:color w:val="auto"/>
        </w:rPr>
      </w:pPr>
    </w:p>
    <w:p>
      <w:pPr>
        <w:jc w:val="both"/>
        <w:ind w:left="1460" w:right="20" w:hanging="1460"/>
        <w:spacing w:after="0" w:line="268" w:lineRule="auto"/>
        <w:tabs>
          <w:tab w:leader="none" w:pos="1440" w:val="left"/>
        </w:tabs>
        <w:rPr>
          <w:sz w:val="20"/>
          <w:szCs w:val="20"/>
          <w:color w:val="auto"/>
        </w:rPr>
      </w:pPr>
      <w:r>
        <w:rPr>
          <w:rFonts w:ascii="Arial" w:cs="Arial" w:eastAsia="Arial" w:hAnsi="Arial"/>
          <w:sz w:val="19"/>
          <w:szCs w:val="19"/>
          <w:b w:val="1"/>
          <w:bCs w:val="1"/>
          <w:color w:val="auto"/>
        </w:rPr>
        <w:t>Credit Facility:</w:t>
      </w:r>
      <w:r>
        <w:rPr>
          <w:sz w:val="20"/>
          <w:szCs w:val="20"/>
          <w:color w:val="auto"/>
        </w:rPr>
        <w:tab/>
      </w:r>
      <w:r>
        <w:rPr>
          <w:rFonts w:ascii="Arial" w:cs="Arial" w:eastAsia="Arial" w:hAnsi="Arial"/>
          <w:sz w:val="19"/>
          <w:szCs w:val="19"/>
          <w:color w:val="auto"/>
        </w:rPr>
        <w:t>This Warrant to Purchase Common Stock (“</w:t>
      </w:r>
      <w:r>
        <w:rPr>
          <w:rFonts w:ascii="Arial" w:cs="Arial" w:eastAsia="Arial" w:hAnsi="Arial"/>
          <w:sz w:val="19"/>
          <w:szCs w:val="19"/>
          <w:b w:val="1"/>
          <w:bCs w:val="1"/>
          <w:u w:val="single" w:color="auto"/>
          <w:color w:val="auto"/>
        </w:rPr>
        <w:t>Warrant</w:t>
      </w:r>
      <w:r>
        <w:rPr>
          <w:rFonts w:ascii="Arial" w:cs="Arial" w:eastAsia="Arial" w:hAnsi="Arial"/>
          <w:sz w:val="19"/>
          <w:szCs w:val="19"/>
          <w:color w:val="auto"/>
        </w:rPr>
        <w:t>”) is issued in connection with that certain Loan and Security Agreement of even date herewith between Silicon Valley Bank and the Company (the “</w:t>
      </w:r>
      <w:r>
        <w:rPr>
          <w:rFonts w:ascii="Arial" w:cs="Arial" w:eastAsia="Arial" w:hAnsi="Arial"/>
          <w:sz w:val="19"/>
          <w:szCs w:val="19"/>
          <w:b w:val="1"/>
          <w:bCs w:val="1"/>
          <w:u w:val="single" w:color="auto"/>
          <w:color w:val="auto"/>
        </w:rPr>
        <w:t>Loan Agreement</w:t>
      </w:r>
      <w:r>
        <w:rPr>
          <w:rFonts w:ascii="Arial" w:cs="Arial" w:eastAsia="Arial" w:hAnsi="Arial"/>
          <w:sz w:val="19"/>
          <w:szCs w:val="19"/>
          <w:color w:val="auto"/>
        </w:rPr>
        <w:t>”).</w:t>
      </w:r>
    </w:p>
    <w:p>
      <w:pPr>
        <w:spacing w:after="0" w:line="154"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common stock (the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50"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EXERCISE</w:t>
      </w:r>
      <w:r>
        <w:rPr>
          <w:rFonts w:ascii="Arial" w:cs="Arial" w:eastAsia="Arial" w:hAnsi="Arial"/>
          <w:sz w:val="19"/>
          <w:szCs w:val="19"/>
          <w:color w:val="auto"/>
        </w:rPr>
        <w:t>.</w:t>
      </w:r>
    </w:p>
    <w:p>
      <w:pPr>
        <w:spacing w:after="0" w:line="208" w:lineRule="exact"/>
        <w:rPr>
          <w:sz w:val="20"/>
          <w:szCs w:val="20"/>
          <w:color w:val="auto"/>
        </w:rPr>
      </w:pPr>
    </w:p>
    <w:p>
      <w:pPr>
        <w:jc w:val="both"/>
        <w:ind w:firstLine="1169"/>
        <w:spacing w:after="0" w:line="26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Method of Exercise</w:t>
      </w:r>
      <w:r>
        <w:rPr>
          <w:rFonts w:ascii="Arial" w:cs="Arial" w:eastAsia="Arial" w:hAnsi="Arial"/>
          <w:sz w:val="19"/>
          <w:szCs w:val="19"/>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9" w:lineRule="exact"/>
        <w:rPr>
          <w:sz w:val="20"/>
          <w:szCs w:val="20"/>
          <w:color w:val="auto"/>
        </w:rPr>
      </w:pPr>
    </w:p>
    <w:p>
      <w:pPr>
        <w:jc w:val="both"/>
        <w:ind w:right="20" w:firstLine="1169"/>
        <w:spacing w:after="0" w:line="270"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Cashless Exercise</w:t>
      </w:r>
      <w:r>
        <w:rPr>
          <w:rFonts w:ascii="Arial" w:cs="Arial" w:eastAsia="Arial" w:hAnsi="Arial"/>
          <w:sz w:val="19"/>
          <w:szCs w:val="19"/>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60"/>
          </w:cols>
          <w:pgMar w:left="320" w:top="123" w:right="31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t>the Company shall issue to the Holder such number of fully paid and non-assessable Shares as are computed using the following formula:</w:t>
      </w:r>
    </w:p>
    <w:p>
      <w:pPr>
        <w:spacing w:after="0" w:line="219"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X = Y(A-B)/A</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where:</w:t>
      </w:r>
    </w:p>
    <w:p>
      <w:pPr>
        <w:spacing w:after="0" w:line="208" w:lineRule="exact"/>
        <w:rPr>
          <w:sz w:val="20"/>
          <w:szCs w:val="20"/>
          <w:color w:val="auto"/>
        </w:rPr>
      </w:pPr>
    </w:p>
    <w:p>
      <w:pPr>
        <w:ind w:left="1760"/>
        <w:spacing w:after="0"/>
        <w:tabs>
          <w:tab w:leader="none" w:pos="2220" w:val="left"/>
        </w:tabs>
        <w:rPr>
          <w:sz w:val="20"/>
          <w:szCs w:val="20"/>
          <w:color w:val="auto"/>
        </w:rPr>
      </w:pPr>
      <w:r>
        <w:rPr>
          <w:rFonts w:ascii="Arial" w:cs="Arial" w:eastAsia="Arial" w:hAnsi="Arial"/>
          <w:sz w:val="19"/>
          <w:szCs w:val="19"/>
          <w:color w:val="auto"/>
        </w:rPr>
        <w:t>X =</w:t>
      </w:r>
      <w:r>
        <w:rPr>
          <w:sz w:val="20"/>
          <w:szCs w:val="20"/>
          <w:color w:val="auto"/>
        </w:rPr>
        <w:tab/>
      </w:r>
      <w:r>
        <w:rPr>
          <w:rFonts w:ascii="Arial" w:cs="Arial" w:eastAsia="Arial" w:hAnsi="Arial"/>
          <w:sz w:val="17"/>
          <w:szCs w:val="17"/>
          <w:color w:val="auto"/>
        </w:rPr>
        <w:t>the number of Shares to be issued to the Holder;</w:t>
      </w:r>
    </w:p>
    <w:p>
      <w:pPr>
        <w:spacing w:after="0" w:line="208" w:lineRule="exact"/>
        <w:rPr>
          <w:sz w:val="20"/>
          <w:szCs w:val="20"/>
          <w:color w:val="auto"/>
        </w:rPr>
      </w:pPr>
    </w:p>
    <w:p>
      <w:pPr>
        <w:ind w:left="2280" w:right="20" w:hanging="584"/>
        <w:spacing w:after="0" w:line="286" w:lineRule="auto"/>
        <w:tabs>
          <w:tab w:leader="none" w:pos="2260" w:val="left"/>
        </w:tabs>
        <w:rPr>
          <w:sz w:val="20"/>
          <w:szCs w:val="20"/>
          <w:color w:val="auto"/>
        </w:rPr>
      </w:pPr>
      <w:r>
        <w:rPr>
          <w:rFonts w:ascii="Arial" w:cs="Arial" w:eastAsia="Arial" w:hAnsi="Arial"/>
          <w:sz w:val="19"/>
          <w:szCs w:val="19"/>
          <w:color w:val="auto"/>
        </w:rPr>
        <w:t>Y =</w:t>
        <w:tab/>
        <w:t>the number of Shares with respect to which this Warrant is being exercised (inclusive of the Shares surrendered to the Company in payment of the aggregate Warrant Price);</w:t>
      </w:r>
    </w:p>
    <w:p>
      <w:pPr>
        <w:spacing w:after="0" w:line="137" w:lineRule="exact"/>
        <w:rPr>
          <w:sz w:val="20"/>
          <w:szCs w:val="20"/>
          <w:color w:val="auto"/>
        </w:rPr>
      </w:pPr>
    </w:p>
    <w:p>
      <w:pPr>
        <w:ind w:left="1760" w:right="2260"/>
        <w:spacing w:after="0" w:line="468" w:lineRule="auto"/>
        <w:rPr>
          <w:sz w:val="20"/>
          <w:szCs w:val="20"/>
          <w:color w:val="auto"/>
        </w:rPr>
      </w:pPr>
      <w:r>
        <w:rPr>
          <w:rFonts w:ascii="Arial" w:cs="Arial" w:eastAsia="Arial" w:hAnsi="Arial"/>
          <w:sz w:val="19"/>
          <w:szCs w:val="19"/>
          <w:color w:val="auto"/>
        </w:rPr>
        <w:t>A = the Fair Market Value (as determined pursuant to Section 1.3 below) of one Share; and B = the Warrant Price.</w:t>
      </w:r>
    </w:p>
    <w:p>
      <w:pPr>
        <w:jc w:val="both"/>
        <w:ind w:right="20" w:firstLine="1169"/>
        <w:spacing w:after="0" w:line="280"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44" w:lineRule="exact"/>
        <w:rPr>
          <w:sz w:val="20"/>
          <w:szCs w:val="20"/>
          <w:color w:val="auto"/>
        </w:rPr>
      </w:pPr>
    </w:p>
    <w:p>
      <w:pPr>
        <w:jc w:val="both"/>
        <w:ind w:right="20" w:firstLine="1169"/>
        <w:spacing w:after="0" w:line="31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17" w:lineRule="exact"/>
        <w:rPr>
          <w:sz w:val="20"/>
          <w:szCs w:val="20"/>
          <w:color w:val="auto"/>
        </w:rPr>
      </w:pPr>
    </w:p>
    <w:p>
      <w:pPr>
        <w:jc w:val="both"/>
        <w:ind w:firstLine="1169"/>
        <w:spacing w:after="0" w:line="28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41"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7"/>
          <w:szCs w:val="17"/>
          <w:u w:val="single" w:color="auto"/>
          <w:color w:val="auto"/>
        </w:rPr>
        <w:t>Treatment of Warrant Upon Acquisition of Company</w:t>
      </w:r>
      <w:r>
        <w:rPr>
          <w:rFonts w:ascii="Arial" w:cs="Arial" w:eastAsia="Arial" w:hAnsi="Arial"/>
          <w:sz w:val="17"/>
          <w:szCs w:val="17"/>
          <w:color w:val="auto"/>
        </w:rPr>
        <w:t>.</w:t>
      </w:r>
    </w:p>
    <w:p>
      <w:pPr>
        <w:spacing w:after="0" w:line="202" w:lineRule="exact"/>
        <w:rPr>
          <w:sz w:val="20"/>
          <w:szCs w:val="20"/>
          <w:color w:val="auto"/>
        </w:rPr>
      </w:pPr>
    </w:p>
    <w:p>
      <w:pPr>
        <w:ind w:left="1740" w:hanging="57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 means any transaction or series of related transactions</w:t>
      </w:r>
    </w:p>
    <w:p>
      <w:pPr>
        <w:spacing w:after="0" w:line="46" w:lineRule="exact"/>
        <w:rPr>
          <w:rFonts w:ascii="Arial" w:cs="Arial" w:eastAsia="Arial" w:hAnsi="Arial"/>
          <w:sz w:val="18"/>
          <w:szCs w:val="18"/>
          <w:color w:val="auto"/>
        </w:rPr>
      </w:pPr>
    </w:p>
    <w:p>
      <w:pPr>
        <w:jc w:val="both"/>
        <w:ind w:right="20"/>
        <w:spacing w:after="0" w:line="261" w:lineRule="auto"/>
        <w:rPr>
          <w:rFonts w:ascii="Arial" w:cs="Arial" w:eastAsia="Arial" w:hAnsi="Arial"/>
          <w:sz w:val="18"/>
          <w:szCs w:val="18"/>
          <w:color w:val="auto"/>
        </w:rPr>
      </w:pPr>
      <w:r>
        <w:rPr>
          <w:rFonts w:ascii="Arial" w:cs="Arial" w:eastAsia="Arial" w:hAnsi="Arial"/>
          <w:sz w:val="19"/>
          <w:szCs w:val="19"/>
          <w:color w:val="auto"/>
        </w:rPr>
        <w:t>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0"/>
          </w:cols>
          <w:pgMar w:left="320" w:top="1302" w:right="319" w:bottom="1440" w:gutter="0" w:footer="0" w:header="0"/>
        </w:sectPr>
      </w:pPr>
    </w:p>
    <w:bookmarkStart w:id="298" w:name="page299"/>
    <w:bookmarkEnd w:id="298"/>
    <w:p>
      <w:pPr>
        <w:jc w:val="both"/>
        <w:ind w:right="20"/>
        <w:spacing w:after="0" w:line="264" w:lineRule="auto"/>
        <w:rPr>
          <w:sz w:val="20"/>
          <w:szCs w:val="20"/>
          <w:color w:val="auto"/>
        </w:rPr>
      </w:pPr>
      <w:r>
        <w:rPr>
          <w:rFonts w:ascii="Arial" w:cs="Arial" w:eastAsia="Arial" w:hAnsi="Arial"/>
          <w:sz w:val="19"/>
          <w:szCs w:val="19"/>
          <w:color w:val="auto"/>
        </w:rPr>
        <w:t>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59" w:lineRule="exact"/>
        <w:rPr>
          <w:sz w:val="20"/>
          <w:szCs w:val="20"/>
          <w:color w:val="auto"/>
        </w:rPr>
      </w:pPr>
    </w:p>
    <w:p>
      <w:pPr>
        <w:jc w:val="both"/>
        <w:ind w:right="20" w:firstLine="1167"/>
        <w:spacing w:after="0" w:line="262" w:lineRule="auto"/>
        <w:tabs>
          <w:tab w:leader="none" w:pos="1701"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59" w:lineRule="exact"/>
        <w:rPr>
          <w:rFonts w:ascii="Arial" w:cs="Arial" w:eastAsia="Arial" w:hAnsi="Arial"/>
          <w:sz w:val="19"/>
          <w:szCs w:val="19"/>
          <w:color w:val="auto"/>
        </w:rPr>
      </w:pPr>
    </w:p>
    <w:p>
      <w:pPr>
        <w:jc w:val="both"/>
        <w:ind w:firstLine="1167"/>
        <w:spacing w:after="0" w:line="292" w:lineRule="auto"/>
        <w:tabs>
          <w:tab w:leader="none" w:pos="159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36" w:lineRule="exact"/>
        <w:rPr>
          <w:rFonts w:ascii="Arial" w:cs="Arial" w:eastAsia="Arial" w:hAnsi="Arial"/>
          <w:sz w:val="17"/>
          <w:szCs w:val="17"/>
          <w:color w:val="auto"/>
        </w:rPr>
      </w:pPr>
    </w:p>
    <w:p>
      <w:pPr>
        <w:jc w:val="both"/>
        <w:ind w:right="20" w:firstLine="1167"/>
        <w:spacing w:after="0" w:line="262" w:lineRule="auto"/>
        <w:tabs>
          <w:tab w:leader="none" w:pos="171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3" w:lineRule="exact"/>
        <w:rPr>
          <w:rFonts w:ascii="Arial" w:cs="Arial" w:eastAsia="Arial" w:hAnsi="Arial"/>
          <w:sz w:val="19"/>
          <w:szCs w:val="19"/>
          <w:color w:val="auto"/>
        </w:rPr>
      </w:pPr>
    </w:p>
    <w:p>
      <w:pPr>
        <w:jc w:val="both"/>
        <w:ind w:firstLine="1167"/>
        <w:spacing w:after="0" w:line="263" w:lineRule="auto"/>
        <w:tabs>
          <w:tab w:leader="none" w:pos="157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As used in this Warrant,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1302" w:right="319" w:bottom="1440" w:gutter="0" w:footer="0" w:header="0"/>
        </w:sectPr>
      </w:pPr>
    </w:p>
    <w:bookmarkStart w:id="299" w:name="page300"/>
    <w:bookmarkEnd w:id="299"/>
    <w:p>
      <w:pPr>
        <w:jc w:val="both"/>
        <w:ind w:right="20"/>
        <w:spacing w:after="0" w:line="264" w:lineRule="auto"/>
        <w:rPr>
          <w:sz w:val="20"/>
          <w:szCs w:val="20"/>
          <w:color w:val="auto"/>
        </w:rPr>
      </w:pPr>
      <w:r>
        <w:rPr>
          <w:rFonts w:ascii="Arial" w:cs="Arial" w:eastAsia="Arial" w:hAnsi="Arial"/>
          <w:sz w:val="19"/>
          <w:szCs w:val="19"/>
          <w:color w:val="auto"/>
        </w:rPr>
        <w:t>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59" w:lineRule="exact"/>
        <w:rPr>
          <w:sz w:val="20"/>
          <w:szCs w:val="20"/>
          <w:color w:val="auto"/>
        </w:rPr>
      </w:pPr>
    </w:p>
    <w:p>
      <w:pPr>
        <w:jc w:val="both"/>
        <w:ind w:right="20" w:firstLine="1169"/>
        <w:spacing w:after="0" w:line="264"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Additional Shares</w:t>
      </w:r>
      <w:r>
        <w:rPr>
          <w:rFonts w:ascii="Arial" w:cs="Arial" w:eastAsia="Arial" w:hAnsi="Arial"/>
          <w:sz w:val="19"/>
          <w:szCs w:val="19"/>
          <w:color w:val="auto"/>
        </w:rPr>
        <w:t>. Upon the funding of the first Growth Capital Advance (as defined in the Loan Agreement), the Company shall be deemed to have automatically granted to Holder, in addition to the number of Shares which this Warrant can otherwise be exercised for by Holder, the right to purchase 15,000 additional Shares, subject to adjustment as set forth in Section 2 below (such additional shares being called the “Additional Shares”).</w:t>
      </w:r>
    </w:p>
    <w:p>
      <w:pPr>
        <w:spacing w:after="0" w:line="159" w:lineRule="exact"/>
        <w:rPr>
          <w:sz w:val="20"/>
          <w:szCs w:val="20"/>
          <w:color w:val="auto"/>
        </w:rPr>
      </w:pPr>
    </w:p>
    <w:p>
      <w:pPr>
        <w:jc w:val="both"/>
        <w:ind w:right="20" w:firstLine="1169"/>
        <w:spacing w:after="0" w:line="270"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Holder’s Obligation to Execute Voting Agreement</w:t>
      </w:r>
      <w:r>
        <w:rPr>
          <w:rFonts w:ascii="Arial" w:cs="Arial" w:eastAsia="Arial" w:hAnsi="Arial"/>
          <w:sz w:val="19"/>
          <w:szCs w:val="19"/>
          <w:color w:val="auto"/>
        </w:rPr>
        <w:t>. Upon any exercise of this Warrant, as to any Shares Holder receives, Holder agrees to be bound by that certain Amended and Restated Voting Agreement, dated June 22, 2010 by and among the Company and certain of the Company’s stockholders, as the same may be amended from time to time, or similar agreement</w:t>
      </w:r>
    </w:p>
    <w:p>
      <w:pPr>
        <w:spacing w:after="0" w:line="152" w:lineRule="exact"/>
        <w:rPr>
          <w:sz w:val="20"/>
          <w:szCs w:val="20"/>
          <w:color w:val="auto"/>
        </w:rPr>
      </w:pPr>
    </w:p>
    <w:p>
      <w:pPr>
        <w:ind w:left="2280"/>
        <w:spacing w:after="0"/>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ADJUSTMENTS TO THE SHARES AND WARRANT PRICE</w:t>
      </w:r>
      <w:r>
        <w:rPr>
          <w:rFonts w:ascii="Arial" w:cs="Arial" w:eastAsia="Arial" w:hAnsi="Arial"/>
          <w:sz w:val="19"/>
          <w:szCs w:val="19"/>
          <w:color w:val="auto"/>
        </w:rPr>
        <w:t>.</w:t>
      </w:r>
    </w:p>
    <w:p>
      <w:pPr>
        <w:spacing w:after="0" w:line="208" w:lineRule="exact"/>
        <w:rPr>
          <w:sz w:val="20"/>
          <w:szCs w:val="20"/>
          <w:color w:val="auto"/>
        </w:rPr>
      </w:pPr>
    </w:p>
    <w:p>
      <w:pPr>
        <w:jc w:val="both"/>
        <w:ind w:firstLine="1169"/>
        <w:spacing w:after="0" w:line="25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67" w:lineRule="exact"/>
        <w:rPr>
          <w:sz w:val="20"/>
          <w:szCs w:val="20"/>
          <w:color w:val="auto"/>
        </w:rPr>
      </w:pPr>
    </w:p>
    <w:p>
      <w:pPr>
        <w:jc w:val="both"/>
        <w:ind w:right="20" w:firstLine="1169"/>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50"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u w:val="single" w:color="auto"/>
          <w:color w:val="auto"/>
        </w:rPr>
        <w:t>Intentionally Omitted.</w:t>
      </w:r>
    </w:p>
    <w:p>
      <w:pPr>
        <w:spacing w:after="0" w:line="20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20" w:top="1302" w:right="319" w:bottom="1440" w:gutter="0" w:footer="0" w:header="0"/>
        </w:sectPr>
      </w:pPr>
    </w:p>
    <w:bookmarkStart w:id="300" w:name="page301"/>
    <w:bookmarkEnd w:id="300"/>
    <w:p>
      <w:pPr>
        <w:jc w:val="both"/>
        <w:ind w:right="20" w:firstLine="1169"/>
        <w:spacing w:after="0" w:line="28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41" w:lineRule="exact"/>
        <w:rPr>
          <w:sz w:val="20"/>
          <w:szCs w:val="20"/>
          <w:color w:val="auto"/>
        </w:rPr>
      </w:pPr>
    </w:p>
    <w:p>
      <w:pPr>
        <w:jc w:val="both"/>
        <w:ind w:firstLine="1169"/>
        <w:spacing w:after="0" w:line="262"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Notice/Certificate as to Adjustments</w:t>
      </w:r>
      <w:r>
        <w:rPr>
          <w:rFonts w:ascii="Arial" w:cs="Arial" w:eastAsia="Arial" w:hAnsi="Arial"/>
          <w:sz w:val="19"/>
          <w:szCs w:val="19"/>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9" w:lineRule="exact"/>
        <w:rPr>
          <w:sz w:val="20"/>
          <w:szCs w:val="20"/>
          <w:color w:val="auto"/>
        </w:rPr>
      </w:pPr>
    </w:p>
    <w:p>
      <w:pPr>
        <w:ind w:left="2180"/>
        <w:spacing w:after="0"/>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 AND COVENANTS OF THE COMPANY</w:t>
      </w:r>
      <w:r>
        <w:rPr>
          <w:rFonts w:ascii="Arial" w:cs="Arial" w:eastAsia="Arial" w:hAnsi="Arial"/>
          <w:sz w:val="19"/>
          <w:szCs w:val="19"/>
          <w:color w:val="auto"/>
        </w:rPr>
        <w:t>.</w:t>
      </w:r>
    </w:p>
    <w:p>
      <w:pPr>
        <w:spacing w:after="0" w:line="20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and agrees with, the Holder as follows:</w:t>
      </w:r>
    </w:p>
    <w:p>
      <w:pPr>
        <w:spacing w:after="0" w:line="208" w:lineRule="exact"/>
        <w:rPr>
          <w:sz w:val="20"/>
          <w:szCs w:val="20"/>
          <w:color w:val="auto"/>
        </w:rPr>
      </w:pPr>
    </w:p>
    <w:p>
      <w:pPr>
        <w:ind w:right="20" w:firstLine="1167"/>
        <w:spacing w:after="0" w:line="286" w:lineRule="auto"/>
        <w:tabs>
          <w:tab w:leader="none" w:pos="1603"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initial Warrant Price referenced on the first page of this Warrant is not greater than the price per share at which shares of Company Common Stock were valued in the most recent 409A valuation.</w:t>
      </w:r>
    </w:p>
    <w:p>
      <w:pPr>
        <w:spacing w:after="0" w:line="136" w:lineRule="exact"/>
        <w:rPr>
          <w:rFonts w:ascii="Arial" w:cs="Arial" w:eastAsia="Arial" w:hAnsi="Arial"/>
          <w:sz w:val="19"/>
          <w:szCs w:val="19"/>
          <w:color w:val="auto"/>
        </w:rPr>
      </w:pPr>
    </w:p>
    <w:p>
      <w:pPr>
        <w:jc w:val="both"/>
        <w:ind w:right="20" w:firstLine="1167"/>
        <w:spacing w:after="0" w:line="284" w:lineRule="auto"/>
        <w:tabs>
          <w:tab w:leader="none" w:pos="16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40" w:lineRule="exact"/>
        <w:rPr>
          <w:rFonts w:ascii="Arial" w:cs="Arial" w:eastAsia="Arial" w:hAnsi="Arial"/>
          <w:sz w:val="18"/>
          <w:szCs w:val="18"/>
          <w:color w:val="auto"/>
        </w:rPr>
      </w:pPr>
    </w:p>
    <w:p>
      <w:pPr>
        <w:ind w:left="1620" w:hanging="453"/>
        <w:spacing w:after="0"/>
        <w:tabs>
          <w:tab w:leader="none" w:pos="16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Company’s capitalization table attached hereto as Schedule 1 is true and complete, in all material respects, as of the</w:t>
      </w:r>
    </w:p>
    <w:p>
      <w:pPr>
        <w:spacing w:after="0" w:line="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Issue Date.</w:t>
      </w:r>
    </w:p>
    <w:p>
      <w:pPr>
        <w:spacing w:after="0" w:line="192"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to:</w:t>
      </w:r>
    </w:p>
    <w:p>
      <w:pPr>
        <w:spacing w:after="0" w:line="183" w:lineRule="exact"/>
        <w:rPr>
          <w:sz w:val="20"/>
          <w:szCs w:val="20"/>
          <w:color w:val="auto"/>
        </w:rPr>
      </w:pPr>
    </w:p>
    <w:p>
      <w:pPr>
        <w:ind w:right="20" w:firstLine="1751"/>
        <w:spacing w:after="0" w:line="246" w:lineRule="auto"/>
        <w:tabs>
          <w:tab w:leader="none" w:pos="2032" w:val="left"/>
        </w:tabs>
        <w:numPr>
          <w:ilvl w:val="0"/>
          <w:numId w:val="171"/>
        </w:numPr>
        <w:rPr>
          <w:rFonts w:ascii="Arial" w:cs="Arial" w:eastAsia="Arial" w:hAnsi="Arial"/>
          <w:sz w:val="19"/>
          <w:szCs w:val="19"/>
          <w:color w:val="auto"/>
        </w:rPr>
      </w:pPr>
      <w:r>
        <w:rPr>
          <w:rFonts w:ascii="Arial" w:cs="Arial" w:eastAsia="Arial" w:hAnsi="Arial"/>
          <w:sz w:val="19"/>
          <w:szCs w:val="19"/>
          <w:color w:val="auto"/>
        </w:rPr>
        <w:t>declare any dividend or distribution upon the outstanding shares of the Company’s stock, whether in cash, property, stock, or other securities and whether or not a regular cash dividend;</w:t>
      </w:r>
    </w:p>
    <w:p>
      <w:pPr>
        <w:spacing w:after="0" w:line="136" w:lineRule="exact"/>
        <w:rPr>
          <w:rFonts w:ascii="Arial" w:cs="Arial" w:eastAsia="Arial" w:hAnsi="Arial"/>
          <w:sz w:val="19"/>
          <w:szCs w:val="19"/>
          <w:color w:val="auto"/>
        </w:rPr>
      </w:pPr>
    </w:p>
    <w:p>
      <w:pPr>
        <w:ind w:right="20" w:firstLine="1751"/>
        <w:spacing w:after="0" w:line="246" w:lineRule="auto"/>
        <w:tabs>
          <w:tab w:leader="none" w:pos="204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offer for subscription or sale pro rata to the holders of the outstanding shares any additional shares of any class or series of the Company’s stock (other than pursuant to contractual pre-emptive rights);</w:t>
      </w:r>
    </w:p>
    <w:p>
      <w:pPr>
        <w:spacing w:after="0" w:line="136" w:lineRule="exact"/>
        <w:rPr>
          <w:rFonts w:ascii="Arial" w:cs="Arial" w:eastAsia="Arial" w:hAnsi="Arial"/>
          <w:sz w:val="19"/>
          <w:szCs w:val="19"/>
          <w:color w:val="auto"/>
        </w:rPr>
      </w:pPr>
    </w:p>
    <w:p>
      <w:pPr>
        <w:ind w:right="20" w:firstLine="1751"/>
        <w:spacing w:after="0" w:line="246" w:lineRule="auto"/>
        <w:tabs>
          <w:tab w:leader="none" w:pos="203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effect any reclassification, exchange, combination, substitution, reorganization or recapitalization of the outstanding shares of the Common Stock;</w:t>
      </w:r>
    </w:p>
    <w:p>
      <w:pPr>
        <w:spacing w:after="0" w:line="136" w:lineRule="exact"/>
        <w:rPr>
          <w:rFonts w:ascii="Arial" w:cs="Arial" w:eastAsia="Arial" w:hAnsi="Arial"/>
          <w:sz w:val="19"/>
          <w:szCs w:val="19"/>
          <w:color w:val="auto"/>
        </w:rPr>
      </w:pPr>
    </w:p>
    <w:p>
      <w:pPr>
        <w:ind w:left="2020" w:hanging="269"/>
        <w:spacing w:after="0"/>
        <w:tabs>
          <w:tab w:leader="none" w:pos="202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effect an Acquisition or to liquidate, dissolve or wind up;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1302" w:right="319" w:bottom="1440" w:gutter="0" w:footer="0" w:header="0"/>
        </w:sectPr>
      </w:pPr>
    </w:p>
    <w:bookmarkStart w:id="301" w:name="page302"/>
    <w:bookmarkEnd w:id="301"/>
    <w:p>
      <w:pPr>
        <w:ind w:firstLine="1751"/>
        <w:spacing w:after="0" w:line="246" w:lineRule="auto"/>
        <w:tabs>
          <w:tab w:leader="none" w:pos="204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effect an initial, underwritten offering and sale of its securities to the public pursuant to an effective registration statement under the Act (the “</w:t>
      </w:r>
      <w:r>
        <w:rPr>
          <w:rFonts w:ascii="Arial" w:cs="Arial" w:eastAsia="Arial" w:hAnsi="Arial"/>
          <w:sz w:val="19"/>
          <w:szCs w:val="19"/>
          <w:b w:val="1"/>
          <w:bCs w:val="1"/>
          <w:u w:val="single" w:color="auto"/>
          <w:color w:val="auto"/>
        </w:rPr>
        <w:t>IPO</w:t>
      </w:r>
      <w:r>
        <w:rPr>
          <w:rFonts w:ascii="Arial" w:cs="Arial" w:eastAsia="Arial" w:hAnsi="Arial"/>
          <w:sz w:val="19"/>
          <w:szCs w:val="19"/>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then, in connection with each such event, the Company shall give Holder:</w:t>
      </w:r>
    </w:p>
    <w:p>
      <w:pPr>
        <w:spacing w:after="0" w:line="183" w:lineRule="exact"/>
        <w:rPr>
          <w:sz w:val="20"/>
          <w:szCs w:val="20"/>
          <w:color w:val="auto"/>
        </w:rPr>
      </w:pPr>
    </w:p>
    <w:p>
      <w:pPr>
        <w:jc w:val="both"/>
        <w:ind w:left="1160" w:firstLine="591"/>
        <w:spacing w:after="0" w:line="228" w:lineRule="auto"/>
        <w:tabs>
          <w:tab w:leader="none" w:pos="2028"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144" w:lineRule="exact"/>
        <w:rPr>
          <w:rFonts w:ascii="Arial" w:cs="Arial" w:eastAsia="Arial" w:hAnsi="Arial"/>
          <w:sz w:val="19"/>
          <w:szCs w:val="19"/>
          <w:color w:val="auto"/>
        </w:rPr>
      </w:pPr>
    </w:p>
    <w:p>
      <w:pPr>
        <w:jc w:val="both"/>
        <w:ind w:left="1160" w:firstLine="591"/>
        <w:spacing w:after="0" w:line="249" w:lineRule="auto"/>
        <w:tabs>
          <w:tab w:leader="none" w:pos="203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w:t>
      </w:r>
    </w:p>
    <w:p>
      <w:pPr>
        <w:spacing w:after="0" w:line="135" w:lineRule="exact"/>
        <w:rPr>
          <w:rFonts w:ascii="Arial" w:cs="Arial" w:eastAsia="Arial" w:hAnsi="Arial"/>
          <w:sz w:val="18"/>
          <w:szCs w:val="18"/>
          <w:color w:val="auto"/>
        </w:rPr>
      </w:pPr>
    </w:p>
    <w:p>
      <w:pPr>
        <w:ind w:left="1160" w:firstLine="591"/>
        <w:spacing w:after="0" w:line="246" w:lineRule="auto"/>
        <w:tabs>
          <w:tab w:leader="none" w:pos="204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with respect to the IPO, at least seven (7) Business Days prior written notice of the date on which the Company proposes to file its registration statement in connection therewith.</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36"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REPRESENTATIONS, WARRANTIES OF THE HOLDER</w:t>
      </w:r>
      <w:r>
        <w:rPr>
          <w:rFonts w:ascii="Arial" w:cs="Arial" w:eastAsia="Arial" w:hAnsi="Arial"/>
          <w:sz w:val="19"/>
          <w:szCs w:val="19"/>
          <w:color w:val="auto"/>
        </w:rPr>
        <w:t>.</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Holder represents and warrants to the Company as follows:</w:t>
      </w:r>
    </w:p>
    <w:p>
      <w:pPr>
        <w:spacing w:after="0" w:line="208" w:lineRule="exact"/>
        <w:rPr>
          <w:sz w:val="20"/>
          <w:szCs w:val="20"/>
          <w:color w:val="auto"/>
        </w:rPr>
      </w:pPr>
    </w:p>
    <w:p>
      <w:pPr>
        <w:jc w:val="both"/>
        <w:ind w:firstLine="1169"/>
        <w:spacing w:after="0" w:line="29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36" w:lineRule="exact"/>
        <w:rPr>
          <w:sz w:val="20"/>
          <w:szCs w:val="20"/>
          <w:color w:val="auto"/>
        </w:rPr>
      </w:pPr>
    </w:p>
    <w:p>
      <w:pPr>
        <w:jc w:val="both"/>
        <w:ind w:firstLine="1169"/>
        <w:spacing w:after="0" w:line="26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78" w:right="339" w:bottom="1440" w:gutter="0" w:footer="0" w:header="0"/>
        </w:sectPr>
      </w:pPr>
    </w:p>
    <w:bookmarkStart w:id="302" w:name="page303"/>
    <w:bookmarkEnd w:id="302"/>
    <w:p>
      <w:pPr>
        <w:jc w:val="both"/>
        <w:ind w:firstLine="1169"/>
        <w:spacing w:after="0" w:line="29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37" w:lineRule="exact"/>
        <w:rPr>
          <w:sz w:val="20"/>
          <w:szCs w:val="20"/>
          <w:color w:val="auto"/>
        </w:rPr>
      </w:pPr>
    </w:p>
    <w:p>
      <w:pPr>
        <w:ind w:left="1160"/>
        <w:spacing w:after="0"/>
        <w:tabs>
          <w:tab w:leader="none" w:pos="160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 under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Act.</w:t>
      </w:r>
    </w:p>
    <w:p>
      <w:pPr>
        <w:spacing w:after="0" w:line="192" w:lineRule="exact"/>
        <w:rPr>
          <w:sz w:val="20"/>
          <w:szCs w:val="20"/>
          <w:color w:val="auto"/>
        </w:rPr>
      </w:pPr>
    </w:p>
    <w:p>
      <w:pPr>
        <w:jc w:val="both"/>
        <w:ind w:firstLine="1169"/>
        <w:spacing w:after="0" w:line="30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30" w:lineRule="exact"/>
        <w:rPr>
          <w:sz w:val="20"/>
          <w:szCs w:val="20"/>
          <w:color w:val="auto"/>
        </w:rPr>
      </w:pPr>
    </w:p>
    <w:p>
      <w:pPr>
        <w:jc w:val="both"/>
        <w:ind w:firstLine="1169"/>
        <w:spacing w:after="0" w:line="286"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Market Stand-off Agreement</w:t>
      </w:r>
      <w:r>
        <w:rPr>
          <w:rFonts w:ascii="Arial" w:cs="Arial" w:eastAsia="Arial" w:hAnsi="Arial"/>
          <w:sz w:val="19"/>
          <w:szCs w:val="19"/>
          <w:color w:val="auto"/>
        </w:rPr>
        <w:t>. The Holder agrees that the Shares shall be subject to the Market Standoff provisions in Section 1.14 of the Investor Rights Agreement or similar agreement.</w:t>
      </w:r>
    </w:p>
    <w:p>
      <w:pPr>
        <w:spacing w:after="0" w:line="137"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7"/>
          <w:szCs w:val="17"/>
          <w:u w:val="single" w:color="auto"/>
          <w:color w:val="auto"/>
        </w:rPr>
        <w:t>No Voting Rights</w:t>
      </w:r>
      <w:r>
        <w:rPr>
          <w:rFonts w:ascii="Arial" w:cs="Arial" w:eastAsia="Arial" w:hAnsi="Arial"/>
          <w:sz w:val="17"/>
          <w:szCs w:val="17"/>
          <w:color w:val="auto"/>
        </w:rPr>
        <w:t>. Holder, as a Holder of this Warrant, will not have any voting rights until the exercise of this Warrant.</w:t>
      </w:r>
    </w:p>
    <w:p>
      <w:pPr>
        <w:spacing w:after="0" w:line="208"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7"/>
          <w:szCs w:val="17"/>
          <w:u w:val="single" w:color="auto"/>
          <w:color w:val="auto"/>
        </w:rPr>
        <w:t>Term and Automatic Conversion Upon Expiration</w:t>
      </w:r>
      <w:r>
        <w:rPr>
          <w:rFonts w:ascii="Arial" w:cs="Arial" w:eastAsia="Arial" w:hAnsi="Arial"/>
          <w:sz w:val="17"/>
          <w:szCs w:val="17"/>
          <w:color w:val="auto"/>
        </w:rPr>
        <w:t>.</w:t>
      </w:r>
    </w:p>
    <w:p>
      <w:pPr>
        <w:spacing w:after="0" w:line="208" w:lineRule="exact"/>
        <w:rPr>
          <w:sz w:val="20"/>
          <w:szCs w:val="20"/>
          <w:color w:val="auto"/>
        </w:rPr>
      </w:pPr>
    </w:p>
    <w:p>
      <w:pPr>
        <w:ind w:firstLine="1167"/>
        <w:spacing w:after="0" w:line="286" w:lineRule="auto"/>
        <w:tabs>
          <w:tab w:leader="none" w:pos="1617"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the provisions of Section 1.6 above, this Warrant is exercisable in whole or in part at any time and from time to time on or before 6:00 PM, Pacific time, on the Expiration Date and shall be void thereafter.</w:t>
      </w:r>
    </w:p>
    <w:p>
      <w:pPr>
        <w:spacing w:after="0" w:line="136" w:lineRule="exact"/>
        <w:rPr>
          <w:rFonts w:ascii="Arial" w:cs="Arial" w:eastAsia="Arial" w:hAnsi="Arial"/>
          <w:sz w:val="19"/>
          <w:szCs w:val="19"/>
          <w:color w:val="auto"/>
        </w:rPr>
      </w:pPr>
    </w:p>
    <w:p>
      <w:pPr>
        <w:jc w:val="both"/>
        <w:ind w:firstLine="1167"/>
        <w:spacing w:after="0" w:line="280" w:lineRule="auto"/>
        <w:tabs>
          <w:tab w:leader="none" w:pos="1664"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301" w:right="339" w:bottom="1440" w:gutter="0" w:footer="0" w:header="0"/>
        </w:sectPr>
      </w:pPr>
    </w:p>
    <w:bookmarkStart w:id="303" w:name="page304"/>
    <w:bookmarkEnd w:id="303"/>
    <w:p>
      <w:pPr>
        <w:ind w:right="20" w:firstLine="1169"/>
        <w:spacing w:after="0" w:line="28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Legends</w:t>
      </w:r>
      <w:r>
        <w:rPr>
          <w:rFonts w:ascii="Arial" w:cs="Arial" w:eastAsia="Arial" w:hAnsi="Arial"/>
          <w:sz w:val="19"/>
          <w:szCs w:val="19"/>
          <w:color w:val="auto"/>
        </w:rPr>
        <w:t>. The Shares (and the securities issuable, directly or indirectly, upon conversion of the Shares, if any) shall be imprinted with a legend in substantially the following form:</w:t>
      </w:r>
    </w:p>
    <w:p>
      <w:pPr>
        <w:spacing w:after="0" w:line="137" w:lineRule="exact"/>
        <w:rPr>
          <w:sz w:val="20"/>
          <w:szCs w:val="20"/>
          <w:color w:val="auto"/>
        </w:rPr>
      </w:pPr>
    </w:p>
    <w:p>
      <w:pPr>
        <w:jc w:val="both"/>
        <w:ind w:left="1160" w:right="600"/>
        <w:spacing w:after="0" w:line="259" w:lineRule="auto"/>
        <w:rPr>
          <w:sz w:val="20"/>
          <w:szCs w:val="20"/>
          <w:color w:val="auto"/>
        </w:rPr>
      </w:pPr>
      <w:r>
        <w:rPr>
          <w:rFonts w:ascii="Arial" w:cs="Arial" w:eastAsia="Arial" w:hAnsi="Arial"/>
          <w:sz w:val="19"/>
          <w:szCs w:val="19"/>
          <w:color w:val="auto"/>
        </w:rPr>
        <w:t>THE SHARES EVIDENCED BY THIS CERTIFICATE HAVE NOT BEEN REGISTERED UNDER THE SECURITIES ACT OF 1933, AS AMENDED (THE “</w:t>
      </w:r>
      <w:r>
        <w:rPr>
          <w:rFonts w:ascii="Arial" w:cs="Arial" w:eastAsia="Arial" w:hAnsi="Arial"/>
          <w:sz w:val="19"/>
          <w:szCs w:val="19"/>
          <w:b w:val="1"/>
          <w:bCs w:val="1"/>
          <w:u w:val="single" w:color="auto"/>
          <w:color w:val="auto"/>
        </w:rPr>
        <w:t>ACT</w:t>
      </w:r>
      <w:r>
        <w:rPr>
          <w:rFonts w:ascii="Arial" w:cs="Arial" w:eastAsia="Arial" w:hAnsi="Arial"/>
          <w:sz w:val="19"/>
          <w:szCs w:val="19"/>
          <w:color w:val="auto"/>
        </w:rPr>
        <w:t>”), OR THE SECURITIES LAWS OF ANY STATE AND, EXCEPT AS SET FORTH IN THAT CERTAIN WARRANT TO PURCHASE COMMON STOCK ISSUED BY THE ISSUER TO SILICON VALLEY BANK DATED SEPTEMBER __, 2013, MAY NOT BE OFFERED, SOLD, PLEDGED OR OTHERWISE TRANSFERRED UNLESS AND UNTIL REGISTERED UNDER SAID ACT AND LAWS OR IN FORM AND SUBSTANCE SATISFACTORY TO THE ISSUER, SUCH OFFER, SALE, PLEDGE OR OTHER TRANSFER IS EXEMPT FROM SUCH REGISTRATION.</w:t>
      </w:r>
    </w:p>
    <w:p>
      <w:pPr>
        <w:spacing w:after="0" w:line="164" w:lineRule="exact"/>
        <w:rPr>
          <w:sz w:val="20"/>
          <w:szCs w:val="20"/>
          <w:color w:val="auto"/>
        </w:rPr>
      </w:pPr>
    </w:p>
    <w:p>
      <w:pPr>
        <w:jc w:val="both"/>
        <w:ind w:firstLine="1169"/>
        <w:spacing w:after="0" w:line="25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7" w:lineRule="exact"/>
        <w:rPr>
          <w:sz w:val="20"/>
          <w:szCs w:val="20"/>
          <w:color w:val="auto"/>
        </w:rPr>
      </w:pPr>
    </w:p>
    <w:p>
      <w:pPr>
        <w:jc w:val="both"/>
        <w:ind w:firstLine="1169"/>
        <w:spacing w:after="0" w:line="27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Transfer Procedure</w:t>
      </w:r>
      <w:r>
        <w:rPr>
          <w:rFonts w:ascii="Arial" w:cs="Arial" w:eastAsia="Arial" w:hAnsi="Arial"/>
          <w:sz w:val="18"/>
          <w:szCs w:val="18"/>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320" w:top="1301" w:right="319" w:bottom="1440" w:gutter="0" w:footer="0" w:header="0"/>
        </w:sectPr>
      </w:pPr>
    </w:p>
    <w:bookmarkStart w:id="304" w:name="page305"/>
    <w:bookmarkEnd w:id="304"/>
    <w:p>
      <w:pPr>
        <w:jc w:val="both"/>
        <w:spacing w:after="0" w:line="270" w:lineRule="auto"/>
        <w:rPr>
          <w:sz w:val="20"/>
          <w:szCs w:val="20"/>
          <w:color w:val="auto"/>
        </w:rPr>
      </w:pPr>
      <w:r>
        <w:rPr>
          <w:rFonts w:ascii="Arial" w:cs="Arial" w:eastAsia="Arial" w:hAnsi="Arial"/>
          <w:sz w:val="19"/>
          <w:szCs w:val="19"/>
          <w:color w:val="auto"/>
        </w:rPr>
        <w:t>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52" w:lineRule="exact"/>
        <w:rPr>
          <w:sz w:val="20"/>
          <w:szCs w:val="20"/>
          <w:color w:val="auto"/>
        </w:rPr>
      </w:pPr>
    </w:p>
    <w:p>
      <w:pPr>
        <w:jc w:val="both"/>
        <w:ind w:right="20" w:firstLine="1169"/>
        <w:spacing w:after="0" w:line="25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213"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SVB Financial Group</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Attn: Treasury Department</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3003 Tasman Drive, HC 215</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Santa Clara, CA 95054</w:t>
      </w:r>
    </w:p>
    <w:p>
      <w:pPr>
        <w:spacing w:after="0" w:line="62" w:lineRule="exact"/>
        <w:rPr>
          <w:sz w:val="20"/>
          <w:szCs w:val="20"/>
          <w:color w:val="auto"/>
        </w:rPr>
      </w:pPr>
    </w:p>
    <w:tbl>
      <w:tblPr>
        <w:tblLayout w:type="fixed"/>
        <w:tblInd w:w="1760" w:type="dxa"/>
        <w:tblCellMar>
          <w:top w:w="0" w:type="dxa"/>
          <w:left w:w="0" w:type="dxa"/>
          <w:bottom w:w="0" w:type="dxa"/>
          <w:right w:w="0" w:type="dxa"/>
        </w:tblCellMar>
      </w:tblPr>
      <w:tr>
        <w:trPr>
          <w:trHeight w:val="248"/>
        </w:trPr>
        <w:tc>
          <w:tcPr>
            <w:tcW w:w="1360" w:type="dxa"/>
            <w:vAlign w:val="bottom"/>
          </w:tcPr>
          <w:p>
            <w:pPr>
              <w:spacing w:after="0"/>
              <w:rPr>
                <w:sz w:val="20"/>
                <w:szCs w:val="20"/>
                <w:color w:val="auto"/>
              </w:rPr>
            </w:pPr>
            <w:r>
              <w:rPr>
                <w:rFonts w:ascii="Arial" w:cs="Arial" w:eastAsia="Arial" w:hAnsi="Arial"/>
                <w:sz w:val="19"/>
                <w:szCs w:val="19"/>
                <w:color w:val="auto"/>
              </w:rPr>
              <w:t>Telephone:</w:t>
            </w:r>
          </w:p>
        </w:tc>
        <w:tc>
          <w:tcPr>
            <w:tcW w:w="1880" w:type="dxa"/>
            <w:vAlign w:val="bottom"/>
          </w:tcPr>
          <w:p>
            <w:pPr>
              <w:ind w:left="200"/>
              <w:spacing w:after="0"/>
              <w:rPr>
                <w:sz w:val="20"/>
                <w:szCs w:val="20"/>
                <w:color w:val="auto"/>
              </w:rPr>
            </w:pPr>
            <w:r>
              <w:rPr>
                <w:rFonts w:ascii="Arial" w:cs="Arial" w:eastAsia="Arial" w:hAnsi="Arial"/>
                <w:sz w:val="19"/>
                <w:szCs w:val="19"/>
                <w:color w:val="auto"/>
              </w:rPr>
              <w:t>(408) 654-7400</w:t>
            </w:r>
          </w:p>
        </w:tc>
      </w:tr>
      <w:tr>
        <w:trPr>
          <w:trHeight w:val="280"/>
        </w:trPr>
        <w:tc>
          <w:tcPr>
            <w:tcW w:w="1360" w:type="dxa"/>
            <w:vAlign w:val="bottom"/>
          </w:tcPr>
          <w:p>
            <w:pPr>
              <w:spacing w:after="0"/>
              <w:rPr>
                <w:sz w:val="20"/>
                <w:szCs w:val="20"/>
                <w:color w:val="auto"/>
              </w:rPr>
            </w:pPr>
            <w:r>
              <w:rPr>
                <w:rFonts w:ascii="Arial" w:cs="Arial" w:eastAsia="Arial" w:hAnsi="Arial"/>
                <w:sz w:val="19"/>
                <w:szCs w:val="19"/>
                <w:color w:val="auto"/>
              </w:rPr>
              <w:t>Facsimile:</w:t>
            </w:r>
          </w:p>
        </w:tc>
        <w:tc>
          <w:tcPr>
            <w:tcW w:w="1880" w:type="dxa"/>
            <w:vAlign w:val="bottom"/>
          </w:tcPr>
          <w:p>
            <w:pPr>
              <w:ind w:left="200"/>
              <w:spacing w:after="0"/>
              <w:rPr>
                <w:sz w:val="20"/>
                <w:szCs w:val="20"/>
                <w:color w:val="auto"/>
              </w:rPr>
            </w:pPr>
            <w:r>
              <w:rPr>
                <w:rFonts w:ascii="Arial" w:cs="Arial" w:eastAsia="Arial" w:hAnsi="Arial"/>
                <w:sz w:val="19"/>
                <w:szCs w:val="19"/>
                <w:color w:val="auto"/>
              </w:rPr>
              <w:t>(408) 988-8317</w:t>
            </w:r>
          </w:p>
        </w:tc>
      </w:tr>
      <w:tr>
        <w:trPr>
          <w:trHeight w:val="280"/>
        </w:trPr>
        <w:tc>
          <w:tcPr>
            <w:tcW w:w="1360" w:type="dxa"/>
            <w:vAlign w:val="bottom"/>
          </w:tcPr>
          <w:p>
            <w:pPr>
              <w:spacing w:after="0"/>
              <w:rPr>
                <w:sz w:val="20"/>
                <w:szCs w:val="20"/>
                <w:color w:val="auto"/>
              </w:rPr>
            </w:pPr>
            <w:r>
              <w:rPr>
                <w:rFonts w:ascii="Arial" w:cs="Arial" w:eastAsia="Arial" w:hAnsi="Arial"/>
                <w:sz w:val="19"/>
                <w:szCs w:val="19"/>
                <w:color w:val="auto"/>
              </w:rPr>
              <w:t>Email address:</w:t>
            </w:r>
          </w:p>
        </w:tc>
        <w:tc>
          <w:tcPr>
            <w:tcW w:w="1880" w:type="dxa"/>
            <w:vAlign w:val="bottom"/>
          </w:tcPr>
          <w:p>
            <w:pPr>
              <w:ind w:left="200"/>
              <w:spacing w:after="0"/>
              <w:rPr>
                <w:sz w:val="20"/>
                <w:szCs w:val="20"/>
                <w:color w:val="auto"/>
              </w:rPr>
            </w:pPr>
            <w:r>
              <w:rPr>
                <w:rFonts w:ascii="Arial" w:cs="Arial" w:eastAsia="Arial" w:hAnsi="Arial"/>
                <w:sz w:val="19"/>
                <w:szCs w:val="19"/>
                <w:color w:val="auto"/>
                <w:w w:val="91"/>
              </w:rPr>
              <w:t>derivatives@svb.com</w:t>
            </w:r>
          </w:p>
        </w:tc>
      </w:tr>
    </w:tbl>
    <w:p>
      <w:pPr>
        <w:spacing w:after="0" w:line="28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Notice to the Company shall be addressed as follows until Holder receives notice of a change in address:</w:t>
      </w:r>
    </w:p>
    <w:p>
      <w:pPr>
        <w:spacing w:after="0" w:line="25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Expensify, Inc</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Attn: Chief Executive Officer</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88 Kearny Street, #1600</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San Francisco, CA 94108</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Telephone: (971) 365-3939</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Email: dbarrett@expensify.com</w:t>
      </w:r>
    </w:p>
    <w:p>
      <w:pPr>
        <w:spacing w:after="0" w:line="305"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With a copy (which shall not constitute notice) to:</w:t>
      </w:r>
    </w:p>
    <w:p>
      <w:pPr>
        <w:spacing w:after="0" w:line="20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Silicon Legal Strategy, A Professional Corporation</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Attn: Andre Gharakhanian, Esq.</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90 New Montgomery Street, Suite 500</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San Francisco, CA 94105</w:t>
      </w:r>
    </w:p>
    <w:p>
      <w:pPr>
        <w:spacing w:after="0" w:line="62" w:lineRule="exact"/>
        <w:rPr>
          <w:sz w:val="20"/>
          <w:szCs w:val="20"/>
          <w:color w:val="auto"/>
        </w:rPr>
      </w:pPr>
    </w:p>
    <w:tbl>
      <w:tblPr>
        <w:tblLayout w:type="fixed"/>
        <w:tblInd w:w="1760" w:type="dxa"/>
        <w:tblCellMar>
          <w:top w:w="0" w:type="dxa"/>
          <w:left w:w="0" w:type="dxa"/>
          <w:bottom w:w="0" w:type="dxa"/>
          <w:right w:w="0" w:type="dxa"/>
        </w:tblCellMar>
      </w:tblPr>
      <w:tr>
        <w:trPr>
          <w:trHeight w:val="248"/>
        </w:trPr>
        <w:tc>
          <w:tcPr>
            <w:tcW w:w="1440" w:type="dxa"/>
            <w:vAlign w:val="bottom"/>
          </w:tcPr>
          <w:p>
            <w:pPr>
              <w:spacing w:after="0"/>
              <w:rPr>
                <w:sz w:val="20"/>
                <w:szCs w:val="20"/>
                <w:color w:val="auto"/>
              </w:rPr>
            </w:pPr>
            <w:r>
              <w:rPr>
                <w:rFonts w:ascii="Arial" w:cs="Arial" w:eastAsia="Arial" w:hAnsi="Arial"/>
                <w:sz w:val="19"/>
                <w:szCs w:val="19"/>
                <w:color w:val="auto"/>
              </w:rPr>
              <w:t>Telephone:</w:t>
            </w:r>
          </w:p>
        </w:tc>
        <w:tc>
          <w:tcPr>
            <w:tcW w:w="2160" w:type="dxa"/>
            <w:vAlign w:val="bottom"/>
          </w:tcPr>
          <w:p>
            <w:pPr>
              <w:ind w:left="280"/>
              <w:spacing w:after="0"/>
              <w:rPr>
                <w:sz w:val="20"/>
                <w:szCs w:val="20"/>
                <w:color w:val="auto"/>
              </w:rPr>
            </w:pPr>
            <w:r>
              <w:rPr>
                <w:rFonts w:ascii="Arial" w:cs="Arial" w:eastAsia="Arial" w:hAnsi="Arial"/>
                <w:sz w:val="19"/>
                <w:szCs w:val="19"/>
                <w:color w:val="auto"/>
              </w:rPr>
              <w:t>(415) 230-0870</w:t>
            </w:r>
          </w:p>
        </w:tc>
      </w:tr>
      <w:tr>
        <w:trPr>
          <w:trHeight w:val="280"/>
        </w:trPr>
        <w:tc>
          <w:tcPr>
            <w:tcW w:w="1440" w:type="dxa"/>
            <w:vAlign w:val="bottom"/>
          </w:tcPr>
          <w:p>
            <w:pPr>
              <w:spacing w:after="0"/>
              <w:rPr>
                <w:sz w:val="20"/>
                <w:szCs w:val="20"/>
                <w:color w:val="auto"/>
              </w:rPr>
            </w:pPr>
            <w:r>
              <w:rPr>
                <w:rFonts w:ascii="Arial" w:cs="Arial" w:eastAsia="Arial" w:hAnsi="Arial"/>
                <w:sz w:val="19"/>
                <w:szCs w:val="19"/>
                <w:color w:val="auto"/>
              </w:rPr>
              <w:t>Facsimile:</w:t>
            </w:r>
          </w:p>
        </w:tc>
        <w:tc>
          <w:tcPr>
            <w:tcW w:w="2160" w:type="dxa"/>
            <w:vAlign w:val="bottom"/>
          </w:tcPr>
          <w:p>
            <w:pPr>
              <w:ind w:left="280"/>
              <w:spacing w:after="0"/>
              <w:rPr>
                <w:sz w:val="20"/>
                <w:szCs w:val="20"/>
                <w:color w:val="auto"/>
              </w:rPr>
            </w:pPr>
            <w:r>
              <w:rPr>
                <w:rFonts w:ascii="Arial" w:cs="Arial" w:eastAsia="Arial" w:hAnsi="Arial"/>
                <w:sz w:val="19"/>
                <w:szCs w:val="19"/>
                <w:color w:val="auto"/>
              </w:rPr>
              <w:t>(415) 230-0870</w:t>
            </w:r>
          </w:p>
        </w:tc>
      </w:tr>
      <w:tr>
        <w:trPr>
          <w:trHeight w:val="280"/>
        </w:trPr>
        <w:tc>
          <w:tcPr>
            <w:tcW w:w="1440" w:type="dxa"/>
            <w:vAlign w:val="bottom"/>
          </w:tcPr>
          <w:p>
            <w:pPr>
              <w:spacing w:after="0"/>
              <w:rPr>
                <w:sz w:val="20"/>
                <w:szCs w:val="20"/>
                <w:color w:val="auto"/>
              </w:rPr>
            </w:pPr>
            <w:r>
              <w:rPr>
                <w:rFonts w:ascii="Arial" w:cs="Arial" w:eastAsia="Arial" w:hAnsi="Arial"/>
                <w:sz w:val="19"/>
                <w:szCs w:val="19"/>
                <w:color w:val="auto"/>
              </w:rPr>
              <w:t>Email address:</w:t>
            </w:r>
          </w:p>
        </w:tc>
        <w:tc>
          <w:tcPr>
            <w:tcW w:w="2160" w:type="dxa"/>
            <w:vAlign w:val="bottom"/>
          </w:tcPr>
          <w:p>
            <w:pPr>
              <w:ind w:left="280"/>
              <w:spacing w:after="0"/>
              <w:rPr>
                <w:sz w:val="20"/>
                <w:szCs w:val="20"/>
                <w:color w:val="auto"/>
              </w:rPr>
            </w:pPr>
            <w:r>
              <w:rPr>
                <w:rFonts w:ascii="Arial" w:cs="Arial" w:eastAsia="Arial" w:hAnsi="Arial"/>
                <w:sz w:val="19"/>
                <w:szCs w:val="19"/>
                <w:color w:val="auto"/>
                <w:w w:val="92"/>
              </w:rPr>
              <w:t>andre@siliconlegal.com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0"/>
          </w:cols>
          <w:pgMar w:left="320" w:top="1301" w:right="319" w:bottom="1440" w:gutter="0" w:footer="0" w:header="0"/>
        </w:sectPr>
      </w:pPr>
    </w:p>
    <w:bookmarkStart w:id="305" w:name="page306"/>
    <w:bookmarkEnd w:id="305"/>
    <w:p>
      <w:pPr>
        <w:jc w:val="both"/>
        <w:ind w:firstLine="1169"/>
        <w:spacing w:after="0" w:line="270"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Waiver</w:t>
      </w:r>
      <w:r>
        <w:rPr>
          <w:rFonts w:ascii="Arial" w:cs="Arial" w:eastAsia="Arial" w:hAnsi="Arial"/>
          <w:sz w:val="19"/>
          <w:szCs w:val="19"/>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52" w:lineRule="exact"/>
        <w:rPr>
          <w:sz w:val="20"/>
          <w:szCs w:val="20"/>
          <w:color w:val="auto"/>
        </w:rPr>
      </w:pPr>
    </w:p>
    <w:p>
      <w:pPr>
        <w:jc w:val="both"/>
        <w:ind w:firstLine="1169"/>
        <w:spacing w:after="0" w:line="270"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Attorneys’ Fees</w:t>
      </w:r>
      <w:r>
        <w:rPr>
          <w:rFonts w:ascii="Arial" w:cs="Arial" w:eastAsia="Arial" w:hAnsi="Arial"/>
          <w:sz w:val="19"/>
          <w:szCs w:val="19"/>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52" w:lineRule="exact"/>
        <w:rPr>
          <w:sz w:val="20"/>
          <w:szCs w:val="20"/>
          <w:color w:val="auto"/>
        </w:rPr>
      </w:pPr>
    </w:p>
    <w:p>
      <w:pPr>
        <w:jc w:val="both"/>
        <w:ind w:firstLine="1169"/>
        <w:spacing w:after="0" w:line="270"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Counterparts; Facsimile/Electronic Signatures</w:t>
      </w:r>
      <w:r>
        <w:rPr>
          <w:rFonts w:ascii="Arial" w:cs="Arial" w:eastAsia="Arial" w:hAnsi="Arial"/>
          <w:sz w:val="19"/>
          <w:szCs w:val="19"/>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52" w:lineRule="exact"/>
        <w:rPr>
          <w:sz w:val="20"/>
          <w:szCs w:val="20"/>
          <w:color w:val="auto"/>
        </w:rPr>
      </w:pPr>
    </w:p>
    <w:p>
      <w:pPr>
        <w:jc w:val="both"/>
        <w:ind w:firstLine="1169"/>
        <w:spacing w:after="0" w:line="286"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Governing Law</w:t>
      </w:r>
      <w:r>
        <w:rPr>
          <w:rFonts w:ascii="Arial" w:cs="Arial" w:eastAsia="Arial" w:hAnsi="Arial"/>
          <w:sz w:val="19"/>
          <w:szCs w:val="19"/>
          <w:color w:val="auto"/>
        </w:rPr>
        <w:t>. This Warrant shall be governed by and construed in accordance with the laws of the State of California, without giving effect to its principles regarding conflicts of law.</w:t>
      </w:r>
    </w:p>
    <w:p>
      <w:pPr>
        <w:spacing w:after="0" w:line="137" w:lineRule="exact"/>
        <w:rPr>
          <w:sz w:val="20"/>
          <w:szCs w:val="20"/>
          <w:color w:val="auto"/>
        </w:rPr>
      </w:pPr>
    </w:p>
    <w:p>
      <w:pPr>
        <w:jc w:val="both"/>
        <w:ind w:firstLine="1169"/>
        <w:spacing w:after="0" w:line="286"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Warrant are for purposes of reference only and shall not limit or otherwise affect the meaning of any provision of this Warrant.</w:t>
      </w:r>
    </w:p>
    <w:p>
      <w:pPr>
        <w:spacing w:after="0" w:line="131" w:lineRule="exact"/>
        <w:rPr>
          <w:sz w:val="20"/>
          <w:szCs w:val="20"/>
          <w:color w:val="auto"/>
        </w:rPr>
      </w:pPr>
    </w:p>
    <w:p>
      <w:pPr>
        <w:ind w:left="1160"/>
        <w:spacing w:after="0"/>
        <w:tabs>
          <w:tab w:leader="none" w:pos="1680" w:val="left"/>
        </w:tabs>
        <w:rPr>
          <w:sz w:val="20"/>
          <w:szCs w:val="20"/>
          <w:color w:val="auto"/>
        </w:rPr>
      </w:pPr>
      <w:r>
        <w:rPr>
          <w:rFonts w:ascii="Arial" w:cs="Arial" w:eastAsia="Arial" w:hAnsi="Arial"/>
          <w:sz w:val="19"/>
          <w:szCs w:val="19"/>
          <w:color w:val="auto"/>
        </w:rPr>
        <w:t>5.11</w:t>
      </w:r>
      <w:r>
        <w:rPr>
          <w:sz w:val="20"/>
          <w:szCs w:val="20"/>
          <w:color w:val="auto"/>
        </w:rPr>
        <w:tab/>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[Remainder of page left blank intentionally]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301" w:right="339" w:bottom="1440" w:gutter="0" w:footer="0" w:header="0"/>
        </w:sectPr>
      </w:pPr>
    </w:p>
    <w:bookmarkStart w:id="306" w:name="page307"/>
    <w:bookmarkEnd w:id="306"/>
    <w:p>
      <w:pPr>
        <w:ind w:firstLine="585"/>
        <w:spacing w:after="0" w:line="286" w:lineRule="auto"/>
        <w:rPr>
          <w:sz w:val="20"/>
          <w:szCs w:val="20"/>
          <w:color w:val="auto"/>
        </w:rPr>
      </w:pPr>
      <w:r>
        <w:rPr>
          <w:rFonts w:ascii="Arial" w:cs="Arial" w:eastAsia="Arial" w:hAnsi="Arial"/>
          <w:sz w:val="19"/>
          <w:szCs w:val="19"/>
          <w:color w:val="auto"/>
        </w:rPr>
        <w:t>IN WITNESS WHEREOF, the parties have caused this Warrant to Purchase Common Stock to be executed by their duly authorized representatives effective as of the Issue Date written above.</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“COMPANY”</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EXPENSIFY, INC.</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1020" w:type="dxa"/>
            <w:vAlign w:val="bottom"/>
          </w:tcPr>
          <w:p>
            <w:pPr>
              <w:spacing w:after="0"/>
              <w:rPr>
                <w:sz w:val="20"/>
                <w:szCs w:val="20"/>
                <w:color w:val="auto"/>
              </w:rPr>
            </w:pPr>
            <w:r>
              <w:rPr>
                <w:rFonts w:ascii="Arial" w:cs="Arial" w:eastAsia="Arial" w:hAnsi="Arial"/>
                <w:sz w:val="19"/>
                <w:szCs w:val="19"/>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David Barrett</w:t>
            </w:r>
          </w:p>
        </w:tc>
      </w:tr>
      <w:tr>
        <w:trPr>
          <w:trHeight w:val="496"/>
        </w:trPr>
        <w:tc>
          <w:tcPr>
            <w:tcW w:w="1020" w:type="dxa"/>
            <w:vAlign w:val="bottom"/>
          </w:tcPr>
          <w:p>
            <w:pPr>
              <w:spacing w:after="0"/>
              <w:rPr>
                <w:sz w:val="20"/>
                <w:szCs w:val="20"/>
                <w:color w:val="auto"/>
              </w:rPr>
            </w:pPr>
            <w:r>
              <w:rPr>
                <w:rFonts w:ascii="Arial" w:cs="Arial" w:eastAsia="Arial" w:hAnsi="Arial"/>
                <w:sz w:val="19"/>
                <w:szCs w:val="19"/>
                <w:color w:val="auto"/>
              </w:rPr>
              <w:t>Name:</w:t>
            </w:r>
          </w:p>
        </w:tc>
        <w:tc>
          <w:tcPr>
            <w:tcW w:w="3920" w:type="dxa"/>
            <w:vAlign w:val="bottom"/>
          </w:tcPr>
          <w:p>
            <w:pPr>
              <w:spacing w:after="0"/>
              <w:rPr>
                <w:sz w:val="20"/>
                <w:szCs w:val="20"/>
                <w:color w:val="auto"/>
              </w:rPr>
            </w:pPr>
            <w:r>
              <w:rPr>
                <w:rFonts w:ascii="Arial" w:cs="Arial" w:eastAsia="Arial" w:hAnsi="Arial"/>
                <w:sz w:val="19"/>
                <w:szCs w:val="19"/>
                <w:color w:val="auto"/>
              </w:rPr>
              <w:t>David Barrett</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Title:</w:t>
            </w:r>
          </w:p>
        </w:tc>
        <w:tc>
          <w:tcPr>
            <w:tcW w:w="3920" w:type="dxa"/>
            <w:vAlign w:val="bottom"/>
          </w:tcPr>
          <w:p>
            <w:pPr>
              <w:spacing w:after="0"/>
              <w:rPr>
                <w:sz w:val="20"/>
                <w:szCs w:val="20"/>
                <w:color w:val="auto"/>
              </w:rPr>
            </w:pPr>
            <w:r>
              <w:rPr>
                <w:rFonts w:ascii="Arial" w:cs="Arial" w:eastAsia="Arial" w:hAnsi="Arial"/>
                <w:sz w:val="19"/>
                <w:szCs w:val="19"/>
                <w:color w:val="auto"/>
              </w:rPr>
              <w:t>CEO</w:t>
            </w:r>
          </w:p>
        </w:tc>
      </w:tr>
    </w:tbl>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color w:val="auto"/>
        </w:rPr>
        <w:t>“HOLDER”</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SILICON VALLEY BANK</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1020" w:type="dxa"/>
            <w:vAlign w:val="bottom"/>
          </w:tcPr>
          <w:p>
            <w:pPr>
              <w:spacing w:after="0"/>
              <w:rPr>
                <w:sz w:val="20"/>
                <w:szCs w:val="20"/>
                <w:color w:val="auto"/>
              </w:rPr>
            </w:pPr>
            <w:r>
              <w:rPr>
                <w:rFonts w:ascii="Arial" w:cs="Arial" w:eastAsia="Arial" w:hAnsi="Arial"/>
                <w:sz w:val="19"/>
                <w:szCs w:val="19"/>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 Hardman</w:t>
            </w:r>
          </w:p>
        </w:tc>
      </w:tr>
      <w:tr>
        <w:trPr>
          <w:trHeight w:val="504"/>
        </w:trPr>
        <w:tc>
          <w:tcPr>
            <w:tcW w:w="1020" w:type="dxa"/>
            <w:vAlign w:val="bottom"/>
          </w:tcPr>
          <w:p>
            <w:pPr>
              <w:spacing w:after="0"/>
              <w:rPr>
                <w:sz w:val="20"/>
                <w:szCs w:val="20"/>
                <w:color w:val="auto"/>
              </w:rPr>
            </w:pPr>
            <w:r>
              <w:rPr>
                <w:rFonts w:ascii="Arial" w:cs="Arial" w:eastAsia="Arial" w:hAnsi="Arial"/>
                <w:sz w:val="19"/>
                <w:szCs w:val="19"/>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Dan Hardman</w:t>
            </w:r>
          </w:p>
        </w:tc>
      </w:tr>
      <w:tr>
        <w:trPr>
          <w:trHeight w:val="265"/>
        </w:trPr>
        <w:tc>
          <w:tcPr>
            <w:tcW w:w="102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Arial" w:cs="Arial" w:eastAsia="Arial" w:hAnsi="Arial"/>
                <w:sz w:val="19"/>
                <w:szCs w:val="19"/>
                <w:color w:val="auto"/>
              </w:rPr>
              <w:t>(Print)</w:t>
            </w:r>
          </w:p>
        </w:tc>
      </w:tr>
      <w:tr>
        <w:trPr>
          <w:trHeight w:val="280"/>
        </w:trPr>
        <w:tc>
          <w:tcPr>
            <w:tcW w:w="1020" w:type="dxa"/>
            <w:vAlign w:val="bottom"/>
          </w:tcPr>
          <w:p>
            <w:pPr>
              <w:spacing w:after="0"/>
              <w:rPr>
                <w:sz w:val="20"/>
                <w:szCs w:val="20"/>
                <w:color w:val="auto"/>
              </w:rPr>
            </w:pPr>
            <w:r>
              <w:rPr>
                <w:rFonts w:ascii="Arial" w:cs="Arial" w:eastAsia="Arial" w:hAnsi="Arial"/>
                <w:sz w:val="19"/>
                <w:szCs w:val="19"/>
                <w:color w:val="auto"/>
              </w:rPr>
              <w:t>Title:</w:t>
            </w:r>
          </w:p>
        </w:tc>
        <w:tc>
          <w:tcPr>
            <w:tcW w:w="392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301" w:right="33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9"/>
          <w:szCs w:val="19"/>
          <w:color w:val="auto"/>
        </w:rPr>
        <w:t>APPENDIX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NOTICE OF EXERCISE</w:t>
      </w:r>
    </w:p>
    <w:p>
      <w:pPr>
        <w:spacing w:after="0" w:line="289" w:lineRule="exact"/>
        <w:rPr>
          <w:sz w:val="20"/>
          <w:szCs w:val="20"/>
          <w:color w:val="auto"/>
        </w:rPr>
      </w:pPr>
    </w:p>
    <w:p>
      <w:pPr>
        <w:jc w:val="both"/>
        <w:ind w:firstLine="582"/>
        <w:spacing w:after="0" w:line="270" w:lineRule="auto"/>
        <w:tabs>
          <w:tab w:leader="none" w:pos="1017"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undersigned Holder hereby exercises its right purchase ___________ shares of the Common Stock of Expensify, Inc.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in accordance with the attached Warrant To Purchase Common Stock, and tenders payment of the aggregate Warrant Price for such shares as follows: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248"/>
        </w:trPr>
        <w:tc>
          <w:tcPr>
            <w:tcW w:w="14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6980" w:type="dxa"/>
            <w:vAlign w:val="bottom"/>
          </w:tcPr>
          <w:p>
            <w:pPr>
              <w:ind w:left="100"/>
              <w:spacing w:after="0"/>
              <w:rPr>
                <w:sz w:val="20"/>
                <w:szCs w:val="20"/>
                <w:color w:val="auto"/>
              </w:rPr>
            </w:pPr>
            <w:r>
              <w:rPr>
                <w:rFonts w:ascii="Arial" w:cs="Arial" w:eastAsia="Arial" w:hAnsi="Arial"/>
                <w:sz w:val="19"/>
                <w:szCs w:val="19"/>
                <w:color w:val="auto"/>
                <w:w w:val="92"/>
              </w:rPr>
              <w:t>check in the amount of $_________ payable to order of the Company enclosed herewith</w:t>
            </w:r>
          </w:p>
        </w:tc>
      </w:tr>
      <w:tr>
        <w:trPr>
          <w:trHeight w:val="426"/>
        </w:trPr>
        <w:tc>
          <w:tcPr>
            <w:tcW w:w="14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6980" w:type="dxa"/>
            <w:vAlign w:val="bottom"/>
          </w:tcPr>
          <w:p>
            <w:pPr>
              <w:ind w:left="80"/>
              <w:spacing w:after="0"/>
              <w:rPr>
                <w:sz w:val="20"/>
                <w:szCs w:val="20"/>
                <w:color w:val="auto"/>
              </w:rPr>
            </w:pPr>
            <w:r>
              <w:rPr>
                <w:rFonts w:ascii="Arial" w:cs="Arial" w:eastAsia="Arial" w:hAnsi="Arial"/>
                <w:sz w:val="19"/>
                <w:szCs w:val="19"/>
                <w:color w:val="auto"/>
              </w:rPr>
              <w:t>Wire transfer of immediately available funds to the Company’s account</w:t>
            </w:r>
          </w:p>
        </w:tc>
      </w:tr>
      <w:tr>
        <w:trPr>
          <w:trHeight w:val="426"/>
        </w:trPr>
        <w:tc>
          <w:tcPr>
            <w:tcW w:w="14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6980" w:type="dxa"/>
            <w:vAlign w:val="bottom"/>
          </w:tcPr>
          <w:p>
            <w:pPr>
              <w:ind w:left="100"/>
              <w:spacing w:after="0"/>
              <w:rPr>
                <w:sz w:val="20"/>
                <w:szCs w:val="20"/>
                <w:color w:val="auto"/>
              </w:rPr>
            </w:pPr>
            <w:r>
              <w:rPr>
                <w:rFonts w:ascii="Arial" w:cs="Arial" w:eastAsia="Arial" w:hAnsi="Arial"/>
                <w:sz w:val="19"/>
                <w:szCs w:val="19"/>
                <w:color w:val="auto"/>
              </w:rPr>
              <w:t>Cashless Exercise pursuant to Section 1.2 of the Warrant</w:t>
            </w:r>
          </w:p>
        </w:tc>
      </w:tr>
      <w:tr>
        <w:trPr>
          <w:trHeight w:val="426"/>
        </w:trPr>
        <w:tc>
          <w:tcPr>
            <w:tcW w:w="14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6980" w:type="dxa"/>
            <w:vAlign w:val="bottom"/>
          </w:tcPr>
          <w:p>
            <w:pPr>
              <w:ind w:left="100"/>
              <w:spacing w:after="0"/>
              <w:rPr>
                <w:sz w:val="20"/>
                <w:szCs w:val="20"/>
                <w:color w:val="auto"/>
              </w:rPr>
            </w:pPr>
            <w:r>
              <w:rPr>
                <w:rFonts w:ascii="Arial" w:cs="Arial" w:eastAsia="Arial" w:hAnsi="Arial"/>
                <w:sz w:val="19"/>
                <w:szCs w:val="19"/>
                <w:color w:val="auto"/>
              </w:rPr>
              <w:t>Other [Describe] __________________________________________</w:t>
            </w:r>
          </w:p>
        </w:tc>
      </w:tr>
    </w:tbl>
    <w:p>
      <w:pPr>
        <w:spacing w:after="0" w:line="179" w:lineRule="exact"/>
        <w:rPr>
          <w:sz w:val="20"/>
          <w:szCs w:val="20"/>
          <w:color w:val="auto"/>
        </w:rPr>
      </w:pPr>
    </w:p>
    <w:p>
      <w:pPr>
        <w:ind w:left="2260" w:right="3140" w:hanging="1678"/>
        <w:spacing w:after="0" w:line="834" w:lineRule="auto"/>
        <w:tabs>
          <w:tab w:leader="none" w:pos="929" w:val="left"/>
        </w:tabs>
        <w:numPr>
          <w:ilvl w:val="0"/>
          <w:numId w:val="176"/>
        </w:numPr>
        <w:rPr>
          <w:rFonts w:ascii="Arial" w:cs="Arial" w:eastAsia="Arial" w:hAnsi="Arial"/>
          <w:sz w:val="19"/>
          <w:szCs w:val="19"/>
          <w:color w:val="auto"/>
        </w:rPr>
      </w:pPr>
      <w:r>
        <w:rPr>
          <w:rFonts w:ascii="Arial" w:cs="Arial" w:eastAsia="Arial" w:hAnsi="Arial"/>
          <w:sz w:val="19"/>
          <w:szCs w:val="19"/>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285115</wp:posOffset>
            </wp:positionV>
            <wp:extent cx="404431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44315" cy="762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-23495</wp:posOffset>
            </wp:positionV>
            <wp:extent cx="404431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44315" cy="762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-518160</wp:posOffset>
            </wp:positionV>
            <wp:extent cx="404431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44315" cy="762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(Address)</w:t>
      </w:r>
    </w:p>
    <w:p>
      <w:pPr>
        <w:spacing w:after="0" w:line="317" w:lineRule="exact"/>
        <w:rPr>
          <w:sz w:val="20"/>
          <w:szCs w:val="20"/>
          <w:color w:val="auto"/>
        </w:rPr>
      </w:pPr>
    </w:p>
    <w:p>
      <w:pPr>
        <w:ind w:firstLine="582"/>
        <w:spacing w:after="0" w:line="286" w:lineRule="auto"/>
        <w:tabs>
          <w:tab w:leader="none" w:pos="989" w:val="left"/>
        </w:tabs>
        <w:numPr>
          <w:ilvl w:val="0"/>
          <w:numId w:val="177"/>
        </w:numPr>
        <w:rPr>
          <w:rFonts w:ascii="Arial" w:cs="Arial" w:eastAsia="Arial" w:hAnsi="Arial"/>
          <w:sz w:val="19"/>
          <w:szCs w:val="19"/>
          <w:color w:val="auto"/>
        </w:rPr>
      </w:pPr>
      <w:r>
        <w:rPr>
          <w:rFonts w:ascii="Arial" w:cs="Arial" w:eastAsia="Arial" w:hAnsi="Arial"/>
          <w:sz w:val="19"/>
          <w:szCs w:val="19"/>
          <w:color w:val="auto"/>
        </w:rPr>
        <w:t>By its execution below and for the benefit of the Company, Holder hereby restates each of the representations and warranties in Section 4 of the Warrant to Purchase Common Stock as of the date hereof.</w:t>
      </w:r>
    </w:p>
    <w:p>
      <w:pPr>
        <w:spacing w:after="0" w:line="186"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182880</wp:posOffset>
            </wp:positionV>
            <wp:extent cx="218059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80590" cy="76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27940</wp:posOffset>
            </wp:positionV>
            <wp:extent cx="171704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7040" cy="7620"/>
                    </a:xfrm>
                    <a:prstGeom prst="rect">
                      <a:avLst/>
                    </a:prstGeom>
                    <a:noFill/>
                  </pic:spPr>
                </pic:pic>
              </a:graphicData>
            </a:graphic>
          </wp:anchor>
        </w:drawing>
      </w:r>
    </w:p>
    <w:p>
      <w:pPr>
        <w:spacing w:after="0" w:line="285"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27940</wp:posOffset>
            </wp:positionV>
            <wp:extent cx="171704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7040" cy="7620"/>
                    </a:xfrm>
                    <a:prstGeom prst="rect">
                      <a:avLst/>
                    </a:prstGeom>
                    <a:noFill/>
                  </pic:spPr>
                </pic:pic>
              </a:graphicData>
            </a:graphic>
          </wp:anchor>
        </w:drawing>
      </w:r>
    </w:p>
    <w:p>
      <w:pPr>
        <w:spacing w:after="0" w:line="285"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27940</wp:posOffset>
            </wp:positionV>
            <wp:extent cx="171704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7040" cy="7620"/>
                    </a:xfrm>
                    <a:prstGeom prst="rect">
                      <a:avLst/>
                    </a:prstGeom>
                    <a:noFill/>
                  </pic:spPr>
                </pic:pic>
              </a:graphicData>
            </a:graphic>
          </wp:anchor>
        </w:drawing>
      </w:r>
    </w:p>
    <w:p>
      <w:pPr>
        <w:spacing w:after="0" w:line="285"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27940</wp:posOffset>
            </wp:positionV>
            <wp:extent cx="171704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70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1</w:t>
      </w:r>
    </w:p>
    <w:p>
      <w:pPr>
        <w:sectPr>
          <w:pgSz w:w="11900" w:h="16838" w:orient="portrait"/>
          <w:cols w:equalWidth="0" w:num="1">
            <w:col w:w="11240"/>
          </w:cols>
          <w:pgMar w:left="320" w:top="1301" w:right="339" w:bottom="1440" w:gutter="0" w:footer="0" w:header="0"/>
        </w:sectPr>
      </w:pPr>
    </w:p>
    <w:bookmarkStart w:id="308" w:name="page309"/>
    <w:bookmarkEnd w:id="308"/>
    <w:p>
      <w:pPr>
        <w:jc w:val="center"/>
        <w:spacing w:after="0"/>
        <w:rPr>
          <w:sz w:val="20"/>
          <w:szCs w:val="20"/>
          <w:color w:val="auto"/>
        </w:rPr>
      </w:pPr>
      <w:r>
        <w:rPr>
          <w:rFonts w:ascii="Arial" w:cs="Arial" w:eastAsia="Arial" w:hAnsi="Arial"/>
          <w:sz w:val="19"/>
          <w:szCs w:val="19"/>
          <w:color w:val="auto"/>
        </w:rPr>
        <w:t>SCHEDULE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Company Capitalization Table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Schedule 1</w:t>
      </w:r>
    </w:p>
    <w:p>
      <w:pPr>
        <w:sectPr>
          <w:pgSz w:w="11900" w:h="16838" w:orient="portrait"/>
          <w:cols w:equalWidth="0" w:num="1">
            <w:col w:w="9019"/>
          </w:cols>
          <w:pgMar w:left="1440" w:top="1301" w:right="1440" w:bottom="1440" w:gutter="0" w:footer="0" w:header="0"/>
        </w:sectPr>
      </w:pPr>
    </w:p>
    <w:bookmarkStart w:id="309" w:name="page310"/>
    <w:bookmarkEnd w:id="309"/>
    <w:p>
      <w:pPr>
        <w:jc w:val="right"/>
        <w:spacing w:after="0"/>
        <w:rPr>
          <w:sz w:val="20"/>
          <w:szCs w:val="20"/>
          <w:color w:val="auto"/>
        </w:rPr>
      </w:pPr>
      <w:r>
        <w:rPr>
          <w:rFonts w:ascii="Arial" w:cs="Arial" w:eastAsia="Arial" w:hAnsi="Arial"/>
          <w:sz w:val="16"/>
          <w:szCs w:val="16"/>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color w:val="auto"/>
        </w:rPr>
        <w:t>THIS WARRANT AND THE SHARES ISSUABLE HEREUNDER HAVE NOT BEEN REGISTERED UNDER THE SECURITIES ACT OF 1933, AS AMENDED (THE “</w:t>
      </w:r>
      <w:r>
        <w:rPr>
          <w:rFonts w:ascii="Arial" w:cs="Arial" w:eastAsia="Arial" w:hAnsi="Arial"/>
          <w:sz w:val="19"/>
          <w:szCs w:val="19"/>
          <w:b w:val="1"/>
          <w:bCs w:val="1"/>
          <w:u w:val="single" w:color="auto"/>
          <w:color w:val="auto"/>
        </w:rPr>
        <w:t>ACT</w:t>
      </w:r>
      <w:r>
        <w:rPr>
          <w:rFonts w:ascii="Arial" w:cs="Arial" w:eastAsia="Arial" w:hAnsi="Arial"/>
          <w:sz w:val="19"/>
          <w:szCs w:val="19"/>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WARRANT TO PURCHASE COMMON STOCK</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720" w:type="dxa"/>
            <w:vAlign w:val="bottom"/>
          </w:tcPr>
          <w:p>
            <w:pPr>
              <w:spacing w:after="0"/>
              <w:rPr>
                <w:sz w:val="20"/>
                <w:szCs w:val="20"/>
                <w:color w:val="auto"/>
              </w:rPr>
            </w:pPr>
            <w:r>
              <w:rPr>
                <w:rFonts w:ascii="Arial" w:cs="Arial" w:eastAsia="Arial" w:hAnsi="Arial"/>
                <w:sz w:val="19"/>
                <w:szCs w:val="19"/>
                <w:b w:val="1"/>
                <w:bCs w:val="1"/>
                <w:color w:val="auto"/>
              </w:rPr>
              <w:t>Company:</w:t>
            </w:r>
          </w:p>
        </w:tc>
        <w:tc>
          <w:tcPr>
            <w:tcW w:w="1900" w:type="dxa"/>
            <w:vAlign w:val="bottom"/>
          </w:tcPr>
          <w:p>
            <w:pPr>
              <w:ind w:left="180"/>
              <w:spacing w:after="0"/>
              <w:rPr>
                <w:sz w:val="20"/>
                <w:szCs w:val="20"/>
                <w:color w:val="auto"/>
              </w:rPr>
            </w:pPr>
            <w:r>
              <w:rPr>
                <w:rFonts w:ascii="Arial" w:cs="Arial" w:eastAsia="Arial" w:hAnsi="Arial"/>
                <w:sz w:val="19"/>
                <w:szCs w:val="19"/>
                <w:color w:val="auto"/>
              </w:rPr>
              <w:t>EXPENSIFY, INC.</w:t>
            </w:r>
          </w:p>
        </w:tc>
        <w:tc>
          <w:tcPr>
            <w:tcW w:w="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60" w:type="dxa"/>
            <w:vAlign w:val="bottom"/>
          </w:tcPr>
          <w:p>
            <w:pPr>
              <w:spacing w:after="0"/>
              <w:rPr>
                <w:sz w:val="22"/>
                <w:szCs w:val="22"/>
                <w:color w:val="auto"/>
              </w:rPr>
            </w:pPr>
          </w:p>
        </w:tc>
      </w:tr>
      <w:tr>
        <w:trPr>
          <w:trHeight w:val="258"/>
        </w:trPr>
        <w:tc>
          <w:tcPr>
            <w:tcW w:w="2720" w:type="dxa"/>
            <w:vAlign w:val="bottom"/>
          </w:tcPr>
          <w:p>
            <w:pPr>
              <w:spacing w:after="0"/>
              <w:rPr>
                <w:sz w:val="20"/>
                <w:szCs w:val="20"/>
                <w:color w:val="auto"/>
              </w:rPr>
            </w:pPr>
            <w:r>
              <w:rPr>
                <w:rFonts w:ascii="Arial" w:cs="Arial" w:eastAsia="Arial" w:hAnsi="Arial"/>
                <w:sz w:val="19"/>
                <w:szCs w:val="19"/>
                <w:b w:val="1"/>
                <w:bCs w:val="1"/>
                <w:color w:val="auto"/>
                <w:w w:val="98"/>
              </w:rPr>
              <w:t>Number of Shares of Common</w:t>
            </w:r>
          </w:p>
        </w:tc>
        <w:tc>
          <w:tcPr>
            <w:tcW w:w="1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60" w:type="dxa"/>
            <w:vAlign w:val="bottom"/>
          </w:tcPr>
          <w:p>
            <w:pPr>
              <w:spacing w:after="0"/>
              <w:rPr>
                <w:sz w:val="22"/>
                <w:szCs w:val="22"/>
                <w:color w:val="auto"/>
              </w:rPr>
            </w:pPr>
          </w:p>
        </w:tc>
      </w:tr>
      <w:tr>
        <w:trPr>
          <w:trHeight w:val="254"/>
        </w:trPr>
        <w:tc>
          <w:tcPr>
            <w:tcW w:w="2720" w:type="dxa"/>
            <w:vAlign w:val="bottom"/>
          </w:tcPr>
          <w:p>
            <w:pPr>
              <w:spacing w:after="0"/>
              <w:rPr>
                <w:sz w:val="20"/>
                <w:szCs w:val="20"/>
                <w:color w:val="auto"/>
              </w:rPr>
            </w:pPr>
            <w:r>
              <w:rPr>
                <w:rFonts w:ascii="Arial" w:cs="Arial" w:eastAsia="Arial" w:hAnsi="Arial"/>
                <w:sz w:val="19"/>
                <w:szCs w:val="19"/>
                <w:b w:val="1"/>
                <w:bCs w:val="1"/>
                <w:color w:val="auto"/>
              </w:rPr>
              <w:t>Stock:</w:t>
            </w:r>
          </w:p>
        </w:tc>
        <w:tc>
          <w:tcPr>
            <w:tcW w:w="1900" w:type="dxa"/>
            <w:vAlign w:val="bottom"/>
          </w:tcPr>
          <w:p>
            <w:pPr>
              <w:ind w:left="180"/>
              <w:spacing w:after="0"/>
              <w:rPr>
                <w:sz w:val="20"/>
                <w:szCs w:val="20"/>
                <w:color w:val="auto"/>
              </w:rPr>
            </w:pPr>
            <w:r>
              <w:rPr>
                <w:rFonts w:ascii="Arial" w:cs="Arial" w:eastAsia="Arial" w:hAnsi="Arial"/>
                <w:sz w:val="19"/>
                <w:szCs w:val="19"/>
                <w:color w:val="auto"/>
              </w:rPr>
              <w:t>13,008</w:t>
            </w:r>
          </w:p>
        </w:tc>
        <w:tc>
          <w:tcPr>
            <w:tcW w:w="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60" w:type="dxa"/>
            <w:vAlign w:val="bottom"/>
          </w:tcPr>
          <w:p>
            <w:pPr>
              <w:spacing w:after="0"/>
              <w:rPr>
                <w:sz w:val="22"/>
                <w:szCs w:val="22"/>
                <w:color w:val="auto"/>
              </w:rPr>
            </w:pPr>
          </w:p>
        </w:tc>
      </w:tr>
      <w:tr>
        <w:trPr>
          <w:trHeight w:val="280"/>
        </w:trPr>
        <w:tc>
          <w:tcPr>
            <w:tcW w:w="2720" w:type="dxa"/>
            <w:vAlign w:val="bottom"/>
          </w:tcPr>
          <w:p>
            <w:pPr>
              <w:spacing w:after="0"/>
              <w:rPr>
                <w:sz w:val="20"/>
                <w:szCs w:val="20"/>
                <w:color w:val="auto"/>
              </w:rPr>
            </w:pPr>
            <w:r>
              <w:rPr>
                <w:rFonts w:ascii="Arial" w:cs="Arial" w:eastAsia="Arial" w:hAnsi="Arial"/>
                <w:sz w:val="19"/>
                <w:szCs w:val="19"/>
                <w:b w:val="1"/>
                <w:bCs w:val="1"/>
                <w:color w:val="auto"/>
              </w:rPr>
              <w:t>Warrant Price:</w:t>
            </w:r>
          </w:p>
        </w:tc>
        <w:tc>
          <w:tcPr>
            <w:tcW w:w="1900" w:type="dxa"/>
            <w:vAlign w:val="bottom"/>
          </w:tcPr>
          <w:p>
            <w:pPr>
              <w:ind w:left="180"/>
              <w:spacing w:after="0"/>
              <w:rPr>
                <w:sz w:val="20"/>
                <w:szCs w:val="20"/>
                <w:color w:val="auto"/>
              </w:rPr>
            </w:pPr>
            <w:r>
              <w:rPr>
                <w:rFonts w:ascii="Arial" w:cs="Arial" w:eastAsia="Arial" w:hAnsi="Arial"/>
                <w:sz w:val="19"/>
                <w:szCs w:val="19"/>
                <w:color w:val="auto"/>
              </w:rPr>
              <w:t>$5.30 per share</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80"/>
        </w:trPr>
        <w:tc>
          <w:tcPr>
            <w:tcW w:w="2720" w:type="dxa"/>
            <w:vAlign w:val="bottom"/>
          </w:tcPr>
          <w:p>
            <w:pPr>
              <w:spacing w:after="0"/>
              <w:rPr>
                <w:sz w:val="20"/>
                <w:szCs w:val="20"/>
                <w:color w:val="auto"/>
              </w:rPr>
            </w:pPr>
            <w:r>
              <w:rPr>
                <w:rFonts w:ascii="Arial" w:cs="Arial" w:eastAsia="Arial" w:hAnsi="Arial"/>
                <w:sz w:val="19"/>
                <w:szCs w:val="19"/>
                <w:b w:val="1"/>
                <w:bCs w:val="1"/>
                <w:color w:val="auto"/>
              </w:rPr>
              <w:t>Issue Date:</w:t>
            </w:r>
          </w:p>
        </w:tc>
        <w:tc>
          <w:tcPr>
            <w:tcW w:w="1900" w:type="dxa"/>
            <w:vAlign w:val="bottom"/>
          </w:tcPr>
          <w:p>
            <w:pPr>
              <w:ind w:left="180"/>
              <w:spacing w:after="0"/>
              <w:rPr>
                <w:sz w:val="20"/>
                <w:szCs w:val="20"/>
                <w:color w:val="auto"/>
              </w:rPr>
            </w:pPr>
            <w:r>
              <w:rPr>
                <w:rFonts w:ascii="Arial" w:cs="Arial" w:eastAsia="Arial" w:hAnsi="Arial"/>
                <w:sz w:val="19"/>
                <w:szCs w:val="19"/>
                <w:color w:val="auto"/>
              </w:rPr>
              <w:t>December 20, 2016</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80"/>
        </w:trPr>
        <w:tc>
          <w:tcPr>
            <w:tcW w:w="2720" w:type="dxa"/>
            <w:vAlign w:val="bottom"/>
          </w:tcPr>
          <w:p>
            <w:pPr>
              <w:spacing w:after="0"/>
              <w:rPr>
                <w:sz w:val="20"/>
                <w:szCs w:val="20"/>
                <w:color w:val="auto"/>
              </w:rPr>
            </w:pPr>
            <w:r>
              <w:rPr>
                <w:rFonts w:ascii="Arial" w:cs="Arial" w:eastAsia="Arial" w:hAnsi="Arial"/>
                <w:sz w:val="19"/>
                <w:szCs w:val="19"/>
                <w:b w:val="1"/>
                <w:bCs w:val="1"/>
                <w:color w:val="auto"/>
              </w:rPr>
              <w:t>Expiration Date:</w:t>
            </w:r>
          </w:p>
        </w:tc>
        <w:tc>
          <w:tcPr>
            <w:tcW w:w="1900" w:type="dxa"/>
            <w:vAlign w:val="bottom"/>
          </w:tcPr>
          <w:p>
            <w:pPr>
              <w:ind w:left="180"/>
              <w:spacing w:after="0"/>
              <w:rPr>
                <w:sz w:val="20"/>
                <w:szCs w:val="20"/>
                <w:color w:val="auto"/>
              </w:rPr>
            </w:pPr>
            <w:r>
              <w:rPr>
                <w:rFonts w:ascii="Arial" w:cs="Arial" w:eastAsia="Arial" w:hAnsi="Arial"/>
                <w:sz w:val="19"/>
                <w:szCs w:val="19"/>
                <w:color w:val="auto"/>
              </w:rPr>
              <w:t>December 19, 2026</w:t>
            </w:r>
          </w:p>
        </w:tc>
        <w:tc>
          <w:tcPr>
            <w:tcW w:w="6420" w:type="dxa"/>
            <w:vAlign w:val="bottom"/>
            <w:gridSpan w:val="5"/>
          </w:tcPr>
          <w:p>
            <w:pPr>
              <w:ind w:left="200"/>
              <w:spacing w:after="0"/>
              <w:rPr>
                <w:sz w:val="20"/>
                <w:szCs w:val="20"/>
                <w:color w:val="auto"/>
              </w:rPr>
            </w:pPr>
            <w:r>
              <w:rPr>
                <w:rFonts w:ascii="Arial" w:cs="Arial" w:eastAsia="Arial" w:hAnsi="Arial"/>
                <w:sz w:val="19"/>
                <w:szCs w:val="19"/>
                <w:color w:val="auto"/>
              </w:rPr>
              <w:t>See also Section 5.1(b).</w:t>
            </w:r>
          </w:p>
        </w:tc>
      </w:tr>
      <w:tr>
        <w:trPr>
          <w:trHeight w:val="234"/>
        </w:trPr>
        <w:tc>
          <w:tcPr>
            <w:tcW w:w="2720" w:type="dxa"/>
            <w:vAlign w:val="bottom"/>
          </w:tcPr>
          <w:p>
            <w:pPr>
              <w:spacing w:after="0"/>
              <w:rPr>
                <w:sz w:val="20"/>
                <w:szCs w:val="20"/>
                <w:color w:val="auto"/>
              </w:rPr>
            </w:pPr>
            <w:r>
              <w:rPr>
                <w:rFonts w:ascii="Arial" w:cs="Arial" w:eastAsia="Arial" w:hAnsi="Arial"/>
                <w:sz w:val="19"/>
                <w:szCs w:val="19"/>
                <w:b w:val="1"/>
                <w:bCs w:val="1"/>
                <w:color w:val="auto"/>
              </w:rPr>
              <w:t>Credit Facility:</w:t>
            </w:r>
          </w:p>
        </w:tc>
        <w:tc>
          <w:tcPr>
            <w:tcW w:w="8320" w:type="dxa"/>
            <w:vAlign w:val="bottom"/>
            <w:gridSpan w:val="6"/>
          </w:tcPr>
          <w:p>
            <w:pPr>
              <w:ind w:left="180"/>
              <w:spacing w:after="0"/>
              <w:rPr>
                <w:sz w:val="20"/>
                <w:szCs w:val="20"/>
                <w:color w:val="auto"/>
              </w:rPr>
            </w:pPr>
            <w:r>
              <w:rPr>
                <w:rFonts w:ascii="Arial" w:cs="Arial" w:eastAsia="Arial" w:hAnsi="Arial"/>
                <w:sz w:val="19"/>
                <w:szCs w:val="19"/>
                <w:color w:val="auto"/>
              </w:rPr>
              <w:t>This Warrant to Purchase Common Stock (“</w:t>
            </w:r>
            <w:r>
              <w:rPr>
                <w:rFonts w:ascii="Arial" w:cs="Arial" w:eastAsia="Arial" w:hAnsi="Arial"/>
                <w:sz w:val="19"/>
                <w:szCs w:val="19"/>
                <w:b w:val="1"/>
                <w:bCs w:val="1"/>
                <w:color w:val="auto"/>
              </w:rPr>
              <w:t>Warrant</w:t>
            </w:r>
            <w:r>
              <w:rPr>
                <w:rFonts w:ascii="Arial" w:cs="Arial" w:eastAsia="Arial" w:hAnsi="Arial"/>
                <w:sz w:val="19"/>
                <w:szCs w:val="19"/>
                <w:color w:val="auto"/>
              </w:rPr>
              <w:t>”) is issued in connection with that certain</w:t>
            </w:r>
          </w:p>
        </w:tc>
      </w:tr>
      <w:tr>
        <w:trPr>
          <w:trHeight w:val="20"/>
        </w:trPr>
        <w:tc>
          <w:tcPr>
            <w:tcW w:w="27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35"/>
        </w:trPr>
        <w:tc>
          <w:tcPr>
            <w:tcW w:w="2720" w:type="dxa"/>
            <w:vAlign w:val="bottom"/>
          </w:tcPr>
          <w:p>
            <w:pPr>
              <w:spacing w:after="0"/>
              <w:rPr>
                <w:sz w:val="20"/>
                <w:szCs w:val="20"/>
                <w:color w:val="auto"/>
              </w:rPr>
            </w:pPr>
          </w:p>
        </w:tc>
        <w:tc>
          <w:tcPr>
            <w:tcW w:w="8320" w:type="dxa"/>
            <w:vAlign w:val="bottom"/>
            <w:gridSpan w:val="6"/>
          </w:tcPr>
          <w:p>
            <w:pPr>
              <w:ind w:left="180"/>
              <w:spacing w:after="0"/>
              <w:rPr>
                <w:sz w:val="20"/>
                <w:szCs w:val="20"/>
                <w:color w:val="auto"/>
              </w:rPr>
            </w:pPr>
            <w:r>
              <w:rPr>
                <w:rFonts w:ascii="Arial" w:cs="Arial" w:eastAsia="Arial" w:hAnsi="Arial"/>
                <w:sz w:val="19"/>
                <w:szCs w:val="19"/>
                <w:color w:val="auto"/>
                <w:w w:val="96"/>
              </w:rPr>
              <w:t>Amended and Restated Loan and Security Agreement of even date herewith between Silicon Valley</w:t>
            </w:r>
          </w:p>
        </w:tc>
      </w:tr>
      <w:tr>
        <w:trPr>
          <w:trHeight w:val="208"/>
        </w:trPr>
        <w:tc>
          <w:tcPr>
            <w:tcW w:w="2720" w:type="dxa"/>
            <w:vAlign w:val="bottom"/>
          </w:tcPr>
          <w:p>
            <w:pPr>
              <w:spacing w:after="0"/>
              <w:rPr>
                <w:sz w:val="18"/>
                <w:szCs w:val="18"/>
                <w:color w:val="auto"/>
              </w:rPr>
            </w:pPr>
          </w:p>
        </w:tc>
        <w:tc>
          <w:tcPr>
            <w:tcW w:w="8320" w:type="dxa"/>
            <w:vAlign w:val="bottom"/>
            <w:gridSpan w:val="6"/>
          </w:tcPr>
          <w:p>
            <w:pPr>
              <w:ind w:left="180"/>
              <w:spacing w:after="0" w:line="208" w:lineRule="exact"/>
              <w:rPr>
                <w:sz w:val="20"/>
                <w:szCs w:val="20"/>
                <w:color w:val="auto"/>
              </w:rPr>
            </w:pPr>
            <w:r>
              <w:rPr>
                <w:rFonts w:ascii="Arial" w:cs="Arial" w:eastAsia="Arial" w:hAnsi="Arial"/>
                <w:sz w:val="19"/>
                <w:szCs w:val="19"/>
                <w:color w:val="auto"/>
              </w:rPr>
              <w:t>Bank and the Company (the “</w:t>
            </w:r>
            <w:r>
              <w:rPr>
                <w:rFonts w:ascii="Arial" w:cs="Arial" w:eastAsia="Arial" w:hAnsi="Arial"/>
                <w:sz w:val="19"/>
                <w:szCs w:val="19"/>
                <w:b w:val="1"/>
                <w:bCs w:val="1"/>
                <w:color w:val="auto"/>
              </w:rPr>
              <w:t>Loan Agreement</w:t>
            </w:r>
            <w:r>
              <w:rPr>
                <w:rFonts w:ascii="Arial" w:cs="Arial" w:eastAsia="Arial" w:hAnsi="Arial"/>
                <w:sz w:val="19"/>
                <w:szCs w:val="19"/>
                <w:color w:val="auto"/>
              </w:rPr>
              <w:t>”).</w:t>
            </w:r>
          </w:p>
        </w:tc>
      </w:tr>
      <w:tr>
        <w:trPr>
          <w:trHeight w:val="20"/>
        </w:trPr>
        <w:tc>
          <w:tcPr>
            <w:tcW w:w="2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right="100" w:firstLine="585"/>
        <w:spacing w:after="0" w:line="277"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common stock (the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EXERCISE.</w:t>
      </w:r>
    </w:p>
    <w:p>
      <w:pPr>
        <w:spacing w:after="0" w:line="208"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Method of Exercise</w:t>
      </w:r>
      <w:r>
        <w:rPr>
          <w:rFonts w:ascii="Arial" w:cs="Arial" w:eastAsia="Arial" w:hAnsi="Arial"/>
          <w:sz w:val="19"/>
          <w:szCs w:val="19"/>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9" w:lineRule="exact"/>
        <w:rPr>
          <w:sz w:val="20"/>
          <w:szCs w:val="20"/>
          <w:color w:val="auto"/>
        </w:rPr>
      </w:pPr>
    </w:p>
    <w:p>
      <w:pPr>
        <w:jc w:val="both"/>
        <w:ind w:right="20" w:firstLine="585"/>
        <w:spacing w:after="0" w:line="31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1</w:t>
      </w:r>
    </w:p>
    <w:p>
      <w:pPr>
        <w:sectPr>
          <w:pgSz w:w="11900" w:h="16838" w:orient="portrait"/>
          <w:cols w:equalWidth="0" w:num="1">
            <w:col w:w="11260"/>
          </w:cols>
          <w:pgMar w:left="320" w:top="123" w:right="319" w:bottom="1440" w:gutter="0" w:footer="0" w:header="0"/>
        </w:sectPr>
      </w:pPr>
    </w:p>
    <w:bookmarkStart w:id="310" w:name="page311"/>
    <w:bookmarkEnd w:id="310"/>
    <w:p>
      <w:pPr>
        <w:ind w:right="20"/>
        <w:spacing w:after="0" w:line="286" w:lineRule="auto"/>
        <w:rPr>
          <w:sz w:val="20"/>
          <w:szCs w:val="20"/>
          <w:color w:val="auto"/>
        </w:rPr>
      </w:pPr>
      <w:r>
        <w:rPr>
          <w:rFonts w:ascii="Arial" w:cs="Arial" w:eastAsia="Arial" w:hAnsi="Arial"/>
          <w:sz w:val="19"/>
          <w:szCs w:val="19"/>
          <w:color w:val="auto"/>
        </w:rPr>
        <w:t>value of this Warrant, or portion hereof as to which this Warrant is being exercised. Thereupon, the Company shall issue to the Holder such number of fully paid and non-assessable Shares as are computed using the following formula:</w:t>
      </w:r>
    </w:p>
    <w:p>
      <w:pPr>
        <w:spacing w:after="0" w:line="186" w:lineRule="exact"/>
        <w:rPr>
          <w:sz w:val="20"/>
          <w:szCs w:val="20"/>
          <w:color w:val="auto"/>
        </w:rPr>
      </w:pPr>
    </w:p>
    <w:p>
      <w:pPr>
        <w:ind w:left="1600"/>
        <w:spacing w:after="0"/>
        <w:tabs>
          <w:tab w:leader="none" w:pos="2780" w:val="left"/>
        </w:tabs>
        <w:rPr>
          <w:sz w:val="20"/>
          <w:szCs w:val="20"/>
          <w:color w:val="auto"/>
        </w:rPr>
      </w:pPr>
      <w:r>
        <w:rPr>
          <w:rFonts w:ascii="Arial" w:cs="Arial" w:eastAsia="Arial" w:hAnsi="Arial"/>
          <w:sz w:val="19"/>
          <w:szCs w:val="19"/>
          <w:color w:val="auto"/>
        </w:rPr>
        <w:t>X =</w:t>
      </w:r>
      <w:r>
        <w:rPr>
          <w:sz w:val="20"/>
          <w:szCs w:val="20"/>
          <w:color w:val="auto"/>
        </w:rPr>
        <w:tab/>
      </w:r>
      <w:r>
        <w:rPr>
          <w:rFonts w:ascii="Arial" w:cs="Arial" w:eastAsia="Arial" w:hAnsi="Arial"/>
          <w:sz w:val="19"/>
          <w:szCs w:val="19"/>
          <w:color w:val="auto"/>
        </w:rPr>
        <w:t>Y(A-B)/A</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where:</w:t>
      </w:r>
    </w:p>
    <w:p>
      <w:pPr>
        <w:sectPr>
          <w:pgSz w:w="11900" w:h="16838" w:orient="portrait"/>
          <w:cols w:equalWidth="0" w:num="1">
            <w:col w:w="11260"/>
          </w:cols>
          <w:pgMar w:left="320" w:top="1302" w:right="319" w:bottom="1440" w:gutter="0" w:footer="0" w:header="0"/>
        </w:sectPr>
      </w:pPr>
    </w:p>
    <w:p>
      <w:pPr>
        <w:spacing w:after="0" w:line="30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X =</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to be issued to the Holder;</w:t>
      </w:r>
    </w:p>
    <w:p>
      <w:pPr>
        <w:spacing w:after="0" w:line="223" w:lineRule="exact"/>
        <w:rPr>
          <w:sz w:val="20"/>
          <w:szCs w:val="20"/>
          <w:color w:val="auto"/>
        </w:rPr>
      </w:pPr>
    </w:p>
    <w:p>
      <w:pPr>
        <w:sectPr>
          <w:pgSz w:w="11900" w:h="16838" w:orient="portrait"/>
          <w:cols w:equalWidth="0" w:num="2">
            <w:col w:w="2080" w:space="720"/>
            <w:col w:w="8460"/>
          </w:cols>
          <w:pgMar w:left="320" w:top="1302" w:right="319" w:bottom="1440" w:gutter="0" w:footer="0" w:header="0"/>
          <w:type w:val="continuous"/>
        </w:sectPr>
      </w:pPr>
    </w:p>
    <w:p>
      <w:pPr>
        <w:spacing w:after="0" w:line="10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Y =</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the number of Shares with respect to which this Warrant is being exercised (inclusive of the Shares surrendered to the Company in payment of the aggregate Warrant Price);</w:t>
      </w:r>
    </w:p>
    <w:p>
      <w:pPr>
        <w:spacing w:after="0" w:line="200" w:lineRule="exact"/>
        <w:rPr>
          <w:sz w:val="20"/>
          <w:szCs w:val="20"/>
          <w:color w:val="auto"/>
        </w:rPr>
      </w:pPr>
    </w:p>
    <w:p>
      <w:pPr>
        <w:sectPr>
          <w:pgSz w:w="11900" w:h="16838" w:orient="portrait"/>
          <w:cols w:equalWidth="0" w:num="2">
            <w:col w:w="2080" w:space="720"/>
            <w:col w:w="8460"/>
          </w:cols>
          <w:pgMar w:left="320" w:top="1302" w:right="319" w:bottom="1440" w:gutter="0" w:footer="0" w:header="0"/>
          <w:type w:val="continuous"/>
        </w:sectPr>
      </w:pPr>
    </w:p>
    <w:p>
      <w:pPr>
        <w:spacing w:after="0" w:line="34"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A =</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Fair Market Value (as determined pursuant to Section 1.3 below) of one Share; and</w:t>
      </w:r>
    </w:p>
    <w:p>
      <w:pPr>
        <w:spacing w:after="0" w:line="223" w:lineRule="exact"/>
        <w:rPr>
          <w:sz w:val="20"/>
          <w:szCs w:val="20"/>
          <w:color w:val="auto"/>
        </w:rPr>
      </w:pPr>
    </w:p>
    <w:p>
      <w:pPr>
        <w:sectPr>
          <w:pgSz w:w="11900" w:h="16838" w:orient="portrait"/>
          <w:cols w:equalWidth="0" w:num="2">
            <w:col w:w="2080" w:space="720"/>
            <w:col w:w="8460"/>
          </w:cols>
          <w:pgMar w:left="320" w:top="1302" w:right="319" w:bottom="1440" w:gutter="0" w:footer="0" w:header="0"/>
          <w:type w:val="continuous"/>
        </w:sectPr>
      </w:pPr>
    </w:p>
    <w:p>
      <w:pPr>
        <w:spacing w:after="0" w:line="30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 =</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the Warrant Price.</w:t>
      </w:r>
    </w:p>
    <w:p>
      <w:pPr>
        <w:spacing w:after="0" w:line="211" w:lineRule="exact"/>
        <w:rPr>
          <w:sz w:val="20"/>
          <w:szCs w:val="20"/>
          <w:color w:val="auto"/>
        </w:rPr>
      </w:pPr>
    </w:p>
    <w:p>
      <w:pPr>
        <w:sectPr>
          <w:pgSz w:w="11900" w:h="16838" w:orient="portrait"/>
          <w:cols w:equalWidth="0" w:num="2">
            <w:col w:w="2080" w:space="720"/>
            <w:col w:w="8460"/>
          </w:cols>
          <w:pgMar w:left="320" w:top="1302" w:right="319" w:bottom="1440" w:gutter="0" w:footer="0" w:header="0"/>
          <w:type w:val="continuous"/>
        </w:sectPr>
      </w:pPr>
    </w:p>
    <w:p>
      <w:pPr>
        <w:spacing w:after="0" w:line="129" w:lineRule="exact"/>
        <w:rPr>
          <w:sz w:val="20"/>
          <w:szCs w:val="20"/>
          <w:color w:val="auto"/>
        </w:rPr>
      </w:pPr>
    </w:p>
    <w:p>
      <w:pPr>
        <w:jc w:val="both"/>
        <w:ind w:right="20" w:firstLine="585"/>
        <w:spacing w:after="0" w:line="280"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44" w:lineRule="exact"/>
        <w:rPr>
          <w:sz w:val="20"/>
          <w:szCs w:val="20"/>
          <w:color w:val="auto"/>
        </w:rPr>
      </w:pPr>
    </w:p>
    <w:p>
      <w:pPr>
        <w:jc w:val="both"/>
        <w:ind w:right="20" w:firstLine="585"/>
        <w:spacing w:after="0" w:line="29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36" w:lineRule="exact"/>
        <w:rPr>
          <w:sz w:val="20"/>
          <w:szCs w:val="20"/>
          <w:color w:val="auto"/>
        </w:rPr>
      </w:pPr>
    </w:p>
    <w:p>
      <w:pPr>
        <w:jc w:val="both"/>
        <w:ind w:firstLine="585"/>
        <w:spacing w:after="0" w:line="28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41"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02" w:lineRule="exact"/>
        <w:rPr>
          <w:sz w:val="20"/>
          <w:szCs w:val="20"/>
          <w:color w:val="auto"/>
        </w:rPr>
      </w:pPr>
    </w:p>
    <w:p>
      <w:pPr>
        <w:ind w:left="1740" w:hanging="573"/>
        <w:spacing w:after="0"/>
        <w:tabs>
          <w:tab w:leader="none" w:pos="17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 means any transaction or series of related transactions</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involving: (i) the sale, lease, exclusive license,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1302" w:right="319" w:bottom="1440" w:gutter="0" w:footer="0" w:header="0"/>
          <w:type w:val="continuous"/>
        </w:sectPr>
      </w:pPr>
    </w:p>
    <w:bookmarkStart w:id="311" w:name="page312"/>
    <w:bookmarkEnd w:id="311"/>
    <w:p>
      <w:pPr>
        <w:jc w:val="both"/>
        <w:spacing w:after="0" w:line="260" w:lineRule="auto"/>
        <w:rPr>
          <w:sz w:val="20"/>
          <w:szCs w:val="20"/>
          <w:color w:val="auto"/>
        </w:rPr>
      </w:pPr>
      <w:r>
        <w:rPr>
          <w:rFonts w:ascii="Arial" w:cs="Arial" w:eastAsia="Arial" w:hAnsi="Arial"/>
          <w:sz w:val="19"/>
          <w:szCs w:val="19"/>
          <w:color w:val="auto"/>
        </w:rPr>
        <w:t>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63" w:lineRule="exact"/>
        <w:rPr>
          <w:sz w:val="20"/>
          <w:szCs w:val="20"/>
          <w:color w:val="auto"/>
        </w:rPr>
      </w:pPr>
    </w:p>
    <w:p>
      <w:pPr>
        <w:jc w:val="both"/>
        <w:ind w:firstLine="1167"/>
        <w:spacing w:after="0" w:line="262" w:lineRule="auto"/>
        <w:tabs>
          <w:tab w:leader="none" w:pos="1701"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59" w:lineRule="exact"/>
        <w:rPr>
          <w:rFonts w:ascii="Arial" w:cs="Arial" w:eastAsia="Arial" w:hAnsi="Arial"/>
          <w:sz w:val="19"/>
          <w:szCs w:val="19"/>
          <w:color w:val="auto"/>
        </w:rPr>
      </w:pPr>
    </w:p>
    <w:p>
      <w:pPr>
        <w:jc w:val="both"/>
        <w:ind w:firstLine="1167"/>
        <w:spacing w:after="0" w:line="292" w:lineRule="auto"/>
        <w:tabs>
          <w:tab w:leader="none" w:pos="159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36" w:lineRule="exact"/>
        <w:rPr>
          <w:rFonts w:ascii="Arial" w:cs="Arial" w:eastAsia="Arial" w:hAnsi="Arial"/>
          <w:sz w:val="17"/>
          <w:szCs w:val="17"/>
          <w:color w:val="auto"/>
        </w:rPr>
      </w:pPr>
    </w:p>
    <w:p>
      <w:pPr>
        <w:jc w:val="both"/>
        <w:ind w:firstLine="1167"/>
        <w:spacing w:after="0" w:line="262" w:lineRule="auto"/>
        <w:tabs>
          <w:tab w:leader="none" w:pos="1711" w:val="left"/>
        </w:tabs>
        <w:numPr>
          <w:ilvl w:val="0"/>
          <w:numId w:val="179"/>
        </w:numPr>
        <w:rPr>
          <w:rFonts w:ascii="Arial" w:cs="Arial" w:eastAsia="Arial" w:hAnsi="Arial"/>
          <w:sz w:val="19"/>
          <w:szCs w:val="19"/>
          <w:color w:val="auto"/>
        </w:rPr>
      </w:pPr>
      <w:r>
        <w:rPr>
          <w:rFonts w:ascii="Arial" w:cs="Arial" w:eastAsia="Arial" w:hAnsi="Arial"/>
          <w:sz w:val="19"/>
          <w:szCs w:val="19"/>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3" w:lineRule="exact"/>
        <w:rPr>
          <w:rFonts w:ascii="Arial" w:cs="Arial" w:eastAsia="Arial" w:hAnsi="Arial"/>
          <w:sz w:val="19"/>
          <w:szCs w:val="19"/>
          <w:color w:val="auto"/>
        </w:rPr>
      </w:pPr>
    </w:p>
    <w:p>
      <w:pPr>
        <w:jc w:val="both"/>
        <w:ind w:firstLine="1167"/>
        <w:spacing w:after="0" w:line="273" w:lineRule="auto"/>
        <w:tabs>
          <w:tab w:leader="none" w:pos="1575" w:val="left"/>
        </w:tabs>
        <w:numPr>
          <w:ilvl w:val="0"/>
          <w:numId w:val="179"/>
        </w:numPr>
        <w:rPr>
          <w:rFonts w:ascii="Arial" w:cs="Arial" w:eastAsia="Arial" w:hAnsi="Arial"/>
          <w:sz w:val="19"/>
          <w:szCs w:val="19"/>
          <w:color w:val="auto"/>
        </w:rPr>
      </w:pPr>
      <w:r>
        <w:rPr>
          <w:rFonts w:ascii="Arial" w:cs="Arial" w:eastAsia="Arial" w:hAnsi="Arial"/>
          <w:sz w:val="19"/>
          <w:szCs w:val="19"/>
          <w:color w:val="auto"/>
        </w:rPr>
        <w:t>As used in this Warrant,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01" w:right="339" w:bottom="1440" w:gutter="0" w:footer="0" w:header="0"/>
        </w:sectPr>
      </w:pPr>
    </w:p>
    <w:bookmarkStart w:id="312" w:name="page313"/>
    <w:bookmarkEnd w:id="312"/>
    <w:p>
      <w:pPr>
        <w:jc w:val="both"/>
        <w:spacing w:after="0" w:line="277" w:lineRule="auto"/>
        <w:rPr>
          <w:sz w:val="20"/>
          <w:szCs w:val="20"/>
          <w:color w:val="auto"/>
        </w:rPr>
      </w:pPr>
      <w:r>
        <w:rPr>
          <w:rFonts w:ascii="Arial" w:cs="Arial" w:eastAsia="Arial" w:hAnsi="Arial"/>
          <w:sz w:val="18"/>
          <w:szCs w:val="18"/>
          <w:color w:val="auto"/>
        </w:rPr>
        <w:t>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50"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Holder’s Obligation to Execute Voting Agreement</w:t>
      </w:r>
      <w:r>
        <w:rPr>
          <w:rFonts w:ascii="Arial" w:cs="Arial" w:eastAsia="Arial" w:hAnsi="Arial"/>
          <w:sz w:val="19"/>
          <w:szCs w:val="19"/>
          <w:color w:val="auto"/>
        </w:rPr>
        <w:t>. Upon any exercise of this Warrant, as to any Shares Holder receives, Holder agrees to be bound by that certain Amended and Restated Voting Agreement, dated June 22, 2010 by and among the Company and certain of the Company’s stockholders, as the same may be amended from time to time, or similar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ADJUSTMENTS TO THE SHARES AND WARRANT PRICE.</w:t>
      </w:r>
    </w:p>
    <w:p>
      <w:pPr>
        <w:spacing w:after="0" w:line="208" w:lineRule="exact"/>
        <w:rPr>
          <w:sz w:val="20"/>
          <w:szCs w:val="20"/>
          <w:color w:val="auto"/>
        </w:rPr>
      </w:pPr>
    </w:p>
    <w:p>
      <w:pPr>
        <w:jc w:val="both"/>
        <w:ind w:firstLine="585"/>
        <w:spacing w:after="0" w:line="25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xml:space="preserve">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67" w:lineRule="exact"/>
        <w:rPr>
          <w:sz w:val="20"/>
          <w:szCs w:val="20"/>
          <w:color w:val="auto"/>
        </w:rPr>
      </w:pPr>
    </w:p>
    <w:p>
      <w:pPr>
        <w:jc w:val="both"/>
        <w:ind w:right="20" w:firstLine="585"/>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50"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u w:val="single" w:color="auto"/>
          <w:color w:val="auto"/>
        </w:rPr>
        <w:t>Intentionally Omitted.</w:t>
      </w:r>
    </w:p>
    <w:p>
      <w:pPr>
        <w:spacing w:after="0" w:line="208"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u w:val="single" w:color="auto"/>
          <w:color w:val="auto"/>
        </w:rPr>
        <w:t>Intentionally Omitted.</w:t>
      </w:r>
    </w:p>
    <w:p>
      <w:pPr>
        <w:spacing w:after="0" w:line="208"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No Fractional Share</w:t>
      </w:r>
      <w:r>
        <w:rPr>
          <w:rFonts w:ascii="Arial" w:cs="Arial" w:eastAsia="Arial" w:hAnsi="Arial"/>
          <w:sz w:val="19"/>
          <w:szCs w:val="19"/>
          <w:color w:val="auto"/>
        </w:rPr>
        <w:t>. No fractional Share shall be issuable upon exercise of this Warrant and the number of Shares to be issued shall be rounded down to the nearest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1301" w:right="319" w:bottom="1440" w:gutter="0" w:footer="0" w:header="0"/>
        </w:sectPr>
      </w:pPr>
    </w:p>
    <w:bookmarkStart w:id="313" w:name="page314"/>
    <w:bookmarkEnd w:id="313"/>
    <w:p>
      <w:pPr>
        <w:jc w:val="both"/>
        <w:spacing w:after="0" w:line="270" w:lineRule="auto"/>
        <w:rPr>
          <w:sz w:val="20"/>
          <w:szCs w:val="20"/>
          <w:color w:val="auto"/>
        </w:rPr>
      </w:pPr>
      <w:r>
        <w:rPr>
          <w:rFonts w:ascii="Arial" w:cs="Arial" w:eastAsia="Arial" w:hAnsi="Arial"/>
          <w:sz w:val="19"/>
          <w:szCs w:val="19"/>
          <w:color w:val="auto"/>
        </w:rPr>
        <w:t>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52"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Notice/Certificate as to Adjustments</w:t>
      </w:r>
      <w:r>
        <w:rPr>
          <w:rFonts w:ascii="Arial" w:cs="Arial" w:eastAsia="Arial" w:hAnsi="Arial"/>
          <w:sz w:val="19"/>
          <w:szCs w:val="19"/>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9"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 AND COVENANTS OF THE COMPANY.</w:t>
      </w:r>
    </w:p>
    <w:p>
      <w:pPr>
        <w:spacing w:after="0" w:line="208"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and agrees with, the Holder as follows:</w:t>
      </w:r>
    </w:p>
    <w:p>
      <w:pPr>
        <w:spacing w:after="0" w:line="208" w:lineRule="exact"/>
        <w:rPr>
          <w:sz w:val="20"/>
          <w:szCs w:val="20"/>
          <w:color w:val="auto"/>
        </w:rPr>
      </w:pPr>
    </w:p>
    <w:p>
      <w:pPr>
        <w:ind w:firstLine="1167"/>
        <w:spacing w:after="0" w:line="286" w:lineRule="auto"/>
        <w:tabs>
          <w:tab w:leader="none" w:pos="1603"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initial Warrant Price referenced on the first page of this Warrant is not greater than the price per share at which shares of Company Common Stock were valued in the most recent 409A valuation.</w:t>
      </w:r>
    </w:p>
    <w:p>
      <w:pPr>
        <w:spacing w:after="0" w:line="136" w:lineRule="exact"/>
        <w:rPr>
          <w:rFonts w:ascii="Arial" w:cs="Arial" w:eastAsia="Arial" w:hAnsi="Arial"/>
          <w:sz w:val="19"/>
          <w:szCs w:val="19"/>
          <w:color w:val="auto"/>
        </w:rPr>
      </w:pPr>
    </w:p>
    <w:p>
      <w:pPr>
        <w:jc w:val="both"/>
        <w:ind w:firstLine="1167"/>
        <w:spacing w:after="0" w:line="274" w:lineRule="auto"/>
        <w:tabs>
          <w:tab w:leader="none" w:pos="166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number of Shares for which this Warrant is exercisable on and as of the Issue Date hereof represents not less than 0.150% of the Company’s total issued and outstanding shares of common stock, calculated on and as of the Issue Date hereof on a fully-diluted, common stock-equivalent basis assuming (i) the conversion into common stock of all outstanding securities and instruments (including, without limitation, securities deemed to be outstanding pursuant to clause (ii) of this Section 3.1(b)) convertible by their terms into shares of common stock (regardless of whether such securities or instruments are by their terms now so convertible), (ii) the exercise in full of all outstanding options, warrants (including, without limitation, this Warrant) and other rights to purchase or acquire shares of common stock or securities exercisable for or convertible into shares of common stock (regardless of whether such options, warrants or other rights to purchase or acquire are by their terms then exercisable); and (iii) the inclusion of all shares of common stock reserved for issuance under all of the Company’s incentive stock and stock option plans and not then subject to outstanding grants or options.</w:t>
      </w:r>
    </w:p>
    <w:p>
      <w:pPr>
        <w:spacing w:after="0" w:line="150" w:lineRule="exact"/>
        <w:rPr>
          <w:rFonts w:ascii="Arial" w:cs="Arial" w:eastAsia="Arial" w:hAnsi="Arial"/>
          <w:sz w:val="18"/>
          <w:szCs w:val="18"/>
          <w:color w:val="auto"/>
        </w:rPr>
      </w:pPr>
    </w:p>
    <w:p>
      <w:pPr>
        <w:jc w:val="both"/>
        <w:ind w:firstLine="1167"/>
        <w:spacing w:after="0" w:line="284" w:lineRule="auto"/>
        <w:tabs>
          <w:tab w:leader="none" w:pos="159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40" w:lineRule="exact"/>
        <w:rPr>
          <w:rFonts w:ascii="Arial" w:cs="Arial" w:eastAsia="Arial" w:hAnsi="Arial"/>
          <w:sz w:val="18"/>
          <w:szCs w:val="18"/>
          <w:color w:val="auto"/>
        </w:rPr>
      </w:pPr>
    </w:p>
    <w:p>
      <w:pPr>
        <w:ind w:left="1640" w:hanging="473"/>
        <w:spacing w:after="0"/>
        <w:tabs>
          <w:tab w:leader="none" w:pos="1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Company’s capitalization table attached hereto as Schedule 1 is true and complete, in all material respects, as of the</w:t>
      </w:r>
    </w:p>
    <w:p>
      <w:pPr>
        <w:spacing w:after="0" w:line="5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01" w:right="339" w:bottom="1440" w:gutter="0" w:footer="0" w:header="0"/>
        </w:sectPr>
      </w:pPr>
    </w:p>
    <w:bookmarkStart w:id="314" w:name="page315"/>
    <w:bookmarkEnd w:id="314"/>
    <w:p>
      <w:pPr>
        <w:ind w:left="580"/>
        <w:spacing w:after="0"/>
        <w:tabs>
          <w:tab w:leader="none" w:pos="104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to:</w:t>
      </w:r>
    </w:p>
    <w:p>
      <w:pPr>
        <w:spacing w:after="0" w:line="208" w:lineRule="exact"/>
        <w:rPr>
          <w:sz w:val="20"/>
          <w:szCs w:val="20"/>
          <w:color w:val="auto"/>
        </w:rPr>
      </w:pPr>
    </w:p>
    <w:p>
      <w:pPr>
        <w:ind w:firstLine="1167"/>
        <w:spacing w:after="0" w:line="286" w:lineRule="auto"/>
        <w:tabs>
          <w:tab w:leader="none" w:pos="160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declare any dividend or distribution upon the outstanding shares of the Company’s stock, whether in cash, property, stock, or other securities and whether or not a regular cash dividend;</w:t>
      </w:r>
    </w:p>
    <w:p>
      <w:pPr>
        <w:spacing w:after="0" w:line="136" w:lineRule="exact"/>
        <w:rPr>
          <w:rFonts w:ascii="Arial" w:cs="Arial" w:eastAsia="Arial" w:hAnsi="Arial"/>
          <w:sz w:val="19"/>
          <w:szCs w:val="19"/>
          <w:color w:val="auto"/>
        </w:rPr>
      </w:pPr>
    </w:p>
    <w:p>
      <w:pPr>
        <w:ind w:firstLine="1167"/>
        <w:spacing w:after="0" w:line="286" w:lineRule="auto"/>
        <w:tabs>
          <w:tab w:leader="none" w:pos="160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offer for subscription or sale pro rata to the holders of the outstanding shares any additional shares of any class or series of the Company’s stock (other than pursuant to contractual pre-emptive rights);</w:t>
      </w:r>
    </w:p>
    <w:p>
      <w:pPr>
        <w:spacing w:after="0" w:line="136" w:lineRule="exact"/>
        <w:rPr>
          <w:rFonts w:ascii="Arial" w:cs="Arial" w:eastAsia="Arial" w:hAnsi="Arial"/>
          <w:sz w:val="19"/>
          <w:szCs w:val="19"/>
          <w:color w:val="auto"/>
        </w:rPr>
      </w:pPr>
    </w:p>
    <w:p>
      <w:pPr>
        <w:ind w:firstLine="1167"/>
        <w:spacing w:after="0" w:line="286" w:lineRule="auto"/>
        <w:tabs>
          <w:tab w:leader="none" w:pos="1602"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effect any reclassification, exchange, combination, substitution, reorganization or recapitalization of the outstanding shares of the Common Stock;</w:t>
      </w:r>
    </w:p>
    <w:p>
      <w:pPr>
        <w:spacing w:after="0" w:line="136" w:lineRule="exact"/>
        <w:rPr>
          <w:rFonts w:ascii="Arial" w:cs="Arial" w:eastAsia="Arial" w:hAnsi="Arial"/>
          <w:sz w:val="19"/>
          <w:szCs w:val="19"/>
          <w:color w:val="auto"/>
        </w:rPr>
      </w:pPr>
    </w:p>
    <w:p>
      <w:pPr>
        <w:ind w:left="1580" w:hanging="413"/>
        <w:spacing w:after="0"/>
        <w:tabs>
          <w:tab w:leader="none" w:pos="158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effect an Acquisition or to liquidate, dissolve or wind up; or</w:t>
      </w:r>
    </w:p>
    <w:p>
      <w:pPr>
        <w:spacing w:after="0" w:line="207" w:lineRule="exact"/>
        <w:rPr>
          <w:rFonts w:ascii="Arial" w:cs="Arial" w:eastAsia="Arial" w:hAnsi="Arial"/>
          <w:sz w:val="19"/>
          <w:szCs w:val="19"/>
          <w:color w:val="auto"/>
        </w:rPr>
      </w:pPr>
    </w:p>
    <w:p>
      <w:pPr>
        <w:ind w:firstLine="1167"/>
        <w:spacing w:after="0" w:line="286" w:lineRule="auto"/>
        <w:tabs>
          <w:tab w:leader="none" w:pos="1614"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effect an initial, underwritten offering and sale of its securities to the public pursuant to an effective registration statement under the Act (the “</w:t>
      </w:r>
      <w:r>
        <w:rPr>
          <w:rFonts w:ascii="Arial" w:cs="Arial" w:eastAsia="Arial" w:hAnsi="Arial"/>
          <w:sz w:val="19"/>
          <w:szCs w:val="19"/>
          <w:b w:val="1"/>
          <w:bCs w:val="1"/>
          <w:u w:val="single" w:color="auto"/>
          <w:color w:val="auto"/>
        </w:rPr>
        <w:t>IPO</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then, in connection with each such event, the Company shall give Holder:</w:t>
      </w:r>
    </w:p>
    <w:p>
      <w:pPr>
        <w:spacing w:after="0" w:line="208" w:lineRule="exact"/>
        <w:rPr>
          <w:sz w:val="20"/>
          <w:szCs w:val="20"/>
          <w:color w:val="auto"/>
        </w:rPr>
      </w:pPr>
    </w:p>
    <w:p>
      <w:pPr>
        <w:jc w:val="both"/>
        <w:ind w:left="580" w:firstLine="587"/>
        <w:spacing w:after="0" w:line="264" w:lineRule="auto"/>
        <w:tabs>
          <w:tab w:leader="none" w:pos="158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159" w:lineRule="exact"/>
        <w:rPr>
          <w:rFonts w:ascii="Arial" w:cs="Arial" w:eastAsia="Arial" w:hAnsi="Arial"/>
          <w:sz w:val="19"/>
          <w:szCs w:val="19"/>
          <w:color w:val="auto"/>
        </w:rPr>
      </w:pPr>
    </w:p>
    <w:p>
      <w:pPr>
        <w:jc w:val="both"/>
        <w:ind w:left="580" w:firstLine="587"/>
        <w:spacing w:after="0" w:line="270" w:lineRule="auto"/>
        <w:tabs>
          <w:tab w:leader="none" w:pos="1618"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w:t>
      </w:r>
    </w:p>
    <w:p>
      <w:pPr>
        <w:spacing w:after="0" w:line="151" w:lineRule="exact"/>
        <w:rPr>
          <w:rFonts w:ascii="Arial" w:cs="Arial" w:eastAsia="Arial" w:hAnsi="Arial"/>
          <w:sz w:val="19"/>
          <w:szCs w:val="19"/>
          <w:color w:val="auto"/>
        </w:rPr>
      </w:pPr>
    </w:p>
    <w:p>
      <w:pPr>
        <w:ind w:left="580" w:firstLine="587"/>
        <w:spacing w:after="0" w:line="286" w:lineRule="auto"/>
        <w:tabs>
          <w:tab w:leader="none" w:pos="1612" w:val="left"/>
        </w:tabs>
        <w:numPr>
          <w:ilvl w:val="0"/>
          <w:numId w:val="182"/>
        </w:numPr>
        <w:rPr>
          <w:rFonts w:ascii="Arial" w:cs="Arial" w:eastAsia="Arial" w:hAnsi="Arial"/>
          <w:sz w:val="19"/>
          <w:szCs w:val="19"/>
          <w:color w:val="auto"/>
        </w:rPr>
      </w:pPr>
      <w:r>
        <w:rPr>
          <w:rFonts w:ascii="Arial" w:cs="Arial" w:eastAsia="Arial" w:hAnsi="Arial"/>
          <w:sz w:val="19"/>
          <w:szCs w:val="19"/>
          <w:color w:val="auto"/>
        </w:rPr>
        <w:t>with respect to the IPO, at least seven (7) Business Days’ prior written notice of the date on which the Company proposes to file its registration statement in connection therewith.</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36"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REPRESENTATIONS, WARRANTIES OF THE HOLDER.</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Holder represents and warrants to the Company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301" w:right="339" w:bottom="1440" w:gutter="0" w:footer="0" w:header="0"/>
        </w:sectPr>
      </w:pPr>
    </w:p>
    <w:bookmarkStart w:id="315" w:name="page316"/>
    <w:bookmarkEnd w:id="315"/>
    <w:p>
      <w:pPr>
        <w:jc w:val="both"/>
        <w:ind w:right="20" w:firstLine="585"/>
        <w:spacing w:after="0" w:line="29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36"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63" w:lineRule="exact"/>
        <w:rPr>
          <w:sz w:val="20"/>
          <w:szCs w:val="20"/>
          <w:color w:val="auto"/>
        </w:rPr>
      </w:pPr>
    </w:p>
    <w:p>
      <w:pPr>
        <w:jc w:val="both"/>
        <w:ind w:right="20" w:firstLine="585"/>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Investment Experience</w:t>
      </w:r>
      <w:r>
        <w:rPr>
          <w:rFonts w:ascii="Arial" w:cs="Arial" w:eastAsia="Arial" w:hAnsi="Arial"/>
          <w:sz w:val="18"/>
          <w:szCs w:val="18"/>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50"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208" w:lineRule="exact"/>
        <w:rPr>
          <w:sz w:val="20"/>
          <w:szCs w:val="20"/>
          <w:color w:val="auto"/>
        </w:rPr>
      </w:pPr>
    </w:p>
    <w:p>
      <w:pPr>
        <w:jc w:val="both"/>
        <w:ind w:firstLine="585"/>
        <w:spacing w:after="0" w:line="280"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44"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Market Stand-off Agreement</w:t>
      </w:r>
      <w:r>
        <w:rPr>
          <w:rFonts w:ascii="Arial" w:cs="Arial" w:eastAsia="Arial" w:hAnsi="Arial"/>
          <w:sz w:val="19"/>
          <w:szCs w:val="19"/>
          <w:color w:val="auto"/>
        </w:rPr>
        <w:t>. The Holder agrees that the Shares shall be subject to the Market Standoff provisions in Section 1.14 of the Investor Rights Agreement or similar agreement.</w:t>
      </w:r>
    </w:p>
    <w:p>
      <w:pPr>
        <w:spacing w:after="0" w:line="137"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7"/>
          <w:szCs w:val="17"/>
          <w:u w:val="single" w:color="auto"/>
          <w:color w:val="auto"/>
        </w:rPr>
        <w:t>No Voting Rights</w:t>
      </w:r>
      <w:r>
        <w:rPr>
          <w:rFonts w:ascii="Arial" w:cs="Arial" w:eastAsia="Arial" w:hAnsi="Arial"/>
          <w:sz w:val="17"/>
          <w:szCs w:val="17"/>
          <w:color w:val="auto"/>
        </w:rPr>
        <w:t>. Holder, as a Holder of this Warrant, will not have any voting rights until the exercise of this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0"/>
          </w:cols>
          <w:pgMar w:left="320" w:top="1301" w:right="319" w:bottom="1440" w:gutter="0" w:footer="0" w:header="0"/>
        </w:sectPr>
      </w:pPr>
    </w:p>
    <w:bookmarkStart w:id="316" w:name="page317"/>
    <w:bookmarkEnd w:id="316"/>
    <w:p>
      <w:pPr>
        <w:ind w:left="4260"/>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MISCELLANEOUS.</w:t>
      </w:r>
    </w:p>
    <w:p>
      <w:pPr>
        <w:spacing w:after="0" w:line="208"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7"/>
          <w:szCs w:val="17"/>
          <w:u w:val="single" w:color="auto"/>
          <w:color w:val="auto"/>
        </w:rPr>
        <w:t>Term and Automatic Conversion Upon Expiration.</w:t>
      </w:r>
    </w:p>
    <w:p>
      <w:pPr>
        <w:spacing w:after="0" w:line="208" w:lineRule="exact"/>
        <w:rPr>
          <w:sz w:val="20"/>
          <w:szCs w:val="20"/>
          <w:color w:val="auto"/>
        </w:rPr>
      </w:pPr>
    </w:p>
    <w:p>
      <w:pPr>
        <w:ind w:right="20" w:firstLine="1167"/>
        <w:spacing w:after="0" w:line="286" w:lineRule="auto"/>
        <w:tabs>
          <w:tab w:leader="none" w:pos="1617"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the provisions of Section 1.6 above, this Warrant is exercisable in whole or in part at any time and from time to time on or before 6:00 PM, Pacific time, on the Expiration Date and shall be void thereafter.</w:t>
      </w:r>
    </w:p>
    <w:p>
      <w:pPr>
        <w:spacing w:after="0" w:line="136" w:lineRule="exact"/>
        <w:rPr>
          <w:rFonts w:ascii="Arial" w:cs="Arial" w:eastAsia="Arial" w:hAnsi="Arial"/>
          <w:sz w:val="19"/>
          <w:szCs w:val="19"/>
          <w:color w:val="auto"/>
        </w:rPr>
      </w:pPr>
    </w:p>
    <w:p>
      <w:pPr>
        <w:jc w:val="both"/>
        <w:ind w:right="20" w:firstLine="1167"/>
        <w:spacing w:after="0" w:line="280" w:lineRule="auto"/>
        <w:tabs>
          <w:tab w:leader="none" w:pos="1664"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44" w:lineRule="exact"/>
        <w:rPr>
          <w:sz w:val="20"/>
          <w:szCs w:val="20"/>
          <w:color w:val="auto"/>
        </w:rPr>
      </w:pPr>
    </w:p>
    <w:p>
      <w:pPr>
        <w:ind w:right="20" w:firstLine="585"/>
        <w:spacing w:after="0" w:line="28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Legends</w:t>
      </w:r>
      <w:r>
        <w:rPr>
          <w:rFonts w:ascii="Arial" w:cs="Arial" w:eastAsia="Arial" w:hAnsi="Arial"/>
          <w:sz w:val="19"/>
          <w:szCs w:val="19"/>
          <w:color w:val="auto"/>
        </w:rPr>
        <w:t>. The Shares (and the securities issuable, directly or indirectly, upon conversion of the Shares, if any) shall be imprinted with a legend in substantially the following form:</w:t>
      </w:r>
    </w:p>
    <w:p>
      <w:pPr>
        <w:spacing w:after="0" w:line="137" w:lineRule="exact"/>
        <w:rPr>
          <w:sz w:val="20"/>
          <w:szCs w:val="20"/>
          <w:color w:val="auto"/>
        </w:rPr>
      </w:pPr>
    </w:p>
    <w:p>
      <w:pPr>
        <w:jc w:val="both"/>
        <w:ind w:left="580" w:right="600"/>
        <w:spacing w:after="0" w:line="277"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COMMON STOCK ISSUED BY THE ISSUER TO SILICON VALLEY BANK DATED NOVEMBER ___, 2016, MAY NOT BE OFFERED, SOLD, PLEDGED OR OTHERWISE TRANSFERRED UNLESS AND UNTIL REGISTERED UNDER SAID ACT AND LAWS OR IN FORM AND SUBSTANCE SATISFACTORY TO THE ISSUER, SUCH OFFER, SALE, PLEDGE OR OTHER TRANSFER IS EXEMPT FROM SUCH REGISTRATION.</w:t>
      </w:r>
    </w:p>
    <w:p>
      <w:pPr>
        <w:spacing w:after="0" w:line="150" w:lineRule="exact"/>
        <w:rPr>
          <w:sz w:val="20"/>
          <w:szCs w:val="20"/>
          <w:color w:val="auto"/>
        </w:rPr>
      </w:pPr>
    </w:p>
    <w:p>
      <w:pPr>
        <w:jc w:val="both"/>
        <w:ind w:firstLine="585"/>
        <w:spacing w:after="0" w:line="25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0"/>
          </w:cols>
          <w:pgMar w:left="320" w:top="1301" w:right="319" w:bottom="1440" w:gutter="0" w:footer="0" w:header="0"/>
        </w:sectPr>
      </w:pPr>
    </w:p>
    <w:bookmarkStart w:id="317" w:name="page318"/>
    <w:bookmarkEnd w:id="317"/>
    <w:p>
      <w:pPr>
        <w:jc w:val="both"/>
        <w:ind w:firstLine="585"/>
        <w:spacing w:after="0" w:line="27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Transfer Procedure</w:t>
      </w:r>
      <w:r>
        <w:rPr>
          <w:rFonts w:ascii="Arial" w:cs="Arial" w:eastAsia="Arial" w:hAnsi="Arial"/>
          <w:sz w:val="18"/>
          <w:szCs w:val="18"/>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62" w:lineRule="exact"/>
        <w:rPr>
          <w:sz w:val="20"/>
          <w:szCs w:val="20"/>
          <w:color w:val="auto"/>
        </w:rPr>
      </w:pPr>
    </w:p>
    <w:p>
      <w:pPr>
        <w:jc w:val="both"/>
        <w:ind w:firstLine="585"/>
        <w:spacing w:after="0" w:line="25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SVB Financial Group</w:t>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Attn: Treasury Department</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3003 Tasman Drive, HC 215</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Santa Clara, CA 95054</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Telephone: (408) 654-7400</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Facsimile: (408) 988-8317</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Email address: derivatives@svb.com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301" w:right="339" w:bottom="1440" w:gutter="0" w:footer="0" w:header="0"/>
        </w:sectPr>
      </w:pPr>
    </w:p>
    <w:bookmarkStart w:id="318" w:name="page319"/>
    <w:bookmarkEnd w:id="318"/>
    <w:p>
      <w:pPr>
        <w:ind w:left="580"/>
        <w:spacing w:after="0"/>
        <w:rPr>
          <w:sz w:val="20"/>
          <w:szCs w:val="20"/>
          <w:color w:val="auto"/>
        </w:rPr>
      </w:pPr>
      <w:r>
        <w:rPr>
          <w:rFonts w:ascii="Arial" w:cs="Arial" w:eastAsia="Arial" w:hAnsi="Arial"/>
          <w:sz w:val="19"/>
          <w:szCs w:val="19"/>
          <w:color w:val="auto"/>
        </w:rPr>
        <w:t>Notice to the Company shall be addressed as follows until Holder receives notice of a change in address:</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Expensify, Inc.</w:t>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Attn: Chief Executive Officer</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88 Kearny Street, #1600</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San Francisco, CA 94108</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Telephone: (971) 365-3939</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Email: dbarrett@expensify.com</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With a copy (which shall not constitute notice) to:</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Silicon Legal Strategy, A Professional Corporation</w:t>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Attn: Andre Gharakhanian, Esq.</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90 New Montgomery Street, Suite 500</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San Francisco, CA 94105</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Telephone: (415) 230-0870</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Facsimile: (415) 520-6572</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Email: andre@siliconlegal.com</w:t>
      </w:r>
    </w:p>
    <w:p>
      <w:pPr>
        <w:spacing w:after="0" w:line="192"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Waiver</w:t>
      </w:r>
      <w:r>
        <w:rPr>
          <w:rFonts w:ascii="Arial" w:cs="Arial" w:eastAsia="Arial" w:hAnsi="Arial"/>
          <w:sz w:val="19"/>
          <w:szCs w:val="19"/>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03" w:lineRule="exact"/>
        <w:rPr>
          <w:sz w:val="20"/>
          <w:szCs w:val="20"/>
          <w:color w:val="auto"/>
        </w:rPr>
      </w:pPr>
    </w:p>
    <w:p>
      <w:pPr>
        <w:jc w:val="both"/>
        <w:ind w:firstLine="585"/>
        <w:spacing w:after="0" w:line="34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42"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Counterparts; Facsimile/Electronic Signatures</w:t>
      </w:r>
      <w:r>
        <w:rPr>
          <w:rFonts w:ascii="Arial" w:cs="Arial" w:eastAsia="Arial" w:hAnsi="Arial"/>
          <w:sz w:val="19"/>
          <w:szCs w:val="19"/>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03"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Governing Law</w:t>
      </w:r>
      <w:r>
        <w:rPr>
          <w:rFonts w:ascii="Arial" w:cs="Arial" w:eastAsia="Arial" w:hAnsi="Arial"/>
          <w:sz w:val="19"/>
          <w:szCs w:val="19"/>
          <w:color w:val="auto"/>
        </w:rPr>
        <w:t>. This Warrant shall be governed by and construed in accordance with the laws of the State of California, without giving effect to its principles regarding conflicts of law.</w:t>
      </w:r>
    </w:p>
    <w:p>
      <w:pPr>
        <w:spacing w:after="0" w:line="88"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Warrant are for purposes of reference only and shall not limit or otherwise affect the meaning of any provision of this Warrant.</w:t>
      </w:r>
    </w:p>
    <w:p>
      <w:pPr>
        <w:spacing w:after="0" w:line="82"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9"/>
          <w:szCs w:val="19"/>
          <w:color w:val="auto"/>
        </w:rPr>
        <w:t>5.11.</w:t>
      </w:r>
      <w:r>
        <w:rPr>
          <w:sz w:val="20"/>
          <w:szCs w:val="20"/>
          <w:color w:val="auto"/>
        </w:rPr>
        <w:tab/>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165"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[Remainder of page left blank intentionally]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01" w:right="339" w:bottom="1440" w:gutter="0" w:footer="0" w:header="0"/>
        </w:sectPr>
      </w:pPr>
    </w:p>
    <w:bookmarkStart w:id="319" w:name="page320"/>
    <w:bookmarkEnd w:id="319"/>
    <w:p>
      <w:pPr>
        <w:ind w:firstLine="585"/>
        <w:spacing w:after="0" w:line="286" w:lineRule="auto"/>
        <w:rPr>
          <w:sz w:val="20"/>
          <w:szCs w:val="20"/>
          <w:color w:val="auto"/>
        </w:rPr>
      </w:pPr>
      <w:r>
        <w:rPr>
          <w:rFonts w:ascii="Arial" w:cs="Arial" w:eastAsia="Arial" w:hAnsi="Arial"/>
          <w:sz w:val="19"/>
          <w:szCs w:val="19"/>
          <w:color w:val="auto"/>
        </w:rPr>
        <w:t>IN WITNESS WHEREOF, the parties have caused this Warrant to Purchase Common Stock to be executed by their duly authorized representatives effective as of the Issue Date written above.</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“COMPANY”</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EXPENSIFY, INC.</w:t>
      </w:r>
    </w:p>
    <w:p>
      <w:pPr>
        <w:spacing w:after="0" w:line="6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9"/>
          <w:szCs w:val="19"/>
          <w:color w:val="auto"/>
        </w:rPr>
        <w:t>By:</w:t>
        <w:tab/>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27940</wp:posOffset>
            </wp:positionV>
            <wp:extent cx="296989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969895" cy="7620"/>
                    </a:xfrm>
                    <a:prstGeom prst="rect">
                      <a:avLst/>
                    </a:prstGeom>
                    <a:noFill/>
                  </pic:spPr>
                </pic:pic>
              </a:graphicData>
            </a:graphic>
          </wp:anchor>
        </w:drawing>
      </w:r>
    </w:p>
    <w:p>
      <w:pPr>
        <w:spacing w:after="0" w:line="5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David Barrett</w:t>
      </w:r>
    </w:p>
    <w:p>
      <w:pPr>
        <w:spacing w:after="0" w:line="62"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CEO</w:t>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9"/>
          <w:szCs w:val="19"/>
          <w:color w:val="auto"/>
        </w:rPr>
        <w:t>“HOLDER”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SILICON VALLEY BANK</w:t>
      </w:r>
    </w:p>
    <w:p>
      <w:pPr>
        <w:spacing w:after="0" w:line="6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9"/>
          <w:szCs w:val="19"/>
          <w:color w:val="auto"/>
        </w:rPr>
        <w:t>By:</w:t>
        <w:tab/>
        <w:t>/s/ Ashlee Kaji</w:t>
      </w:r>
    </w:p>
    <w:p>
      <w:pPr>
        <w:spacing w:after="0" w:line="62"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Ashlee Kaji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27940</wp:posOffset>
            </wp:positionV>
            <wp:extent cx="296989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969895" cy="7620"/>
                    </a:xfrm>
                    <a:prstGeom prst="rect">
                      <a:avLst/>
                    </a:prstGeom>
                    <a:noFill/>
                  </pic:spPr>
                </pic:pic>
              </a:graphicData>
            </a:graphic>
          </wp:anchor>
        </w:drawing>
      </w:r>
    </w:p>
    <w:p>
      <w:pPr>
        <w:spacing w:after="0" w:line="4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(Print)</w:t>
      </w:r>
    </w:p>
    <w:p>
      <w:pPr>
        <w:spacing w:after="0" w:line="65"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27940</wp:posOffset>
            </wp:positionV>
            <wp:extent cx="309308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093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302" w:right="3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9"/>
          <w:szCs w:val="19"/>
          <w:color w:val="auto"/>
        </w:rPr>
        <w:t>APPENDIX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NOTICE OF EXERCISE</w:t>
      </w:r>
    </w:p>
    <w:p>
      <w:pPr>
        <w:spacing w:after="0" w:line="192" w:lineRule="exact"/>
        <w:rPr>
          <w:sz w:val="20"/>
          <w:szCs w:val="20"/>
          <w:color w:val="auto"/>
        </w:rPr>
      </w:pPr>
    </w:p>
    <w:p>
      <w:pPr>
        <w:ind w:left="580"/>
        <w:spacing w:after="0"/>
        <w:tabs>
          <w:tab w:leader="none" w:pos="1020" w:val="left"/>
          <w:tab w:leader="none" w:pos="692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9"/>
          <w:szCs w:val="19"/>
          <w:color w:val="auto"/>
        </w:rPr>
        <w:t>The undersigned Holder hereby exercises its right to purchase</w:t>
      </w:r>
      <w:r>
        <w:rPr>
          <w:sz w:val="20"/>
          <w:szCs w:val="20"/>
          <w:color w:val="auto"/>
        </w:rPr>
        <w:tab/>
      </w:r>
      <w:r>
        <w:rPr>
          <w:rFonts w:ascii="Arial" w:cs="Arial" w:eastAsia="Arial" w:hAnsi="Arial"/>
          <w:sz w:val="18"/>
          <w:szCs w:val="18"/>
          <w:color w:val="auto"/>
        </w:rPr>
        <w:t>shares of the Common Stock of Expensify, Inc.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-10160</wp:posOffset>
            </wp:positionV>
            <wp:extent cx="40957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09575" cy="7620"/>
                    </a:xfrm>
                    <a:prstGeom prst="rect">
                      <a:avLst/>
                    </a:prstGeom>
                    <a:noFill/>
                  </pic:spPr>
                </pic:pic>
              </a:graphicData>
            </a:graphic>
          </wp:anchor>
        </w:drawing>
      </w:r>
    </w:p>
    <w:p>
      <w:pPr>
        <w:spacing w:after="0" w:line="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in accordance with the attached Warrant To Purchase Common Stock, and tenders payment of the aggregate Warrant Price for such shares as follows:</w:t>
      </w:r>
    </w:p>
    <w:p>
      <w:pPr>
        <w:spacing w:after="0" w:line="154" w:lineRule="exact"/>
        <w:rPr>
          <w:sz w:val="20"/>
          <w:szCs w:val="20"/>
          <w:color w:val="auto"/>
        </w:rPr>
      </w:pPr>
    </w:p>
    <w:p>
      <w:pPr>
        <w:ind w:left="900" w:hanging="318"/>
        <w:spacing w:after="0"/>
        <w:tabs>
          <w:tab w:leader="none" w:pos="90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check in the amount of $______ payable to order of the Company enclosed herewith</w:t>
      </w:r>
    </w:p>
    <w:p>
      <w:pPr>
        <w:spacing w:after="0" w:line="208" w:lineRule="exact"/>
        <w:rPr>
          <w:sz w:val="20"/>
          <w:szCs w:val="20"/>
          <w:color w:val="auto"/>
        </w:rPr>
      </w:pPr>
    </w:p>
    <w:p>
      <w:pPr>
        <w:ind w:left="900" w:hanging="318"/>
        <w:spacing w:after="0"/>
        <w:tabs>
          <w:tab w:leader="none" w:pos="90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Wire transfer of immediately available funds to the Company’s account</w:t>
      </w:r>
    </w:p>
    <w:p>
      <w:pPr>
        <w:spacing w:after="0" w:line="208" w:lineRule="exact"/>
        <w:rPr>
          <w:sz w:val="20"/>
          <w:szCs w:val="20"/>
          <w:color w:val="auto"/>
        </w:rPr>
      </w:pPr>
    </w:p>
    <w:p>
      <w:pPr>
        <w:ind w:left="900" w:hanging="318"/>
        <w:spacing w:after="0"/>
        <w:tabs>
          <w:tab w:leader="none" w:pos="90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Cashless Exercise pursuant to Section 1.2 of the Warrant</w:t>
      </w:r>
    </w:p>
    <w:p>
      <w:pPr>
        <w:spacing w:after="0" w:line="208" w:lineRule="exact"/>
        <w:rPr>
          <w:sz w:val="20"/>
          <w:szCs w:val="20"/>
          <w:color w:val="auto"/>
        </w:rPr>
      </w:pPr>
    </w:p>
    <w:p>
      <w:pPr>
        <w:ind w:left="900" w:hanging="318"/>
        <w:spacing w:after="0"/>
        <w:tabs>
          <w:tab w:leader="none" w:pos="90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-10160</wp:posOffset>
            </wp:positionV>
            <wp:extent cx="86614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66140" cy="7620"/>
                    </a:xfrm>
                    <a:prstGeom prst="rect">
                      <a:avLst/>
                    </a:prstGeom>
                    <a:noFill/>
                  </pic:spPr>
                </pic:pic>
              </a:graphicData>
            </a:graphic>
          </wp:anchor>
        </w:drawing>
      </w:r>
    </w:p>
    <w:p>
      <w:pPr>
        <w:spacing w:after="0" w:line="188" w:lineRule="exact"/>
        <w:rPr>
          <w:sz w:val="20"/>
          <w:szCs w:val="20"/>
          <w:color w:val="auto"/>
        </w:rPr>
      </w:pPr>
    </w:p>
    <w:p>
      <w:pPr>
        <w:ind w:left="4380" w:right="3140" w:hanging="3798"/>
        <w:spacing w:after="0" w:line="874" w:lineRule="auto"/>
        <w:tabs>
          <w:tab w:leader="none" w:pos="929" w:val="left"/>
        </w:tabs>
        <w:numPr>
          <w:ilvl w:val="0"/>
          <w:numId w:val="188"/>
        </w:numPr>
        <w:rPr>
          <w:rFonts w:ascii="Arial" w:cs="Arial" w:eastAsia="Arial" w:hAnsi="Arial"/>
          <w:sz w:val="19"/>
          <w:szCs w:val="19"/>
          <w:color w:val="auto"/>
        </w:rPr>
      </w:pPr>
      <w:r>
        <w:rPr>
          <w:rFonts w:ascii="Arial" w:cs="Arial" w:eastAsia="Arial" w:hAnsi="Arial"/>
          <w:sz w:val="19"/>
          <w:szCs w:val="19"/>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2024380</wp:posOffset>
            </wp:positionH>
            <wp:positionV relativeFrom="paragraph">
              <wp:posOffset>14605</wp:posOffset>
            </wp:positionV>
            <wp:extent cx="346456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64560" cy="7620"/>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-170180</wp:posOffset>
            </wp:positionV>
            <wp:extent cx="346456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64560" cy="7620"/>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-564515</wp:posOffset>
            </wp:positionV>
            <wp:extent cx="346456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64560" cy="7620"/>
                    </a:xfrm>
                    <a:prstGeom prst="rect">
                      <a:avLst/>
                    </a:prstGeom>
                    <a:noFill/>
                  </pic:spPr>
                </pic:pic>
              </a:graphicData>
            </a:graphic>
          </wp:anchor>
        </w:drawing>
      </w:r>
    </w:p>
    <w:p>
      <w:pPr>
        <w:spacing w:after="0" w:line="69"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(Address)</w:t>
      </w:r>
    </w:p>
    <w:p>
      <w:pPr>
        <w:spacing w:after="0" w:line="317" w:lineRule="exact"/>
        <w:rPr>
          <w:sz w:val="20"/>
          <w:szCs w:val="20"/>
          <w:color w:val="auto"/>
        </w:rPr>
      </w:pPr>
    </w:p>
    <w:p>
      <w:pPr>
        <w:ind w:firstLine="582"/>
        <w:spacing w:after="0" w:line="286" w:lineRule="auto"/>
        <w:tabs>
          <w:tab w:leader="none" w:pos="989" w:val="left"/>
        </w:tabs>
        <w:numPr>
          <w:ilvl w:val="0"/>
          <w:numId w:val="189"/>
        </w:numPr>
        <w:rPr>
          <w:rFonts w:ascii="Arial" w:cs="Arial" w:eastAsia="Arial" w:hAnsi="Arial"/>
          <w:sz w:val="19"/>
          <w:szCs w:val="19"/>
          <w:color w:val="auto"/>
        </w:rPr>
      </w:pPr>
      <w:r>
        <w:rPr>
          <w:rFonts w:ascii="Arial" w:cs="Arial" w:eastAsia="Arial" w:hAnsi="Arial"/>
          <w:sz w:val="19"/>
          <w:szCs w:val="19"/>
          <w:color w:val="auto"/>
        </w:rPr>
        <w:t>By its execution below and for the benefit of the Company, Holder hereby restates each of the representations and warranties in Section 4 of the Warrant to Purchase Common Stock as of the date hereof.</w:t>
      </w:r>
    </w:p>
    <w:p>
      <w:pPr>
        <w:spacing w:after="0" w:line="186"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4723765</wp:posOffset>
            </wp:positionH>
            <wp:positionV relativeFrom="paragraph">
              <wp:posOffset>213360</wp:posOffset>
            </wp:positionV>
            <wp:extent cx="242062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20620" cy="7620"/>
                    </a:xfrm>
                    <a:prstGeom prst="rect">
                      <a:avLst/>
                    </a:prstGeom>
                    <a:noFill/>
                  </pic:spPr>
                </pic:pic>
              </a:graphicData>
            </a:graphic>
          </wp:anchor>
        </w:drawing>
      </w:r>
    </w:p>
    <w:p>
      <w:pPr>
        <w:spacing w:after="0" w:line="383"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4955540</wp:posOffset>
            </wp:positionH>
            <wp:positionV relativeFrom="paragraph">
              <wp:posOffset>27940</wp:posOffset>
            </wp:positionV>
            <wp:extent cx="218884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88845" cy="7620"/>
                    </a:xfrm>
                    <a:prstGeom prst="rect">
                      <a:avLst/>
                    </a:prstGeom>
                    <a:noFill/>
                  </pic:spPr>
                </pic:pic>
              </a:graphicData>
            </a:graphic>
          </wp:anchor>
        </w:drawing>
      </w:r>
    </w:p>
    <w:p>
      <w:pPr>
        <w:spacing w:after="0" w:line="90"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5118100</wp:posOffset>
            </wp:positionH>
            <wp:positionV relativeFrom="paragraph">
              <wp:posOffset>27940</wp:posOffset>
            </wp:positionV>
            <wp:extent cx="202628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90"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27940</wp:posOffset>
            </wp:positionV>
            <wp:extent cx="210375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03755" cy="7620"/>
                    </a:xfrm>
                    <a:prstGeom prst="rect">
                      <a:avLst/>
                    </a:prstGeom>
                    <a:noFill/>
                  </pic:spPr>
                </pic:pic>
              </a:graphicData>
            </a:graphic>
          </wp:anchor>
        </w:drawing>
      </w:r>
    </w:p>
    <w:p>
      <w:pPr>
        <w:spacing w:after="0" w:line="90"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5164455</wp:posOffset>
            </wp:positionH>
            <wp:positionV relativeFrom="paragraph">
              <wp:posOffset>27940</wp:posOffset>
            </wp:positionV>
            <wp:extent cx="197993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 1</w:t>
      </w:r>
    </w:p>
    <w:p>
      <w:pPr>
        <w:sectPr>
          <w:pgSz w:w="11900" w:h="16838" w:orient="portrait"/>
          <w:cols w:equalWidth="0" w:num="1">
            <w:col w:w="11240"/>
          </w:cols>
          <w:pgMar w:left="320" w:top="1301" w:right="33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9"/>
          <w:szCs w:val="19"/>
          <w:color w:val="auto"/>
        </w:rPr>
        <w:t>SCHEDULE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Company Capitalization Table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1</w:t>
      </w:r>
    </w:p>
    <w:p>
      <w:pPr>
        <w:sectPr>
          <w:pgSz w:w="11900" w:h="16838" w:orient="portrait"/>
          <w:cols w:equalWidth="0" w:num="1">
            <w:col w:w="9019"/>
          </w:cols>
          <w:pgMar w:left="1440" w:top="1301" w:right="1440" w:bottom="1440" w:gutter="0" w:footer="0" w:header="0"/>
        </w:sectPr>
      </w:pPr>
    </w:p>
    <w:bookmarkStart w:id="322" w:name="page323"/>
    <w:bookmarkEnd w:id="322"/>
    <w:p>
      <w:pPr>
        <w:jc w:val="right"/>
        <w:spacing w:after="0"/>
        <w:rPr>
          <w:sz w:val="20"/>
          <w:szCs w:val="20"/>
          <w:color w:val="auto"/>
        </w:rPr>
      </w:pPr>
      <w:r>
        <w:rPr>
          <w:rFonts w:ascii="Arial" w:cs="Arial" w:eastAsia="Arial" w:hAnsi="Arial"/>
          <w:sz w:val="16"/>
          <w:szCs w:val="16"/>
          <w:b w:val="1"/>
          <w:bCs w:val="1"/>
          <w:color w:val="auto"/>
        </w:rPr>
        <w:t>Exhibit 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VOTING TRUST AGREEMENT</w:t>
      </w:r>
    </w:p>
    <w:p>
      <w:pPr>
        <w:spacing w:after="0" w:line="208" w:lineRule="exact"/>
        <w:rPr>
          <w:sz w:val="20"/>
          <w:szCs w:val="20"/>
          <w:color w:val="auto"/>
        </w:rPr>
      </w:pPr>
    </w:p>
    <w:p>
      <w:pPr>
        <w:jc w:val="both"/>
        <w:ind w:firstLine="585"/>
        <w:spacing w:after="0" w:line="261" w:lineRule="auto"/>
        <w:rPr>
          <w:sz w:val="20"/>
          <w:szCs w:val="20"/>
          <w:color w:val="auto"/>
        </w:rPr>
      </w:pPr>
      <w:r>
        <w:rPr>
          <w:rFonts w:ascii="Arial" w:cs="Arial" w:eastAsia="Arial" w:hAnsi="Arial"/>
          <w:sz w:val="19"/>
          <w:szCs w:val="19"/>
          <w:b w:val="1"/>
          <w:bCs w:val="1"/>
          <w:color w:val="auto"/>
        </w:rPr>
        <w:t xml:space="preserve">THIS VOTING TRUST AGREEMENT </w:t>
      </w:r>
      <w:r>
        <w:rPr>
          <w:rFonts w:ascii="Arial" w:cs="Arial" w:eastAsia="Arial" w:hAnsi="Arial"/>
          <w:sz w:val="19"/>
          <w:szCs w:val="19"/>
          <w:color w:val="auto"/>
        </w:rPr>
        <w:t>(the</w:t>
      </w:r>
      <w:r>
        <w:rPr>
          <w:rFonts w:ascii="Arial" w:cs="Arial" w:eastAsia="Arial" w:hAnsi="Arial"/>
          <w:sz w:val="19"/>
          <w:szCs w:val="19"/>
          <w:b w:val="1"/>
          <w:bCs w:val="1"/>
          <w:color w:val="auto"/>
        </w:rPr>
        <w:t xml:space="preserve"> “Agreement”</w:t>
      </w:r>
      <w:r>
        <w:rPr>
          <w:rFonts w:ascii="Arial" w:cs="Arial" w:eastAsia="Arial" w:hAnsi="Arial"/>
          <w:sz w:val="19"/>
          <w:szCs w:val="19"/>
          <w:color w:val="auto"/>
        </w:rPr>
        <w:t>) is made as of [</w:t>
      </w:r>
      <w:r>
        <w:rPr>
          <w:rFonts w:ascii="Arial" w:cs="Arial" w:eastAsia="Arial" w:hAnsi="Arial"/>
          <w:sz w:val="19"/>
          <w:szCs w:val="19"/>
          <w:b w:val="1"/>
          <w:bCs w:val="1"/>
          <w:color w:val="auto"/>
        </w:rPr>
        <w:t xml:space="preserve"> </w:t>
      </w:r>
      <w:r>
        <w:rPr>
          <w:rFonts w:ascii="Arial" w:cs="Arial" w:eastAsia="Arial" w:hAnsi="Arial"/>
          <w:sz w:val="19"/>
          <w:szCs w:val="19"/>
          <w:color w:val="auto"/>
        </w:rPr>
        <w:t>l</w:t>
      </w:r>
      <w:r>
        <w:rPr>
          <w:rFonts w:ascii="Arial" w:cs="Arial" w:eastAsia="Arial" w:hAnsi="Arial"/>
          <w:sz w:val="19"/>
          <w:szCs w:val="19"/>
          <w:b w:val="1"/>
          <w:bCs w:val="1"/>
          <w:color w:val="auto"/>
        </w:rPr>
        <w:t xml:space="preserve"> </w:t>
      </w:r>
      <w:r>
        <w:rPr>
          <w:rFonts w:ascii="Arial" w:cs="Arial" w:eastAsia="Arial" w:hAnsi="Arial"/>
          <w:sz w:val="19"/>
          <w:szCs w:val="19"/>
          <w:color w:val="auto"/>
        </w:rPr>
        <w:t>], 2021, by and among Expensify,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corporation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the undersigned holders (collectively, the </w:t>
      </w:r>
      <w:r>
        <w:rPr>
          <w:rFonts w:ascii="Arial" w:cs="Arial" w:eastAsia="Arial" w:hAnsi="Arial"/>
          <w:sz w:val="19"/>
          <w:szCs w:val="19"/>
          <w:b w:val="1"/>
          <w:bCs w:val="1"/>
          <w:color w:val="auto"/>
        </w:rPr>
        <w:t>“Stockholders”</w:t>
      </w:r>
      <w:r>
        <w:rPr>
          <w:rFonts w:ascii="Arial" w:cs="Arial" w:eastAsia="Arial" w:hAnsi="Arial"/>
          <w:sz w:val="19"/>
          <w:szCs w:val="19"/>
          <w:color w:val="auto"/>
        </w:rPr>
        <w:t>) of shares of LT10 common stock of the Company (“</w:t>
      </w:r>
      <w:r>
        <w:rPr>
          <w:rFonts w:ascii="Arial" w:cs="Arial" w:eastAsia="Arial" w:hAnsi="Arial"/>
          <w:sz w:val="19"/>
          <w:szCs w:val="19"/>
          <w:b w:val="1"/>
          <w:bCs w:val="1"/>
          <w:color w:val="auto"/>
        </w:rPr>
        <w:t>LT10 Shares</w:t>
      </w:r>
      <w:r>
        <w:rPr>
          <w:rFonts w:ascii="Arial" w:cs="Arial" w:eastAsia="Arial" w:hAnsi="Arial"/>
          <w:sz w:val="19"/>
          <w:szCs w:val="19"/>
          <w:color w:val="auto"/>
        </w:rPr>
        <w:t>”), LT50 common stock of the Company (“</w:t>
      </w:r>
      <w:r>
        <w:rPr>
          <w:rFonts w:ascii="Arial" w:cs="Arial" w:eastAsia="Arial" w:hAnsi="Arial"/>
          <w:sz w:val="19"/>
          <w:szCs w:val="19"/>
          <w:b w:val="1"/>
          <w:bCs w:val="1"/>
          <w:color w:val="auto"/>
        </w:rPr>
        <w:t>LT50 Shares</w:t>
      </w:r>
      <w:r>
        <w:rPr>
          <w:rFonts w:ascii="Arial" w:cs="Arial" w:eastAsia="Arial" w:hAnsi="Arial"/>
          <w:sz w:val="19"/>
          <w:szCs w:val="19"/>
          <w:color w:val="auto"/>
        </w:rPr>
        <w:t>”) and/or Class A common stock of the Company (</w:t>
      </w:r>
      <w:r>
        <w:rPr>
          <w:rFonts w:ascii="Arial" w:cs="Arial" w:eastAsia="Arial" w:hAnsi="Arial"/>
          <w:sz w:val="19"/>
          <w:szCs w:val="19"/>
          <w:b w:val="1"/>
          <w:bCs w:val="1"/>
          <w:color w:val="auto"/>
        </w:rPr>
        <w:t>“Class A Shares”</w:t>
      </w:r>
      <w:r>
        <w:rPr>
          <w:rFonts w:ascii="Arial" w:cs="Arial" w:eastAsia="Arial" w:hAnsi="Arial"/>
          <w:sz w:val="19"/>
          <w:szCs w:val="19"/>
          <w:color w:val="auto"/>
        </w:rPr>
        <w:t xml:space="preserve">); and each Trustee (as defined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for the purpose of creating a voting trust (the </w:t>
      </w:r>
      <w:r>
        <w:rPr>
          <w:rFonts w:ascii="Arial" w:cs="Arial" w:eastAsia="Arial" w:hAnsi="Arial"/>
          <w:sz w:val="19"/>
          <w:szCs w:val="19"/>
          <w:b w:val="1"/>
          <w:bCs w:val="1"/>
          <w:color w:val="auto"/>
        </w:rPr>
        <w:t>“Trust”</w:t>
      </w:r>
      <w:r>
        <w:rPr>
          <w:rFonts w:ascii="Arial" w:cs="Arial" w:eastAsia="Arial" w:hAnsi="Arial"/>
          <w:sz w:val="19"/>
          <w:szCs w:val="19"/>
          <w:color w:val="auto"/>
        </w:rPr>
        <w:t xml:space="preserve">) with respect to the issued and outstanding LT10 Shares, LT50 Shares and/or Class A Shares held by the Stockholders and deposited in the Trust (the </w:t>
      </w:r>
      <w:r>
        <w:rPr>
          <w:rFonts w:ascii="Arial" w:cs="Arial" w:eastAsia="Arial" w:hAnsi="Arial"/>
          <w:sz w:val="19"/>
          <w:szCs w:val="19"/>
          <w:b w:val="1"/>
          <w:bCs w:val="1"/>
          <w:color w:val="auto"/>
        </w:rPr>
        <w:t>“Shares”</w:t>
      </w:r>
      <w:r>
        <w:rPr>
          <w:rFonts w:ascii="Arial" w:cs="Arial" w:eastAsia="Arial" w:hAnsi="Arial"/>
          <w:sz w:val="19"/>
          <w:szCs w:val="19"/>
          <w:color w:val="auto"/>
        </w:rPr>
        <w:t>) pursuant to Section 218 of the DGCL.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RECITALS</w:t>
      </w:r>
    </w:p>
    <w:p>
      <w:pPr>
        <w:spacing w:after="0" w:line="214"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 xml:space="preserve">The Company, the Stockholders and the Trustees (as defined in </w:t>
      </w:r>
      <w:r>
        <w:rPr>
          <w:rFonts w:ascii="Arial" w:cs="Arial" w:eastAsia="Arial" w:hAnsi="Arial"/>
          <w:sz w:val="19"/>
          <w:szCs w:val="19"/>
          <w:u w:val="single" w:color="auto"/>
          <w:color w:val="auto"/>
        </w:rPr>
        <w:t>Section 1</w:t>
      </w:r>
      <w:r>
        <w:rPr>
          <w:rFonts w:ascii="Arial" w:cs="Arial" w:eastAsia="Arial" w:hAnsi="Arial"/>
          <w:sz w:val="19"/>
          <w:szCs w:val="19"/>
          <w:color w:val="auto"/>
        </w:rPr>
        <w:t>) believe that it is in their respective best interests to enter into this Agreement to facilitate the exercise of voting rights relating to the Shares.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AGREEMENT</w:t>
      </w:r>
    </w:p>
    <w:p>
      <w:pPr>
        <w:spacing w:after="0" w:line="214"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In order to implement the foregoing and in consideration of the premises and the mutual covenants and agreements contained herein, and for other good and valuable consideration, the receipt and sufficiency of which are hereby acknowledged, the parties hereto agree as follows:</w:t>
      </w:r>
    </w:p>
    <w:p>
      <w:pPr>
        <w:spacing w:after="0" w:line="146" w:lineRule="exact"/>
        <w:rPr>
          <w:sz w:val="20"/>
          <w:szCs w:val="20"/>
          <w:color w:val="auto"/>
        </w:rPr>
      </w:pPr>
    </w:p>
    <w:p>
      <w:pPr>
        <w:ind w:left="1160" w:hanging="286"/>
        <w:spacing w:after="0"/>
        <w:tabs>
          <w:tab w:leader="none" w:pos="1160" w:val="left"/>
        </w:tabs>
        <w:numPr>
          <w:ilvl w:val="0"/>
          <w:numId w:val="190"/>
        </w:numPr>
        <w:rPr>
          <w:rFonts w:ascii="Arial" w:cs="Arial" w:eastAsia="Arial" w:hAnsi="Arial"/>
          <w:sz w:val="19"/>
          <w:szCs w:val="19"/>
          <w:color w:val="auto"/>
        </w:rPr>
      </w:pPr>
      <w:r>
        <w:rPr>
          <w:rFonts w:ascii="Arial" w:cs="Arial" w:eastAsia="Arial" w:hAnsi="Arial"/>
          <w:sz w:val="19"/>
          <w:szCs w:val="19"/>
          <w:b w:val="1"/>
          <w:bCs w:val="1"/>
          <w:color w:val="auto"/>
        </w:rPr>
        <w:t>Creation of Trust; Trustees</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jc w:val="both"/>
        <w:ind w:right="20" w:firstLine="1167"/>
        <w:spacing w:after="0" w:line="263" w:lineRule="auto"/>
        <w:tabs>
          <w:tab w:leader="none" w:pos="1751" w:val="left"/>
        </w:tabs>
        <w:numPr>
          <w:ilvl w:val="1"/>
          <w:numId w:val="190"/>
        </w:numPr>
        <w:rPr>
          <w:rFonts w:ascii="Arial" w:cs="Arial" w:eastAsia="Arial" w:hAnsi="Arial"/>
          <w:sz w:val="19"/>
          <w:szCs w:val="19"/>
          <w:color w:val="auto"/>
        </w:rPr>
      </w:pPr>
      <w:r>
        <w:rPr>
          <w:rFonts w:ascii="Arial" w:cs="Arial" w:eastAsia="Arial" w:hAnsi="Arial"/>
          <w:sz w:val="19"/>
          <w:szCs w:val="19"/>
          <w:b w:val="1"/>
          <w:bCs w:val="1"/>
          <w:color w:val="auto"/>
        </w:rPr>
        <w:t>Creation of Trust and Appointment of Initial Trustees</w:t>
      </w:r>
      <w:r>
        <w:rPr>
          <w:rFonts w:ascii="Arial" w:cs="Arial" w:eastAsia="Arial" w:hAnsi="Arial"/>
          <w:sz w:val="19"/>
          <w:szCs w:val="19"/>
          <w:color w:val="auto"/>
        </w:rPr>
        <w:t>. The Stockholders hereby create and establish the Trust,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appoint and authorize David Barrett, Ryan Schaffer and Jason Mills (each of whom is a Beneficial Owner of Shares and an employee of the Company or an Expensify Subsidiary) as trustees of the Trust (collectively, and together with each successor Trustee appointed pursuant to the terms of this Section 1, the </w:t>
      </w:r>
      <w:r>
        <w:rPr>
          <w:rFonts w:ascii="Arial" w:cs="Arial" w:eastAsia="Arial" w:hAnsi="Arial"/>
          <w:sz w:val="19"/>
          <w:szCs w:val="19"/>
          <w:b w:val="1"/>
          <w:bCs w:val="1"/>
          <w:color w:val="auto"/>
        </w:rPr>
        <w:t>“Trustees”</w:t>
      </w:r>
      <w:r>
        <w:rPr>
          <w:rFonts w:ascii="Arial" w:cs="Arial" w:eastAsia="Arial" w:hAnsi="Arial"/>
          <w:sz w:val="19"/>
          <w:szCs w:val="19"/>
          <w:color w:val="auto"/>
        </w:rPr>
        <w:t>), pursuant to the terms and conditions of this Agreement. The Trust shall be administered by three Trustees, in accordance with the terms and conditions of this Agreement.</w:t>
      </w:r>
    </w:p>
    <w:p>
      <w:pPr>
        <w:spacing w:after="0" w:line="154" w:lineRule="exact"/>
        <w:rPr>
          <w:rFonts w:ascii="Arial" w:cs="Arial" w:eastAsia="Arial" w:hAnsi="Arial"/>
          <w:sz w:val="19"/>
          <w:szCs w:val="19"/>
          <w:color w:val="auto"/>
        </w:rPr>
      </w:pPr>
    </w:p>
    <w:p>
      <w:pPr>
        <w:jc w:val="both"/>
        <w:ind w:right="20" w:firstLine="1167"/>
        <w:spacing w:after="0" w:line="275" w:lineRule="auto"/>
        <w:tabs>
          <w:tab w:leader="none" w:pos="175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S</w:t>
      </w:r>
      <w:r>
        <w:rPr>
          <w:rFonts w:ascii="Arial" w:cs="Arial" w:eastAsia="Arial" w:hAnsi="Arial"/>
          <w:sz w:val="18"/>
          <w:szCs w:val="18"/>
          <w:b w:val="1"/>
          <w:bCs w:val="1"/>
          <w:color w:val="auto"/>
        </w:rPr>
        <w:t>uccessor Trustees</w:t>
      </w:r>
      <w:r>
        <w:rPr>
          <w:rFonts w:ascii="Arial" w:cs="Arial" w:eastAsia="Arial" w:hAnsi="Arial"/>
          <w:sz w:val="18"/>
          <w:szCs w:val="18"/>
          <w:color w:val="auto"/>
        </w:rPr>
        <w:t>. If at any time a Trustee (i) is unable or unwilling to serve as a Trustee hereunder by reason of death, incapacity or otherwise; (ii) ceases to be an employee of or other service provider to the Company or an Expensify Subsidiary; or (iii) is no longer one of the three Stockholders who Beneficially Own Shares with the highest voting power (as set forth in the Trust Register, as defined below), unless the Stockholder or Stockholders with higher voting power have rejected the opportunity to serve as Trustee or are otherwise unable or unwilling to serve as Trustee, then such Trustee shall resign or be removed; provided, however, that none of the initial trustees shall be required to resign or shall be removed pursuant to clause (iii) until one (1) year following the date of this Agreement. A successor Trustee shall be appointed, in accordance with this Section 1(b), upon the majority vote of the remaining Trustees or Trustee, or if there are no remaining Trustees, by the Board of Directors of the Company, within 14 days of such resignation or removal. In addition, a successor Trustee may be designated to take office automatically upon the occurrence of events specified by the Trustees</w:t>
      </w:r>
    </w:p>
    <w:p>
      <w:pPr>
        <w:sectPr>
          <w:pgSz w:w="11900" w:h="16838" w:orient="portrait"/>
          <w:cols w:equalWidth="0" w:num="1">
            <w:col w:w="11260"/>
          </w:cols>
          <w:pgMar w:left="320" w:top="122" w:right="319" w:bottom="1440" w:gutter="0" w:footer="0" w:header="0"/>
        </w:sectPr>
      </w:pPr>
    </w:p>
    <w:bookmarkStart w:id="323" w:name="page324"/>
    <w:bookmarkEnd w:id="323"/>
    <w:p>
      <w:pPr>
        <w:jc w:val="both"/>
        <w:spacing w:after="0" w:line="271" w:lineRule="auto"/>
        <w:rPr>
          <w:sz w:val="20"/>
          <w:szCs w:val="20"/>
          <w:color w:val="auto"/>
        </w:rPr>
      </w:pPr>
      <w:r>
        <w:rPr>
          <w:rFonts w:ascii="Arial" w:cs="Arial" w:eastAsia="Arial" w:hAnsi="Arial"/>
          <w:sz w:val="18"/>
          <w:szCs w:val="18"/>
          <w:color w:val="auto"/>
        </w:rPr>
        <w:t>(including the death of one or more Trustees), as they deem necessary, upon the majority vote of the then-current Trustees. The policy of the Trustees with respect to appointment of each successor Trustee shall be to first offer the opportunity to serve as such successor Trustee to the Stockholder who then (x) Beneficially Owns Shares with the highest voting power (other than the then-existing Trustees), as set forth in the Trust Register and (y) is an employee of or other service provider to the Company or an Expensify Subsidiary. If such Stockholder does not accept such offer within ten (10) days by executing documentation, in the form reasonably satisfactory to the Company, to become a party to this Agreement, then the Trustees shall offer the opportunity to serve as successor Trustee to the Stockholder holding Shares with the next-highest voting power, and so on, until a Stockholder accepts the offer to serve as successor Trustee and executes documentation, in the form reasonably satisfactory to the Company, to become a party to this Agreement. If no Stockholder accepts such offer, then the Trustees shall offer the opportunity to serve as successor Trustee to any employee or other service provider of the Company or an Expensify Subsidiary, at their discretion, until an employee or other service provider accepts the offer to serve as successor Trustee and executes documentation, in the form reasonably satisfactory to the Company, to become a party to this Agreement. When calculating “voting power” in connection with Trustee service, if Notice (as defined below) has been given with respect to any shares held by the current or potential Trustee pursuant to the Expensify Charter, then the number of votes attributed to each LT10 Share and each LT50 Share Beneficially Owned by such individual shall be proportionately reduced by the amount of time that has passed under the applicable notice period (i.e., a one vote reduction for each month that has passed since Notice was given).</w:t>
      </w:r>
    </w:p>
    <w:p>
      <w:pPr>
        <w:spacing w:after="0" w:line="154" w:lineRule="exact"/>
        <w:rPr>
          <w:sz w:val="20"/>
          <w:szCs w:val="20"/>
          <w:color w:val="auto"/>
        </w:rPr>
      </w:pPr>
    </w:p>
    <w:p>
      <w:pPr>
        <w:ind w:right="20" w:firstLine="1167"/>
        <w:spacing w:after="0" w:line="292" w:lineRule="auto"/>
        <w:tabs>
          <w:tab w:leader="none" w:pos="1751" w:val="left"/>
        </w:tabs>
        <w:numPr>
          <w:ilvl w:val="1"/>
          <w:numId w:val="191"/>
        </w:numPr>
        <w:rPr>
          <w:rFonts w:ascii="Arial" w:cs="Arial" w:eastAsia="Arial" w:hAnsi="Arial"/>
          <w:sz w:val="19"/>
          <w:szCs w:val="19"/>
          <w:color w:val="auto"/>
        </w:rPr>
      </w:pPr>
      <w:r>
        <w:rPr>
          <w:rFonts w:ascii="Arial" w:cs="Arial" w:eastAsia="Arial" w:hAnsi="Arial"/>
          <w:sz w:val="19"/>
          <w:szCs w:val="19"/>
          <w:b w:val="1"/>
          <w:bCs w:val="1"/>
          <w:color w:val="auto"/>
        </w:rPr>
        <w:t>Written Notice to Company</w:t>
      </w:r>
      <w:r>
        <w:rPr>
          <w:rFonts w:ascii="Arial" w:cs="Arial" w:eastAsia="Arial" w:hAnsi="Arial"/>
          <w:sz w:val="19"/>
          <w:szCs w:val="19"/>
          <w:color w:val="auto"/>
        </w:rPr>
        <w:t>. The Trustees shall send written notice to the Company within ten (10) days after (i) the</w:t>
      </w:r>
      <w:r>
        <w:rPr>
          <w:rFonts w:ascii="Arial" w:cs="Arial" w:eastAsia="Arial" w:hAnsi="Arial"/>
          <w:sz w:val="19"/>
          <w:szCs w:val="19"/>
          <w:b w:val="1"/>
          <w:bCs w:val="1"/>
          <w:color w:val="auto"/>
        </w:rPr>
        <w:t xml:space="preserve"> </w:t>
      </w:r>
      <w:r>
        <w:rPr>
          <w:rFonts w:ascii="Arial" w:cs="Arial" w:eastAsia="Arial" w:hAnsi="Arial"/>
          <w:sz w:val="19"/>
          <w:szCs w:val="19"/>
          <w:color w:val="auto"/>
        </w:rPr>
        <w:t>resignation or removal of any Trustee and (ii) the appointment of a successor Trustee.</w:t>
      </w:r>
    </w:p>
    <w:p>
      <w:pPr>
        <w:spacing w:after="0" w:line="125" w:lineRule="exact"/>
        <w:rPr>
          <w:rFonts w:ascii="Arial" w:cs="Arial" w:eastAsia="Arial" w:hAnsi="Arial"/>
          <w:sz w:val="19"/>
          <w:szCs w:val="19"/>
          <w:color w:val="auto"/>
        </w:rPr>
      </w:pPr>
    </w:p>
    <w:p>
      <w:pPr>
        <w:jc w:val="both"/>
        <w:ind w:right="20" w:firstLine="1167"/>
        <w:spacing w:after="0" w:line="273" w:lineRule="auto"/>
        <w:tabs>
          <w:tab w:leader="none" w:pos="1750" w:val="left"/>
        </w:tabs>
        <w:numPr>
          <w:ilvl w:val="1"/>
          <w:numId w:val="191"/>
        </w:numPr>
        <w:rPr>
          <w:rFonts w:ascii="Arial" w:cs="Arial" w:eastAsia="Arial" w:hAnsi="Arial"/>
          <w:sz w:val="19"/>
          <w:szCs w:val="19"/>
          <w:color w:val="auto"/>
        </w:rPr>
      </w:pPr>
      <w:r>
        <w:rPr>
          <w:rFonts w:ascii="Arial" w:cs="Arial" w:eastAsia="Arial" w:hAnsi="Arial"/>
          <w:sz w:val="19"/>
          <w:szCs w:val="19"/>
          <w:b w:val="1"/>
          <w:bCs w:val="1"/>
          <w:color w:val="auto"/>
        </w:rPr>
        <w:t>Trustee Acceptance of Appointment</w:t>
      </w:r>
      <w:r>
        <w:rPr>
          <w:rFonts w:ascii="Arial" w:cs="Arial" w:eastAsia="Arial" w:hAnsi="Arial"/>
          <w:sz w:val="19"/>
          <w:szCs w:val="19"/>
          <w:color w:val="auto"/>
        </w:rPr>
        <w:t>. Each Trustee hereby accepts his or her appointment as such pursuant to the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conditions of this Agreement, and agrees to administer the Trust in accordance with the terms and conditions of this Agreement, unless and until replaced by a successor Trustee as herein provided.</w:t>
      </w:r>
    </w:p>
    <w:p>
      <w:pPr>
        <w:spacing w:after="0" w:line="143" w:lineRule="exact"/>
        <w:rPr>
          <w:rFonts w:ascii="Arial" w:cs="Arial" w:eastAsia="Arial" w:hAnsi="Arial"/>
          <w:sz w:val="19"/>
          <w:szCs w:val="19"/>
          <w:color w:val="auto"/>
        </w:rPr>
      </w:pPr>
    </w:p>
    <w:p>
      <w:pPr>
        <w:ind w:left="1160" w:hanging="286"/>
        <w:spacing w:after="0"/>
        <w:tabs>
          <w:tab w:leader="none" w:pos="1160" w:val="left"/>
        </w:tabs>
        <w:numPr>
          <w:ilvl w:val="0"/>
          <w:numId w:val="192"/>
        </w:numPr>
        <w:rPr>
          <w:rFonts w:ascii="Arial" w:cs="Arial" w:eastAsia="Arial" w:hAnsi="Arial"/>
          <w:sz w:val="19"/>
          <w:szCs w:val="19"/>
          <w:color w:val="auto"/>
        </w:rPr>
      </w:pPr>
      <w:r>
        <w:rPr>
          <w:rFonts w:ascii="Arial" w:cs="Arial" w:eastAsia="Arial" w:hAnsi="Arial"/>
          <w:sz w:val="19"/>
          <w:szCs w:val="19"/>
          <w:b w:val="1"/>
          <w:bCs w:val="1"/>
          <w:color w:val="auto"/>
        </w:rPr>
        <w:t>Deposit of Shares in Trust</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jc w:val="both"/>
        <w:ind w:right="20" w:firstLine="1167"/>
        <w:spacing w:after="0" w:line="273" w:lineRule="auto"/>
        <w:tabs>
          <w:tab w:leader="none" w:pos="1751" w:val="left"/>
        </w:tabs>
        <w:numPr>
          <w:ilvl w:val="1"/>
          <w:numId w:val="192"/>
        </w:numPr>
        <w:rPr>
          <w:rFonts w:ascii="Arial" w:cs="Arial" w:eastAsia="Arial" w:hAnsi="Arial"/>
          <w:sz w:val="19"/>
          <w:szCs w:val="19"/>
          <w:color w:val="auto"/>
        </w:rPr>
      </w:pPr>
      <w:r>
        <w:rPr>
          <w:rFonts w:ascii="Arial" w:cs="Arial" w:eastAsia="Arial" w:hAnsi="Arial"/>
          <w:sz w:val="19"/>
          <w:szCs w:val="19"/>
          <w:b w:val="1"/>
          <w:bCs w:val="1"/>
          <w:color w:val="auto"/>
        </w:rPr>
        <w:t>Initial Deposit of Shares</w:t>
      </w:r>
      <w:r>
        <w:rPr>
          <w:rFonts w:ascii="Arial" w:cs="Arial" w:eastAsia="Arial" w:hAnsi="Arial"/>
          <w:sz w:val="19"/>
          <w:szCs w:val="19"/>
          <w:color w:val="auto"/>
        </w:rPr>
        <w:t>. Each Stockholder hereby deposits in trust with the Trustees all of the LT10 Shares and LT50</w:t>
      </w:r>
      <w:r>
        <w:rPr>
          <w:rFonts w:ascii="Arial" w:cs="Arial" w:eastAsia="Arial" w:hAnsi="Arial"/>
          <w:sz w:val="19"/>
          <w:szCs w:val="19"/>
          <w:b w:val="1"/>
          <w:bCs w:val="1"/>
          <w:color w:val="auto"/>
        </w:rPr>
        <w:t xml:space="preserve"> </w:t>
      </w:r>
      <w:r>
        <w:rPr>
          <w:rFonts w:ascii="Arial" w:cs="Arial" w:eastAsia="Arial" w:hAnsi="Arial"/>
          <w:sz w:val="19"/>
          <w:szCs w:val="19"/>
          <w:color w:val="auto"/>
        </w:rPr>
        <w:t>Shares Beneficially Owned by such Person. The Company shall reflect in its stock ledger that the Trust holds such Shares. The Trustees shall hold the Shares so deposited in trust, subject to the terms of this Agreement.</w:t>
      </w:r>
    </w:p>
    <w:p>
      <w:pPr>
        <w:spacing w:after="0" w:line="143" w:lineRule="exact"/>
        <w:rPr>
          <w:rFonts w:ascii="Arial" w:cs="Arial" w:eastAsia="Arial" w:hAnsi="Arial"/>
          <w:sz w:val="19"/>
          <w:szCs w:val="19"/>
          <w:color w:val="auto"/>
        </w:rPr>
      </w:pPr>
    </w:p>
    <w:p>
      <w:pPr>
        <w:jc w:val="both"/>
        <w:ind w:right="20" w:firstLine="1167"/>
        <w:spacing w:after="0" w:line="281" w:lineRule="auto"/>
        <w:tabs>
          <w:tab w:leader="none" w:pos="1750" w:val="left"/>
        </w:tabs>
        <w:numPr>
          <w:ilvl w:val="1"/>
          <w:numId w:val="192"/>
        </w:numPr>
        <w:rPr>
          <w:rFonts w:ascii="Arial" w:cs="Arial" w:eastAsia="Arial" w:hAnsi="Arial"/>
          <w:sz w:val="18"/>
          <w:szCs w:val="18"/>
          <w:color w:val="auto"/>
        </w:rPr>
      </w:pPr>
      <w:r>
        <w:rPr>
          <w:rFonts w:ascii="Arial" w:cs="Arial" w:eastAsia="Arial" w:hAnsi="Arial"/>
          <w:sz w:val="18"/>
          <w:szCs w:val="18"/>
          <w:b w:val="1"/>
          <w:bCs w:val="1"/>
          <w:color w:val="auto"/>
        </w:rPr>
        <w:t>Deposits of Additional Shares by Stockholders</w:t>
      </w:r>
      <w:r>
        <w:rPr>
          <w:rFonts w:ascii="Arial" w:cs="Arial" w:eastAsia="Arial" w:hAnsi="Arial"/>
          <w:sz w:val="18"/>
          <w:szCs w:val="18"/>
          <w:color w:val="auto"/>
        </w:rPr>
        <w:t>. From time to time following the date hereof, a Stockholder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deposit additional voting securities (including Class A Shares) of the Company in the Trust, to be held in trust by the Trustees pursuant to the terms of this Agreement, by completing and delivering to the Trustees the Election to Deposit Additional Shares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Each Stockholder also hereby agrees that any additional LT10 Shares and LT50 Shares received by such Stockholder during the term of this Agreement shall be deposited in trust with the Trustees. The Trustees shall hold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1301" w:right="319" w:bottom="1440" w:gutter="0" w:footer="0" w:header="0"/>
        </w:sectPr>
      </w:pPr>
    </w:p>
    <w:bookmarkStart w:id="324" w:name="page325"/>
    <w:bookmarkEnd w:id="324"/>
    <w:p>
      <w:pPr>
        <w:jc w:val="both"/>
        <w:ind w:right="20"/>
        <w:spacing w:after="0" w:line="264" w:lineRule="auto"/>
        <w:rPr>
          <w:sz w:val="20"/>
          <w:szCs w:val="20"/>
          <w:color w:val="auto"/>
        </w:rPr>
      </w:pPr>
      <w:r>
        <w:rPr>
          <w:rFonts w:ascii="Arial" w:cs="Arial" w:eastAsia="Arial" w:hAnsi="Arial"/>
          <w:sz w:val="19"/>
          <w:szCs w:val="19"/>
          <w:color w:val="auto"/>
        </w:rPr>
        <w:t>Shares so deposited in trust, subject to the terms of this Agreement. Any voting securities of the Company deposited in the Trust after the date of this Agreement pursuant to this Section 2(b) shall be deemed to be included in the definition of “Shares” for all purposes under this Agreement. The Company shall, as promptly as practicable after any Shares are deposited in trust, reflect in its stock ledger that the Trust holds such Shares.</w:t>
      </w:r>
    </w:p>
    <w:p>
      <w:pPr>
        <w:spacing w:after="0" w:line="153" w:lineRule="exact"/>
        <w:rPr>
          <w:sz w:val="20"/>
          <w:szCs w:val="20"/>
          <w:color w:val="auto"/>
        </w:rPr>
      </w:pPr>
    </w:p>
    <w:p>
      <w:pPr>
        <w:jc w:val="both"/>
        <w:ind w:firstLine="1167"/>
        <w:spacing w:after="0" w:line="296" w:lineRule="auto"/>
        <w:tabs>
          <w:tab w:leader="none" w:pos="1751" w:val="left"/>
        </w:tabs>
        <w:numPr>
          <w:ilvl w:val="0"/>
          <w:numId w:val="193"/>
        </w:numPr>
        <w:rPr>
          <w:rFonts w:ascii="Arial" w:cs="Arial" w:eastAsia="Arial" w:hAnsi="Arial"/>
          <w:sz w:val="17"/>
          <w:szCs w:val="17"/>
          <w:color w:val="auto"/>
        </w:rPr>
      </w:pPr>
      <w:r>
        <w:rPr>
          <w:rFonts w:ascii="Arial" w:cs="Arial" w:eastAsia="Arial" w:hAnsi="Arial"/>
          <w:sz w:val="17"/>
          <w:szCs w:val="17"/>
          <w:b w:val="1"/>
          <w:bCs w:val="1"/>
          <w:color w:val="auto"/>
        </w:rPr>
        <w:t>Additional Stockholders</w:t>
      </w:r>
      <w:r>
        <w:rPr>
          <w:rFonts w:ascii="Arial" w:cs="Arial" w:eastAsia="Arial" w:hAnsi="Arial"/>
          <w:sz w:val="17"/>
          <w:szCs w:val="17"/>
          <w:color w:val="auto"/>
        </w:rPr>
        <w:t>. From time to time following the date hereof, a Person who is an employee of or other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provider to the Company or an Expensify Subsidiary may deposit voting securities of the Company in trust with the Trustees and become a “Stockholder” party hereto by executing and delivering to the Trustees a joinder agreement in the form set forth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 and any other instruments as may be requested by the Trustees. Upon such execution and delivery, such Person shall become a party to this Agreement and for all purposes be deemed to be a “Stockholder” under this Agreement; such voting securities of the Company deposited in the Trust after the date of this Agreement pursuant to this Section 2(c) shall be deemed to be included in the definition of “Shares” for all purposes under this Agreement; and the Company shall, as promptly as practicable, update its stock ledger to reflect that the Trust holds such Shares.</w:t>
      </w:r>
    </w:p>
    <w:p>
      <w:pPr>
        <w:spacing w:after="0" w:line="127" w:lineRule="exact"/>
        <w:rPr>
          <w:rFonts w:ascii="Arial" w:cs="Arial" w:eastAsia="Arial" w:hAnsi="Arial"/>
          <w:sz w:val="17"/>
          <w:szCs w:val="17"/>
          <w:color w:val="auto"/>
        </w:rPr>
      </w:pPr>
    </w:p>
    <w:p>
      <w:pPr>
        <w:jc w:val="both"/>
        <w:ind w:right="20" w:firstLine="1167"/>
        <w:spacing w:after="0" w:line="263" w:lineRule="auto"/>
        <w:tabs>
          <w:tab w:leader="none" w:pos="1750" w:val="left"/>
        </w:tabs>
        <w:numPr>
          <w:ilvl w:val="0"/>
          <w:numId w:val="193"/>
        </w:numPr>
        <w:rPr>
          <w:rFonts w:ascii="Arial" w:cs="Arial" w:eastAsia="Arial" w:hAnsi="Arial"/>
          <w:sz w:val="19"/>
          <w:szCs w:val="19"/>
          <w:color w:val="auto"/>
        </w:rPr>
      </w:pPr>
      <w:r>
        <w:rPr>
          <w:rFonts w:ascii="Arial" w:cs="Arial" w:eastAsia="Arial" w:hAnsi="Arial"/>
          <w:sz w:val="19"/>
          <w:szCs w:val="19"/>
          <w:b w:val="1"/>
          <w:bCs w:val="1"/>
          <w:color w:val="auto"/>
        </w:rPr>
        <w:t>Trust Register</w:t>
      </w:r>
      <w:r>
        <w:rPr>
          <w:rFonts w:ascii="Arial" w:cs="Arial" w:eastAsia="Arial" w:hAnsi="Arial"/>
          <w:sz w:val="19"/>
          <w:szCs w:val="19"/>
          <w:color w:val="auto"/>
        </w:rPr>
        <w:t>. The Trustees shall maintain a register book, which shall reflect the number and class or series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Beneficially Owned by each Stockholder and held in the Trust pursuant to the terms of this Agreement (the </w:t>
      </w:r>
      <w:r>
        <w:rPr>
          <w:rFonts w:ascii="Arial" w:cs="Arial" w:eastAsia="Arial" w:hAnsi="Arial"/>
          <w:sz w:val="19"/>
          <w:szCs w:val="19"/>
          <w:b w:val="1"/>
          <w:bCs w:val="1"/>
          <w:color w:val="auto"/>
        </w:rPr>
        <w:t>“Trust Register”</w:t>
      </w:r>
      <w:r>
        <w:rPr>
          <w:rFonts w:ascii="Arial" w:cs="Arial" w:eastAsia="Arial" w:hAnsi="Arial"/>
          <w:sz w:val="19"/>
          <w:szCs w:val="19"/>
          <w:color w:val="auto"/>
        </w:rPr>
        <w:t>). The Trustees shall treat each such Stockholder as the Beneficial Owner of such Shares, subject to the Trustees’ rights and interests hereunder. The Trustees shall not be obligated to recognize any Person as the Beneficial Owner of such Shares other than the Person in whose name the same shall be registered on the Trust Register.</w:t>
      </w:r>
    </w:p>
    <w:p>
      <w:pPr>
        <w:spacing w:after="0" w:line="154" w:lineRule="exact"/>
        <w:rPr>
          <w:rFonts w:ascii="Arial" w:cs="Arial" w:eastAsia="Arial" w:hAnsi="Arial"/>
          <w:sz w:val="19"/>
          <w:szCs w:val="19"/>
          <w:color w:val="auto"/>
        </w:rPr>
      </w:pPr>
    </w:p>
    <w:p>
      <w:pPr>
        <w:jc w:val="both"/>
        <w:ind w:right="20" w:firstLine="1167"/>
        <w:spacing w:after="0" w:line="267" w:lineRule="auto"/>
        <w:tabs>
          <w:tab w:leader="none" w:pos="1751" w:val="left"/>
        </w:tabs>
        <w:numPr>
          <w:ilvl w:val="0"/>
          <w:numId w:val="193"/>
        </w:numPr>
        <w:rPr>
          <w:rFonts w:ascii="Arial" w:cs="Arial" w:eastAsia="Arial" w:hAnsi="Arial"/>
          <w:sz w:val="19"/>
          <w:szCs w:val="19"/>
          <w:color w:val="auto"/>
        </w:rPr>
      </w:pPr>
      <w:r>
        <w:rPr>
          <w:rFonts w:ascii="Arial" w:cs="Arial" w:eastAsia="Arial" w:hAnsi="Arial"/>
          <w:sz w:val="19"/>
          <w:szCs w:val="19"/>
          <w:b w:val="1"/>
          <w:bCs w:val="1"/>
          <w:color w:val="auto"/>
        </w:rPr>
        <w:t>Recording of Deposits and Transfers</w:t>
      </w:r>
      <w:r>
        <w:rPr>
          <w:rFonts w:ascii="Arial" w:cs="Arial" w:eastAsia="Arial" w:hAnsi="Arial"/>
          <w:sz w:val="19"/>
          <w:szCs w:val="19"/>
          <w:color w:val="auto"/>
        </w:rPr>
        <w:t>. All Transfers of Shares, as well as all deposits of additional voting securities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in trust with the Trustees as set forth in this Section 2, shall be recorded by the Trustees in the Trust Register. In addition, to the extent that any Shares cease to be outstanding, the Company shall notify the Trustees of the Shares that have ceased to be outstanding, and the Trust Register shall be revised accordingly.</w:t>
      </w:r>
    </w:p>
    <w:p>
      <w:pPr>
        <w:spacing w:after="0" w:line="148" w:lineRule="exact"/>
        <w:rPr>
          <w:sz w:val="20"/>
          <w:szCs w:val="20"/>
          <w:color w:val="auto"/>
        </w:rPr>
      </w:pPr>
    </w:p>
    <w:p>
      <w:pPr>
        <w:jc w:val="both"/>
        <w:ind w:right="20" w:firstLine="1167"/>
        <w:spacing w:after="0" w:line="307" w:lineRule="auto"/>
        <w:tabs>
          <w:tab w:leader="none" w:pos="1750" w:val="left"/>
        </w:tabs>
        <w:numPr>
          <w:ilvl w:val="1"/>
          <w:numId w:val="194"/>
        </w:numPr>
        <w:rPr>
          <w:rFonts w:ascii="Arial" w:cs="Arial" w:eastAsia="Arial" w:hAnsi="Arial"/>
          <w:sz w:val="17"/>
          <w:szCs w:val="17"/>
          <w:color w:val="auto"/>
        </w:rPr>
      </w:pPr>
      <w:r>
        <w:rPr>
          <w:rFonts w:ascii="Arial" w:cs="Arial" w:eastAsia="Arial" w:hAnsi="Arial"/>
          <w:sz w:val="17"/>
          <w:szCs w:val="17"/>
          <w:b w:val="1"/>
          <w:bCs w:val="1"/>
          <w:color w:val="auto"/>
        </w:rPr>
        <w:t>Consent of Spouse</w:t>
      </w:r>
      <w:r>
        <w:rPr>
          <w:rFonts w:ascii="Arial" w:cs="Arial" w:eastAsia="Arial" w:hAnsi="Arial"/>
          <w:sz w:val="17"/>
          <w:szCs w:val="17"/>
          <w:color w:val="auto"/>
        </w:rPr>
        <w:t>. Each Stockholder, whether or not married at the time of execution of this Agreement, and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signing on his or her own behalf or as trustee of a revocable living trust, shall deliver at the time of execution of this Agreement a duly executed Consent of Spouse in the form set forth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this Agreement. Each Stockholder further agrees to have such Consent of Spouse executed by any spouse married by him or her at any time subsequent to the date hereof while such Person is a Stockholder party hereto.</w:t>
      </w:r>
    </w:p>
    <w:p>
      <w:pPr>
        <w:spacing w:after="0" w:line="120" w:lineRule="exact"/>
        <w:rPr>
          <w:rFonts w:ascii="Arial" w:cs="Arial" w:eastAsia="Arial" w:hAnsi="Arial"/>
          <w:sz w:val="17"/>
          <w:szCs w:val="17"/>
          <w:color w:val="auto"/>
        </w:rPr>
      </w:pPr>
    </w:p>
    <w:p>
      <w:pPr>
        <w:ind w:left="1160" w:hanging="286"/>
        <w:spacing w:after="0"/>
        <w:tabs>
          <w:tab w:leader="none" w:pos="1160" w:val="left"/>
        </w:tabs>
        <w:numPr>
          <w:ilvl w:val="0"/>
          <w:numId w:val="195"/>
        </w:numPr>
        <w:rPr>
          <w:rFonts w:ascii="Arial" w:cs="Arial" w:eastAsia="Arial" w:hAnsi="Arial"/>
          <w:sz w:val="19"/>
          <w:szCs w:val="19"/>
          <w:color w:val="auto"/>
        </w:rPr>
      </w:pPr>
      <w:r>
        <w:rPr>
          <w:rFonts w:ascii="Arial" w:cs="Arial" w:eastAsia="Arial" w:hAnsi="Arial"/>
          <w:sz w:val="19"/>
          <w:szCs w:val="19"/>
          <w:b w:val="1"/>
          <w:bCs w:val="1"/>
          <w:color w:val="auto"/>
        </w:rPr>
        <w:t>Trustee’s Powers and Duties; Compensation</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jc w:val="both"/>
        <w:ind w:right="20" w:firstLine="1167"/>
        <w:spacing w:after="0" w:line="267" w:lineRule="auto"/>
        <w:tabs>
          <w:tab w:leader="none" w:pos="1751" w:val="left"/>
        </w:tabs>
        <w:numPr>
          <w:ilvl w:val="1"/>
          <w:numId w:val="195"/>
        </w:numPr>
        <w:rPr>
          <w:rFonts w:ascii="Arial" w:cs="Arial" w:eastAsia="Arial" w:hAnsi="Arial"/>
          <w:sz w:val="19"/>
          <w:szCs w:val="19"/>
          <w:color w:val="auto"/>
        </w:rPr>
      </w:pPr>
      <w:r>
        <w:rPr>
          <w:rFonts w:ascii="Arial" w:cs="Arial" w:eastAsia="Arial" w:hAnsi="Arial"/>
          <w:sz w:val="19"/>
          <w:szCs w:val="19"/>
          <w:b w:val="1"/>
          <w:bCs w:val="1"/>
          <w:color w:val="auto"/>
        </w:rPr>
        <w:t>Voting Powers</w:t>
      </w:r>
      <w:r>
        <w:rPr>
          <w:rFonts w:ascii="Arial" w:cs="Arial" w:eastAsia="Arial" w:hAnsi="Arial"/>
          <w:sz w:val="19"/>
          <w:szCs w:val="19"/>
          <w:color w:val="auto"/>
        </w:rPr>
        <w:t>. For so long as this Agreement remains in effect, the Trustees shall, pursuant to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as determined by the majority vote of the Trustees, have the full, exclusive and unqualified right and power to vote in person or by proxy all Shares at all meetings of the stockholders of the Company in respect of any and all matters on which Shares are entitled to vote under the Expensify Charter or applicable law,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60"/>
          </w:cols>
          <w:pgMar w:left="320" w:top="1301" w:right="319" w:bottom="1440" w:gutter="0" w:footer="0" w:header="0"/>
        </w:sectPr>
      </w:pPr>
    </w:p>
    <w:bookmarkStart w:id="325" w:name="page326"/>
    <w:bookmarkEnd w:id="325"/>
    <w:p>
      <w:pPr>
        <w:jc w:val="both"/>
        <w:spacing w:after="0" w:line="273" w:lineRule="auto"/>
        <w:rPr>
          <w:sz w:val="20"/>
          <w:szCs w:val="20"/>
          <w:color w:val="auto"/>
        </w:rPr>
      </w:pPr>
      <w:r>
        <w:rPr>
          <w:rFonts w:ascii="Arial" w:cs="Arial" w:eastAsia="Arial" w:hAnsi="Arial"/>
          <w:sz w:val="18"/>
          <w:szCs w:val="18"/>
          <w:color w:val="auto"/>
        </w:rPr>
        <w:t xml:space="preserve">give consents in lieu of voting such Shares at a meeting of the stockholders of the Company in respect of any and all matters on which Shares are entitled to vote under the Expensify Charter or applicable law, to enter into voting agreements, waive notice of any meeting of stockholders of the Company in respect of such Shares and to grant proxies with respect to all of the Shares, as well as in respect of any other securities with voting rights received in respect of the Shares at any time hereafter by way of a stock dividend, distribution, conversion or exchange as provided in </w:t>
      </w:r>
      <w:r>
        <w:rPr>
          <w:rFonts w:ascii="Arial" w:cs="Arial" w:eastAsia="Arial" w:hAnsi="Arial"/>
          <w:sz w:val="18"/>
          <w:szCs w:val="18"/>
          <w:u w:val="single" w:color="auto"/>
          <w:color w:val="auto"/>
        </w:rPr>
        <w:t>Section 3(b)</w:t>
      </w:r>
      <w:r>
        <w:rPr>
          <w:rFonts w:ascii="Arial" w:cs="Arial" w:eastAsia="Arial" w:hAnsi="Arial"/>
          <w:sz w:val="18"/>
          <w:szCs w:val="18"/>
          <w:color w:val="auto"/>
        </w:rPr>
        <w:t>, with respect to any lawful corporate action, whether or not in the ordinary course of business, and no Stockholder shall in such capacity have any rights or powers to vote such Shares or to give consents with respect to or grant proxies in respect thereof or otherwise take part in any corporate action. Without limiting the generality of the foregoing, the Stockholders (i) acknowledge that each Trustee, in his or her individual capacity, is a holder of Shares; (ii) agree that each Trustee is entitled to exercise the powers granted to the Trustees in the preceding sentence in his or her sole and absolute discretion (including in his or her own interest as a holder of Shares); and (iii) agree that, in accordance with Section 218 of the DGCL, each Trustee shall incur no responsibility as stockholder, trustee or otherwise, except for his or her own individual malfeasance.</w:t>
      </w:r>
    </w:p>
    <w:p>
      <w:pPr>
        <w:spacing w:after="0" w:line="144" w:lineRule="exact"/>
        <w:rPr>
          <w:sz w:val="20"/>
          <w:szCs w:val="20"/>
          <w:color w:val="auto"/>
        </w:rPr>
      </w:pPr>
    </w:p>
    <w:p>
      <w:pPr>
        <w:jc w:val="both"/>
        <w:ind w:right="20" w:firstLine="1167"/>
        <w:spacing w:after="0" w:line="276" w:lineRule="auto"/>
        <w:tabs>
          <w:tab w:leader="none" w:pos="175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Notices, Dividends and Distributions</w:t>
      </w:r>
      <w:r>
        <w:rPr>
          <w:rFonts w:ascii="Arial" w:cs="Arial" w:eastAsia="Arial" w:hAnsi="Arial"/>
          <w:sz w:val="18"/>
          <w:szCs w:val="18"/>
          <w:color w:val="auto"/>
        </w:rPr>
        <w:t>. In the event that the Trustees receive any dividends or distributions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Shares or other voting securities of the Company) with respect to the Shares held by them hereunder, they shall promptly pay (or, in the event that such dividends or distributions are not cash, distribute in kind) the amount thereof received by them to each Stockholder in proportion to such Stockholder’s respective interests (based on the number of Shares held by the Trustees hereunder with respect to each Stockholder); provided, however, that the Trustees may, by notice to the Company, instruct the Company to pay such dividends directly to the Stockholders. If the Trustees shall receive any Shares or other voting securities of the Company as a dividend or distribution or upon conversion of or in exchange for any Shares held by them hereunder, the Trustees shall hold such Shares or other voting securities of the Company in accordance with the terms of this Agreement and shall update the Trust Register accordingly.</w:t>
      </w:r>
    </w:p>
    <w:p>
      <w:pPr>
        <w:spacing w:after="0" w:line="141" w:lineRule="exact"/>
        <w:rPr>
          <w:rFonts w:ascii="Arial" w:cs="Arial" w:eastAsia="Arial" w:hAnsi="Arial"/>
          <w:sz w:val="18"/>
          <w:szCs w:val="18"/>
          <w:color w:val="auto"/>
        </w:rPr>
      </w:pPr>
    </w:p>
    <w:p>
      <w:pPr>
        <w:jc w:val="both"/>
        <w:ind w:right="20" w:firstLine="1167"/>
        <w:spacing w:after="0" w:line="273" w:lineRule="auto"/>
        <w:tabs>
          <w:tab w:leader="none" w:pos="1751" w:val="left"/>
        </w:tabs>
        <w:numPr>
          <w:ilvl w:val="0"/>
          <w:numId w:val="196"/>
        </w:numPr>
        <w:rPr>
          <w:rFonts w:ascii="Arial" w:cs="Arial" w:eastAsia="Arial" w:hAnsi="Arial"/>
          <w:sz w:val="19"/>
          <w:szCs w:val="19"/>
          <w:color w:val="auto"/>
        </w:rPr>
      </w:pPr>
      <w:r>
        <w:rPr>
          <w:rFonts w:ascii="Arial" w:cs="Arial" w:eastAsia="Arial" w:hAnsi="Arial"/>
          <w:sz w:val="19"/>
          <w:szCs w:val="19"/>
          <w:b w:val="1"/>
          <w:bCs w:val="1"/>
          <w:color w:val="auto"/>
        </w:rPr>
        <w:t>Administration of Exchanges of LT10 Shares and LT50 Shares Pursuant to Expensify Charter</w:t>
      </w:r>
      <w:r>
        <w:rPr>
          <w:rFonts w:ascii="Arial" w:cs="Arial" w:eastAsia="Arial" w:hAnsi="Arial"/>
          <w:sz w:val="19"/>
          <w:szCs w:val="19"/>
          <w:color w:val="auto"/>
        </w:rPr>
        <w:t>. For so long as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remains in effect, the Trustees shall be responsible for managing Exchanges (as defined in the Expensify Charter) pursuant to, and in accordance with, the Expensify Charter.</w:t>
      </w:r>
    </w:p>
    <w:p>
      <w:pPr>
        <w:spacing w:after="0" w:line="143" w:lineRule="exact"/>
        <w:rPr>
          <w:rFonts w:ascii="Arial" w:cs="Arial" w:eastAsia="Arial" w:hAnsi="Arial"/>
          <w:sz w:val="19"/>
          <w:szCs w:val="19"/>
          <w:color w:val="auto"/>
        </w:rPr>
      </w:pPr>
    </w:p>
    <w:p>
      <w:pPr>
        <w:ind w:right="20" w:firstLine="1167"/>
        <w:spacing w:after="0" w:line="292" w:lineRule="auto"/>
        <w:tabs>
          <w:tab w:leader="none" w:pos="1750" w:val="left"/>
        </w:tabs>
        <w:numPr>
          <w:ilvl w:val="0"/>
          <w:numId w:val="196"/>
        </w:numPr>
        <w:rPr>
          <w:rFonts w:ascii="Arial" w:cs="Arial" w:eastAsia="Arial" w:hAnsi="Arial"/>
          <w:sz w:val="19"/>
          <w:szCs w:val="19"/>
          <w:color w:val="auto"/>
        </w:rPr>
      </w:pPr>
      <w:r>
        <w:rPr>
          <w:rFonts w:ascii="Arial" w:cs="Arial" w:eastAsia="Arial" w:hAnsi="Arial"/>
          <w:sz w:val="19"/>
          <w:szCs w:val="19"/>
          <w:b w:val="1"/>
          <w:bCs w:val="1"/>
          <w:color w:val="auto"/>
        </w:rPr>
        <w:t>No Right to Sell Shares</w:t>
      </w:r>
      <w:r>
        <w:rPr>
          <w:rFonts w:ascii="Arial" w:cs="Arial" w:eastAsia="Arial" w:hAnsi="Arial"/>
          <w:sz w:val="19"/>
          <w:szCs w:val="19"/>
          <w:color w:val="auto"/>
        </w:rPr>
        <w:t>. The Trustees shall have no authority to sell, pledge, hypothecate or otherwise dispose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or any interest therein.</w:t>
      </w:r>
    </w:p>
    <w:p>
      <w:pPr>
        <w:spacing w:after="0" w:line="125" w:lineRule="exact"/>
        <w:rPr>
          <w:rFonts w:ascii="Arial" w:cs="Arial" w:eastAsia="Arial" w:hAnsi="Arial"/>
          <w:sz w:val="19"/>
          <w:szCs w:val="19"/>
          <w:color w:val="auto"/>
        </w:rPr>
      </w:pPr>
    </w:p>
    <w:p>
      <w:pPr>
        <w:jc w:val="both"/>
        <w:ind w:right="20" w:firstLine="1167"/>
        <w:spacing w:after="0" w:line="273" w:lineRule="auto"/>
        <w:tabs>
          <w:tab w:leader="none" w:pos="1751" w:val="left"/>
        </w:tabs>
        <w:numPr>
          <w:ilvl w:val="0"/>
          <w:numId w:val="196"/>
        </w:numPr>
        <w:rPr>
          <w:rFonts w:ascii="Arial" w:cs="Arial" w:eastAsia="Arial" w:hAnsi="Arial"/>
          <w:sz w:val="19"/>
          <w:szCs w:val="19"/>
          <w:color w:val="auto"/>
        </w:rPr>
      </w:pPr>
      <w:r>
        <w:rPr>
          <w:rFonts w:ascii="Arial" w:cs="Arial" w:eastAsia="Arial" w:hAnsi="Arial"/>
          <w:sz w:val="19"/>
          <w:szCs w:val="19"/>
          <w:b w:val="1"/>
          <w:bCs w:val="1"/>
          <w:color w:val="auto"/>
        </w:rPr>
        <w:t>Compensation of Trustees</w:t>
      </w:r>
      <w:r>
        <w:rPr>
          <w:rFonts w:ascii="Arial" w:cs="Arial" w:eastAsia="Arial" w:hAnsi="Arial"/>
          <w:sz w:val="19"/>
          <w:szCs w:val="19"/>
          <w:color w:val="auto"/>
        </w:rPr>
        <w:t>. No Trustee shall receive any compensation for his or her services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subsection shall not, however, affect the right of the Trustees to receive compensation from the Company for services performed by them in any other capacity (</w:t>
      </w:r>
      <w:r>
        <w:rPr>
          <w:rFonts w:ascii="Arial" w:cs="Arial" w:eastAsia="Arial" w:hAnsi="Arial"/>
          <w:sz w:val="19"/>
          <w:szCs w:val="19"/>
          <w:i w:val="1"/>
          <w:iCs w:val="1"/>
          <w:color w:val="auto"/>
        </w:rPr>
        <w:t>e.g.</w:t>
      </w:r>
      <w:r>
        <w:rPr>
          <w:rFonts w:ascii="Arial" w:cs="Arial" w:eastAsia="Arial" w:hAnsi="Arial"/>
          <w:sz w:val="19"/>
          <w:szCs w:val="19"/>
          <w:color w:val="auto"/>
        </w:rPr>
        <w:t>, as an officer, director, employee, service provider or otherwise).</w:t>
      </w:r>
    </w:p>
    <w:p>
      <w:pPr>
        <w:spacing w:after="0" w:line="143" w:lineRule="exact"/>
        <w:rPr>
          <w:rFonts w:ascii="Arial" w:cs="Arial" w:eastAsia="Arial" w:hAnsi="Arial"/>
          <w:sz w:val="19"/>
          <w:szCs w:val="19"/>
          <w:color w:val="auto"/>
        </w:rPr>
      </w:pPr>
    </w:p>
    <w:p>
      <w:pPr>
        <w:ind w:right="20" w:firstLine="1167"/>
        <w:spacing w:after="0" w:line="322" w:lineRule="auto"/>
        <w:tabs>
          <w:tab w:leader="none" w:pos="1754"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Trustee Liability and Indemnity</w:t>
      </w:r>
      <w:r>
        <w:rPr>
          <w:rFonts w:ascii="Arial" w:cs="Arial" w:eastAsia="Arial" w:hAnsi="Arial"/>
          <w:sz w:val="18"/>
          <w:szCs w:val="18"/>
          <w:color w:val="auto"/>
        </w:rPr>
        <w:t>. No Trustee shall be liable for any error of judgment or mistake of fact or law, or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or omission under this Agreement, except for such Trustee’s fraud, bad faith or willful misconduct. No Trustee shall be liable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1301" w:right="319" w:bottom="1440" w:gutter="0" w:footer="0" w:header="0"/>
        </w:sectPr>
      </w:pPr>
    </w:p>
    <w:bookmarkStart w:id="326" w:name="page327"/>
    <w:bookmarkEnd w:id="326"/>
    <w:p>
      <w:pPr>
        <w:jc w:val="both"/>
        <w:spacing w:after="0" w:line="258" w:lineRule="auto"/>
        <w:rPr>
          <w:sz w:val="20"/>
          <w:szCs w:val="20"/>
          <w:color w:val="auto"/>
        </w:rPr>
      </w:pPr>
      <w:r>
        <w:rPr>
          <w:rFonts w:ascii="Arial" w:cs="Arial" w:eastAsia="Arial" w:hAnsi="Arial"/>
          <w:sz w:val="19"/>
          <w:szCs w:val="19"/>
          <w:color w:val="auto"/>
        </w:rPr>
        <w:t>acting on any notice, request or instruction or other document believed to be genuine and to have been executed by or on behalf of the proper party or parties. The Company shall pay all reasonable expenses of the Trustees, including counsel fees, and shall discharge all liabilities incurred by them in connection with the exercise of their powers and the performance of their duties under this Agreement. Any action or omission undertaken by a Trustee in good faith in accordance with the advice of legal counsel shall be binding and conclusive on the parties to this Agreement. The Company shall also defend, indemnify and hold the Trustees harmless from and against any and all claims and liabilities in connection with or arising out of the administration of the trust created by this Agreement or the exercise of any powers or the performance of any duties by them as herein provided or contemplated, except such as shall arise from the fraud, bad faith or willful misconduct of the Trustees.</w:t>
      </w:r>
    </w:p>
    <w:p>
      <w:pPr>
        <w:spacing w:after="0" w:line="161" w:lineRule="exact"/>
        <w:rPr>
          <w:sz w:val="20"/>
          <w:szCs w:val="20"/>
          <w:color w:val="auto"/>
        </w:rPr>
      </w:pPr>
    </w:p>
    <w:p>
      <w:pPr>
        <w:ind w:left="1160" w:hanging="286"/>
        <w:spacing w:after="0"/>
        <w:tabs>
          <w:tab w:leader="none" w:pos="1160" w:val="left"/>
        </w:tabs>
        <w:numPr>
          <w:ilvl w:val="0"/>
          <w:numId w:val="197"/>
        </w:numPr>
        <w:rPr>
          <w:rFonts w:ascii="Arial" w:cs="Arial" w:eastAsia="Arial" w:hAnsi="Arial"/>
          <w:sz w:val="19"/>
          <w:szCs w:val="19"/>
          <w:color w:val="auto"/>
        </w:rPr>
      </w:pPr>
      <w:r>
        <w:rPr>
          <w:rFonts w:ascii="Arial" w:cs="Arial" w:eastAsia="Arial" w:hAnsi="Arial"/>
          <w:sz w:val="19"/>
          <w:szCs w:val="19"/>
          <w:b w:val="1"/>
          <w:bCs w:val="1"/>
          <w:color w:val="auto"/>
        </w:rPr>
        <w:t>Transfer of Shares; Withdrawals and Deemed Withdrawals of Class A Shares; Termination</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jc w:val="both"/>
        <w:ind w:firstLine="1167"/>
        <w:spacing w:after="0" w:line="281" w:lineRule="auto"/>
        <w:tabs>
          <w:tab w:leader="none" w:pos="1751" w:val="left"/>
        </w:tabs>
        <w:numPr>
          <w:ilvl w:val="1"/>
          <w:numId w:val="197"/>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The voting trust created by this Agreement shall be irrevocable, and shall terminate upon the earlier of (a)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 of the Company and the Trustees, and (b) the conversion of all LT10 Shares and LT50 Shares into Class A Shares in accordance with the Expensify Charter. Except for Section 3(f), which will survive the termination of this Agreement, this Agreement shall have no further force and effect (x) upon termination of this Agreement pursuant to its terms; or (y) with respect to any Stockholder, when such Stockholder no longer Beneficially Owns any Shares or other voting securities of the Company which are subject to this Agreement.</w:t>
      </w:r>
    </w:p>
    <w:p>
      <w:pPr>
        <w:spacing w:after="0" w:line="140" w:lineRule="exact"/>
        <w:rPr>
          <w:rFonts w:ascii="Arial" w:cs="Arial" w:eastAsia="Arial" w:hAnsi="Arial"/>
          <w:sz w:val="18"/>
          <w:szCs w:val="18"/>
          <w:color w:val="auto"/>
        </w:rPr>
      </w:pPr>
    </w:p>
    <w:p>
      <w:pPr>
        <w:jc w:val="both"/>
        <w:ind w:right="20" w:firstLine="1167"/>
        <w:spacing w:after="0" w:line="261" w:lineRule="auto"/>
        <w:tabs>
          <w:tab w:leader="none" w:pos="1750" w:val="left"/>
        </w:tabs>
        <w:numPr>
          <w:ilvl w:val="1"/>
          <w:numId w:val="197"/>
        </w:numPr>
        <w:rPr>
          <w:rFonts w:ascii="Arial" w:cs="Arial" w:eastAsia="Arial" w:hAnsi="Arial"/>
          <w:sz w:val="19"/>
          <w:szCs w:val="19"/>
          <w:color w:val="auto"/>
        </w:rPr>
      </w:pPr>
      <w:r>
        <w:rPr>
          <w:rFonts w:ascii="Arial" w:cs="Arial" w:eastAsia="Arial" w:hAnsi="Arial"/>
          <w:sz w:val="19"/>
          <w:szCs w:val="19"/>
          <w:b w:val="1"/>
          <w:bCs w:val="1"/>
          <w:color w:val="auto"/>
        </w:rPr>
        <w:t>No Withdrawals of LT10 and LT50 Shares; Transfers of LT10 Shares or LT50 Shares by Stockholders</w:t>
      </w:r>
      <w:r>
        <w:rPr>
          <w:rFonts w:ascii="Arial" w:cs="Arial" w:eastAsia="Arial" w:hAnsi="Arial"/>
          <w:sz w:val="19"/>
          <w:szCs w:val="19"/>
          <w:color w:val="auto"/>
        </w:rPr>
        <w:t>. LT10</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Shares and LT50 Shares may not be withdrawn from the Trust. Upon a Stockholder’s Transfer of LT10 Shares or LT50 Shares at any time or from time to time to the extent permitted by and in accordance with (i) applicable laws, rules and regulations, (ii) the Company Insider Trading Policy, and (iii) the Expensify Charter, the Trustees shall revise the Trust Register accordingly. If such Transfer is made to a transferee that is not already a Stockholder party hereto, such transferee shall become a Stockholder party hereto pursuant to a joinder agreement in substantially the form set forth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w:t>
      </w:r>
    </w:p>
    <w:p>
      <w:pPr>
        <w:spacing w:after="0" w:line="157" w:lineRule="exact"/>
        <w:rPr>
          <w:rFonts w:ascii="Arial" w:cs="Arial" w:eastAsia="Arial" w:hAnsi="Arial"/>
          <w:sz w:val="19"/>
          <w:szCs w:val="19"/>
          <w:color w:val="auto"/>
        </w:rPr>
      </w:pPr>
    </w:p>
    <w:p>
      <w:pPr>
        <w:jc w:val="both"/>
        <w:ind w:firstLine="1167"/>
        <w:spacing w:after="0" w:line="260" w:lineRule="auto"/>
        <w:tabs>
          <w:tab w:leader="none" w:pos="1751" w:val="left"/>
        </w:tabs>
        <w:numPr>
          <w:ilvl w:val="1"/>
          <w:numId w:val="197"/>
        </w:numPr>
        <w:rPr>
          <w:rFonts w:ascii="Arial" w:cs="Arial" w:eastAsia="Arial" w:hAnsi="Arial"/>
          <w:sz w:val="19"/>
          <w:szCs w:val="19"/>
          <w:color w:val="auto"/>
        </w:rPr>
      </w:pPr>
      <w:r>
        <w:rPr>
          <w:rFonts w:ascii="Arial" w:cs="Arial" w:eastAsia="Arial" w:hAnsi="Arial"/>
          <w:sz w:val="19"/>
          <w:szCs w:val="19"/>
          <w:b w:val="1"/>
          <w:bCs w:val="1"/>
          <w:color w:val="auto"/>
        </w:rPr>
        <w:t>Withdrawals and Deemed Withdrawals of Class A Shares</w:t>
      </w:r>
      <w:r>
        <w:rPr>
          <w:rFonts w:ascii="Arial" w:cs="Arial" w:eastAsia="Arial" w:hAnsi="Arial"/>
          <w:sz w:val="19"/>
          <w:szCs w:val="19"/>
          <w:color w:val="auto"/>
        </w:rPr>
        <w:t>. A Stockholder who Beneficially Owns Class A Shares</w:t>
      </w:r>
      <w:r>
        <w:rPr>
          <w:rFonts w:ascii="Arial" w:cs="Arial" w:eastAsia="Arial" w:hAnsi="Arial"/>
          <w:sz w:val="19"/>
          <w:szCs w:val="19"/>
          <w:b w:val="1"/>
          <w:bCs w:val="1"/>
          <w:color w:val="auto"/>
        </w:rPr>
        <w:t xml:space="preserve"> </w:t>
      </w:r>
      <w:r>
        <w:rPr>
          <w:rFonts w:ascii="Arial" w:cs="Arial" w:eastAsia="Arial" w:hAnsi="Arial"/>
          <w:sz w:val="19"/>
          <w:szCs w:val="19"/>
          <w:color w:val="auto"/>
        </w:rPr>
        <w:t>held by the Trust may withdraw some or all of such Class A Shares upon thirty (30) days’ prior written notice to the Trustees, to the extent permitted by and in accordance with (i) applicable laws, rules and regulations, (ii) the Company Insider Trading Policy, and (iii) the Expensify Charter; provided, however, that (i) any Class A Shares received in connection with an Exchange that are held in the Voting Trust at the time of the Exchange and (ii) any Class A Shares resulting from the conversion of LT10 Shares or LT50 Shares in accordance with the Expensify Charter shall, in each case, be deemed withdrawn from the Trust automatically at the time of Exchange or conversion, as applicable. The Trustees shall revise the Trust Register accordingly.</w:t>
      </w:r>
    </w:p>
    <w:p>
      <w:pPr>
        <w:spacing w:after="0" w:line="157" w:lineRule="exact"/>
        <w:rPr>
          <w:rFonts w:ascii="Arial" w:cs="Arial" w:eastAsia="Arial" w:hAnsi="Arial"/>
          <w:sz w:val="19"/>
          <w:szCs w:val="19"/>
          <w:color w:val="auto"/>
        </w:rPr>
      </w:pPr>
    </w:p>
    <w:p>
      <w:pPr>
        <w:ind w:right="20" w:firstLine="1167"/>
        <w:spacing w:after="0" w:line="292" w:lineRule="auto"/>
        <w:tabs>
          <w:tab w:leader="none" w:pos="1750" w:val="left"/>
        </w:tabs>
        <w:numPr>
          <w:ilvl w:val="1"/>
          <w:numId w:val="197"/>
        </w:numPr>
        <w:rPr>
          <w:rFonts w:ascii="Arial" w:cs="Arial" w:eastAsia="Arial" w:hAnsi="Arial"/>
          <w:sz w:val="19"/>
          <w:szCs w:val="19"/>
          <w:color w:val="auto"/>
        </w:rPr>
      </w:pPr>
      <w:r>
        <w:rPr>
          <w:rFonts w:ascii="Arial" w:cs="Arial" w:eastAsia="Arial" w:hAnsi="Arial"/>
          <w:sz w:val="19"/>
          <w:szCs w:val="19"/>
          <w:b w:val="1"/>
          <w:bCs w:val="1"/>
          <w:color w:val="auto"/>
        </w:rPr>
        <w:t>Distribution of Shares Upon Termination</w:t>
      </w:r>
      <w:r>
        <w:rPr>
          <w:rFonts w:ascii="Arial" w:cs="Arial" w:eastAsia="Arial" w:hAnsi="Arial"/>
          <w:sz w:val="19"/>
          <w:szCs w:val="19"/>
          <w:color w:val="auto"/>
        </w:rPr>
        <w:t>. As soon as practicable after termination of this Agreement, the Trustees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effect the Transfer of the Shares held in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0"/>
          </w:cols>
          <w:pgMar w:left="320" w:top="1301" w:right="319" w:bottom="1440" w:gutter="0" w:footer="0" w:header="0"/>
        </w:sectPr>
      </w:pPr>
    </w:p>
    <w:bookmarkStart w:id="327" w:name="page328"/>
    <w:bookmarkEnd w:id="327"/>
    <w:p>
      <w:pPr>
        <w:ind w:right="20"/>
        <w:spacing w:after="0" w:line="286" w:lineRule="auto"/>
        <w:rPr>
          <w:sz w:val="20"/>
          <w:szCs w:val="20"/>
          <w:color w:val="auto"/>
        </w:rPr>
      </w:pPr>
      <w:r>
        <w:rPr>
          <w:rFonts w:ascii="Arial" w:cs="Arial" w:eastAsia="Arial" w:hAnsi="Arial"/>
          <w:sz w:val="19"/>
          <w:szCs w:val="19"/>
          <w:color w:val="auto"/>
        </w:rPr>
        <w:t>to the respective Stockholders indicated as holding such Shares in the Trust Register, and the Company shall update its stock ledger accordingly.</w:t>
      </w:r>
    </w:p>
    <w:p>
      <w:pPr>
        <w:spacing w:after="0" w:line="131" w:lineRule="exact"/>
        <w:rPr>
          <w:sz w:val="20"/>
          <w:szCs w:val="20"/>
          <w:color w:val="auto"/>
        </w:rPr>
      </w:pPr>
    </w:p>
    <w:p>
      <w:pPr>
        <w:jc w:val="both"/>
        <w:ind w:right="20" w:firstLine="874"/>
        <w:spacing w:after="0" w:line="263" w:lineRule="auto"/>
        <w:tabs>
          <w:tab w:leader="none" w:pos="1169" w:val="left"/>
        </w:tabs>
        <w:numPr>
          <w:ilvl w:val="0"/>
          <w:numId w:val="198"/>
        </w:numPr>
        <w:rPr>
          <w:rFonts w:ascii="Arial" w:cs="Arial" w:eastAsia="Arial" w:hAnsi="Arial"/>
          <w:sz w:val="19"/>
          <w:szCs w:val="19"/>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This Agreement may be amended, modified or supplemented at any time and from time to time by the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of the Company and Trustees; provided, that (a) the consent of the Company shall not be required to add a new party hereto in accordance with Sections 2(c) or 4(b), and (b) with respect to Section 3(d), any amendment, modification or supplement thereto may only be made with written agreement of the Company, the Trustees and each Stockholder party hereto affected by such amendment, modification or supplement.</w:t>
      </w:r>
    </w:p>
    <w:p>
      <w:pPr>
        <w:spacing w:after="0" w:line="154" w:lineRule="exact"/>
        <w:rPr>
          <w:rFonts w:ascii="Arial" w:cs="Arial" w:eastAsia="Arial" w:hAnsi="Arial"/>
          <w:sz w:val="19"/>
          <w:szCs w:val="19"/>
          <w:color w:val="auto"/>
        </w:rPr>
      </w:pPr>
    </w:p>
    <w:p>
      <w:pPr>
        <w:jc w:val="both"/>
        <w:ind w:right="20" w:firstLine="874"/>
        <w:spacing w:after="0" w:line="273" w:lineRule="auto"/>
        <w:tabs>
          <w:tab w:leader="none" w:pos="1169" w:val="left"/>
        </w:tabs>
        <w:numPr>
          <w:ilvl w:val="0"/>
          <w:numId w:val="198"/>
        </w:numPr>
        <w:rPr>
          <w:rFonts w:ascii="Arial" w:cs="Arial" w:eastAsia="Arial" w:hAnsi="Arial"/>
          <w:sz w:val="19"/>
          <w:szCs w:val="19"/>
          <w:color w:val="auto"/>
        </w:rPr>
      </w:pPr>
      <w:r>
        <w:rPr>
          <w:rFonts w:ascii="Arial" w:cs="Arial" w:eastAsia="Arial" w:hAnsi="Arial"/>
          <w:sz w:val="19"/>
          <w:szCs w:val="19"/>
          <w:b w:val="1"/>
          <w:bCs w:val="1"/>
          <w:color w:val="auto"/>
        </w:rPr>
        <w:t>Governing Law</w:t>
      </w:r>
      <w:r>
        <w:rPr>
          <w:rFonts w:ascii="Arial" w:cs="Arial" w:eastAsia="Arial" w:hAnsi="Arial"/>
          <w:sz w:val="19"/>
          <w:szCs w:val="19"/>
          <w:color w:val="auto"/>
        </w:rPr>
        <w:t>. This Agreement, including its existence, validity, construction, and operating effect, and the rights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shall be governed by and construed in accordance with the laws of the State of Delaware without regard to otherwise governing principles of conflicts of law.</w:t>
      </w:r>
    </w:p>
    <w:p>
      <w:pPr>
        <w:spacing w:after="0" w:line="143" w:lineRule="exact"/>
        <w:rPr>
          <w:rFonts w:ascii="Arial" w:cs="Arial" w:eastAsia="Arial" w:hAnsi="Arial"/>
          <w:sz w:val="19"/>
          <w:szCs w:val="19"/>
          <w:color w:val="auto"/>
        </w:rPr>
      </w:pPr>
    </w:p>
    <w:p>
      <w:pPr>
        <w:jc w:val="both"/>
        <w:ind w:right="20" w:firstLine="874"/>
        <w:spacing w:after="0" w:line="258" w:lineRule="auto"/>
        <w:tabs>
          <w:tab w:leader="none" w:pos="1169" w:val="left"/>
        </w:tabs>
        <w:numPr>
          <w:ilvl w:val="0"/>
          <w:numId w:val="198"/>
        </w:numPr>
        <w:rPr>
          <w:rFonts w:ascii="Arial" w:cs="Arial" w:eastAsia="Arial" w:hAnsi="Arial"/>
          <w:sz w:val="19"/>
          <w:szCs w:val="19"/>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If any one or more of the provisions (or portions thereof) of this Agreement, as applied to any party or any</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 shall, for any reason, be held to be invalid, illegal or unenforceable in any respect, such invalidity, illegality or unenforceability shall not affect any other provision (or portion thereof) of this Agreement, and this Agreement shall be construed as if such invalid, illegal or unenforceable provision (or portion thereof) had never been contained herein. If any one or more of the provisions (or portions thereof) of this Agreement shall, for any reason, be held to be unenforceable as to duration, scope, activity or subject, such provision (or portion thereof) shall be construed by limiting and reducing it so as to make such provision enforceable to the extent compatible with the then existing applicable law. Without limiting the generality of the foregoing, it is the express intent of the parties to cause the Shares to be voted by the Trustees as provided herein. Accordingly, in the event that this Agreement is rescinded or otherwise terminated other than pursuant to its terms for any reason, the parties agree promptly to negotiate a successor voting agreement to accomplish this objective and to otherwise replicate the provisions hereof to the extent possible.</w:t>
      </w:r>
    </w:p>
    <w:p>
      <w:pPr>
        <w:spacing w:after="0" w:line="160" w:lineRule="exact"/>
        <w:rPr>
          <w:rFonts w:ascii="Arial" w:cs="Arial" w:eastAsia="Arial" w:hAnsi="Arial"/>
          <w:sz w:val="19"/>
          <w:szCs w:val="19"/>
          <w:color w:val="auto"/>
        </w:rPr>
      </w:pPr>
    </w:p>
    <w:p>
      <w:pPr>
        <w:jc w:val="both"/>
        <w:ind w:right="20" w:firstLine="874"/>
        <w:spacing w:after="0" w:line="281" w:lineRule="auto"/>
        <w:tabs>
          <w:tab w:leader="none" w:pos="1169"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Specific Performance</w:t>
      </w:r>
      <w:r>
        <w:rPr>
          <w:rFonts w:ascii="Arial" w:cs="Arial" w:eastAsia="Arial" w:hAnsi="Arial"/>
          <w:sz w:val="18"/>
          <w:szCs w:val="18"/>
          <w:color w:val="auto"/>
        </w:rPr>
        <w:t>. The parties agree that the failure of any party to perform any obligation provided for by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could result in irreparable damage to the other parties, and that monetary damages alone would not be adequate to compensate the nondefaulting party for its injury. Any party shall therefore be entitled, in addition to any other remedy that may be available, including monetary damages, to obtain specific performance of the terms of this Agreement. If any action is brought by any party to enforce this agreement, any party against which the action is brought shall waive the defense that there is an adequate remedy at law.</w:t>
      </w:r>
    </w:p>
    <w:p>
      <w:pPr>
        <w:spacing w:after="0" w:line="140" w:lineRule="exact"/>
        <w:rPr>
          <w:rFonts w:ascii="Arial" w:cs="Arial" w:eastAsia="Arial" w:hAnsi="Arial"/>
          <w:sz w:val="18"/>
          <w:szCs w:val="18"/>
          <w:color w:val="auto"/>
        </w:rPr>
      </w:pPr>
    </w:p>
    <w:p>
      <w:pPr>
        <w:jc w:val="both"/>
        <w:ind w:firstLine="874"/>
        <w:spacing w:after="0" w:line="263" w:lineRule="auto"/>
        <w:tabs>
          <w:tab w:leader="none" w:pos="1169" w:val="left"/>
        </w:tabs>
        <w:numPr>
          <w:ilvl w:val="0"/>
          <w:numId w:val="198"/>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All notices, consents, waivers, and other communications under this Agreement must be in writing and will be deemed</w:t>
      </w:r>
      <w:r>
        <w:rPr>
          <w:rFonts w:ascii="Arial" w:cs="Arial" w:eastAsia="Arial" w:hAnsi="Arial"/>
          <w:sz w:val="19"/>
          <w:szCs w:val="19"/>
          <w:b w:val="1"/>
          <w:bCs w:val="1"/>
          <w:color w:val="auto"/>
        </w:rPr>
        <w:t xml:space="preserve"> </w:t>
      </w:r>
      <w:r>
        <w:rPr>
          <w:rFonts w:ascii="Arial" w:cs="Arial" w:eastAsia="Arial" w:hAnsi="Arial"/>
          <w:sz w:val="19"/>
          <w:szCs w:val="19"/>
          <w:color w:val="auto"/>
        </w:rPr>
        <w:t>to have been duly given when (a) delivered by hand (with written confirmation of receipt), (b) upon receipt, if sent by electronic or digital transmission method (including e-mail), or (c) on the date of receipt or refusal indicated on the return receipt, if sent by registered or certified mail, return receipt requested, postage and charges prepaid and properly addressed, in each case to the appropriate addresses and e-mail addresses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60"/>
          </w:cols>
          <w:pgMar w:left="320" w:top="1301" w:right="31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color w:val="auto"/>
        </w:rPr>
        <w:t>set forth below (or to such other addresses and e-mail addresses as a party may designate by notice to the other parties from time to time):</w:t>
      </w:r>
    </w:p>
    <w:p>
      <w:pPr>
        <w:spacing w:after="0" w:line="268"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If to the Company:</w:t>
      </w: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Expensify, Inc.</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401 SW 5th Ave</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Portland, Oregon 97204</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Attn: Legal</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E-mail: legal@expensify.com</w:t>
      </w:r>
    </w:p>
    <w:p>
      <w:pPr>
        <w:spacing w:after="0" w:line="293"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If to the Trustees:</w:t>
      </w: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David Barrett</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c/o Expensify, Inc.</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401 SW 5th Ave</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Portland, Oregon 97204</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E-mail:</w:t>
      </w: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Ryan Schaffer</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c/o Expensify, Inc.</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401 SW 5th Ave</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Portland, Oregon 97204</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E-mail:</w:t>
      </w: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Jason Mills</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c/o Expensify, Inc.</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401 SW 5th Ave</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Portland, Oregon 97204</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E-mail:</w:t>
      </w: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If to a Stockholder: to the address of such holder set forth in the Trust Register.</w:t>
      </w:r>
    </w:p>
    <w:p>
      <w:pPr>
        <w:spacing w:after="0" w:line="311" w:lineRule="exact"/>
        <w:rPr>
          <w:sz w:val="20"/>
          <w:szCs w:val="20"/>
          <w:color w:val="auto"/>
        </w:rPr>
      </w:pPr>
    </w:p>
    <w:p>
      <w:pPr>
        <w:jc w:val="both"/>
        <w:ind w:firstLine="874"/>
        <w:spacing w:after="0" w:line="273" w:lineRule="auto"/>
        <w:tabs>
          <w:tab w:leader="none" w:pos="1169" w:val="left"/>
        </w:tabs>
        <w:numPr>
          <w:ilvl w:val="0"/>
          <w:numId w:val="199"/>
        </w:numPr>
        <w:rPr>
          <w:rFonts w:ascii="Arial" w:cs="Arial" w:eastAsia="Arial" w:hAnsi="Arial"/>
          <w:sz w:val="19"/>
          <w:szCs w:val="19"/>
          <w:color w:val="auto"/>
        </w:rPr>
      </w:pPr>
      <w:r>
        <w:rPr>
          <w:rFonts w:ascii="Arial" w:cs="Arial" w:eastAsia="Arial" w:hAnsi="Arial"/>
          <w:sz w:val="19"/>
          <w:szCs w:val="19"/>
          <w:b w:val="1"/>
          <w:bCs w:val="1"/>
          <w:color w:val="auto"/>
        </w:rPr>
        <w:t>Binding Effect</w:t>
      </w:r>
      <w:r>
        <w:rPr>
          <w:rFonts w:ascii="Arial" w:cs="Arial" w:eastAsia="Arial" w:hAnsi="Arial"/>
          <w:sz w:val="19"/>
          <w:szCs w:val="19"/>
          <w:color w:val="auto"/>
        </w:rPr>
        <w:t>. Except as otherwise expressly provided herein, this Agreement shall be binding on and inure to the benefit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hereto, their heirs, executors, administrators, successors and all other Persons hereafter that become a party hereto. No rights or obligations hereunder may be assigned by any party hereto except as explicitly provided in this Agreement.</w:t>
      </w:r>
    </w:p>
    <w:p>
      <w:pPr>
        <w:spacing w:after="0" w:line="143" w:lineRule="exact"/>
        <w:rPr>
          <w:rFonts w:ascii="Arial" w:cs="Arial" w:eastAsia="Arial" w:hAnsi="Arial"/>
          <w:sz w:val="19"/>
          <w:szCs w:val="19"/>
          <w:color w:val="auto"/>
        </w:rPr>
      </w:pPr>
    </w:p>
    <w:p>
      <w:pPr>
        <w:jc w:val="both"/>
        <w:ind w:firstLine="874"/>
        <w:spacing w:after="0" w:line="307" w:lineRule="auto"/>
        <w:tabs>
          <w:tab w:leader="none" w:pos="1162" w:val="left"/>
        </w:tabs>
        <w:numPr>
          <w:ilvl w:val="0"/>
          <w:numId w:val="199"/>
        </w:numPr>
        <w:rPr>
          <w:rFonts w:ascii="Arial" w:cs="Arial" w:eastAsia="Arial" w:hAnsi="Arial"/>
          <w:sz w:val="17"/>
          <w:szCs w:val="17"/>
          <w:color w:val="auto"/>
        </w:rPr>
      </w:pPr>
      <w:r>
        <w:rPr>
          <w:rFonts w:ascii="Arial" w:cs="Arial" w:eastAsia="Arial" w:hAnsi="Arial"/>
          <w:sz w:val="17"/>
          <w:szCs w:val="17"/>
          <w:b w:val="1"/>
          <w:bCs w:val="1"/>
          <w:color w:val="auto"/>
        </w:rPr>
        <w:t>Benefit and Burden</w:t>
      </w:r>
      <w:r>
        <w:rPr>
          <w:rFonts w:ascii="Arial" w:cs="Arial" w:eastAsia="Arial" w:hAnsi="Arial"/>
          <w:sz w:val="17"/>
          <w:szCs w:val="17"/>
          <w:color w:val="auto"/>
        </w:rPr>
        <w:t>. Nothing express or implied in this Agreement is intended or shall be construed to confer upon or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any Person other than the parties (and including specifically any stockholder of the Company that is not a party to this Agreement) any rights or remedies hereunder or by reason hereof. This Agreement and all its conditions and provisions are intended to be, and are, for the sole and exclusive benefit of the parties hereto and their successors and permitted assigns and are not for the benefit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01" w:right="339" w:bottom="1440" w:gutter="0" w:footer="0" w:header="0"/>
        </w:sectPr>
      </w:pPr>
    </w:p>
    <w:bookmarkStart w:id="329" w:name="page330"/>
    <w:bookmarkEnd w:id="329"/>
    <w:p>
      <w:pPr>
        <w:jc w:val="both"/>
        <w:ind w:left="3" w:right="20" w:firstLine="874"/>
        <w:spacing w:after="0" w:line="289" w:lineRule="auto"/>
        <w:tabs>
          <w:tab w:leader="none" w:pos="1172" w:val="left"/>
        </w:tabs>
        <w:numPr>
          <w:ilvl w:val="1"/>
          <w:numId w:val="200"/>
        </w:numPr>
        <w:rPr>
          <w:rFonts w:ascii="Arial" w:cs="Arial" w:eastAsia="Arial" w:hAnsi="Arial"/>
          <w:sz w:val="17"/>
          <w:szCs w:val="17"/>
          <w:color w:val="auto"/>
        </w:rPr>
      </w:pPr>
      <w:r>
        <w:rPr>
          <w:rFonts w:ascii="Arial" w:cs="Arial" w:eastAsia="Arial" w:hAnsi="Arial"/>
          <w:sz w:val="17"/>
          <w:szCs w:val="17"/>
          <w:b w:val="1"/>
          <w:bCs w:val="1"/>
          <w:color w:val="auto"/>
        </w:rPr>
        <w:t>Certain Rules of Construction</w:t>
      </w:r>
      <w:r>
        <w:rPr>
          <w:rFonts w:ascii="Arial" w:cs="Arial" w:eastAsia="Arial" w:hAnsi="Arial"/>
          <w:sz w:val="17"/>
          <w:szCs w:val="17"/>
          <w:color w:val="auto"/>
        </w:rPr>
        <w:t>. To the fullest extent permitted by law, the parties hereto intend that any ambiguities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resolved without reference to which party may have drafted this Agreement. All Section or subsection titles or other captions in this Agreement are for convenience only, and they shall not be deemed part of this Agreement and in no way define, limit, extend or describe the scope or intent of any provisions hereof. Unless the context otherwise requires: (a) a term has the meaning assigned to it; (b) “or” is not exclusive; (c) words in the singular include the plural, and words in the plural include the singular; (d) provisions apply to successive events and transactions;</w:t>
      </w:r>
    </w:p>
    <w:p>
      <w:pPr>
        <w:spacing w:after="0" w:line="2" w:lineRule="exact"/>
        <w:rPr>
          <w:rFonts w:ascii="Arial" w:cs="Arial" w:eastAsia="Arial" w:hAnsi="Arial"/>
          <w:sz w:val="17"/>
          <w:szCs w:val="17"/>
          <w:color w:val="auto"/>
        </w:rPr>
      </w:pPr>
    </w:p>
    <w:p>
      <w:pPr>
        <w:jc w:val="both"/>
        <w:ind w:left="3" w:hanging="3"/>
        <w:spacing w:after="0" w:line="277" w:lineRule="auto"/>
        <w:tabs>
          <w:tab w:leader="none" w:pos="28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Agreement as a whole and not to any particular Section, subsection or other subdivision; (f) “include” or “including” shall be deemed to be followed by “without limitation” or “but not limited to” whether or not they are followed by such phrases or words of like import; (g) all references to “Sections” or “subsections” refer to Sections or subsections of this Agreement; and (h) any pronoun used in this Agreement shall include the corresponding masculine, feminine or neuter forms.</w:t>
      </w:r>
    </w:p>
    <w:p>
      <w:pPr>
        <w:spacing w:after="0" w:line="142" w:lineRule="exact"/>
        <w:rPr>
          <w:rFonts w:ascii="Arial" w:cs="Arial" w:eastAsia="Arial" w:hAnsi="Arial"/>
          <w:sz w:val="18"/>
          <w:szCs w:val="18"/>
          <w:color w:val="auto"/>
        </w:rPr>
      </w:pPr>
    </w:p>
    <w:p>
      <w:pPr>
        <w:jc w:val="both"/>
        <w:ind w:left="3" w:right="20" w:firstLine="874"/>
        <w:spacing w:after="0" w:line="273" w:lineRule="auto"/>
        <w:tabs>
          <w:tab w:leader="none" w:pos="1172" w:val="left"/>
        </w:tabs>
        <w:numPr>
          <w:ilvl w:val="1"/>
          <w:numId w:val="201"/>
        </w:numPr>
        <w:rPr>
          <w:rFonts w:ascii="Arial" w:cs="Arial" w:eastAsia="Arial" w:hAnsi="Arial"/>
          <w:sz w:val="19"/>
          <w:szCs w:val="19"/>
          <w:color w:val="auto"/>
        </w:rPr>
      </w:pPr>
      <w:r>
        <w:rPr>
          <w:rFonts w:ascii="Arial" w:cs="Arial" w:eastAsia="Arial" w:hAnsi="Arial"/>
          <w:sz w:val="19"/>
          <w:szCs w:val="19"/>
          <w:b w:val="1"/>
          <w:bCs w:val="1"/>
          <w:color w:val="auto"/>
        </w:rPr>
        <w:t>Waiver</w:t>
      </w:r>
      <w:r>
        <w:rPr>
          <w:rFonts w:ascii="Arial" w:cs="Arial" w:eastAsia="Arial" w:hAnsi="Arial"/>
          <w:sz w:val="19"/>
          <w:szCs w:val="19"/>
          <w:color w:val="auto"/>
        </w:rPr>
        <w:t>. The failure of any party at any time to insist upon strict performance of any condition, promise, agreement or</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set forth in this Agreement shall not be construed as a waiver or relinquishment of the right to insist upon strict performance of the same or any other condition, promise, agreement or understanding at a future time.</w:t>
      </w:r>
    </w:p>
    <w:p>
      <w:pPr>
        <w:spacing w:after="0" w:line="143" w:lineRule="exact"/>
        <w:rPr>
          <w:rFonts w:ascii="Arial" w:cs="Arial" w:eastAsia="Arial" w:hAnsi="Arial"/>
          <w:sz w:val="19"/>
          <w:szCs w:val="19"/>
          <w:color w:val="auto"/>
        </w:rPr>
      </w:pPr>
    </w:p>
    <w:p>
      <w:pPr>
        <w:jc w:val="both"/>
        <w:ind w:left="3" w:right="20" w:firstLine="874"/>
        <w:spacing w:after="0" w:line="273" w:lineRule="auto"/>
        <w:tabs>
          <w:tab w:leader="none" w:pos="1172" w:val="left"/>
        </w:tabs>
        <w:numPr>
          <w:ilvl w:val="1"/>
          <w:numId w:val="201"/>
        </w:numPr>
        <w:rPr>
          <w:rFonts w:ascii="Arial" w:cs="Arial" w:eastAsia="Arial" w:hAnsi="Arial"/>
          <w:sz w:val="19"/>
          <w:szCs w:val="19"/>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constitutes the entire agreement between the parties hereto pertaining to the subject matter</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fully supersedes any and all prior or contemporaneous agreements or understandings between the parties hereto pertaining to the subject matter hereof.</w:t>
      </w:r>
    </w:p>
    <w:p>
      <w:pPr>
        <w:spacing w:after="0" w:line="143" w:lineRule="exact"/>
        <w:rPr>
          <w:rFonts w:ascii="Arial" w:cs="Arial" w:eastAsia="Arial" w:hAnsi="Arial"/>
          <w:sz w:val="19"/>
          <w:szCs w:val="19"/>
          <w:color w:val="auto"/>
        </w:rPr>
      </w:pPr>
    </w:p>
    <w:p>
      <w:pPr>
        <w:ind w:left="3" w:right="20" w:firstLine="874"/>
        <w:spacing w:after="0" w:line="292" w:lineRule="auto"/>
        <w:tabs>
          <w:tab w:leader="none" w:pos="1172" w:val="left"/>
        </w:tabs>
        <w:numPr>
          <w:ilvl w:val="1"/>
          <w:numId w:val="201"/>
        </w:numPr>
        <w:rPr>
          <w:rFonts w:ascii="Arial" w:cs="Arial" w:eastAsia="Arial" w:hAnsi="Arial"/>
          <w:sz w:val="19"/>
          <w:szCs w:val="19"/>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Agreement and any amendment thereto may be executed in any number of multiple counterparts,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which shall be deemed to be an original copy and all of which shall constitute one agreement, binding on all parties hereto.</w:t>
      </w:r>
    </w:p>
    <w:p>
      <w:pPr>
        <w:spacing w:after="0" w:line="125" w:lineRule="exact"/>
        <w:rPr>
          <w:rFonts w:ascii="Arial" w:cs="Arial" w:eastAsia="Arial" w:hAnsi="Arial"/>
          <w:sz w:val="19"/>
          <w:szCs w:val="19"/>
          <w:color w:val="auto"/>
        </w:rPr>
      </w:pPr>
    </w:p>
    <w:p>
      <w:pPr>
        <w:jc w:val="both"/>
        <w:ind w:left="3" w:firstLine="874"/>
        <w:spacing w:after="0" w:line="273" w:lineRule="auto"/>
        <w:tabs>
          <w:tab w:leader="none" w:pos="1172" w:val="left"/>
        </w:tabs>
        <w:numPr>
          <w:ilvl w:val="1"/>
          <w:numId w:val="201"/>
        </w:numPr>
        <w:rPr>
          <w:rFonts w:ascii="Arial" w:cs="Arial" w:eastAsia="Arial" w:hAnsi="Arial"/>
          <w:sz w:val="19"/>
          <w:szCs w:val="19"/>
          <w:color w:val="auto"/>
        </w:rPr>
      </w:pPr>
      <w:r>
        <w:rPr>
          <w:rFonts w:ascii="Arial" w:cs="Arial" w:eastAsia="Arial" w:hAnsi="Arial"/>
          <w:sz w:val="19"/>
          <w:szCs w:val="19"/>
          <w:b w:val="1"/>
          <w:bCs w:val="1"/>
          <w:color w:val="auto"/>
        </w:rPr>
        <w:t>Inspection of Agreement</w:t>
      </w:r>
      <w:r>
        <w:rPr>
          <w:rFonts w:ascii="Arial" w:cs="Arial" w:eastAsia="Arial" w:hAnsi="Arial"/>
          <w:sz w:val="19"/>
          <w:szCs w:val="19"/>
          <w:color w:val="auto"/>
        </w:rPr>
        <w:t>. A copy of this Agreement shall be filed in the registered office of the Company in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and shall be open to the inspection of any stockholder of the Company, or any beneficiary of the trust established hereunder, daily during business hours, in accordance with the applicable provisions of the DGCL.</w:t>
      </w:r>
    </w:p>
    <w:p>
      <w:pPr>
        <w:spacing w:after="0" w:line="143" w:lineRule="exact"/>
        <w:rPr>
          <w:rFonts w:ascii="Arial" w:cs="Arial" w:eastAsia="Arial" w:hAnsi="Arial"/>
          <w:sz w:val="19"/>
          <w:szCs w:val="19"/>
          <w:color w:val="auto"/>
        </w:rPr>
      </w:pPr>
    </w:p>
    <w:p>
      <w:pPr>
        <w:jc w:val="both"/>
        <w:ind w:left="3" w:right="20" w:firstLine="874"/>
        <w:spacing w:after="0" w:line="259" w:lineRule="auto"/>
        <w:tabs>
          <w:tab w:leader="none" w:pos="1172" w:val="left"/>
        </w:tabs>
        <w:numPr>
          <w:ilvl w:val="1"/>
          <w:numId w:val="201"/>
        </w:numPr>
        <w:rPr>
          <w:rFonts w:ascii="Arial" w:cs="Arial" w:eastAsia="Arial" w:hAnsi="Arial"/>
          <w:sz w:val="19"/>
          <w:szCs w:val="19"/>
          <w:color w:val="auto"/>
        </w:rPr>
      </w:pPr>
      <w:r>
        <w:rPr>
          <w:rFonts w:ascii="Arial" w:cs="Arial" w:eastAsia="Arial" w:hAnsi="Arial"/>
          <w:sz w:val="19"/>
          <w:szCs w:val="19"/>
          <w:b w:val="1"/>
          <w:bCs w:val="1"/>
          <w:color w:val="auto"/>
        </w:rPr>
        <w:t>Arbitration</w:t>
      </w:r>
      <w:r>
        <w:rPr>
          <w:rFonts w:ascii="Arial" w:cs="Arial" w:eastAsia="Arial" w:hAnsi="Arial"/>
          <w:sz w:val="19"/>
          <w:szCs w:val="19"/>
          <w:color w:val="auto"/>
        </w:rPr>
        <w:t>. It is understood and agreed between the parties hereto that any and all claims, grievances, demands, controversies,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causes of action or disputes of any nature whatsoever (collectively, </w:t>
      </w:r>
      <w:r>
        <w:rPr>
          <w:rFonts w:ascii="Arial" w:cs="Arial" w:eastAsia="Arial" w:hAnsi="Arial"/>
          <w:sz w:val="19"/>
          <w:szCs w:val="19"/>
          <w:b w:val="1"/>
          <w:bCs w:val="1"/>
          <w:color w:val="auto"/>
        </w:rPr>
        <w:t>“Claims”</w:t>
      </w:r>
      <w:r>
        <w:rPr>
          <w:rFonts w:ascii="Arial" w:cs="Arial" w:eastAsia="Arial" w:hAnsi="Arial"/>
          <w:sz w:val="19"/>
          <w:szCs w:val="19"/>
          <w:color w:val="auto"/>
        </w:rPr>
        <w:t xml:space="preserve">), arising out of, in connection with, or in relation to this Agreement or the arbitrability of any Claims under this Agreement, shall be resolved by final and binding arbitration administered by the New York, New York offices of JAMS/Endispute in accordance with the then-existing JAMS/Endispute Arbitration Rules. The parties shall select a mutually acceptable neutral arbitrator from the panel of arbitrators serving with any of JAMS/Endispute’s offices, but in the event the parties cannot agree on an arbitrator, the Administrator of JAMS/Endispute shall appoint an arbitrator from such panel (the arbitrator so selected or appointed, the </w:t>
      </w:r>
      <w:r>
        <w:rPr>
          <w:rFonts w:ascii="Arial" w:cs="Arial" w:eastAsia="Arial" w:hAnsi="Arial"/>
          <w:sz w:val="19"/>
          <w:szCs w:val="19"/>
          <w:b w:val="1"/>
          <w:bCs w:val="1"/>
          <w:color w:val="auto"/>
        </w:rPr>
        <w:t>“Arbitrator”</w:t>
      </w:r>
      <w:r>
        <w:rPr>
          <w:rFonts w:ascii="Arial" w:cs="Arial" w:eastAsia="Arial" w:hAnsi="Arial"/>
          <w:sz w:val="19"/>
          <w:szCs w:val="19"/>
          <w:color w:val="auto"/>
        </w:rPr>
        <w:t>). The parties expressly agree that the Arbitrator may provide all appropriate remedies (at law and equity) or judgments that could be awarded by a court of law in Delaware, and that, upon good cause shown, the Arbitrator shall afford the parties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3"/>
          </w:cols>
          <w:pgMar w:left="317" w:top="1296" w:right="319" w:bottom="1440" w:gutter="0" w:footer="0" w:header="0"/>
        </w:sectPr>
      </w:pPr>
    </w:p>
    <w:bookmarkStart w:id="330" w:name="page331"/>
    <w:bookmarkEnd w:id="330"/>
    <w:p>
      <w:pPr>
        <w:jc w:val="both"/>
        <w:spacing w:after="0" w:line="288" w:lineRule="auto"/>
        <w:rPr>
          <w:sz w:val="20"/>
          <w:szCs w:val="20"/>
          <w:color w:val="auto"/>
        </w:rPr>
      </w:pPr>
      <w:r>
        <w:rPr>
          <w:rFonts w:ascii="Arial" w:cs="Arial" w:eastAsia="Arial" w:hAnsi="Arial"/>
          <w:sz w:val="17"/>
          <w:szCs w:val="17"/>
          <w:color w:val="auto"/>
        </w:rPr>
        <w:t xml:space="preserve">discovery, including deposition discovery. Except as provided herein, the Federal Arbitration Act shall govern the interpretation, enforcement and all actions pursuant to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The Arbitrator shall be bound by and shall strictly enforce the terms of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and may not limit, expand or otherwise modify its terms. The Arbitrator shall make a good faith effort to apply the substantive law (and the law of remedies, if applicable) of the state of Delaware, or federal law, or both, as applicable, without reference to its conflicts of laws provisions. The Arbitrator is without jurisdiction to apply any different substantive law. The Arbitrator shall be bound to honor claims of privilege or work-product doctrine recognized at law, but the Arbitrator shall have the discretion to determine whether any such claim of privilege or work product doctrine applies. The Arbitrator shall render an award and a written, reasoned opinion in support thereof. Subject to the provisions of Section 8, the Arbitrator shall have power and authority to award any appropriate remedy (in law or equity) or judgment that could be awarded by a court of law in Delaware, which may include reasonable attorneys’ fees to the prevailing party. The award rendered by arbitration shall be final and binding upon the parties, and judgment upon the award may be entered in any court having jurisdiction thereof. Neither a party nor the Arbitrator shall disclose the existence, content, or results of any arbitration hereunder without the prior written consent of all parties. Adherence to this dispute resolution process shall not limit the parties’ right to obtain any provisional remedy, including, without limitation, injunctive or similar relief, from any court of competent jurisdiction as may be necessary to protect their rights and interests. Notwithstanding the foregoing sentence, this dispute resolution procedure is intended to be the exclusive method of resolving any Claims arising out of or relating to this Agreement. Subject to the Arbitrator’s award, each party shall bear its own fees and expenses with respect to this dispute resolution process and any action related thereto and the parties shall share equally the fees and expenses of JAMS/Endispute and the Arbitrator.</w:t>
      </w:r>
    </w:p>
    <w:p>
      <w:pPr>
        <w:spacing w:after="0" w:line="138" w:lineRule="exact"/>
        <w:rPr>
          <w:sz w:val="20"/>
          <w:szCs w:val="20"/>
          <w:color w:val="auto"/>
        </w:rPr>
      </w:pPr>
    </w:p>
    <w:p>
      <w:pPr>
        <w:jc w:val="both"/>
        <w:ind w:firstLine="874"/>
        <w:spacing w:after="0" w:line="260" w:lineRule="auto"/>
        <w:tabs>
          <w:tab w:leader="none" w:pos="1169" w:val="left"/>
        </w:tabs>
        <w:numPr>
          <w:ilvl w:val="0"/>
          <w:numId w:val="202"/>
        </w:numPr>
        <w:rPr>
          <w:rFonts w:ascii="Arial" w:cs="Arial" w:eastAsia="Arial" w:hAnsi="Arial"/>
          <w:sz w:val="19"/>
          <w:szCs w:val="19"/>
          <w:color w:val="auto"/>
        </w:rPr>
      </w:pPr>
      <w:r>
        <w:rPr>
          <w:rFonts w:ascii="Arial" w:cs="Arial" w:eastAsia="Arial" w:hAnsi="Arial"/>
          <w:sz w:val="19"/>
          <w:szCs w:val="19"/>
          <w:b w:val="1"/>
          <w:bCs w:val="1"/>
          <w:color w:val="auto"/>
        </w:rPr>
        <w:t>Tax Treatment</w:t>
      </w:r>
      <w:r>
        <w:rPr>
          <w:rFonts w:ascii="Arial" w:cs="Arial" w:eastAsia="Arial" w:hAnsi="Arial"/>
          <w:sz w:val="19"/>
          <w:szCs w:val="19"/>
          <w:color w:val="auto"/>
        </w:rPr>
        <w:t>. The parties intend that the Trust be treated as a grantor trust for U.S. federal income tax purposes and not as a</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partnership or as an association taxable as a corporation. No party shall make any election or take any other action inconsistent with such intent unless required by law. In the event that, contrary to the parties’ intent, the Trust is not treated as a grantor trust for U.S. federal income tax purposes but is instead treated as a partnership for U.S. federal income tax purposes, all items of income, gain, loss, deduction and credit with respect to each Share (together with any Shares or other voting securities of the Company distributed as a dividend or distribution upon, conversion of or in exchange for such Share held by the Trustees hereunder) shall be specially allocated to the Stockholder that deposited such Share in trust with the Trustees.</w:t>
      </w:r>
    </w:p>
    <w:p>
      <w:pPr>
        <w:spacing w:after="0" w:line="157" w:lineRule="exact"/>
        <w:rPr>
          <w:rFonts w:ascii="Arial" w:cs="Arial" w:eastAsia="Arial" w:hAnsi="Arial"/>
          <w:sz w:val="19"/>
          <w:szCs w:val="19"/>
          <w:color w:val="auto"/>
        </w:rPr>
      </w:pPr>
    </w:p>
    <w:p>
      <w:pPr>
        <w:ind w:left="1160" w:hanging="286"/>
        <w:spacing w:after="0"/>
        <w:tabs>
          <w:tab w:leader="none" w:pos="116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Capitalized words and phrases used and not otherwise defined elsewhere in this Agreement shall have the following</w:t>
      </w:r>
    </w:p>
    <w:p>
      <w:pPr>
        <w:spacing w:after="0" w:line="5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meanings:</w:t>
      </w:r>
    </w:p>
    <w:p>
      <w:pPr>
        <w:spacing w:after="0" w:line="186" w:lineRule="exact"/>
        <w:rPr>
          <w:sz w:val="20"/>
          <w:szCs w:val="20"/>
          <w:color w:val="auto"/>
        </w:rPr>
      </w:pPr>
    </w:p>
    <w:p>
      <w:pPr>
        <w:ind w:right="20" w:firstLine="585"/>
        <w:spacing w:after="0" w:line="292" w:lineRule="auto"/>
        <w:rPr>
          <w:sz w:val="20"/>
          <w:szCs w:val="20"/>
          <w:color w:val="auto"/>
        </w:rPr>
      </w:pPr>
      <w:r>
        <w:rPr>
          <w:rFonts w:ascii="Arial" w:cs="Arial" w:eastAsia="Arial" w:hAnsi="Arial"/>
          <w:sz w:val="19"/>
          <w:szCs w:val="19"/>
          <w:b w:val="1"/>
          <w:bCs w:val="1"/>
          <w:color w:val="auto"/>
        </w:rPr>
        <w:t xml:space="preserve">“Beneficial Owner” </w:t>
      </w:r>
      <w:r>
        <w:rPr>
          <w:rFonts w:ascii="Arial" w:cs="Arial" w:eastAsia="Arial" w:hAnsi="Arial"/>
          <w:sz w:val="19"/>
          <w:szCs w:val="19"/>
          <w:color w:val="auto"/>
        </w:rPr>
        <w:t>is defined in Rule 13d-3(a) and (b) of the rules and regulations of the Securities Exchange Act of 1934,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amended. </w:t>
      </w:r>
      <w:r>
        <w:rPr>
          <w:rFonts w:ascii="Arial" w:cs="Arial" w:eastAsia="Arial" w:hAnsi="Arial"/>
          <w:sz w:val="19"/>
          <w:szCs w:val="19"/>
          <w:b w:val="1"/>
          <w:bCs w:val="1"/>
          <w:color w:val="auto"/>
        </w:rPr>
        <w:t>“Beneficially Owned”</w:t>
      </w:r>
      <w:r>
        <w:rPr>
          <w:rFonts w:ascii="Arial" w:cs="Arial" w:eastAsia="Arial" w:hAnsi="Arial"/>
          <w:sz w:val="19"/>
          <w:szCs w:val="19"/>
          <w:color w:val="auto"/>
        </w:rPr>
        <w:t xml:space="preserve"> shall have a correlative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0"/>
          </w:cols>
          <w:pgMar w:left="320" w:top="1301" w:right="319" w:bottom="1440" w:gutter="0" w:footer="0" w:header="0"/>
        </w:sectPr>
      </w:pPr>
    </w:p>
    <w:bookmarkStart w:id="331" w:name="page332"/>
    <w:bookmarkEnd w:id="331"/>
    <w:p>
      <w:pPr>
        <w:jc w:val="both"/>
        <w:ind w:right="20" w:firstLine="585"/>
        <w:spacing w:after="0" w:line="292" w:lineRule="auto"/>
        <w:rPr>
          <w:sz w:val="20"/>
          <w:szCs w:val="20"/>
          <w:color w:val="auto"/>
        </w:rPr>
      </w:pPr>
      <w:r>
        <w:rPr>
          <w:rFonts w:ascii="Arial" w:cs="Arial" w:eastAsia="Arial" w:hAnsi="Arial"/>
          <w:sz w:val="19"/>
          <w:szCs w:val="19"/>
          <w:b w:val="1"/>
          <w:bCs w:val="1"/>
          <w:color w:val="auto"/>
        </w:rPr>
        <w:t xml:space="preserve">“Company Insider Trading Policy” </w:t>
      </w:r>
      <w:r>
        <w:rPr>
          <w:rFonts w:ascii="Arial" w:cs="Arial" w:eastAsia="Arial" w:hAnsi="Arial"/>
          <w:sz w:val="19"/>
          <w:szCs w:val="19"/>
          <w:color w:val="auto"/>
        </w:rPr>
        <w:t>means each applicable employee trading, black-out, window period and other policy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applicable to Transfers of Shares as in effect from time to time.</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 xml:space="preserve">“DGCL” </w:t>
      </w:r>
      <w:r>
        <w:rPr>
          <w:rFonts w:ascii="Arial" w:cs="Arial" w:eastAsia="Arial" w:hAnsi="Arial"/>
          <w:sz w:val="19"/>
          <w:szCs w:val="19"/>
          <w:color w:val="auto"/>
        </w:rPr>
        <w:t>means the General Corporation Law of the State of Delaware, as amended.</w:t>
      </w:r>
    </w:p>
    <w:p>
      <w:pPr>
        <w:spacing w:after="0" w:line="208" w:lineRule="exact"/>
        <w:rPr>
          <w:sz w:val="20"/>
          <w:szCs w:val="20"/>
          <w:color w:val="auto"/>
        </w:rPr>
      </w:pPr>
    </w:p>
    <w:p>
      <w:pPr>
        <w:jc w:val="both"/>
        <w:ind w:firstLine="585"/>
        <w:spacing w:after="0" w:line="263" w:lineRule="auto"/>
        <w:rPr>
          <w:sz w:val="20"/>
          <w:szCs w:val="20"/>
          <w:color w:val="auto"/>
        </w:rPr>
      </w:pPr>
      <w:r>
        <w:rPr>
          <w:rFonts w:ascii="Arial" w:cs="Arial" w:eastAsia="Arial" w:hAnsi="Arial"/>
          <w:sz w:val="19"/>
          <w:szCs w:val="19"/>
          <w:b w:val="1"/>
          <w:bCs w:val="1"/>
          <w:color w:val="auto"/>
        </w:rPr>
        <w:t xml:space="preserve">“Encumbrance” </w:t>
      </w:r>
      <w:r>
        <w:rPr>
          <w:rFonts w:ascii="Arial" w:cs="Arial" w:eastAsia="Arial" w:hAnsi="Arial"/>
          <w:sz w:val="19"/>
          <w:szCs w:val="19"/>
          <w:color w:val="auto"/>
        </w:rPr>
        <w:t>means a security interest, lien, charge, claim, community or other marital property interest, pledge, alienation,</w:t>
      </w:r>
      <w:r>
        <w:rPr>
          <w:rFonts w:ascii="Arial" w:cs="Arial" w:eastAsia="Arial" w:hAnsi="Arial"/>
          <w:sz w:val="19"/>
          <w:szCs w:val="19"/>
          <w:b w:val="1"/>
          <w:bCs w:val="1"/>
          <w:color w:val="auto"/>
        </w:rPr>
        <w:t xml:space="preserve"> </w:t>
      </w:r>
      <w:r>
        <w:rPr>
          <w:rFonts w:ascii="Arial" w:cs="Arial" w:eastAsia="Arial" w:hAnsi="Arial"/>
          <w:sz w:val="19"/>
          <w:szCs w:val="19"/>
          <w:color w:val="auto"/>
        </w:rPr>
        <w:t>mortgage, option, hypothecation, encumbrance or similar collateral assignment by any other means, whether for value or no value and whether voluntary or involuntary (including by operation of law or by judgment, levy, attachment, garnishment, bankruptcy or other legal or equitable proceedings) or any other restriction on use, voting (including any proxy), transfer (including any right of first refusal or similar right), receipt of income or exercise of any other attribute of ownership.</w:t>
      </w:r>
    </w:p>
    <w:p>
      <w:pPr>
        <w:spacing w:after="0" w:line="155" w:lineRule="exact"/>
        <w:rPr>
          <w:sz w:val="20"/>
          <w:szCs w:val="20"/>
          <w:color w:val="auto"/>
        </w:rPr>
      </w:pPr>
    </w:p>
    <w:p>
      <w:pPr>
        <w:jc w:val="both"/>
        <w:ind w:right="20" w:firstLine="585"/>
        <w:spacing w:after="0" w:line="292" w:lineRule="auto"/>
        <w:rPr>
          <w:sz w:val="20"/>
          <w:szCs w:val="20"/>
          <w:color w:val="auto"/>
        </w:rPr>
      </w:pPr>
      <w:r>
        <w:rPr>
          <w:rFonts w:ascii="Arial" w:cs="Arial" w:eastAsia="Arial" w:hAnsi="Arial"/>
          <w:sz w:val="19"/>
          <w:szCs w:val="19"/>
          <w:b w:val="1"/>
          <w:bCs w:val="1"/>
          <w:color w:val="auto"/>
        </w:rPr>
        <w:t xml:space="preserve">“Expensify Charter” </w:t>
      </w:r>
      <w:r>
        <w:rPr>
          <w:rFonts w:ascii="Arial" w:cs="Arial" w:eastAsia="Arial" w:hAnsi="Arial"/>
          <w:sz w:val="19"/>
          <w:szCs w:val="19"/>
          <w:color w:val="auto"/>
        </w:rPr>
        <w:t>means the Company’s Amended and Restated Certificate of Incorporation, as it may be amended and/or restated</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in accordance with its terms</w:t>
      </w:r>
      <w:r>
        <w:rPr>
          <w:rFonts w:ascii="Arial" w:cs="Arial" w:eastAsia="Arial" w:hAnsi="Arial"/>
          <w:sz w:val="19"/>
          <w:szCs w:val="19"/>
          <w:b w:val="1"/>
          <w:bCs w:val="1"/>
          <w:color w:val="auto"/>
        </w:rPr>
        <w:t>.</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 xml:space="preserve">“Expensify Subsidiary” </w:t>
      </w:r>
      <w:r>
        <w:rPr>
          <w:rFonts w:ascii="Arial" w:cs="Arial" w:eastAsia="Arial" w:hAnsi="Arial"/>
          <w:sz w:val="19"/>
          <w:szCs w:val="19"/>
          <w:color w:val="auto"/>
        </w:rPr>
        <w:t>means a Subsidiary of the Company.</w:t>
      </w:r>
    </w:p>
    <w:p>
      <w:pPr>
        <w:spacing w:after="0" w:line="208" w:lineRule="exact"/>
        <w:rPr>
          <w:sz w:val="20"/>
          <w:szCs w:val="20"/>
          <w:color w:val="auto"/>
        </w:rPr>
      </w:pPr>
    </w:p>
    <w:p>
      <w:pPr>
        <w:jc w:val="both"/>
        <w:ind w:firstLine="585"/>
        <w:spacing w:after="0" w:line="273" w:lineRule="auto"/>
        <w:rPr>
          <w:sz w:val="20"/>
          <w:szCs w:val="20"/>
          <w:color w:val="auto"/>
        </w:rPr>
      </w:pPr>
      <w:r>
        <w:rPr>
          <w:rFonts w:ascii="Arial" w:cs="Arial" w:eastAsia="Arial" w:hAnsi="Arial"/>
          <w:sz w:val="19"/>
          <w:szCs w:val="19"/>
          <w:b w:val="1"/>
          <w:bCs w:val="1"/>
          <w:color w:val="auto"/>
        </w:rPr>
        <w:t xml:space="preserve">“Person” </w:t>
      </w:r>
      <w:r>
        <w:rPr>
          <w:rFonts w:ascii="Arial" w:cs="Arial" w:eastAsia="Arial" w:hAnsi="Arial"/>
          <w:sz w:val="19"/>
          <w:szCs w:val="19"/>
          <w:color w:val="auto"/>
        </w:rPr>
        <w:t>means and includes an individual, a general or limited partnership, a limited liability company, a joint venture, a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non-profit corporation), an estate, a trust, an unincorporated organization, an association, a government or any department or agency thereof or any other entity.</w:t>
      </w:r>
    </w:p>
    <w:p>
      <w:pPr>
        <w:spacing w:after="0" w:line="143"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or (b) any partnership (i) the sole general partner or the managing general partner of which is such Person or a Subsidiary of such Person or (ii) the only general partners of which are that Person or one or more Subsidiaries of that Person (or any combination thereof).</w:t>
      </w:r>
    </w:p>
    <w:p>
      <w:pPr>
        <w:spacing w:after="0" w:line="158" w:lineRule="exact"/>
        <w:rPr>
          <w:sz w:val="20"/>
          <w:szCs w:val="20"/>
          <w:color w:val="auto"/>
        </w:rPr>
      </w:pPr>
    </w:p>
    <w:p>
      <w:pPr>
        <w:jc w:val="both"/>
        <w:ind w:right="20" w:firstLine="585"/>
        <w:spacing w:after="0" w:line="292" w:lineRule="auto"/>
        <w:rPr>
          <w:sz w:val="20"/>
          <w:szCs w:val="20"/>
          <w:color w:val="auto"/>
        </w:rPr>
      </w:pPr>
      <w:r>
        <w:rPr>
          <w:rFonts w:ascii="Arial" w:cs="Arial" w:eastAsia="Arial" w:hAnsi="Arial"/>
          <w:sz w:val="19"/>
          <w:szCs w:val="19"/>
          <w:b w:val="1"/>
          <w:bCs w:val="1"/>
          <w:color w:val="auto"/>
        </w:rPr>
        <w:t xml:space="preserve">“Transfer” </w:t>
      </w:r>
      <w:r>
        <w:rPr>
          <w:rFonts w:ascii="Arial" w:cs="Arial" w:eastAsia="Arial" w:hAnsi="Arial"/>
          <w:sz w:val="19"/>
          <w:szCs w:val="19"/>
          <w:color w:val="auto"/>
        </w:rPr>
        <w:t>is defined in the Expensify Charter; provided, however, that solely with respect to Section 4(b), “Transfer” shall also</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a Transfer to a decedent’s estate upon the death of a holder of shares of LT Common Stock.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60"/>
          </w:cols>
          <w:pgMar w:left="320" w:top="1295" w:right="319" w:bottom="1440" w:gutter="0" w:footer="0" w:header="0"/>
        </w:sectPr>
      </w:pPr>
    </w:p>
    <w:bookmarkStart w:id="332" w:name="page333"/>
    <w:bookmarkEnd w:id="332"/>
    <w:p>
      <w:pPr>
        <w:ind w:left="40"/>
        <w:spacing w:after="0"/>
        <w:rPr>
          <w:sz w:val="20"/>
          <w:szCs w:val="20"/>
          <w:color w:val="auto"/>
        </w:rPr>
      </w:pPr>
      <w:r>
        <w:rPr>
          <w:rFonts w:ascii="Arial" w:cs="Arial" w:eastAsia="Arial" w:hAnsi="Arial"/>
          <w:sz w:val="17"/>
          <w:szCs w:val="17"/>
          <w:color w:val="auto"/>
        </w:rPr>
        <w:t>IN WITNESS WHEREOF, the parties hereto have executed this Voting Trust Agreement as of the date first above written.</w:t>
      </w:r>
    </w:p>
    <w:p>
      <w:pPr>
        <w:spacing w:after="0" w:line="273" w:lineRule="exact"/>
        <w:rPr>
          <w:sz w:val="20"/>
          <w:szCs w:val="20"/>
          <w:color w:val="auto"/>
        </w:rPr>
      </w:pPr>
    </w:p>
    <w:p>
      <w:pPr>
        <w:ind w:left="7240"/>
        <w:spacing w:after="0"/>
        <w:rPr>
          <w:sz w:val="20"/>
          <w:szCs w:val="20"/>
          <w:color w:val="auto"/>
        </w:rPr>
      </w:pPr>
      <w:r>
        <w:rPr>
          <w:rFonts w:ascii="Arial" w:cs="Arial" w:eastAsia="Arial" w:hAnsi="Arial"/>
          <w:sz w:val="19"/>
          <w:szCs w:val="19"/>
          <w:b w:val="1"/>
          <w:bCs w:val="1"/>
          <w:color w:val="auto"/>
        </w:rPr>
        <w:t>EXPENSIFY,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340995</wp:posOffset>
            </wp:positionV>
            <wp:extent cx="184086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40865" cy="762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7240"/>
        <w:spacing w:after="0"/>
        <w:rPr>
          <w:sz w:val="20"/>
          <w:szCs w:val="20"/>
          <w:color w:val="auto"/>
        </w:rPr>
      </w:pPr>
      <w:r>
        <w:rPr>
          <w:rFonts w:ascii="Arial" w:cs="Arial" w:eastAsia="Arial" w:hAnsi="Arial"/>
          <w:sz w:val="19"/>
          <w:szCs w:val="19"/>
          <w:color w:val="auto"/>
        </w:rPr>
        <w:t>Name:</w:t>
      </w:r>
    </w:p>
    <w:p>
      <w:pPr>
        <w:spacing w:after="0" w:line="62" w:lineRule="exact"/>
        <w:rPr>
          <w:sz w:val="20"/>
          <w:szCs w:val="20"/>
          <w:color w:val="auto"/>
        </w:rPr>
      </w:pPr>
    </w:p>
    <w:p>
      <w:pPr>
        <w:ind w:left="72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[Signature Page to Voting Trust Agreement]</w:t>
      </w:r>
    </w:p>
    <w:p>
      <w:pPr>
        <w:sectPr>
          <w:pgSz w:w="11900" w:h="16838" w:orient="portrait"/>
          <w:cols w:equalWidth="0" w:num="1">
            <w:col w:w="9580"/>
          </w:cols>
          <w:pgMar w:left="1440" w:top="1301" w:right="879" w:bottom="1440" w:gutter="0" w:footer="0" w:header="0"/>
        </w:sectPr>
      </w:pPr>
    </w:p>
    <w:bookmarkStart w:id="333" w:name="page334"/>
    <w:bookmarkEnd w:id="333"/>
    <w:p>
      <w:pPr>
        <w:jc w:val="right"/>
        <w:ind w:right="999"/>
        <w:spacing w:after="0"/>
        <w:rPr>
          <w:sz w:val="20"/>
          <w:szCs w:val="20"/>
          <w:color w:val="auto"/>
        </w:rPr>
      </w:pPr>
      <w:r>
        <w:rPr>
          <w:rFonts w:ascii="Arial" w:cs="Arial" w:eastAsia="Arial" w:hAnsi="Arial"/>
          <w:sz w:val="19"/>
          <w:szCs w:val="19"/>
          <w:b w:val="1"/>
          <w:bCs w:val="1"/>
          <w:color w:val="auto"/>
        </w:rPr>
        <w:t>TRUSTEES</w:t>
      </w:r>
    </w:p>
    <w:p>
      <w:pPr>
        <w:spacing w:after="0" w:line="200" w:lineRule="exact"/>
        <w:rPr>
          <w:sz w:val="20"/>
          <w:szCs w:val="20"/>
          <w:color w:val="auto"/>
        </w:rPr>
      </w:pPr>
    </w:p>
    <w:p>
      <w:pPr>
        <w:spacing w:after="0" w:line="355"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27940</wp:posOffset>
            </wp:positionV>
            <wp:extent cx="130683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Print Name:</w:t>
      </w:r>
    </w:p>
    <w:p>
      <w:pPr>
        <w:spacing w:after="0" w:line="305"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27940</wp:posOffset>
            </wp:positionV>
            <wp:extent cx="130683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Print Name:</w:t>
      </w:r>
    </w:p>
    <w:p>
      <w:pPr>
        <w:spacing w:after="0" w:line="305"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27940</wp:posOffset>
            </wp:positionV>
            <wp:extent cx="130683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Voting Trust Agreement]</w:t>
      </w:r>
    </w:p>
    <w:p>
      <w:pPr>
        <w:sectPr>
          <w:pgSz w:w="11900" w:h="16838" w:orient="portrait"/>
          <w:cols w:equalWidth="0" w:num="1">
            <w:col w:w="9019"/>
          </w:cols>
          <w:pgMar w:left="1440" w:top="1344" w:right="1440" w:bottom="1440" w:gutter="0" w:footer="0" w:header="0"/>
        </w:sectPr>
      </w:pPr>
    </w:p>
    <w:bookmarkStart w:id="334" w:name="page335"/>
    <w:bookmarkEnd w:id="334"/>
    <w:p>
      <w:pPr>
        <w:jc w:val="right"/>
        <w:ind w:right="1939"/>
        <w:spacing w:after="0"/>
        <w:rPr>
          <w:sz w:val="20"/>
          <w:szCs w:val="20"/>
          <w:color w:val="auto"/>
        </w:rPr>
      </w:pPr>
      <w:r>
        <w:rPr>
          <w:rFonts w:ascii="Arial" w:cs="Arial" w:eastAsia="Arial" w:hAnsi="Arial"/>
          <w:sz w:val="19"/>
          <w:szCs w:val="19"/>
          <w:b w:val="1"/>
          <w:bCs w:val="1"/>
          <w:color w:val="auto"/>
        </w:rPr>
        <w:t>STOCKHOLDER:</w:t>
      </w:r>
    </w:p>
    <w:p>
      <w:pPr>
        <w:spacing w:after="0" w:line="200" w:lineRule="exact"/>
        <w:rPr>
          <w:sz w:val="20"/>
          <w:szCs w:val="20"/>
          <w:color w:val="auto"/>
        </w:rPr>
      </w:pPr>
    </w:p>
    <w:p>
      <w:pPr>
        <w:spacing w:after="0" w:line="355"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27940</wp:posOffset>
            </wp:positionV>
            <wp:extent cx="197993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285"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27940</wp:posOffset>
            </wp:positionV>
            <wp:extent cx="197993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Voting Trust Agreement]</w:t>
      </w:r>
    </w:p>
    <w:p>
      <w:pPr>
        <w:sectPr>
          <w:pgSz w:w="11900" w:h="16838" w:orient="portrait"/>
          <w:cols w:equalWidth="0" w:num="1">
            <w:col w:w="9019"/>
          </w:cols>
          <w:pgMar w:left="1440" w:top="1344" w:right="1440" w:bottom="1440" w:gutter="0" w:footer="0" w:header="0"/>
        </w:sectPr>
      </w:pPr>
    </w:p>
    <w:bookmarkStart w:id="335" w:name="page336"/>
    <w:bookmarkEnd w:id="335"/>
    <w:p>
      <w:pPr>
        <w:jc w:val="center"/>
        <w:ind w:right="-99"/>
        <w:spacing w:after="0"/>
        <w:rPr>
          <w:sz w:val="20"/>
          <w:szCs w:val="20"/>
          <w:color w:val="auto"/>
        </w:rPr>
      </w:pPr>
      <w:r>
        <w:rPr>
          <w:rFonts w:ascii="Arial" w:cs="Arial" w:eastAsia="Arial" w:hAnsi="Arial"/>
          <w:sz w:val="19"/>
          <w:szCs w:val="19"/>
          <w:u w:val="single" w:color="auto"/>
          <w:color w:val="auto"/>
        </w:rPr>
        <w:t>Exhibit A</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STOCKHOLDER ELECTION TO DEPOSIT ADDITIONAL SHARES</w:t>
      </w:r>
    </w:p>
    <w:p>
      <w:pPr>
        <w:spacing w:after="0" w:line="214" w:lineRule="exact"/>
        <w:rPr>
          <w:sz w:val="20"/>
          <w:szCs w:val="20"/>
          <w:color w:val="auto"/>
        </w:rPr>
      </w:pPr>
    </w:p>
    <w:p>
      <w:pPr>
        <w:jc w:val="both"/>
        <w:ind w:left="100" w:firstLine="1169"/>
        <w:spacing w:after="0" w:line="276" w:lineRule="auto"/>
        <w:rPr>
          <w:sz w:val="20"/>
          <w:szCs w:val="20"/>
          <w:color w:val="auto"/>
        </w:rPr>
      </w:pPr>
      <w:r>
        <w:rPr>
          <w:rFonts w:ascii="Arial" w:cs="Arial" w:eastAsia="Arial" w:hAnsi="Arial"/>
          <w:sz w:val="18"/>
          <w:szCs w:val="18"/>
          <w:color w:val="auto"/>
        </w:rPr>
        <w:t xml:space="preserve">The undersigned Stockholder hereby elects to deposit the number of additional voting securities of Expensify, Inc. (the </w:t>
      </w:r>
      <w:r>
        <w:rPr>
          <w:rFonts w:ascii="Arial" w:cs="Arial" w:eastAsia="Arial" w:hAnsi="Arial"/>
          <w:sz w:val="18"/>
          <w:szCs w:val="18"/>
          <w:b w:val="1"/>
          <w:bCs w:val="1"/>
          <w:color w:val="auto"/>
        </w:rPr>
        <w:t>“Company”</w:t>
      </w:r>
      <w:r>
        <w:rPr>
          <w:rFonts w:ascii="Arial" w:cs="Arial" w:eastAsia="Arial" w:hAnsi="Arial"/>
          <w:sz w:val="18"/>
          <w:szCs w:val="18"/>
          <w:color w:val="auto"/>
        </w:rPr>
        <w:t>) Beneficially Owned by such Stockholder and set forth below in trust with the Trustees pursuant to that certain Voting Trust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 l ], 2021, as amended from time to time (as amended, the “</w:t>
      </w:r>
      <w:r>
        <w:rPr>
          <w:rFonts w:ascii="Arial" w:cs="Arial" w:eastAsia="Arial" w:hAnsi="Arial"/>
          <w:sz w:val="18"/>
          <w:szCs w:val="18"/>
          <w:b w:val="1"/>
          <w:bCs w:val="1"/>
          <w:color w:val="auto"/>
        </w:rPr>
        <w:t>Voting Trust Agreement</w:t>
      </w:r>
      <w:r>
        <w:rPr>
          <w:rFonts w:ascii="Arial" w:cs="Arial" w:eastAsia="Arial" w:hAnsi="Arial"/>
          <w:sz w:val="18"/>
          <w:szCs w:val="18"/>
          <w:color w:val="auto"/>
        </w:rPr>
        <w:t>”), by and among the Company, each Trustee, the undersigned and the other Stockholders party thereto. Upon execution of this Stockholder Election to Deposit Additional Shares and delivery of any other instruments as may be requested by the Trustees, the voting securities of the Company deposited in the Trust pursuant hereto shall be shall be deemed to be included in the definition of “Shares” for all purposes under the Voting Trust Agreement. Terms used and not defined herein shall have the meanings set forth in the Voting Trust Agreement.</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492125</wp:posOffset>
            </wp:positionV>
            <wp:extent cx="334835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48355" cy="762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27940</wp:posOffset>
            </wp:positionV>
            <wp:extent cx="272986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298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337185</wp:posOffset>
            </wp:positionV>
            <wp:extent cx="334835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48355"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Print Name of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Number of Additional Shares Deposited in the Trust Pursuant Hereto:</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9"/>
          <w:szCs w:val="19"/>
          <w:color w:val="auto"/>
        </w:rPr>
        <w:t>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27940</wp:posOffset>
            </wp:positionV>
            <wp:extent cx="228917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LT10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27940</wp:posOffset>
            </wp:positionV>
            <wp:extent cx="228917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LT50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27940</wp:posOffset>
            </wp:positionV>
            <wp:extent cx="228917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[Exhibit A to Voting Trust Agreement]</w:t>
      </w:r>
    </w:p>
    <w:p>
      <w:pPr>
        <w:sectPr>
          <w:pgSz w:w="11900" w:h="16838" w:orient="portrait"/>
          <w:cols w:equalWidth="0" w:num="1">
            <w:col w:w="11160"/>
          </w:cols>
          <w:pgMar w:left="320" w:top="1301" w:right="419" w:bottom="1440" w:gutter="0" w:footer="0" w:header="0"/>
        </w:sectPr>
      </w:pPr>
    </w:p>
    <w:bookmarkStart w:id="336" w:name="page337"/>
    <w:bookmarkEnd w:id="336"/>
    <w:p>
      <w:pPr>
        <w:spacing w:after="0"/>
        <w:rPr>
          <w:sz w:val="20"/>
          <w:szCs w:val="20"/>
          <w:color w:val="auto"/>
        </w:rPr>
      </w:pPr>
      <w:r>
        <w:rPr>
          <w:rFonts w:ascii="Arial" w:cs="Arial" w:eastAsia="Arial" w:hAnsi="Arial"/>
          <w:sz w:val="19"/>
          <w:szCs w:val="19"/>
          <w:color w:val="auto"/>
        </w:rPr>
        <w:t>ACKNOWLEDGED &amp; ACCEPTED:</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EXPENSIFY, INC.</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27940</wp:posOffset>
            </wp:positionV>
            <wp:extent cx="296989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969895" cy="7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3379"/>
        <w:spacing w:after="0"/>
        <w:rPr>
          <w:sz w:val="20"/>
          <w:szCs w:val="20"/>
          <w:color w:val="auto"/>
        </w:rPr>
      </w:pPr>
      <w:r>
        <w:rPr>
          <w:rFonts w:ascii="Arial" w:cs="Arial" w:eastAsia="Arial" w:hAnsi="Arial"/>
          <w:sz w:val="15"/>
          <w:szCs w:val="15"/>
          <w:color w:val="auto"/>
        </w:rPr>
        <w:t>[Exhibit A to Voting Trust Agreement]</w:t>
      </w:r>
    </w:p>
    <w:p>
      <w:pPr>
        <w:sectPr>
          <w:pgSz w:w="11900" w:h="16838" w:orient="portrait"/>
          <w:cols w:equalWidth="0" w:num="1">
            <w:col w:w="10119"/>
          </w:cols>
          <w:pgMar w:left="340" w:top="1350" w:right="1440" w:bottom="1440" w:gutter="0" w:footer="0" w:header="0"/>
        </w:sectPr>
      </w:pPr>
    </w:p>
    <w:bookmarkStart w:id="337" w:name="page338"/>
    <w:bookmarkEnd w:id="337"/>
    <w:p>
      <w:pPr>
        <w:spacing w:after="0" w:line="105"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Exhibit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JOINDER AGREEMENT</w:t>
      </w:r>
    </w:p>
    <w:p>
      <w:pPr>
        <w:spacing w:after="0" w:line="208" w:lineRule="exact"/>
        <w:rPr>
          <w:sz w:val="20"/>
          <w:szCs w:val="20"/>
          <w:color w:val="auto"/>
        </w:rPr>
      </w:pPr>
    </w:p>
    <w:p>
      <w:pPr>
        <w:jc w:val="both"/>
        <w:ind w:firstLine="1169"/>
        <w:spacing w:after="0" w:line="267" w:lineRule="auto"/>
        <w:rPr>
          <w:sz w:val="20"/>
          <w:szCs w:val="20"/>
          <w:color w:val="auto"/>
        </w:rPr>
      </w:pPr>
      <w:r>
        <w:rPr>
          <w:rFonts w:ascii="Arial" w:cs="Arial" w:eastAsia="Arial" w:hAnsi="Arial"/>
          <w:sz w:val="19"/>
          <w:szCs w:val="19"/>
          <w:color w:val="auto"/>
        </w:rPr>
        <w:t>The undersigned is executing and delivering this Joinder Agreement (this “</w:t>
      </w:r>
      <w:r>
        <w:rPr>
          <w:rFonts w:ascii="Arial" w:cs="Arial" w:eastAsia="Arial" w:hAnsi="Arial"/>
          <w:sz w:val="19"/>
          <w:szCs w:val="19"/>
          <w:b w:val="1"/>
          <w:bCs w:val="1"/>
          <w:color w:val="auto"/>
        </w:rPr>
        <w:t>Joinder Agreement</w:t>
      </w:r>
      <w:r>
        <w:rPr>
          <w:rFonts w:ascii="Arial" w:cs="Arial" w:eastAsia="Arial" w:hAnsi="Arial"/>
          <w:sz w:val="19"/>
          <w:szCs w:val="19"/>
          <w:color w:val="auto"/>
        </w:rPr>
        <w:t>”) pursuant to that certain Voting Trust Agreement, dated as of [ l ], 2021, as amended from time to time (as amended, the “</w:t>
      </w:r>
      <w:r>
        <w:rPr>
          <w:rFonts w:ascii="Arial" w:cs="Arial" w:eastAsia="Arial" w:hAnsi="Arial"/>
          <w:sz w:val="19"/>
          <w:szCs w:val="19"/>
          <w:b w:val="1"/>
          <w:bCs w:val="1"/>
          <w:color w:val="auto"/>
        </w:rPr>
        <w:t>Voting Trust Agreement</w:t>
      </w:r>
      <w:r>
        <w:rPr>
          <w:rFonts w:ascii="Arial" w:cs="Arial" w:eastAsia="Arial" w:hAnsi="Arial"/>
          <w:sz w:val="19"/>
          <w:szCs w:val="19"/>
          <w:color w:val="auto"/>
        </w:rPr>
        <w:t>”), by and among Expensify, Inc. (the “</w:t>
      </w:r>
      <w:r>
        <w:rPr>
          <w:rFonts w:ascii="Arial" w:cs="Arial" w:eastAsia="Arial" w:hAnsi="Arial"/>
          <w:sz w:val="19"/>
          <w:szCs w:val="19"/>
          <w:b w:val="1"/>
          <w:bCs w:val="1"/>
          <w:color w:val="auto"/>
        </w:rPr>
        <w:t>Company</w:t>
      </w:r>
      <w:r>
        <w:rPr>
          <w:rFonts w:ascii="Arial" w:cs="Arial" w:eastAsia="Arial" w:hAnsi="Arial"/>
          <w:sz w:val="19"/>
          <w:szCs w:val="19"/>
          <w:color w:val="auto"/>
        </w:rPr>
        <w:t>”), the Stockholders party thereto and each Trustee (each as defined therein). Terms used and not defined herein shall have the meanings set forth in the Voting Trust Agreement.</w:t>
      </w:r>
    </w:p>
    <w:p>
      <w:pPr>
        <w:spacing w:after="0" w:line="57" w:lineRule="exact"/>
        <w:rPr>
          <w:sz w:val="20"/>
          <w:szCs w:val="20"/>
          <w:color w:val="auto"/>
        </w:rPr>
      </w:pPr>
    </w:p>
    <w:p>
      <w:pPr>
        <w:jc w:val="both"/>
        <w:ind w:firstLine="1169"/>
        <w:spacing w:after="0" w:line="262" w:lineRule="auto"/>
        <w:rPr>
          <w:sz w:val="20"/>
          <w:szCs w:val="20"/>
          <w:color w:val="auto"/>
        </w:rPr>
      </w:pPr>
      <w:r>
        <w:rPr>
          <w:rFonts w:ascii="Arial" w:cs="Arial" w:eastAsia="Arial" w:hAnsi="Arial"/>
          <w:sz w:val="19"/>
          <w:szCs w:val="19"/>
          <w:color w:val="auto"/>
        </w:rPr>
        <w:t>By executing this Joinder Agreement and delivering it to the Company, the undersigned hereby deposits in trust with the Trustees all LT10 Shares and LT50 Shares Beneficially Owned by such Person and agrees to become a party to, to be bound by, and to comply with the provisions of the Voting Trust Agreement in the same manner as if the undersigned were an original signatory to such agreement, and all of the undersigned’s LT10 Shares and LT50 Shares shall be subject to the terms and conditions of the Voting Trust Agreement.</w:t>
      </w:r>
    </w:p>
    <w:p>
      <w:pPr>
        <w:spacing w:after="0" w:line="62" w:lineRule="exact"/>
        <w:rPr>
          <w:sz w:val="20"/>
          <w:szCs w:val="20"/>
          <w:color w:val="auto"/>
        </w:rPr>
      </w:pPr>
    </w:p>
    <w:p>
      <w:pPr>
        <w:jc w:val="both"/>
        <w:ind w:firstLine="1169"/>
        <w:spacing w:after="0" w:line="262" w:lineRule="auto"/>
        <w:rPr>
          <w:sz w:val="20"/>
          <w:szCs w:val="20"/>
          <w:color w:val="auto"/>
        </w:rPr>
      </w:pPr>
      <w:r>
        <w:rPr>
          <w:rFonts w:ascii="Arial" w:cs="Arial" w:eastAsia="Arial" w:hAnsi="Arial"/>
          <w:sz w:val="19"/>
          <w:szCs w:val="19"/>
          <w:color w:val="auto"/>
        </w:rPr>
        <w:t xml:space="preserve">The undersigned, whether or not married at the time of execution of this Joinder Agreement, and whether signing on his or her own behalf or as trustee of a revocable living trust, shall deliver at the time of execution of this Joinder Agreement a duly executed Consent of Spouse in the form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the Voting Trust Agreement. The undersigned shall also have such Consent of Spouse executed by any spouse married by him or her at any time subsequent to the date hereof while such Person is a Stockholder party to the Voting Trust Agreement.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Pages Follow</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B to Voting Trust Agreement]</w:t>
      </w:r>
    </w:p>
    <w:p>
      <w:pPr>
        <w:sectPr>
          <w:pgSz w:w="11900" w:h="16838" w:orient="portrait"/>
          <w:cols w:equalWidth="0" w:num="1">
            <w:col w:w="11060"/>
          </w:cols>
          <w:pgMar w:left="420" w:top="1440" w:right="419" w:bottom="1440" w:gutter="0" w:footer="0" w:header="0"/>
        </w:sectPr>
      </w:pPr>
    </w:p>
    <w:bookmarkStart w:id="338" w:name="page339"/>
    <w:bookmarkEnd w:id="338"/>
    <w:p>
      <w:pPr>
        <w:spacing w:after="0" w:line="10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Accordingly, the undersigned has executed and delivered this Joinder Agreement as of __________________,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321310</wp:posOffset>
            </wp:positionV>
            <wp:extent cx="281495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337185</wp:posOffset>
            </wp:positionV>
            <wp:extent cx="281495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right"/>
        <w:ind w:right="2920"/>
        <w:spacing w:after="0"/>
        <w:rPr>
          <w:sz w:val="20"/>
          <w:szCs w:val="20"/>
          <w:color w:val="auto"/>
        </w:rPr>
      </w:pPr>
      <w:r>
        <w:rPr>
          <w:rFonts w:ascii="Arial" w:cs="Arial" w:eastAsia="Arial" w:hAnsi="Arial"/>
          <w:sz w:val="19"/>
          <w:szCs w:val="19"/>
          <w:color w:val="auto"/>
        </w:rPr>
        <w:t>Print Name of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auto"/>
        </w:rPr>
        <w:t>[Exhibit B to Voting Trust Agreement]</w:t>
      </w:r>
    </w:p>
    <w:p>
      <w:pPr>
        <w:sectPr>
          <w:pgSz w:w="11900" w:h="16838" w:orient="portrait"/>
          <w:cols w:equalWidth="0" w:num="1">
            <w:col w:w="9320"/>
          </w:cols>
          <w:pgMar w:left="1440" w:top="1440" w:right="1139" w:bottom="1440" w:gutter="0" w:footer="0" w:header="0"/>
          <w:type w:val="continuous"/>
        </w:sectPr>
      </w:pPr>
    </w:p>
    <w:bookmarkStart w:id="339" w:name="page340"/>
    <w:bookmarkEnd w:id="339"/>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ACKNOWLEDGED &amp;</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ACCEPTED:</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EXPENSIFY, INC.</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140779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07795" cy="7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3379"/>
        <w:spacing w:after="0"/>
        <w:rPr>
          <w:sz w:val="20"/>
          <w:szCs w:val="20"/>
          <w:color w:val="auto"/>
        </w:rPr>
      </w:pPr>
      <w:r>
        <w:rPr>
          <w:rFonts w:ascii="Arial" w:cs="Arial" w:eastAsia="Arial" w:hAnsi="Arial"/>
          <w:sz w:val="15"/>
          <w:szCs w:val="15"/>
          <w:color w:val="auto"/>
        </w:rPr>
        <w:t>[Exhibit B to Voting Trust Agreement]</w:t>
      </w:r>
    </w:p>
    <w:p>
      <w:pPr>
        <w:sectPr>
          <w:pgSz w:w="11900" w:h="16838" w:orient="portrait"/>
          <w:cols w:equalWidth="0" w:num="1">
            <w:col w:w="10019"/>
          </w:cols>
          <w:pgMar w:left="440" w:top="1440" w:right="1440" w:bottom="1440" w:gutter="0" w:footer="0" w:header="0"/>
        </w:sectPr>
      </w:pPr>
    </w:p>
    <w:bookmarkStart w:id="340" w:name="page341"/>
    <w:bookmarkEnd w:id="340"/>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EXHIBIT 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SPOUSE</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acknowledge that I have read that certain that certain Voting Trust Agreement, dated as of ___________, 2021, as amended from</w:t>
      </w:r>
    </w:p>
    <w:p>
      <w:pPr>
        <w:spacing w:after="0" w:line="4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time to time (as amended, the “</w:t>
      </w:r>
      <w:r>
        <w:rPr>
          <w:rFonts w:ascii="Arial" w:cs="Arial" w:eastAsia="Arial" w:hAnsi="Arial"/>
          <w:sz w:val="19"/>
          <w:szCs w:val="19"/>
          <w:b w:val="1"/>
          <w:bCs w:val="1"/>
          <w:color w:val="auto"/>
        </w:rPr>
        <w:t>Voting Trust Agreement</w:t>
      </w:r>
      <w:r>
        <w:rPr>
          <w:rFonts w:ascii="Arial" w:cs="Arial" w:eastAsia="Arial" w:hAnsi="Arial"/>
          <w:sz w:val="19"/>
          <w:szCs w:val="19"/>
          <w:color w:val="auto"/>
        </w:rPr>
        <w:t>”), by and among Expensify, Inc. (the “</w:t>
      </w:r>
      <w:r>
        <w:rPr>
          <w:rFonts w:ascii="Arial" w:cs="Arial" w:eastAsia="Arial" w:hAnsi="Arial"/>
          <w:sz w:val="19"/>
          <w:szCs w:val="19"/>
          <w:b w:val="1"/>
          <w:bCs w:val="1"/>
          <w:color w:val="auto"/>
        </w:rPr>
        <w:t>Company</w:t>
      </w:r>
      <w:r>
        <w:rPr>
          <w:rFonts w:ascii="Arial" w:cs="Arial" w:eastAsia="Arial" w:hAnsi="Arial"/>
          <w:sz w:val="19"/>
          <w:szCs w:val="19"/>
          <w:color w:val="auto"/>
        </w:rPr>
        <w:t>”) and the Stockholders party thereto, and that I know its contents.</w:t>
      </w:r>
    </w:p>
    <w:p>
      <w:pPr>
        <w:spacing w:after="0" w:line="56"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9"/>
          <w:szCs w:val="19"/>
          <w:color w:val="auto"/>
        </w:rPr>
        <w:t>I am aware that, by the provisions of the Voting Trust Agreement that my spouse has executed and delivered to the Company (by Joinder or otherwise), my spouse agrees to grant full, exclusive and unqualified right and power to the Trustees (as defined in the Voting Trust Agreement) to vote, to execute consents, to enter into voting agreements, and to grant proxies with respect to all of the shares of LT10 common stock, LT50 common stock and/or Class A common stock of the Company beneficially owned by my spouse and deposited in the trust pursuant to the Voting Trust Agreement (the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62" w:lineRule="exact"/>
        <w:rPr>
          <w:sz w:val="20"/>
          <w:szCs w:val="20"/>
          <w:color w:val="auto"/>
        </w:rPr>
      </w:pPr>
    </w:p>
    <w:p>
      <w:pPr>
        <w:jc w:val="both"/>
        <w:ind w:firstLine="585"/>
        <w:spacing w:after="0" w:line="305" w:lineRule="auto"/>
        <w:rPr>
          <w:sz w:val="20"/>
          <w:szCs w:val="20"/>
          <w:color w:val="auto"/>
        </w:rPr>
      </w:pPr>
      <w:r>
        <w:rPr>
          <w:rFonts w:ascii="Arial" w:cs="Arial" w:eastAsia="Arial" w:hAnsi="Arial"/>
          <w:sz w:val="17"/>
          <w:szCs w:val="17"/>
          <w:color w:val="auto"/>
        </w:rPr>
        <w:t>I hereby consent to and approve of the provisions of the Voting Trust Agreement and any action hereafter taken by my spouse thereunder with respect to his or her Shares, and I agree to be bound thereby. I further agree to promptly execute upon request from time to time any other and further documents necessary to effectuate the terms of the Voting Trust Agreement and this consent. I hereby irrevocably appoint my spouse as my attorney-in-fact with respect to any amendment or exercise of any rights under the Voting Trust Agreement.</w:t>
      </w:r>
    </w:p>
    <w:p>
      <w:pPr>
        <w:spacing w:after="0" w:line="29"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9"/>
          <w:szCs w:val="19"/>
          <w:color w:val="auto"/>
        </w:rPr>
        <w:t xml:space="preserve">I further agree that in the event of my death or a dissolution of marriage or legal separation, my spouse shall have the absolute right to have my interest, if any, in the Shares set apart to him or her, whether through a will, a trust, a property settlement agreement or by decree of court, or otherwise, and that if he or she be required by the terms of such will, trust, settlement or decree, or otherwise, to compensate me for said interest, that the price shall be an amount equal to: (i) the fair market value of the Shares;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(ii) my percentage of ownership in such interest.</w:t>
      </w:r>
    </w:p>
    <w:p>
      <w:pPr>
        <w:spacing w:after="0" w:line="62"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I acknowledge that I have been afforded the opportunity to obtain independent legal counsel to review and explain to me the provisions and consequences of the Voting Trust Agreement and this consent, that I have carefully read the Voting Trust Agreement and this consent, and that I fully understand the terms and consequences of the Voting Trust Agreement and this consent. By executing this consent, I hereby represent and warrant that, in so executing, I have not relied on any inducements, promises, or representations made by any other party (except as expressly set forth in the Voting Trust Agreement and this consent) or by the attorneys, accountants or other advisors of such other parties. I hereby represent and warrant that my execution of this consent is free and voluntary.</w:t>
      </w:r>
    </w:p>
    <w:p>
      <w:pPr>
        <w:spacing w:after="0" w:line="52"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This consent, including its existence, validity, construction, and operating effect, and the rights of each of the parties hereto, shall be governed by and construed in accordance with the laws of the State of Delaware without regard to otherwise governing principles of choice of law or conflicts of law.</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C to Voting Trust Agreement]</w:t>
      </w:r>
    </w:p>
    <w:p>
      <w:pPr>
        <w:sectPr>
          <w:pgSz w:w="11900" w:h="16838" w:orient="portrait"/>
          <w:cols w:equalWidth="0" w:num="1">
            <w:col w:w="11060"/>
          </w:cols>
          <w:pgMar w:left="420" w:top="1440" w:right="419" w:bottom="1440" w:gutter="0" w:footer="0" w:header="0"/>
        </w:sectPr>
      </w:pPr>
    </w:p>
    <w:bookmarkStart w:id="341" w:name="page342"/>
    <w:bookmarkEnd w:id="341"/>
    <w:p>
      <w:pPr>
        <w:spacing w:after="0" w:line="1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27940</wp:posOffset>
            </wp:positionV>
            <wp:extent cx="342582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27940</wp:posOffset>
            </wp:positionV>
            <wp:extent cx="283845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38450"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27940</wp:posOffset>
            </wp:positionV>
            <wp:extent cx="342582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spacing w:after="0" w:line="285" w:lineRule="exact"/>
        <w:rPr>
          <w:sz w:val="20"/>
          <w:szCs w:val="20"/>
          <w:color w:val="auto"/>
        </w:rPr>
      </w:pPr>
    </w:p>
    <w:p>
      <w:pPr>
        <w:ind w:left="20"/>
        <w:spacing w:after="0"/>
        <w:tabs>
          <w:tab w:leader="none" w:pos="7000" w:val="left"/>
        </w:tabs>
        <w:rPr>
          <w:sz w:val="20"/>
          <w:szCs w:val="20"/>
          <w:color w:val="auto"/>
        </w:rPr>
      </w:pPr>
      <w:r>
        <w:rPr>
          <w:rFonts w:ascii="Arial" w:cs="Arial" w:eastAsia="Arial" w:hAnsi="Arial"/>
          <w:sz w:val="19"/>
          <w:szCs w:val="19"/>
          <w:color w:val="auto"/>
        </w:rPr>
        <w:t>(Spouse of</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27940</wp:posOffset>
            </wp:positionV>
            <wp:extent cx="342582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Print Name of Stockholder</w:t>
      </w:r>
    </w:p>
    <w:p>
      <w:pPr>
        <w:spacing w:after="0" w:line="200" w:lineRule="exact"/>
        <w:rPr>
          <w:sz w:val="20"/>
          <w:szCs w:val="20"/>
          <w:color w:val="auto"/>
        </w:rPr>
      </w:pPr>
    </w:p>
    <w:p>
      <w:pPr>
        <w:spacing w:after="0" w:line="239"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completion by unmarried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represent and warrant to the Company and the Trustees (as defined in that certain Voting Trust Agreement, dated as of _____________,</w:t>
      </w:r>
    </w:p>
    <w:p>
      <w:pPr>
        <w:spacing w:after="0" w:line="4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2021, as amended from time to time (as amended, the “</w:t>
      </w:r>
      <w:r>
        <w:rPr>
          <w:rFonts w:ascii="Arial" w:cs="Arial" w:eastAsia="Arial" w:hAnsi="Arial"/>
          <w:sz w:val="19"/>
          <w:szCs w:val="19"/>
          <w:b w:val="1"/>
          <w:bCs w:val="1"/>
          <w:color w:val="auto"/>
        </w:rPr>
        <w:t>Voting Trust Agreement</w:t>
      </w:r>
      <w:r>
        <w:rPr>
          <w:rFonts w:ascii="Arial" w:cs="Arial" w:eastAsia="Arial" w:hAnsi="Arial"/>
          <w:sz w:val="19"/>
          <w:szCs w:val="19"/>
          <w:color w:val="auto"/>
        </w:rPr>
        <w:t xml:space="preserve">”), by and among the Company, the Trustees and the Stockholders party thereto) that as of the date hereof, I do not have a spouse. I covenant that, for so long as I am a party to the Voting Trust Agreement, I will cause any spouse married by me at any time subsequent to the date hereof to complete and execute a Consent of Spouse in the form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the Voting Trust Agreement.</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27940</wp:posOffset>
            </wp:positionV>
            <wp:extent cx="306260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6260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27940</wp:posOffset>
            </wp:positionV>
            <wp:extent cx="184848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4848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27940</wp:posOffset>
            </wp:positionV>
            <wp:extent cx="284607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46070" cy="762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C to Voting Trust Agreement]</w:t>
      </w:r>
    </w:p>
    <w:p>
      <w:pPr>
        <w:sectPr>
          <w:pgSz w:w="11900" w:h="16838" w:orient="portrait"/>
          <w:cols w:equalWidth="0" w:num="1">
            <w:col w:w="11060"/>
          </w:cols>
          <w:pgMar w:left="420" w:top="1440" w:right="419" w:bottom="1440" w:gutter="0" w:footer="0" w:header="0"/>
        </w:sectPr>
      </w:pPr>
    </w:p>
    <w:bookmarkStart w:id="342" w:name="page343"/>
    <w:bookmarkEnd w:id="342"/>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LOAN AND SECURITY AGREEMENT</w:t>
      </w:r>
    </w:p>
    <w:p>
      <w:pPr>
        <w:spacing w:after="0" w:line="161" w:lineRule="exact"/>
        <w:rPr>
          <w:sz w:val="20"/>
          <w:szCs w:val="20"/>
          <w:color w:val="auto"/>
        </w:rPr>
      </w:pPr>
    </w:p>
    <w:p>
      <w:pPr>
        <w:jc w:val="both"/>
        <w:ind w:right="20" w:firstLine="585"/>
        <w:spacing w:after="0" w:line="258" w:lineRule="auto"/>
        <w:rPr>
          <w:sz w:val="20"/>
          <w:szCs w:val="20"/>
          <w:color w:val="auto"/>
        </w:rPr>
      </w:pPr>
      <w:r>
        <w:rPr>
          <w:rFonts w:ascii="Arial" w:cs="Arial" w:eastAsia="Arial" w:hAnsi="Arial"/>
          <w:sz w:val="16"/>
          <w:szCs w:val="16"/>
          <w:color w:val="auto"/>
        </w:rPr>
        <w:t>This AMENDED AND RESTATED LOAN AND SECURITY AGREEMENT (as amended, restated, supplemented or otherwise modified from time to time,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September 21, 2021 (the “</w:t>
      </w:r>
      <w:r>
        <w:rPr>
          <w:rFonts w:ascii="Arial" w:cs="Arial" w:eastAsia="Arial" w:hAnsi="Arial"/>
          <w:sz w:val="16"/>
          <w:szCs w:val="16"/>
          <w:b w:val="1"/>
          <w:bCs w:val="1"/>
          <w:color w:val="auto"/>
        </w:rPr>
        <w:t>Effective Date</w:t>
      </w:r>
      <w:r>
        <w:rPr>
          <w:rFonts w:ascii="Arial" w:cs="Arial" w:eastAsia="Arial" w:hAnsi="Arial"/>
          <w:sz w:val="16"/>
          <w:szCs w:val="16"/>
          <w:color w:val="auto"/>
        </w:rPr>
        <w:t>”) is entered into among EXPENSIFY, INC., a Delaware corporation (in its capacity as borrower representative, “</w:t>
      </w:r>
      <w:r>
        <w:rPr>
          <w:rFonts w:ascii="Arial" w:cs="Arial" w:eastAsia="Arial" w:hAnsi="Arial"/>
          <w:sz w:val="16"/>
          <w:szCs w:val="16"/>
          <w:b w:val="1"/>
          <w:bCs w:val="1"/>
          <w:color w:val="auto"/>
        </w:rPr>
        <w:t>Borrower Representative</w:t>
      </w:r>
      <w:r>
        <w:rPr>
          <w:rFonts w:ascii="Arial" w:cs="Arial" w:eastAsia="Arial" w:hAnsi="Arial"/>
          <w:sz w:val="16"/>
          <w:szCs w:val="16"/>
          <w:color w:val="auto"/>
        </w:rPr>
        <w:t>”, and together with each Person party hereto as a borrower from time to time, collectively, “</w:t>
      </w:r>
      <w:r>
        <w:rPr>
          <w:rFonts w:ascii="Arial" w:cs="Arial" w:eastAsia="Arial" w:hAnsi="Arial"/>
          <w:sz w:val="16"/>
          <w:szCs w:val="16"/>
          <w:b w:val="1"/>
          <w:bCs w:val="1"/>
          <w:color w:val="auto"/>
        </w:rPr>
        <w:t>Borrowers</w:t>
      </w:r>
      <w:r>
        <w:rPr>
          <w:rFonts w:ascii="Arial" w:cs="Arial" w:eastAsia="Arial" w:hAnsi="Arial"/>
          <w:sz w:val="16"/>
          <w:szCs w:val="16"/>
          <w:color w:val="auto"/>
        </w:rPr>
        <w:t>”, and each, a “</w:t>
      </w:r>
      <w:r>
        <w:rPr>
          <w:rFonts w:ascii="Arial" w:cs="Arial" w:eastAsia="Arial" w:hAnsi="Arial"/>
          <w:sz w:val="16"/>
          <w:szCs w:val="16"/>
          <w:b w:val="1"/>
          <w:bCs w:val="1"/>
          <w:color w:val="auto"/>
        </w:rPr>
        <w:t>Borrower</w:t>
      </w:r>
      <w:r>
        <w:rPr>
          <w:rFonts w:ascii="Arial" w:cs="Arial" w:eastAsia="Arial" w:hAnsi="Arial"/>
          <w:sz w:val="16"/>
          <w:szCs w:val="16"/>
          <w:color w:val="auto"/>
        </w:rPr>
        <w:t>”), the several banks and financial institutions or entities from time to time party hereto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w:t>
      </w:r>
      <w:r>
        <w:rPr>
          <w:rFonts w:ascii="Arial" w:cs="Arial" w:eastAsia="Arial" w:hAnsi="Arial"/>
          <w:sz w:val="16"/>
          <w:szCs w:val="16"/>
          <w:b w:val="1"/>
          <w:bCs w:val="1"/>
          <w:color w:val="auto"/>
        </w:rPr>
        <w:t>Lenders</w:t>
      </w:r>
      <w:r>
        <w:rPr>
          <w:rFonts w:ascii="Arial" w:cs="Arial" w:eastAsia="Arial" w:hAnsi="Arial"/>
          <w:sz w:val="16"/>
          <w:szCs w:val="16"/>
          <w:color w:val="auto"/>
        </w:rPr>
        <w:t>”), Canadian Imperial Bank of Commerce (in its individual capacity, “</w:t>
      </w:r>
      <w:r>
        <w:rPr>
          <w:rFonts w:ascii="Arial" w:cs="Arial" w:eastAsia="Arial" w:hAnsi="Arial"/>
          <w:sz w:val="16"/>
          <w:szCs w:val="16"/>
          <w:b w:val="1"/>
          <w:bCs w:val="1"/>
          <w:color w:val="auto"/>
        </w:rPr>
        <w:t>CIBC</w:t>
      </w:r>
      <w:r>
        <w:rPr>
          <w:rFonts w:ascii="Arial" w:cs="Arial" w:eastAsia="Arial" w:hAnsi="Arial"/>
          <w:sz w:val="16"/>
          <w:szCs w:val="16"/>
          <w:color w:val="auto"/>
        </w:rPr>
        <w:t>”, and in its capacity as administrative agent and collateral agent for the lenders party hereto “</w:t>
      </w:r>
      <w:r>
        <w:rPr>
          <w:rFonts w:ascii="Arial" w:cs="Arial" w:eastAsia="Arial" w:hAnsi="Arial"/>
          <w:sz w:val="16"/>
          <w:szCs w:val="16"/>
          <w:b w:val="1"/>
          <w:bCs w:val="1"/>
          <w:color w:val="auto"/>
        </w:rPr>
        <w:t>Agent</w:t>
      </w:r>
      <w:r>
        <w:rPr>
          <w:rFonts w:ascii="Arial" w:cs="Arial" w:eastAsia="Arial" w:hAnsi="Arial"/>
          <w:sz w:val="16"/>
          <w:szCs w:val="16"/>
          <w:color w:val="auto"/>
        </w:rPr>
        <w:t xml:space="preserve">”). This Agreement amends and restates in its entirety that certain Loan and Security Agreement, dated as of May 24, 2018, by and among Borrower Representative and CIBC, as amended through the Effective Date. The amounts outstanding under the Existing Agreement and refinanced by new Loans in accordance with </w:t>
      </w:r>
      <w:r>
        <w:rPr>
          <w:rFonts w:ascii="Arial" w:cs="Arial" w:eastAsia="Arial" w:hAnsi="Arial"/>
          <w:sz w:val="16"/>
          <w:szCs w:val="16"/>
          <w:u w:val="single" w:color="auto"/>
          <w:color w:val="auto"/>
        </w:rPr>
        <w:t>Sections 2.2 and 2.3 hereof</w:t>
      </w:r>
      <w:r>
        <w:rPr>
          <w:rFonts w:ascii="Arial" w:cs="Arial" w:eastAsia="Arial" w:hAnsi="Arial"/>
          <w:sz w:val="16"/>
          <w:szCs w:val="16"/>
          <w:color w:val="auto"/>
        </w:rPr>
        <w:t xml:space="preserve">, is set forth 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parties hereto hereby agree as follows:</w:t>
      </w:r>
    </w:p>
    <w:p>
      <w:pPr>
        <w:spacing w:after="0" w:line="153" w:lineRule="exact"/>
        <w:rPr>
          <w:sz w:val="20"/>
          <w:szCs w:val="20"/>
          <w:color w:val="auto"/>
        </w:rPr>
      </w:pPr>
    </w:p>
    <w:p>
      <w:pPr>
        <w:ind w:left="860" w:hanging="278"/>
        <w:spacing w:after="0"/>
        <w:tabs>
          <w:tab w:leader="none" w:pos="860"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ACCOUNTING AND OTHER TERMS</w:t>
      </w:r>
    </w:p>
    <w:p>
      <w:pPr>
        <w:spacing w:after="0" w:line="161"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5"/>
          <w:szCs w:val="15"/>
          <w:color w:val="auto"/>
        </w:rPr>
        <w:t xml:space="preserve">Accounting terms not defined in this Agreement shall be construed in accordance with GAAP, and calculations and determinations shall be made following GAAP, consistently applied. Capitalized terms not otherwise defined in this Agreement shall have the meanings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All other terms contained in this Agreement, unless otherwise indicated, shall have the meaning provided by the Code to the extent such terms are defined therein. As used in the Loan Documents, the word “shall” is mandatory, the word “may” is permissive, the word “or” is not exclusive, the words “includes” and “including” are not limiting, the singular includes the plural, and numbers denoting amounts that are set off in brackets are negative. Unless otherwise specified, all references in this Agreement or any Annex or Schedule hereto to a “Section,” “subsection,” “Exhibit,” “Annex,” or “Schedule” shall refer to the corresponding Section, subsection, Exhibit, Annex, or Schedule in or to this Agreement. For purposes of the Loan Documents, whenever a representation or warranty is made to a Person’s knowledge or awareness, knowledge or awareness means the actual knowledge, after reasonable investigation, of any Responsible Officer of such Person.</w:t>
      </w:r>
    </w:p>
    <w:p>
      <w:pPr>
        <w:spacing w:after="0" w:line="108" w:lineRule="exact"/>
        <w:rPr>
          <w:sz w:val="20"/>
          <w:szCs w:val="20"/>
          <w:color w:val="auto"/>
        </w:rPr>
      </w:pPr>
    </w:p>
    <w:p>
      <w:pPr>
        <w:ind w:left="860" w:hanging="278"/>
        <w:spacing w:after="0"/>
        <w:tabs>
          <w:tab w:leader="none" w:pos="860"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LOAN AND TERMS OF PAYMENT</w:t>
      </w:r>
    </w:p>
    <w:p>
      <w:pPr>
        <w:spacing w:after="0" w:line="157" w:lineRule="exact"/>
        <w:rPr>
          <w:sz w:val="20"/>
          <w:szCs w:val="20"/>
          <w:color w:val="auto"/>
        </w:rPr>
      </w:pPr>
    </w:p>
    <w:p>
      <w:pPr>
        <w:ind w:right="20" w:firstLine="585"/>
        <w:spacing w:after="0" w:line="324" w:lineRule="auto"/>
        <w:rPr>
          <w:sz w:val="20"/>
          <w:szCs w:val="20"/>
          <w:color w:val="auto"/>
        </w:rPr>
      </w:pPr>
      <w:r>
        <w:rPr>
          <w:rFonts w:ascii="Arial" w:cs="Arial" w:eastAsia="Arial" w:hAnsi="Arial"/>
          <w:sz w:val="15"/>
          <w:szCs w:val="15"/>
          <w:b w:val="1"/>
          <w:bCs w:val="1"/>
          <w:color w:val="auto"/>
        </w:rPr>
        <w:t>2.1 Promise to Pay</w:t>
      </w:r>
      <w:r>
        <w:rPr>
          <w:rFonts w:ascii="Arial" w:cs="Arial" w:eastAsia="Arial" w:hAnsi="Arial"/>
          <w:sz w:val="15"/>
          <w:szCs w:val="15"/>
          <w:color w:val="auto"/>
        </w:rPr>
        <w:t>. Each Borrower hereby unconditionally promises to pay to Agent, for the ratable benefit of Lenders, the outstanding principal amount of all</w:t>
      </w:r>
      <w:r>
        <w:rPr>
          <w:rFonts w:ascii="Arial" w:cs="Arial" w:eastAsia="Arial" w:hAnsi="Arial"/>
          <w:sz w:val="15"/>
          <w:szCs w:val="15"/>
          <w:b w:val="1"/>
          <w:bCs w:val="1"/>
          <w:color w:val="auto"/>
        </w:rPr>
        <w:t xml:space="preserve"> </w:t>
      </w:r>
      <w:r>
        <w:rPr>
          <w:rFonts w:ascii="Arial" w:cs="Arial" w:eastAsia="Arial" w:hAnsi="Arial"/>
          <w:sz w:val="15"/>
          <w:szCs w:val="15"/>
          <w:color w:val="auto"/>
        </w:rPr>
        <w:t>Credit Extensions, accrued and unpaid interest, fees and charges thereon and all other amounts owing hereunder as and when due in accordance with this Agreement.</w:t>
      </w:r>
    </w:p>
    <w:p>
      <w:pPr>
        <w:spacing w:after="0" w:line="7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4"/>
          <w:szCs w:val="14"/>
          <w:b w:val="1"/>
          <w:bCs w:val="1"/>
          <w:color w:val="auto"/>
        </w:rPr>
        <w:t>Revolving Loan Facility.</w:t>
      </w:r>
    </w:p>
    <w:p>
      <w:pPr>
        <w:spacing w:after="0" w:line="161" w:lineRule="exact"/>
        <w:rPr>
          <w:sz w:val="20"/>
          <w:szCs w:val="20"/>
          <w:color w:val="auto"/>
        </w:rPr>
      </w:pPr>
    </w:p>
    <w:p>
      <w:pPr>
        <w:jc w:val="both"/>
        <w:ind w:right="20" w:firstLine="1167"/>
        <w:spacing w:after="0" w:line="276" w:lineRule="auto"/>
        <w:tabs>
          <w:tab w:leader="none" w:pos="1524" w:val="left"/>
        </w:tabs>
        <w:numPr>
          <w:ilvl w:val="0"/>
          <w:numId w:val="205"/>
        </w:numPr>
        <w:rPr>
          <w:rFonts w:ascii="Arial" w:cs="Arial" w:eastAsia="Arial" w:hAnsi="Arial"/>
          <w:sz w:val="15"/>
          <w:szCs w:val="15"/>
          <w:color w:val="auto"/>
        </w:rPr>
      </w:pPr>
      <w:r>
        <w:rPr>
          <w:rFonts w:ascii="Arial" w:cs="Arial" w:eastAsia="Arial" w:hAnsi="Arial"/>
          <w:sz w:val="15"/>
          <w:szCs w:val="15"/>
          <w:u w:val="single" w:color="auto"/>
          <w:color w:val="auto"/>
        </w:rPr>
        <w:t>Availability</w:t>
      </w:r>
      <w:r>
        <w:rPr>
          <w:rFonts w:ascii="Arial" w:cs="Arial" w:eastAsia="Arial" w:hAnsi="Arial"/>
          <w:sz w:val="15"/>
          <w:szCs w:val="15"/>
          <w:color w:val="auto"/>
        </w:rPr>
        <w:t>. Subject to the terms and conditions of this Agreement, each Revolving Lender severally agrees to make to Borrowers, Revolving Loans from time to time in an aggregate amount outstanding at any time outstanding which, when added to the applicable aggregate Bank Services Utilization Amount, does not exceed such Lender’s Revolving Loan Commitment. The aggregate outstanding Revolving Loans together with the aggregate Bank Services Utilization Amount shall not exceed the Total Revolving Loan Commitments. To request a Revolving Loan, Borrower Representative shall submit a Loan Request to Agent by email not later than 1:00 p.m., Toronto, Ontario time, one (1) Business Day before the date of the proposed Revolving Loan. Revolving Loans shall be made no more frequently than three times per month and in increments of One Hundred Thousand Dollars ($100,000), provided that on the Effective Date all outstanding “Advances” pursuant to the Existing Loan Agreement shall be automatically continued as “Revolving Loans” under this Agreement. As part of the Revolving Loan Facility, Borrower Representative may request, and any Revolving Lender that is a Bank Services Provider may provide, Bank Services, as a sublimit under such Revolving Lender’s Revolving Loan Commitment, provided that the availability under the Revolving Loan Commitment with respect to such Revolving Lender shall be deemed reduced by the applicable Bank Services Utilization Amount, from time to time.</w:t>
      </w:r>
    </w:p>
    <w:p>
      <w:pPr>
        <w:sectPr>
          <w:pgSz w:w="11900" w:h="16838" w:orient="portrait"/>
          <w:cols w:equalWidth="0" w:num="1">
            <w:col w:w="11260"/>
          </w:cols>
          <w:pgMar w:left="320" w:top="122" w:right="319" w:bottom="1440" w:gutter="0" w:footer="0" w:header="0"/>
        </w:sectPr>
      </w:pPr>
    </w:p>
    <w:bookmarkStart w:id="343" w:name="page344"/>
    <w:bookmarkEnd w:id="343"/>
    <w:p>
      <w:pPr>
        <w:jc w:val="both"/>
        <w:ind w:right="20" w:firstLine="1167"/>
        <w:spacing w:after="0" w:line="268" w:lineRule="auto"/>
        <w:tabs>
          <w:tab w:leader="none" w:pos="1521"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Termination; Repayment</w:t>
      </w:r>
      <w:r>
        <w:rPr>
          <w:rFonts w:ascii="Arial" w:cs="Arial" w:eastAsia="Arial" w:hAnsi="Arial"/>
          <w:sz w:val="16"/>
          <w:szCs w:val="16"/>
          <w:color w:val="auto"/>
        </w:rPr>
        <w:t>. The Revolving Commitments terminate on the Revolving Loan Maturity Date, when the principal amount of all Revolving Loans, the unpaid interest thereon, and all other Obligations relating to the Revolving Loan Facility shall be immediately due and payable. Borrowers may repay and reborrow amounts under the Revolving Loan Facility from time to time through the Revolving loan Maturity Date.</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4"/>
          <w:szCs w:val="14"/>
          <w:b w:val="1"/>
          <w:bCs w:val="1"/>
          <w:color w:val="auto"/>
        </w:rPr>
        <w:t>Term Loan. Facilities</w:t>
      </w:r>
    </w:p>
    <w:p>
      <w:pPr>
        <w:spacing w:after="0" w:line="161" w:lineRule="exact"/>
        <w:rPr>
          <w:sz w:val="20"/>
          <w:szCs w:val="20"/>
          <w:color w:val="auto"/>
        </w:rPr>
      </w:pPr>
    </w:p>
    <w:p>
      <w:pPr>
        <w:ind w:left="1500" w:hanging="333"/>
        <w:spacing w:after="0"/>
        <w:tabs>
          <w:tab w:leader="none" w:pos="1500"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Availability</w:t>
      </w:r>
    </w:p>
    <w:p>
      <w:pPr>
        <w:spacing w:after="0" w:line="157" w:lineRule="exact"/>
        <w:rPr>
          <w:rFonts w:ascii="Arial" w:cs="Arial" w:eastAsia="Arial" w:hAnsi="Arial"/>
          <w:sz w:val="16"/>
          <w:szCs w:val="16"/>
          <w:color w:val="auto"/>
        </w:rPr>
      </w:pPr>
    </w:p>
    <w:p>
      <w:pPr>
        <w:jc w:val="both"/>
        <w:ind w:right="80" w:firstLine="1751"/>
        <w:spacing w:after="0" w:line="264" w:lineRule="auto"/>
        <w:tabs>
          <w:tab w:leader="none" w:pos="2069"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Initial Term Loan Commitments</w:t>
      </w:r>
      <w:r>
        <w:rPr>
          <w:rFonts w:ascii="Arial" w:cs="Arial" w:eastAsia="Arial" w:hAnsi="Arial"/>
          <w:sz w:val="16"/>
          <w:szCs w:val="16"/>
          <w:color w:val="auto"/>
        </w:rPr>
        <w:t>. Subject to the terms and conditions of this Agreement, each Term Loan Lender severally agrees to make to Borrowers, Term Loans in an aggregate original principal amount not to exceed such Lender’s Initial Term Loan Commitment, on or about the Effective Date, provided that on the Effective Date, all outstanding “Term Loans”, and all accrued and unpaid interest and fees thereon pursuant to the Existing Loan Agreement, shall be deemed refinanced by a Term Loan pursuant to the Initial Term Loan Commitments.</w:t>
      </w:r>
    </w:p>
    <w:p>
      <w:pPr>
        <w:spacing w:after="0" w:line="116" w:lineRule="exact"/>
        <w:rPr>
          <w:rFonts w:ascii="Arial" w:cs="Arial" w:eastAsia="Arial" w:hAnsi="Arial"/>
          <w:sz w:val="16"/>
          <w:szCs w:val="16"/>
          <w:color w:val="auto"/>
        </w:rPr>
      </w:pPr>
    </w:p>
    <w:p>
      <w:pPr>
        <w:jc w:val="both"/>
        <w:ind w:right="20" w:firstLine="1751"/>
        <w:spacing w:after="0" w:line="286" w:lineRule="auto"/>
        <w:tabs>
          <w:tab w:leader="none" w:pos="2114" w:val="left"/>
        </w:tabs>
        <w:numPr>
          <w:ilvl w:val="1"/>
          <w:numId w:val="207"/>
        </w:numPr>
        <w:rPr>
          <w:rFonts w:ascii="Arial" w:cs="Arial" w:eastAsia="Arial" w:hAnsi="Arial"/>
          <w:sz w:val="15"/>
          <w:szCs w:val="15"/>
          <w:color w:val="auto"/>
        </w:rPr>
      </w:pPr>
      <w:r>
        <w:rPr>
          <w:rFonts w:ascii="Arial" w:cs="Arial" w:eastAsia="Arial" w:hAnsi="Arial"/>
          <w:sz w:val="15"/>
          <w:szCs w:val="15"/>
          <w:u w:val="single" w:color="auto"/>
          <w:color w:val="auto"/>
        </w:rPr>
        <w:t>Delayed Draw Term Loan Commitments</w:t>
      </w:r>
      <w:r>
        <w:rPr>
          <w:rFonts w:ascii="Arial" w:cs="Arial" w:eastAsia="Arial" w:hAnsi="Arial"/>
          <w:sz w:val="15"/>
          <w:szCs w:val="15"/>
          <w:color w:val="auto"/>
        </w:rPr>
        <w:t>. Subject to the terms and conditions of this Agreement, each Term Loan Lender severally agrees to make to Borrowers Term Loans in an aggregate original principal amount not to exceed such Lender’s Delayed Draw Term Loan Commitment, from time to time during the Delayed Draw Term Loan Commitment Period, provided that each borrowing under the Delayed Draw Term Loan Commitment shall be in increments of $5,000,000 (or if the aggregate available undrawn Delayed Draw Term Loan Commitments are less than $5,000,000, such lesser amount).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To request a Term Loan under the Delayed Draw Term Loan Commitment, Borrower Representative shall submit a Loan Request to Agent by email not later than 1.00 p.m.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Toronto, Ontario time, two (2) Business Days before the date of the proposed Term Loan.</w:t>
      </w:r>
    </w:p>
    <w:p>
      <w:pPr>
        <w:spacing w:after="0" w:line="145" w:lineRule="exact"/>
        <w:rPr>
          <w:sz w:val="20"/>
          <w:szCs w:val="20"/>
          <w:color w:val="auto"/>
        </w:rPr>
      </w:pPr>
    </w:p>
    <w:p>
      <w:pPr>
        <w:ind w:right="20" w:firstLine="1167"/>
        <w:spacing w:after="0" w:line="283" w:lineRule="auto"/>
        <w:tabs>
          <w:tab w:leader="none" w:pos="1557"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Commencing on October 1, 2021, and on each Payment Date thereafter, through the Term Loan Maturity Date, Borrowers shall make consecutive quarterly payments of principal as set forth in the schedule below.</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6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Payment Dates</w:t>
            </w:r>
          </w:p>
        </w:tc>
        <w:tc>
          <w:tcPr>
            <w:tcW w:w="56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Required Quarterly Principal Payments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2021 through and including July 1, 2022</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0.25%</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0.25% of the aggregate original principal amount of any Delayed Draw Term Loans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2022 through and including July 1, 2023</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0.25%</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0.25% of the aggregate original principal amount of any Delayed Draw Term Loans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2023 through and including July 1, 2024</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0.25%</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0.25% of the aggregate original principal amount of any Delayed Draw Term Loans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2024 through and including July 1, 2025</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0.50%</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0.50% of the aggregate original principal amount of any Delayed Draw Term Loans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2025 through and including July 1, 2026</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1.25%</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1.25% of the aggregate original principal amount of any Delayed Draw Term Loans</w:t>
            </w:r>
          </w:p>
        </w:tc>
      </w:tr>
    </w:tbl>
    <w:p>
      <w:pPr>
        <w:spacing w:after="0" w:line="219" w:lineRule="exact"/>
        <w:rPr>
          <w:sz w:val="20"/>
          <w:szCs w:val="20"/>
          <w:color w:val="auto"/>
        </w:rPr>
      </w:pPr>
    </w:p>
    <w:p>
      <w:pPr>
        <w:jc w:val="both"/>
        <w:ind w:right="20"/>
        <w:spacing w:after="0" w:line="358" w:lineRule="auto"/>
        <w:rPr>
          <w:sz w:val="20"/>
          <w:szCs w:val="20"/>
          <w:color w:val="auto"/>
        </w:rPr>
      </w:pPr>
      <w:r>
        <w:rPr>
          <w:rFonts w:ascii="Arial" w:cs="Arial" w:eastAsia="Arial" w:hAnsi="Arial"/>
          <w:sz w:val="14"/>
          <w:szCs w:val="14"/>
          <w:color w:val="auto"/>
        </w:rPr>
        <w:t xml:space="preserve">The outstanding principal balance of the Term Loans, and any accrued and unpaid interest in respect of the Term Loan, other fees and other sums due in respect of the Term Loan Facility, if any, shall be due and payable in full on the Term Loan Maturity Date. The Term Loans may only be prepaid in accordance with </w:t>
      </w:r>
      <w:r>
        <w:rPr>
          <w:rFonts w:ascii="Arial" w:cs="Arial" w:eastAsia="Arial" w:hAnsi="Arial"/>
          <w:sz w:val="14"/>
          <w:szCs w:val="14"/>
          <w:u w:val="single" w:color="auto"/>
          <w:color w:val="auto"/>
        </w:rPr>
        <w:t>Section 2.3(c)</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(f)</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0"/>
          </w:cols>
          <w:pgMar w:left="320" w:top="1296" w:right="319" w:bottom="1440" w:gutter="0" w:footer="0" w:header="0"/>
        </w:sectPr>
      </w:pPr>
    </w:p>
    <w:bookmarkStart w:id="344" w:name="page345"/>
    <w:bookmarkEnd w:id="344"/>
    <w:p>
      <w:pPr>
        <w:ind w:right="20" w:firstLine="1167"/>
        <w:spacing w:after="0" w:line="283" w:lineRule="auto"/>
        <w:tabs>
          <w:tab w:leader="none" w:pos="1512"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an Acceleration</w:t>
      </w:r>
      <w:r>
        <w:rPr>
          <w:rFonts w:ascii="Arial" w:cs="Arial" w:eastAsia="Arial" w:hAnsi="Arial"/>
          <w:sz w:val="16"/>
          <w:szCs w:val="16"/>
          <w:color w:val="auto"/>
        </w:rPr>
        <w:t>. If the Term Loans are accelerated following the occurrence and during the continuance of an Event of Default, Borrowers shall immediately pay an amount equal to the sum of:</w:t>
      </w:r>
    </w:p>
    <w:p>
      <w:pPr>
        <w:spacing w:after="0" w:line="101" w:lineRule="exact"/>
        <w:rPr>
          <w:rFonts w:ascii="Arial" w:cs="Arial" w:eastAsia="Arial" w:hAnsi="Arial"/>
          <w:sz w:val="16"/>
          <w:szCs w:val="16"/>
          <w:color w:val="auto"/>
        </w:rPr>
      </w:pPr>
    </w:p>
    <w:p>
      <w:pPr>
        <w:ind w:left="2060" w:hanging="309"/>
        <w:spacing w:after="0"/>
        <w:tabs>
          <w:tab w:leader="none" w:pos="206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all outstanding principal, plus any accrued and unpaid interest thereon,</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Prepayment Fee,</w:t>
      </w:r>
    </w:p>
    <w:p>
      <w:pPr>
        <w:spacing w:after="0" w:line="157" w:lineRule="exact"/>
        <w:rPr>
          <w:rFonts w:ascii="Arial" w:cs="Arial" w:eastAsia="Arial" w:hAnsi="Arial"/>
          <w:sz w:val="16"/>
          <w:szCs w:val="16"/>
          <w:color w:val="auto"/>
        </w:rPr>
      </w:pPr>
    </w:p>
    <w:p>
      <w:pPr>
        <w:ind w:left="2160" w:hanging="409"/>
        <w:spacing w:after="0"/>
        <w:tabs>
          <w:tab w:leader="none" w:pos="2160" w:val="left"/>
        </w:tabs>
        <w:numPr>
          <w:ilvl w:val="1"/>
          <w:numId w:val="209"/>
        </w:numPr>
        <w:rPr>
          <w:rFonts w:ascii="Arial" w:cs="Arial" w:eastAsia="Arial" w:hAnsi="Arial"/>
          <w:sz w:val="14"/>
          <w:szCs w:val="14"/>
          <w:color w:val="auto"/>
        </w:rPr>
      </w:pPr>
      <w:r>
        <w:rPr>
          <w:rFonts w:ascii="Arial" w:cs="Arial" w:eastAsia="Arial" w:hAnsi="Arial"/>
          <w:sz w:val="14"/>
          <w:szCs w:val="14"/>
          <w:color w:val="auto"/>
        </w:rPr>
        <w:t>all other sums, if any, that shall have become due and payable, including interest at the Default Rate with respect to any past due amounts.</w:t>
      </w:r>
    </w:p>
    <w:p>
      <w:pPr>
        <w:spacing w:after="0" w:line="180" w:lineRule="exact"/>
        <w:rPr>
          <w:rFonts w:ascii="Arial" w:cs="Arial" w:eastAsia="Arial" w:hAnsi="Arial"/>
          <w:sz w:val="14"/>
          <w:szCs w:val="14"/>
          <w:color w:val="auto"/>
        </w:rPr>
      </w:pPr>
    </w:p>
    <w:p>
      <w:pPr>
        <w:jc w:val="both"/>
        <w:ind w:right="20" w:firstLine="1167"/>
        <w:spacing w:after="0" w:line="264" w:lineRule="auto"/>
        <w:tabs>
          <w:tab w:leader="none" w:pos="1594"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Mandatory Prepayment of Excess Cash Flow</w:t>
      </w:r>
      <w:r>
        <w:rPr>
          <w:rFonts w:ascii="Arial" w:cs="Arial" w:eastAsia="Arial" w:hAnsi="Arial"/>
          <w:sz w:val="16"/>
          <w:szCs w:val="16"/>
          <w:color w:val="auto"/>
        </w:rPr>
        <w:t xml:space="preserve">. Commencing with the fiscal year ending December 31, 2022, and for each fiscal year thereafter, Borrowers shall make a prepayment in respect of the Term Loans in an amount equal to Excess Cash Flow for such Fiscal Year multiplied by the applicable percentage set forth below corresponding to the Total EBITDA Net Leverage Ratio as of the last day of the applicable fiscal year, provided that no Prepayment Fee shall be due in respect of prepayment in accordance with this </w:t>
      </w:r>
      <w:r>
        <w:rPr>
          <w:rFonts w:ascii="Arial" w:cs="Arial" w:eastAsia="Arial" w:hAnsi="Arial"/>
          <w:sz w:val="16"/>
          <w:szCs w:val="16"/>
          <w:u w:val="single" w:color="auto"/>
          <w:color w:val="auto"/>
        </w:rPr>
        <w:t>Section 2.3(d)</w:t>
      </w:r>
      <w:r>
        <w:rPr>
          <w:rFonts w:ascii="Arial" w:cs="Arial" w:eastAsia="Arial" w:hAnsi="Arial"/>
          <w:sz w:val="16"/>
          <w:szCs w:val="16"/>
          <w:color w:val="auto"/>
        </w:rPr>
        <w:t>.</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6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EBITDA Net Leverage Ratio</w:t>
            </w:r>
          </w:p>
        </w:tc>
        <w:tc>
          <w:tcPr>
            <w:tcW w:w="56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Excess Cash Flow Prepayment Percentage</w:t>
            </w:r>
          </w:p>
        </w:tc>
      </w:tr>
      <w:tr>
        <w:trPr>
          <w:trHeight w:val="19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Greater than 3.50 to 1.00</w:t>
            </w:r>
          </w:p>
        </w:tc>
        <w:tc>
          <w:tcPr>
            <w:tcW w:w="5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50.0%</w:t>
            </w:r>
          </w:p>
        </w:tc>
      </w:tr>
      <w:tr>
        <w:trPr>
          <w:trHeight w:val="19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3.50 to 1.00 or less, but greater than 2.50 to 1.00</w:t>
            </w:r>
          </w:p>
        </w:tc>
        <w:tc>
          <w:tcPr>
            <w:tcW w:w="5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25.0%</w:t>
            </w:r>
          </w:p>
        </w:tc>
      </w:tr>
      <w:tr>
        <w:trPr>
          <w:trHeight w:val="19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2.50 to 1.00 or less</w:t>
            </w:r>
          </w:p>
        </w:tc>
        <w:tc>
          <w:tcPr>
            <w:tcW w:w="5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0.0%</w:t>
            </w:r>
          </w:p>
        </w:tc>
      </w:tr>
    </w:tbl>
    <w:p>
      <w:pPr>
        <w:spacing w:after="0" w:line="219"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 xml:space="preserve">Each such prepayment shall be made on a date occurring no later than the date that is five (5) Business Days after the date on which the financial statements of Borrower Representative and its Subsidiaries covering the applicable fiscal year are required to be delivered to Agent pursuant to </w:t>
      </w:r>
      <w:r>
        <w:rPr>
          <w:rFonts w:ascii="Arial" w:cs="Arial" w:eastAsia="Arial" w:hAnsi="Arial"/>
          <w:sz w:val="16"/>
          <w:szCs w:val="16"/>
          <w:u w:val="single" w:color="auto"/>
          <w:color w:val="auto"/>
        </w:rPr>
        <w:t>Section 6.2(d)</w:t>
      </w:r>
      <w:r>
        <w:rPr>
          <w:rFonts w:ascii="Arial" w:cs="Arial" w:eastAsia="Arial" w:hAnsi="Arial"/>
          <w:sz w:val="16"/>
          <w:szCs w:val="16"/>
          <w:color w:val="auto"/>
        </w:rPr>
        <w:t>.</w:t>
      </w:r>
    </w:p>
    <w:p>
      <w:pPr>
        <w:spacing w:after="0" w:line="102" w:lineRule="exact"/>
        <w:rPr>
          <w:sz w:val="20"/>
          <w:szCs w:val="20"/>
          <w:color w:val="auto"/>
        </w:rPr>
      </w:pPr>
    </w:p>
    <w:p>
      <w:pPr>
        <w:jc w:val="both"/>
        <w:ind w:right="20" w:firstLine="1167"/>
        <w:spacing w:after="0" w:line="264" w:lineRule="auto"/>
        <w:tabs>
          <w:tab w:leader="none" w:pos="1548"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Leverage Ratio Breach</w:t>
      </w:r>
      <w:r>
        <w:rPr>
          <w:rFonts w:ascii="Arial" w:cs="Arial" w:eastAsia="Arial" w:hAnsi="Arial"/>
          <w:sz w:val="16"/>
          <w:szCs w:val="16"/>
          <w:color w:val="auto"/>
        </w:rPr>
        <w:t xml:space="preserve">. If there is a breach of the applicable leverage ratio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Borrowers shall within three (3) Business Days, repay amounts outstanding under the Revolving Loan Facility as necessary to restore compliance with such leverage ratio. For purposes of the foregoing, the applicable leverage ratio shall be retested giving pro forma effect to such principal repayment, provided that no Prepayment Fee shall be due in respect of prepayment in accordance with this </w:t>
      </w:r>
      <w:r>
        <w:rPr>
          <w:rFonts w:ascii="Arial" w:cs="Arial" w:eastAsia="Arial" w:hAnsi="Arial"/>
          <w:sz w:val="16"/>
          <w:szCs w:val="16"/>
          <w:u w:val="single" w:color="auto"/>
          <w:color w:val="auto"/>
        </w:rPr>
        <w:t>Section 2.3(e)</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jc w:val="both"/>
        <w:ind w:right="20" w:firstLine="1167"/>
        <w:spacing w:after="0" w:line="268" w:lineRule="auto"/>
        <w:tabs>
          <w:tab w:leader="none" w:pos="1555"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w:t>
      </w:r>
      <w:r>
        <w:rPr>
          <w:rFonts w:ascii="Arial" w:cs="Arial" w:eastAsia="Arial" w:hAnsi="Arial"/>
          <w:sz w:val="16"/>
          <w:szCs w:val="16"/>
          <w:color w:val="auto"/>
        </w:rPr>
        <w:t>. Borrowers shall have the option to prepay the Term Loans, in minimum increments of $500,000, provided Borrower Representative provides written notice to Agent of its election to prepay the Term Loans at least fifteen (15) days prior to such prepayment, and on such date, Borrowers shall pay, on the date of such prepayment:</w:t>
      </w:r>
    </w:p>
    <w:p>
      <w:pPr>
        <w:spacing w:after="0" w:line="114" w:lineRule="exact"/>
        <w:rPr>
          <w:rFonts w:ascii="Arial" w:cs="Arial" w:eastAsia="Arial" w:hAnsi="Arial"/>
          <w:sz w:val="16"/>
          <w:szCs w:val="16"/>
          <w:color w:val="auto"/>
        </w:rPr>
      </w:pPr>
    </w:p>
    <w:p>
      <w:pPr>
        <w:ind w:left="2060" w:hanging="309"/>
        <w:spacing w:after="0"/>
        <w:tabs>
          <w:tab w:leader="none" w:pos="206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all outstanding principal plus any accrued and unpaid interest thereon, plus</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Prepayment Fee, plus</w:t>
      </w:r>
    </w:p>
    <w:p>
      <w:pPr>
        <w:spacing w:after="0" w:line="157" w:lineRule="exact"/>
        <w:rPr>
          <w:rFonts w:ascii="Arial" w:cs="Arial" w:eastAsia="Arial" w:hAnsi="Arial"/>
          <w:sz w:val="16"/>
          <w:szCs w:val="16"/>
          <w:color w:val="auto"/>
        </w:rPr>
      </w:pPr>
    </w:p>
    <w:p>
      <w:pPr>
        <w:ind w:left="2160" w:hanging="409"/>
        <w:spacing w:after="0"/>
        <w:tabs>
          <w:tab w:leader="none" w:pos="2160" w:val="left"/>
        </w:tabs>
        <w:numPr>
          <w:ilvl w:val="1"/>
          <w:numId w:val="210"/>
        </w:numPr>
        <w:rPr>
          <w:rFonts w:ascii="Arial" w:cs="Arial" w:eastAsia="Arial" w:hAnsi="Arial"/>
          <w:sz w:val="14"/>
          <w:szCs w:val="14"/>
          <w:color w:val="auto"/>
        </w:rPr>
      </w:pPr>
      <w:r>
        <w:rPr>
          <w:rFonts w:ascii="Arial" w:cs="Arial" w:eastAsia="Arial" w:hAnsi="Arial"/>
          <w:sz w:val="14"/>
          <w:szCs w:val="14"/>
          <w:color w:val="auto"/>
        </w:rPr>
        <w:t>all other sums, if any, that shall have become due and payable, including interest at the Default Rate with respect to any past due amounts.</w:t>
      </w:r>
    </w:p>
    <w:p>
      <w:pPr>
        <w:spacing w:after="0" w:line="176"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b w:val="1"/>
          <w:bCs w:val="1"/>
          <w:color w:val="auto"/>
        </w:rPr>
        <w:t>2.4 Funding of Loans</w:t>
      </w:r>
      <w:r>
        <w:rPr>
          <w:rFonts w:ascii="Arial" w:cs="Arial" w:eastAsia="Arial" w:hAnsi="Arial"/>
          <w:sz w:val="16"/>
          <w:szCs w:val="16"/>
          <w:color w:val="auto"/>
        </w:rPr>
        <w:t>. Upon receipt of a Loan Request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 or 2.3</w:t>
      </w:r>
      <w:r>
        <w:rPr>
          <w:rFonts w:ascii="Arial" w:cs="Arial" w:eastAsia="Arial" w:hAnsi="Arial"/>
          <w:sz w:val="16"/>
          <w:szCs w:val="16"/>
          <w:color w:val="auto"/>
        </w:rPr>
        <w:t>, Agent shall promptly notify each appliable Lender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Lender shall make the amount of its pro rata share of such borrowing available to Agent for the account of Borrowers in funds immediately available to Agent. Such borrowing will then be made available by Agent to Borrowers as specified in the Loan Request, by crediting such Collateral Account as is designated in writing to Agent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13"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2.5</w:t>
      </w:r>
      <w:r>
        <w:rPr>
          <w:sz w:val="20"/>
          <w:szCs w:val="20"/>
          <w:color w:val="auto"/>
        </w:rPr>
        <w:tab/>
      </w:r>
      <w:r>
        <w:rPr>
          <w:rFonts w:ascii="Arial" w:cs="Arial" w:eastAsia="Arial" w:hAnsi="Arial"/>
          <w:sz w:val="14"/>
          <w:szCs w:val="14"/>
          <w:b w:val="1"/>
          <w:bCs w:val="1"/>
          <w:color w:val="auto"/>
        </w:rPr>
        <w:t>Payment of Interest on the Loans</w:t>
      </w:r>
      <w:r>
        <w:rPr>
          <w:rFonts w:ascii="Arial" w:cs="Arial" w:eastAsia="Arial" w:hAnsi="Arial"/>
          <w:sz w:val="14"/>
          <w:szCs w:val="14"/>
          <w:color w:val="auto"/>
        </w:rPr>
        <w:t>.</w:t>
      </w:r>
    </w:p>
    <w:p>
      <w:pPr>
        <w:spacing w:after="0" w:line="161" w:lineRule="exact"/>
        <w:rPr>
          <w:sz w:val="20"/>
          <w:szCs w:val="20"/>
          <w:color w:val="auto"/>
        </w:rPr>
      </w:pPr>
    </w:p>
    <w:p>
      <w:pPr>
        <w:ind w:right="20" w:firstLine="1167"/>
        <w:spacing w:after="0" w:line="283" w:lineRule="auto"/>
        <w:tabs>
          <w:tab w:leader="none" w:pos="1548"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2.5(b)</w:t>
      </w:r>
      <w:r>
        <w:rPr>
          <w:rFonts w:ascii="Arial" w:cs="Arial" w:eastAsia="Arial" w:hAnsi="Arial"/>
          <w:sz w:val="16"/>
          <w:szCs w:val="16"/>
          <w:color w:val="auto"/>
        </w:rPr>
        <w:t>, the outstanding principal amount of each Loan shall accrue interest from and after its Funding Date, at the Applicable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1295" w:right="319" w:bottom="1440" w:gutter="0" w:footer="0" w:header="0"/>
        </w:sectPr>
      </w:pPr>
    </w:p>
    <w:bookmarkStart w:id="345" w:name="page346"/>
    <w:bookmarkEnd w:id="345"/>
    <w:p>
      <w:pPr>
        <w:jc w:val="both"/>
        <w:ind w:left="3" w:right="20" w:firstLine="1167"/>
        <w:spacing w:after="0" w:line="261" w:lineRule="auto"/>
        <w:tabs>
          <w:tab w:leader="none" w:pos="1535"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Immediately upon the occurrence and during the continuance of an Event of Default, the Obligations shall bear interest at a rate that is 5.0% higher than the Applicable Interest Rate (the “</w:t>
      </w:r>
      <w:r>
        <w:rPr>
          <w:rFonts w:ascii="Arial" w:cs="Arial" w:eastAsia="Arial" w:hAnsi="Arial"/>
          <w:sz w:val="16"/>
          <w:szCs w:val="16"/>
          <w:b w:val="1"/>
          <w:bCs w:val="1"/>
          <w:color w:val="auto"/>
        </w:rPr>
        <w:t>Default Rate</w:t>
      </w:r>
      <w:r>
        <w:rPr>
          <w:rFonts w:ascii="Arial" w:cs="Arial" w:eastAsia="Arial" w:hAnsi="Arial"/>
          <w:sz w:val="16"/>
          <w:szCs w:val="16"/>
          <w:color w:val="auto"/>
        </w:rPr>
        <w:t xml:space="preserve">”). Fees and expenses which are required to be paid by Borrowers pursuant to the Loan Documents (including, without limitation, Secured Party Expenses) but are not paid when due shall bear interest until paid at a rate equal to the highest rate applicable to the Obligations. Payment or acceptance of the increased interest rate provided in this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is not a permitted alternative to timely payment and shall not constitute a waiver of any Event of Default or otherwise prejudice or limit any rights or remedies of the Secured Parties hereunder.</w:t>
      </w:r>
    </w:p>
    <w:p>
      <w:pPr>
        <w:spacing w:after="0" w:line="120" w:lineRule="exact"/>
        <w:rPr>
          <w:rFonts w:ascii="Arial" w:cs="Arial" w:eastAsia="Arial" w:hAnsi="Arial"/>
          <w:sz w:val="16"/>
          <w:szCs w:val="16"/>
          <w:color w:val="auto"/>
        </w:rPr>
      </w:pPr>
    </w:p>
    <w:p>
      <w:pPr>
        <w:jc w:val="both"/>
        <w:ind w:left="3" w:firstLine="1167"/>
        <w:spacing w:after="0" w:line="296" w:lineRule="auto"/>
        <w:tabs>
          <w:tab w:leader="none" w:pos="1563" w:val="left"/>
        </w:tabs>
        <w:numPr>
          <w:ilvl w:val="1"/>
          <w:numId w:val="212"/>
        </w:numPr>
        <w:rPr>
          <w:rFonts w:ascii="Arial" w:cs="Arial" w:eastAsia="Arial" w:hAnsi="Arial"/>
          <w:sz w:val="14"/>
          <w:szCs w:val="14"/>
          <w:color w:val="auto"/>
        </w:rPr>
      </w:pPr>
      <w:r>
        <w:rPr>
          <w:rFonts w:ascii="Arial" w:cs="Arial" w:eastAsia="Arial" w:hAnsi="Arial"/>
          <w:sz w:val="14"/>
          <w:szCs w:val="14"/>
          <w:u w:val="single" w:color="auto"/>
          <w:color w:val="auto"/>
        </w:rPr>
        <w:t>Payment; Interest Computation</w:t>
      </w:r>
      <w:r>
        <w:rPr>
          <w:rFonts w:ascii="Arial" w:cs="Arial" w:eastAsia="Arial" w:hAnsi="Arial"/>
          <w:sz w:val="14"/>
          <w:szCs w:val="14"/>
          <w:color w:val="auto"/>
        </w:rPr>
        <w:t>. Borrowers shall pay interest quarterly in arrears on each Payment Date, commencing with the first Payment Date after the applicable Funding Date with respect to each Loan. Interest shall be computed on the basis of a 365/366-day year for the actual number of days elapsed. In computing interest, (i) all payments received after 12:00 p.m. Ontario time on any day shall be deemed received at the opening of business on the next Business Day, and</w:t>
      </w:r>
    </w:p>
    <w:p>
      <w:pPr>
        <w:ind w:left="243" w:hanging="243"/>
        <w:spacing w:after="0"/>
        <w:tabs>
          <w:tab w:leader="none" w:pos="24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date of the making of any Credit Extension shall be included and the date of payment shall be excluded.</w:t>
      </w:r>
    </w:p>
    <w:p>
      <w:pPr>
        <w:spacing w:after="0" w:line="145" w:lineRule="exact"/>
        <w:rPr>
          <w:rFonts w:ascii="Arial" w:cs="Arial" w:eastAsia="Arial" w:hAnsi="Arial"/>
          <w:sz w:val="16"/>
          <w:szCs w:val="16"/>
          <w:color w:val="auto"/>
        </w:rPr>
      </w:pPr>
    </w:p>
    <w:p>
      <w:pPr>
        <w:jc w:val="both"/>
        <w:ind w:left="3" w:firstLine="1167"/>
        <w:spacing w:after="0" w:line="283" w:lineRule="auto"/>
        <w:tabs>
          <w:tab w:leader="none" w:pos="1535" w:val="left"/>
        </w:tabs>
        <w:numPr>
          <w:ilvl w:val="1"/>
          <w:numId w:val="213"/>
        </w:numPr>
        <w:rPr>
          <w:rFonts w:ascii="Arial" w:cs="Arial" w:eastAsia="Arial" w:hAnsi="Arial"/>
          <w:sz w:val="15"/>
          <w:szCs w:val="15"/>
          <w:color w:val="auto"/>
        </w:rPr>
      </w:pPr>
      <w:r>
        <w:rPr>
          <w:rFonts w:ascii="Arial" w:cs="Arial" w:eastAsia="Arial" w:hAnsi="Arial"/>
          <w:sz w:val="15"/>
          <w:szCs w:val="15"/>
          <w:u w:val="single" w:color="auto"/>
          <w:color w:val="auto"/>
        </w:rPr>
        <w:t>Maximum Interest</w:t>
      </w:r>
      <w:r>
        <w:rPr>
          <w:rFonts w:ascii="Arial" w:cs="Arial" w:eastAsia="Arial" w:hAnsi="Arial"/>
          <w:sz w:val="15"/>
          <w:szCs w:val="15"/>
          <w:color w:val="auto"/>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(the “</w:t>
      </w:r>
      <w:r>
        <w:rPr>
          <w:rFonts w:ascii="Arial" w:cs="Arial" w:eastAsia="Arial" w:hAnsi="Arial"/>
          <w:sz w:val="15"/>
          <w:szCs w:val="15"/>
          <w:b w:val="1"/>
          <w:bCs w:val="1"/>
          <w:color w:val="auto"/>
        </w:rPr>
        <w:t>Maximum</w:t>
      </w:r>
      <w:r>
        <w:rPr>
          <w:rFonts w:ascii="Arial" w:cs="Arial" w:eastAsia="Arial" w:hAnsi="Arial"/>
          <w:sz w:val="15"/>
          <w:szCs w:val="15"/>
          <w:color w:val="auto"/>
        </w:rPr>
        <w:t xml:space="preserve"> </w:t>
      </w:r>
      <w:r>
        <w:rPr>
          <w:rFonts w:ascii="Arial" w:cs="Arial" w:eastAsia="Arial" w:hAnsi="Arial"/>
          <w:sz w:val="15"/>
          <w:szCs w:val="15"/>
          <w:b w:val="1"/>
          <w:bCs w:val="1"/>
          <w:color w:val="auto"/>
        </w:rPr>
        <w:t>Rate</w:t>
      </w:r>
      <w:r>
        <w:rPr>
          <w:rFonts w:ascii="Arial" w:cs="Arial" w:eastAsia="Arial" w:hAnsi="Arial"/>
          <w:sz w:val="15"/>
          <w:szCs w:val="15"/>
          <w:color w:val="auto"/>
        </w:rPr>
        <w:t>”). If a court of competent jurisdiction shall finally determine that a Borrower has actually paid to any Secured Party an amount of interest in excess of the amount that</w:t>
      </w:r>
      <w:r>
        <w:rPr>
          <w:rFonts w:ascii="Arial" w:cs="Arial" w:eastAsia="Arial" w:hAnsi="Arial"/>
          <w:sz w:val="15"/>
          <w:szCs w:val="15"/>
          <w:b w:val="1"/>
          <w:bCs w:val="1"/>
          <w:color w:val="auto"/>
        </w:rPr>
        <w:t xml:space="preserve"> </w:t>
      </w:r>
      <w:r>
        <w:rPr>
          <w:rFonts w:ascii="Arial" w:cs="Arial" w:eastAsia="Arial" w:hAnsi="Arial"/>
          <w:sz w:val="15"/>
          <w:szCs w:val="15"/>
          <w:color w:val="auto"/>
        </w:rPr>
        <w:t>would have been payable if all of the Obligations had at all times borne interest at the Maximum Rate, then such excess interest actually paid by Borrowers shall be applied to the reduction of outstanding principal, and thereafter to any other Obligations outstanding ratably (other than interest in excess of the Maximum Rate).</w:t>
      </w:r>
    </w:p>
    <w:p>
      <w:pPr>
        <w:spacing w:after="0" w:line="103" w:lineRule="exact"/>
        <w:rPr>
          <w:rFonts w:ascii="Arial" w:cs="Arial" w:eastAsia="Arial" w:hAnsi="Arial"/>
          <w:sz w:val="15"/>
          <w:szCs w:val="15"/>
          <w:color w:val="auto"/>
        </w:rPr>
      </w:pPr>
    </w:p>
    <w:p>
      <w:pPr>
        <w:ind w:left="3" w:right="20" w:firstLine="1167"/>
        <w:spacing w:after="0" w:line="283" w:lineRule="auto"/>
        <w:tabs>
          <w:tab w:leader="none" w:pos="1514"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Adjustment to Interest Rate</w:t>
      </w:r>
      <w:r>
        <w:rPr>
          <w:rFonts w:ascii="Arial" w:cs="Arial" w:eastAsia="Arial" w:hAnsi="Arial"/>
          <w:sz w:val="16"/>
          <w:szCs w:val="16"/>
          <w:color w:val="auto"/>
        </w:rPr>
        <w:t>. Changes to the interest rate applicable to the Loans based on changes to the Prime Rate shall be effective on the effective date of any change to the Prime Rate and to the extent of any such change.</w:t>
      </w:r>
    </w:p>
    <w:p>
      <w:pPr>
        <w:spacing w:after="0" w:line="98" w:lineRule="exact"/>
        <w:rPr>
          <w:sz w:val="20"/>
          <w:szCs w:val="20"/>
          <w:color w:val="auto"/>
        </w:rPr>
      </w:pPr>
    </w:p>
    <w:p>
      <w:pPr>
        <w:ind w:left="583"/>
        <w:spacing w:after="0"/>
        <w:tabs>
          <w:tab w:leader="none" w:pos="922"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4"/>
          <w:szCs w:val="14"/>
          <w:b w:val="1"/>
          <w:bCs w:val="1"/>
          <w:color w:val="auto"/>
        </w:rPr>
        <w:t>Fees and Charges</w:t>
      </w:r>
      <w:r>
        <w:rPr>
          <w:rFonts w:ascii="Arial" w:cs="Arial" w:eastAsia="Arial" w:hAnsi="Arial"/>
          <w:sz w:val="14"/>
          <w:szCs w:val="14"/>
          <w:color w:val="auto"/>
        </w:rPr>
        <w:t>.</w:t>
      </w:r>
    </w:p>
    <w:p>
      <w:pPr>
        <w:spacing w:after="0" w:line="161" w:lineRule="exact"/>
        <w:rPr>
          <w:sz w:val="20"/>
          <w:szCs w:val="20"/>
          <w:color w:val="auto"/>
        </w:rPr>
      </w:pPr>
    </w:p>
    <w:p>
      <w:pPr>
        <w:ind w:left="1503" w:hanging="333"/>
        <w:spacing w:after="0"/>
        <w:tabs>
          <w:tab w:leader="none" w:pos="1503"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Borrowers shall pay the following fees to Agent:</w:t>
      </w:r>
    </w:p>
    <w:p>
      <w:pPr>
        <w:spacing w:after="0" w:line="157" w:lineRule="exact"/>
        <w:rPr>
          <w:rFonts w:ascii="Arial" w:cs="Arial" w:eastAsia="Arial" w:hAnsi="Arial"/>
          <w:sz w:val="16"/>
          <w:szCs w:val="16"/>
          <w:color w:val="auto"/>
        </w:rPr>
      </w:pPr>
    </w:p>
    <w:p>
      <w:pPr>
        <w:ind w:left="3" w:right="20" w:firstLine="2336"/>
        <w:spacing w:after="0" w:line="283" w:lineRule="auto"/>
        <w:tabs>
          <w:tab w:leader="none" w:pos="2717"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Revolving Loan Facility Commitment Fee</w:t>
      </w:r>
      <w:r>
        <w:rPr>
          <w:rFonts w:ascii="Arial" w:cs="Arial" w:eastAsia="Arial" w:hAnsi="Arial"/>
          <w:sz w:val="16"/>
          <w:szCs w:val="16"/>
          <w:color w:val="auto"/>
        </w:rPr>
        <w:t>. In respect of the Revolving Loan Commitments, a commitment fee to in an amount</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0.25% of the Total Revolving Loan Commitments, for the ratable benefit of the Revolving Lenders;</w:t>
      </w:r>
    </w:p>
    <w:p>
      <w:pPr>
        <w:spacing w:after="0" w:line="101" w:lineRule="exact"/>
        <w:rPr>
          <w:rFonts w:ascii="Arial" w:cs="Arial" w:eastAsia="Arial" w:hAnsi="Arial"/>
          <w:sz w:val="16"/>
          <w:szCs w:val="16"/>
          <w:color w:val="auto"/>
        </w:rPr>
      </w:pPr>
    </w:p>
    <w:p>
      <w:pPr>
        <w:jc w:val="both"/>
        <w:ind w:left="3" w:right="20" w:firstLine="2336"/>
        <w:spacing w:after="0" w:line="264" w:lineRule="auto"/>
        <w:tabs>
          <w:tab w:leader="none" w:pos="2702"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Unused Line Fee</w:t>
      </w:r>
      <w:r>
        <w:rPr>
          <w:rFonts w:ascii="Arial" w:cs="Arial" w:eastAsia="Arial" w:hAnsi="Arial"/>
          <w:sz w:val="16"/>
          <w:szCs w:val="16"/>
          <w:color w:val="auto"/>
        </w:rPr>
        <w:t>. An unused fee in an amount equal to 0.25% per annum of the Average Unused Revolving Loan Amount,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in arrears on each Payment Date, provided that such fee shall be prorated for the period from the Effective Date through the last day of the first quarterly period (or any other partial measurement period), provided further that for any month in which the outstanding balance under the Revolving Loan Facility is equal to or greater than $5,000,000 at all times, the unused fee shall be waived with respect to such month;</w:t>
      </w:r>
    </w:p>
    <w:p>
      <w:pPr>
        <w:spacing w:after="0" w:line="116" w:lineRule="exact"/>
        <w:rPr>
          <w:rFonts w:ascii="Arial" w:cs="Arial" w:eastAsia="Arial" w:hAnsi="Arial"/>
          <w:sz w:val="16"/>
          <w:szCs w:val="16"/>
          <w:color w:val="auto"/>
        </w:rPr>
      </w:pPr>
    </w:p>
    <w:p>
      <w:pPr>
        <w:ind w:left="3" w:right="20" w:firstLine="2336"/>
        <w:spacing w:after="0" w:line="283" w:lineRule="auto"/>
        <w:tabs>
          <w:tab w:leader="none" w:pos="2759"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Initial Term Loan Facility Commitment Fee</w:t>
      </w:r>
      <w:r>
        <w:rPr>
          <w:rFonts w:ascii="Arial" w:cs="Arial" w:eastAsia="Arial" w:hAnsi="Arial"/>
          <w:sz w:val="16"/>
          <w:szCs w:val="16"/>
          <w:color w:val="auto"/>
        </w:rPr>
        <w:t>. In respect of the Term Loans advance on the Effective Date, a commitment fee in an</w:t>
      </w:r>
      <w:r>
        <w:rPr>
          <w:rFonts w:ascii="Arial" w:cs="Arial" w:eastAsia="Arial" w:hAnsi="Arial"/>
          <w:sz w:val="16"/>
          <w:szCs w:val="16"/>
          <w:i w:val="1"/>
          <w:iCs w:val="1"/>
          <w:color w:val="auto"/>
        </w:rPr>
        <w:t xml:space="preserve"> </w:t>
      </w:r>
      <w:r>
        <w:rPr>
          <w:rFonts w:ascii="Arial" w:cs="Arial" w:eastAsia="Arial" w:hAnsi="Arial"/>
          <w:sz w:val="16"/>
          <w:szCs w:val="16"/>
          <w:color w:val="auto"/>
        </w:rPr>
        <w:t>amount equal to 0.25% of the aggregate principal amount of such Term Loans, for the ratable benefit of the Term Loan Lenders;</w:t>
      </w:r>
    </w:p>
    <w:p>
      <w:pPr>
        <w:spacing w:after="0" w:line="101" w:lineRule="exact"/>
        <w:rPr>
          <w:rFonts w:ascii="Arial" w:cs="Arial" w:eastAsia="Arial" w:hAnsi="Arial"/>
          <w:sz w:val="16"/>
          <w:szCs w:val="16"/>
          <w:color w:val="auto"/>
        </w:rPr>
      </w:pPr>
    </w:p>
    <w:p>
      <w:pPr>
        <w:ind w:left="2743" w:hanging="404"/>
        <w:spacing w:after="0"/>
        <w:tabs>
          <w:tab w:leader="none" w:pos="2743"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Delayed Draw Term Loan Commitment Fees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3" w:right="20" w:firstLine="2920"/>
        <w:spacing w:after="0" w:line="283" w:lineRule="auto"/>
        <w:tabs>
          <w:tab w:leader="none" w:pos="3348" w:val="left"/>
        </w:tabs>
        <w:numPr>
          <w:ilvl w:val="2"/>
          <w:numId w:val="214"/>
        </w:numPr>
        <w:rPr>
          <w:rFonts w:ascii="Arial" w:cs="Arial" w:eastAsia="Arial" w:hAnsi="Arial"/>
          <w:sz w:val="16"/>
          <w:szCs w:val="16"/>
          <w:color w:val="auto"/>
        </w:rPr>
      </w:pPr>
      <w:r>
        <w:rPr>
          <w:rFonts w:ascii="Arial" w:cs="Arial" w:eastAsia="Arial" w:hAnsi="Arial"/>
          <w:sz w:val="16"/>
          <w:szCs w:val="16"/>
          <w:color w:val="auto"/>
        </w:rPr>
        <w:t>In respect of any Delayed Draw Term Loan advance, a commitment fee in an amount equal to 0.25% of the advance amount of such Delayed Draw Term Loan, for the ratable benefit of the Term Loan Lenders.</w:t>
      </w:r>
    </w:p>
    <w:p>
      <w:pPr>
        <w:spacing w:after="0" w:line="101" w:lineRule="exact"/>
        <w:rPr>
          <w:rFonts w:ascii="Arial" w:cs="Arial" w:eastAsia="Arial" w:hAnsi="Arial"/>
          <w:sz w:val="16"/>
          <w:szCs w:val="16"/>
          <w:color w:val="auto"/>
        </w:rPr>
      </w:pPr>
    </w:p>
    <w:p>
      <w:pPr>
        <w:ind w:left="3" w:right="20" w:firstLine="2920"/>
        <w:spacing w:after="0" w:line="318" w:lineRule="auto"/>
        <w:tabs>
          <w:tab w:leader="none" w:pos="3314" w:val="left"/>
        </w:tabs>
        <w:numPr>
          <w:ilvl w:val="2"/>
          <w:numId w:val="214"/>
        </w:numPr>
        <w:rPr>
          <w:rFonts w:ascii="Arial" w:cs="Arial" w:eastAsia="Arial" w:hAnsi="Arial"/>
          <w:sz w:val="15"/>
          <w:szCs w:val="15"/>
          <w:color w:val="auto"/>
        </w:rPr>
      </w:pPr>
      <w:r>
        <w:rPr>
          <w:rFonts w:ascii="Arial" w:cs="Arial" w:eastAsia="Arial" w:hAnsi="Arial"/>
          <w:sz w:val="15"/>
          <w:szCs w:val="15"/>
          <w:color w:val="auto"/>
        </w:rPr>
        <w:t>In respect of the Delayed Draw Term Loan Commitment, a commitment fee in an amount equal to 0.35% per annum of the average undrawn portion of the aggregate Delayed Draw Term Loan Commitments for such calendar quarter, payable quarterly in arrears on each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3"/>
          </w:cols>
          <w:pgMar w:left="317" w:top="1296" w:right="319" w:bottom="1440" w:gutter="0" w:footer="0" w:header="0"/>
        </w:sectPr>
      </w:pPr>
    </w:p>
    <w:bookmarkStart w:id="346" w:name="page347"/>
    <w:bookmarkEnd w:id="346"/>
    <w:p>
      <w:pPr>
        <w:jc w:val="both"/>
        <w:ind w:right="20" w:firstLine="2336"/>
        <w:spacing w:after="0" w:line="268" w:lineRule="auto"/>
        <w:tabs>
          <w:tab w:leader="none" w:pos="2690" w:val="left"/>
        </w:tabs>
        <w:numPr>
          <w:ilvl w:val="1"/>
          <w:numId w:val="215"/>
        </w:numPr>
        <w:rPr>
          <w:rFonts w:ascii="Arial" w:cs="Arial" w:eastAsia="Arial" w:hAnsi="Arial"/>
          <w:sz w:val="16"/>
          <w:szCs w:val="16"/>
          <w:color w:val="auto"/>
        </w:rPr>
      </w:pPr>
      <w:r>
        <w:rPr>
          <w:rFonts w:ascii="Arial" w:cs="Arial" w:eastAsia="Arial" w:hAnsi="Arial"/>
          <w:sz w:val="16"/>
          <w:szCs w:val="16"/>
          <w:i w:val="1"/>
          <w:iCs w:val="1"/>
          <w:color w:val="auto"/>
        </w:rPr>
        <w:t>Prepayment Fee</w:t>
      </w:r>
      <w:r>
        <w:rPr>
          <w:rFonts w:ascii="Arial" w:cs="Arial" w:eastAsia="Arial" w:hAnsi="Arial"/>
          <w:sz w:val="16"/>
          <w:szCs w:val="16"/>
          <w:color w:val="auto"/>
        </w:rPr>
        <w:t>. Borrowers shall pay the Prepayment Fee as and when due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2.3</w:t>
      </w:r>
      <w:r>
        <w:rPr>
          <w:rFonts w:ascii="Arial" w:cs="Arial" w:eastAsia="Arial" w:hAnsi="Arial"/>
          <w:sz w:val="16"/>
          <w:szCs w:val="16"/>
          <w:color w:val="auto"/>
        </w:rPr>
        <w:t>. Each Borrower agrees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Prepayment Fee is a reasonable calculation of each Lender’s lost profits in view of the difficulties and impracticality of determining actual damages resulting from an early repayment of the Term Loans.</w:t>
      </w:r>
    </w:p>
    <w:p>
      <w:pPr>
        <w:spacing w:after="0" w:line="114" w:lineRule="exact"/>
        <w:rPr>
          <w:rFonts w:ascii="Arial" w:cs="Arial" w:eastAsia="Arial" w:hAnsi="Arial"/>
          <w:sz w:val="16"/>
          <w:szCs w:val="16"/>
          <w:color w:val="auto"/>
        </w:rPr>
      </w:pPr>
    </w:p>
    <w:p>
      <w:pPr>
        <w:jc w:val="both"/>
        <w:ind w:right="20" w:firstLine="1167"/>
        <w:spacing w:after="0" w:line="268" w:lineRule="auto"/>
        <w:tabs>
          <w:tab w:leader="none" w:pos="1545"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Secured Party Expenses</w:t>
      </w:r>
      <w:r>
        <w:rPr>
          <w:rFonts w:ascii="Arial" w:cs="Arial" w:eastAsia="Arial" w:hAnsi="Arial"/>
          <w:sz w:val="16"/>
          <w:szCs w:val="16"/>
          <w:color w:val="auto"/>
        </w:rPr>
        <w:t>. Borrowers shall pay to Secured Parties, all Secured Party Expenses (including reasonable attorneys’ fees and expenses for documentation and negotiation of this Agreement and the other Loan Documents) incurred through and after the Effective Date, when due (or, if no stated due date, within three (3) Business Days after written demand by Agent).</w:t>
      </w:r>
    </w:p>
    <w:p>
      <w:pPr>
        <w:spacing w:after="0" w:line="114" w:lineRule="exact"/>
        <w:rPr>
          <w:rFonts w:ascii="Arial" w:cs="Arial" w:eastAsia="Arial" w:hAnsi="Arial"/>
          <w:sz w:val="16"/>
          <w:szCs w:val="16"/>
          <w:color w:val="auto"/>
        </w:rPr>
      </w:pPr>
    </w:p>
    <w:p>
      <w:pPr>
        <w:jc w:val="both"/>
        <w:ind w:right="20" w:firstLine="1167"/>
        <w:spacing w:after="0" w:line="264" w:lineRule="auto"/>
        <w:tabs>
          <w:tab w:leader="none" w:pos="1524"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Fees Fully Earned</w:t>
      </w:r>
      <w:r>
        <w:rPr>
          <w:rFonts w:ascii="Arial" w:cs="Arial" w:eastAsia="Arial" w:hAnsi="Arial"/>
          <w:sz w:val="16"/>
          <w:szCs w:val="16"/>
          <w:color w:val="auto"/>
        </w:rPr>
        <w:t xml:space="preserve">. Unless otherwise provided in this Agreement or any other Loan Document, the fees and charges specified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are fully earned as of the Effective Date, and in no event shall any Borrower be entitled to any credit, rebate, refund, reduction, proration or repayment of any fees or charges earned by any Secured Party pursuant to this Agreement or the other Loan Documents notwithstanding any termination of this Agreement or the suspension or termination of Commitments hereunder and notwithstanding the required payment date for such fees or charges.</w:t>
      </w:r>
    </w:p>
    <w:p>
      <w:pPr>
        <w:spacing w:after="0" w:line="112"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2.7</w:t>
      </w:r>
      <w:r>
        <w:rPr>
          <w:sz w:val="20"/>
          <w:szCs w:val="20"/>
          <w:color w:val="auto"/>
        </w:rPr>
        <w:tab/>
      </w:r>
      <w:r>
        <w:rPr>
          <w:rFonts w:ascii="Arial" w:cs="Arial" w:eastAsia="Arial" w:hAnsi="Arial"/>
          <w:sz w:val="14"/>
          <w:szCs w:val="14"/>
          <w:b w:val="1"/>
          <w:bCs w:val="1"/>
          <w:color w:val="auto"/>
        </w:rPr>
        <w:t>Payments; Application of Payments</w:t>
      </w:r>
      <w:r>
        <w:rPr>
          <w:rFonts w:ascii="Arial" w:cs="Arial" w:eastAsia="Arial" w:hAnsi="Arial"/>
          <w:sz w:val="14"/>
          <w:szCs w:val="14"/>
          <w:color w:val="auto"/>
        </w:rPr>
        <w:t>.</w:t>
      </w:r>
    </w:p>
    <w:p>
      <w:pPr>
        <w:spacing w:after="0" w:line="161" w:lineRule="exact"/>
        <w:rPr>
          <w:sz w:val="20"/>
          <w:szCs w:val="20"/>
          <w:color w:val="auto"/>
        </w:rPr>
      </w:pPr>
    </w:p>
    <w:p>
      <w:pPr>
        <w:jc w:val="both"/>
        <w:ind w:firstLine="1167"/>
        <w:spacing w:after="0" w:line="298" w:lineRule="auto"/>
        <w:tabs>
          <w:tab w:leader="none" w:pos="1569" w:val="left"/>
        </w:tabs>
        <w:numPr>
          <w:ilvl w:val="0"/>
          <w:numId w:val="217"/>
        </w:numPr>
        <w:rPr>
          <w:rFonts w:ascii="Arial" w:cs="Arial" w:eastAsia="Arial" w:hAnsi="Arial"/>
          <w:sz w:val="14"/>
          <w:szCs w:val="14"/>
          <w:color w:val="auto"/>
        </w:rPr>
      </w:pPr>
      <w:r>
        <w:rPr>
          <w:rFonts w:ascii="Arial" w:cs="Arial" w:eastAsia="Arial" w:hAnsi="Arial"/>
          <w:sz w:val="14"/>
          <w:szCs w:val="14"/>
          <w:color w:val="auto"/>
        </w:rPr>
        <w:t xml:space="preserve">All payments to be made by Borrowers under any Loan Document, including payments of principal and interest and all fees, charges, expenses, indemnities and reimbursements, shall be made in immediately available funds in Dollars, without setoff, recoupment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 Unless otherwise notified by Agent in writing, Agent shall initiate debit entries to any Deposit Accounts as authorized on the Debit Authorization for principal and interest payments or any other amounts Borrowers owe Secured Parties when due, for the ratable benefit of Secured Parties. These debits shall not constitute a set-off. If the Debit Authorization arrangement is terminated for any reason, Borrowers shall promptly deliver a new Debit Authorization with respect to another Deposit Account of a Borrower and until such new Debit Authorization is effective, shall make all payments due to Agent at Agent’s address specified in </w:t>
      </w:r>
      <w:r>
        <w:rPr>
          <w:rFonts w:ascii="Arial" w:cs="Arial" w:eastAsia="Arial" w:hAnsi="Arial"/>
          <w:sz w:val="14"/>
          <w:szCs w:val="14"/>
          <w:u w:val="single" w:color="auto"/>
          <w:color w:val="auto"/>
        </w:rPr>
        <w:t>Section 10</w:t>
      </w:r>
      <w:r>
        <w:rPr>
          <w:rFonts w:ascii="Arial" w:cs="Arial" w:eastAsia="Arial" w:hAnsi="Arial"/>
          <w:sz w:val="14"/>
          <w:szCs w:val="14"/>
          <w:color w:val="auto"/>
        </w:rPr>
        <w:t>, or as otherwise notified by Agent in writing. Except to the extent otherwise requested in writing by Borrower Representative, including pursuant to any disbursement letter or other Loan Request, any amounts to be funded by any Agent (including on behalf of any Lender) to a Borrower may be credited in accordance with the Credit Authorization.</w:t>
      </w:r>
    </w:p>
    <w:p>
      <w:pPr>
        <w:spacing w:after="0" w:line="95" w:lineRule="exact"/>
        <w:rPr>
          <w:rFonts w:ascii="Arial" w:cs="Arial" w:eastAsia="Arial" w:hAnsi="Arial"/>
          <w:sz w:val="14"/>
          <w:szCs w:val="14"/>
          <w:color w:val="auto"/>
        </w:rPr>
      </w:pPr>
    </w:p>
    <w:p>
      <w:pPr>
        <w:jc w:val="both"/>
        <w:ind w:firstLine="1167"/>
        <w:spacing w:after="0" w:line="275" w:lineRule="auto"/>
        <w:tabs>
          <w:tab w:leader="none" w:pos="1581" w:val="left"/>
        </w:tabs>
        <w:numPr>
          <w:ilvl w:val="0"/>
          <w:numId w:val="217"/>
        </w:numPr>
        <w:rPr>
          <w:rFonts w:ascii="Arial" w:cs="Arial" w:eastAsia="Arial" w:hAnsi="Arial"/>
          <w:sz w:val="15"/>
          <w:szCs w:val="15"/>
          <w:color w:val="auto"/>
        </w:rPr>
      </w:pPr>
      <w:r>
        <w:rPr>
          <w:rFonts w:ascii="Arial" w:cs="Arial" w:eastAsia="Arial" w:hAnsi="Arial"/>
          <w:sz w:val="15"/>
          <w:szCs w:val="15"/>
          <w:color w:val="auto"/>
        </w:rPr>
        <w:t xml:space="preserve">Unless Agent shall have been notified in writing by any Lender prior to the proposed date of any borrowing that such Lender will not make the amount that would constitute its share of such borrowing available to Agent, Agent may assume that such Lender has made such amount available to Agent on such date in accordance with </w:t>
      </w:r>
      <w:r>
        <w:rPr>
          <w:rFonts w:ascii="Arial" w:cs="Arial" w:eastAsia="Arial" w:hAnsi="Arial"/>
          <w:sz w:val="15"/>
          <w:szCs w:val="15"/>
          <w:u w:val="single" w:color="auto"/>
          <w:color w:val="auto"/>
        </w:rPr>
        <w:t>Section 2.4</w:t>
      </w:r>
      <w:r>
        <w:rPr>
          <w:rFonts w:ascii="Arial" w:cs="Arial" w:eastAsia="Arial" w:hAnsi="Arial"/>
          <w:sz w:val="15"/>
          <w:szCs w:val="15"/>
          <w:color w:val="auto"/>
        </w:rPr>
        <w:t>, and Agent may, in reliance upon such assumption, make available to Borrowers a corresponding amount. If such amount is not in fact made available to Agent by the required time on the requested funding date, such Lender and each Borrower severally agree to pay to Agent forthwith, on written demand, such corresponding amount with interest thereon, for each day from and including the date on which such amount is made available to Borrowers but excluding the date of payment to Agent, at (i) in the case of a payment to be made by such Lender, a rate equal to the greater of (A) the federal funds effective rate and (B) a rate determined by Agent in accordance with banking industry rules on interbank compensation, and (ii) in the case of a payment to be made by a Borrower, the rate per annum applicable to Loans under the relevant facility. If a Borrower and such Lender shall pay such interest to Agent for the same or an overlapping period, Agent shall promptly remit to Borrower Representative the amount of such interest paid by a Borrower for such period. If such Lender pays its share of the applicable borrowing to Agent, then the amount so paid shall constitute such Lender’s Loan included in such borrowing. Any payment by a Borrower shall be without prejudice to any claim the Borrower may have against a Lender that shall have failed to make such payment to Agent.</w:t>
      </w:r>
    </w:p>
    <w:p>
      <w:pPr>
        <w:spacing w:after="0" w:line="115" w:lineRule="exact"/>
        <w:rPr>
          <w:rFonts w:ascii="Arial" w:cs="Arial" w:eastAsia="Arial" w:hAnsi="Arial"/>
          <w:sz w:val="15"/>
          <w:szCs w:val="15"/>
          <w:color w:val="auto"/>
        </w:rPr>
      </w:pPr>
    </w:p>
    <w:p>
      <w:pPr>
        <w:ind w:right="20" w:firstLine="1167"/>
        <w:spacing w:after="0" w:line="283" w:lineRule="auto"/>
        <w:tabs>
          <w:tab w:leader="none" w:pos="154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If any Lender makes available to Agent funds for any Loan to be made by such Lender as provided in the foregoing provisions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and such funds are not made available to Borrowers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1296" w:right="319" w:bottom="1440" w:gutter="0" w:footer="0" w:header="0"/>
        </w:sectPr>
      </w:pPr>
    </w:p>
    <w:bookmarkStart w:id="347" w:name="page348"/>
    <w:bookmarkEnd w:id="347"/>
    <w:p>
      <w:pPr>
        <w:spacing w:after="0" w:line="283" w:lineRule="auto"/>
        <w:rPr>
          <w:sz w:val="20"/>
          <w:szCs w:val="20"/>
          <w:color w:val="auto"/>
        </w:rPr>
      </w:pPr>
      <w:r>
        <w:rPr>
          <w:rFonts w:ascii="Arial" w:cs="Arial" w:eastAsia="Arial" w:hAnsi="Arial"/>
          <w:sz w:val="16"/>
          <w:szCs w:val="16"/>
          <w:color w:val="auto"/>
        </w:rPr>
        <w:t>Agent because the conditions to the applicable extension of credit set forth in Section 3.1 or 3.2 are not satisfied or waived in accordance with the terms hereof, Agent shall return such funds (in like funds as received from such Lender) to such Lender, without interest.</w:t>
      </w:r>
    </w:p>
    <w:p>
      <w:pPr>
        <w:spacing w:after="0" w:line="102" w:lineRule="exact"/>
        <w:rPr>
          <w:sz w:val="20"/>
          <w:szCs w:val="20"/>
          <w:color w:val="auto"/>
        </w:rPr>
      </w:pPr>
    </w:p>
    <w:p>
      <w:pPr>
        <w:jc w:val="both"/>
        <w:ind w:firstLine="1167"/>
        <w:spacing w:after="0" w:line="264" w:lineRule="auto"/>
        <w:tabs>
          <w:tab w:leader="none" w:pos="159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obligations of Lenders hereunder to fund their respective Commitments or make any other reimbursement or indemnity payments to Agent hereunder, are several and not joint. The failure of any Lender to make any such Loan, to fund any such participation or to make any such payment on any date required hereunder shall not relieve any other Lender of its corresponding obligation to do so on such date, and no Lender shall be responsible for the failure of any other Lender to so make its Loan or to make such payment.</w:t>
      </w:r>
    </w:p>
    <w:p>
      <w:pPr>
        <w:spacing w:after="0" w:line="116" w:lineRule="exact"/>
        <w:rPr>
          <w:rFonts w:ascii="Arial" w:cs="Arial" w:eastAsia="Arial" w:hAnsi="Arial"/>
          <w:sz w:val="16"/>
          <w:szCs w:val="16"/>
          <w:color w:val="auto"/>
        </w:rPr>
      </w:pPr>
    </w:p>
    <w:p>
      <w:pPr>
        <w:jc w:val="both"/>
        <w:ind w:firstLine="1167"/>
        <w:spacing w:after="0" w:line="286" w:lineRule="auto"/>
        <w:tabs>
          <w:tab w:leader="none" w:pos="1519" w:val="left"/>
        </w:tabs>
        <w:numPr>
          <w:ilvl w:val="0"/>
          <w:numId w:val="218"/>
        </w:numPr>
        <w:rPr>
          <w:rFonts w:ascii="Arial" w:cs="Arial" w:eastAsia="Arial" w:hAnsi="Arial"/>
          <w:sz w:val="15"/>
          <w:szCs w:val="15"/>
          <w:color w:val="auto"/>
        </w:rPr>
      </w:pPr>
      <w:r>
        <w:rPr>
          <w:rFonts w:ascii="Arial" w:cs="Arial" w:eastAsia="Arial" w:hAnsi="Arial"/>
          <w:sz w:val="15"/>
          <w:szCs w:val="15"/>
          <w:color w:val="auto"/>
        </w:rPr>
        <w:t>So long as no Application Event has occurred and is continuing and except as otherwise provided herein, all principal and interest payments received by Agent shall be apportioned ratably among Lenders (according to the unpaid principal balance of the Obligations to which such payments relate held by each Lender) and all payments of fees and expenses received by Agent (other than fees or expenses that are for Agent’s separate account) shall be apportioned ratably among the Lenders according to each Lender’s pro rata share of the type of Commitment or Obligation to which a particular fee or expense relates.</w:t>
      </w:r>
    </w:p>
    <w:p>
      <w:pPr>
        <w:spacing w:after="0" w:line="103" w:lineRule="exact"/>
        <w:rPr>
          <w:rFonts w:ascii="Arial" w:cs="Arial" w:eastAsia="Arial" w:hAnsi="Arial"/>
          <w:sz w:val="15"/>
          <w:szCs w:val="15"/>
          <w:color w:val="auto"/>
        </w:rPr>
      </w:pPr>
    </w:p>
    <w:p>
      <w:pPr>
        <w:ind w:firstLine="1167"/>
        <w:spacing w:after="0" w:line="283" w:lineRule="auto"/>
        <w:tabs>
          <w:tab w:leader="none" w:pos="149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At any time that an Application Event has occurred and is continuing and except as otherwise provided herein, all payments remitted to Agent and all proceeds of Collateral received by Agent shall be applied as follows:</w:t>
      </w:r>
    </w:p>
    <w:p>
      <w:pPr>
        <w:spacing w:after="0" w:line="101" w:lineRule="exact"/>
        <w:rPr>
          <w:rFonts w:ascii="Arial" w:cs="Arial" w:eastAsia="Arial" w:hAnsi="Arial"/>
          <w:sz w:val="16"/>
          <w:szCs w:val="16"/>
          <w:color w:val="auto"/>
        </w:rPr>
      </w:pPr>
    </w:p>
    <w:p>
      <w:pPr>
        <w:ind w:right="340" w:firstLine="2336"/>
        <w:spacing w:after="0" w:line="283" w:lineRule="auto"/>
        <w:tabs>
          <w:tab w:leader="none" w:pos="2654"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to pay any Secured Party Expenses (including cost or expense reimbursements), indemnities, fees or other amounts then due to Agent, in its capacity as such, under the Loan Documents, until paid in full,</w:t>
      </w:r>
    </w:p>
    <w:p>
      <w:pPr>
        <w:spacing w:after="0" w:line="101" w:lineRule="exact"/>
        <w:rPr>
          <w:rFonts w:ascii="Arial" w:cs="Arial" w:eastAsia="Arial" w:hAnsi="Arial"/>
          <w:sz w:val="16"/>
          <w:szCs w:val="16"/>
          <w:color w:val="auto"/>
        </w:rPr>
      </w:pPr>
    </w:p>
    <w:p>
      <w:pPr>
        <w:ind w:left="2700" w:hanging="364"/>
        <w:spacing w:after="0"/>
        <w:tabs>
          <w:tab w:leader="none" w:pos="270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to pay interest due in respect of any protective advances, until paid in full,</w:t>
      </w:r>
    </w:p>
    <w:p>
      <w:pPr>
        <w:spacing w:after="0" w:line="157" w:lineRule="exact"/>
        <w:rPr>
          <w:rFonts w:ascii="Arial" w:cs="Arial" w:eastAsia="Arial" w:hAnsi="Arial"/>
          <w:sz w:val="16"/>
          <w:szCs w:val="16"/>
          <w:color w:val="auto"/>
        </w:rPr>
      </w:pPr>
    </w:p>
    <w:p>
      <w:pPr>
        <w:ind w:left="2740" w:hanging="404"/>
        <w:spacing w:after="0"/>
        <w:tabs>
          <w:tab w:leader="none" w:pos="274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to pay the principal of any protective advances, until paid in full,</w:t>
      </w:r>
    </w:p>
    <w:p>
      <w:pPr>
        <w:spacing w:after="0" w:line="157" w:lineRule="exact"/>
        <w:rPr>
          <w:rFonts w:ascii="Arial" w:cs="Arial" w:eastAsia="Arial" w:hAnsi="Arial"/>
          <w:sz w:val="16"/>
          <w:szCs w:val="16"/>
          <w:color w:val="auto"/>
        </w:rPr>
      </w:pPr>
    </w:p>
    <w:p>
      <w:pPr>
        <w:ind w:right="260" w:firstLine="2336"/>
        <w:spacing w:after="0" w:line="283" w:lineRule="auto"/>
        <w:tabs>
          <w:tab w:leader="none" w:pos="2735" w:val="left"/>
        </w:tabs>
        <w:numPr>
          <w:ilvl w:val="1"/>
          <w:numId w:val="218"/>
        </w:numPr>
        <w:rPr>
          <w:rFonts w:ascii="Arial" w:cs="Arial" w:eastAsia="Arial" w:hAnsi="Arial"/>
          <w:sz w:val="16"/>
          <w:szCs w:val="16"/>
          <w:color w:val="auto"/>
        </w:rPr>
      </w:pPr>
      <w:r>
        <w:rPr>
          <w:rFonts w:ascii="Arial" w:cs="Arial" w:eastAsia="Arial" w:hAnsi="Arial"/>
          <w:sz w:val="16"/>
          <w:szCs w:val="16"/>
          <w:color w:val="auto"/>
        </w:rPr>
        <w:t>ratably, to pay any Secured Party Expenses (including cost or expense reimbursements) or indemnities then due to any Lenders under the Loan Documents, until paid in full,</w:t>
      </w:r>
    </w:p>
    <w:p>
      <w:pPr>
        <w:spacing w:after="0" w:line="101" w:lineRule="exact"/>
        <w:rPr>
          <w:rFonts w:ascii="Arial" w:cs="Arial" w:eastAsia="Arial" w:hAnsi="Arial"/>
          <w:sz w:val="16"/>
          <w:szCs w:val="16"/>
          <w:color w:val="auto"/>
        </w:rPr>
      </w:pPr>
    </w:p>
    <w:p>
      <w:pPr>
        <w:ind w:left="2680" w:hanging="344"/>
        <w:spacing w:after="0"/>
        <w:tabs>
          <w:tab w:leader="none" w:pos="268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ratably, to pay any fees or premiums then due to any Lenders under the Loan Documents, until paid in full,</w:t>
      </w:r>
    </w:p>
    <w:p>
      <w:pPr>
        <w:spacing w:after="0" w:line="157" w:lineRule="exact"/>
        <w:rPr>
          <w:rFonts w:ascii="Arial" w:cs="Arial" w:eastAsia="Arial" w:hAnsi="Arial"/>
          <w:sz w:val="16"/>
          <w:szCs w:val="16"/>
          <w:color w:val="auto"/>
        </w:rPr>
      </w:pPr>
    </w:p>
    <w:p>
      <w:pPr>
        <w:ind w:left="2740" w:hanging="404"/>
        <w:spacing w:after="0"/>
        <w:tabs>
          <w:tab w:leader="none" w:pos="274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ratably, to pay interest accrued in respect of the Revolving Loans and the Term Loans, until paid in full,</w:t>
      </w:r>
    </w:p>
    <w:p>
      <w:pPr>
        <w:spacing w:after="0" w:line="157" w:lineRule="exact"/>
        <w:rPr>
          <w:rFonts w:ascii="Arial" w:cs="Arial" w:eastAsia="Arial" w:hAnsi="Arial"/>
          <w:sz w:val="16"/>
          <w:szCs w:val="16"/>
          <w:color w:val="auto"/>
        </w:rPr>
      </w:pPr>
    </w:p>
    <w:p>
      <w:pPr>
        <w:ind w:left="2780" w:hanging="444"/>
        <w:spacing w:after="0"/>
        <w:tabs>
          <w:tab w:leader="none" w:pos="278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ratably</w:t>
      </w:r>
    </w:p>
    <w:p>
      <w:pPr>
        <w:spacing w:after="0" w:line="157" w:lineRule="exact"/>
        <w:rPr>
          <w:rFonts w:ascii="Arial" w:cs="Arial" w:eastAsia="Arial" w:hAnsi="Arial"/>
          <w:sz w:val="16"/>
          <w:szCs w:val="16"/>
          <w:color w:val="auto"/>
        </w:rPr>
      </w:pPr>
    </w:p>
    <w:p>
      <w:pPr>
        <w:ind w:left="3800" w:hanging="295"/>
        <w:spacing w:after="0"/>
        <w:tabs>
          <w:tab w:leader="none" w:pos="3800" w:val="left"/>
        </w:tabs>
        <w:numPr>
          <w:ilvl w:val="2"/>
          <w:numId w:val="218"/>
        </w:numPr>
        <w:rPr>
          <w:rFonts w:ascii="Arial" w:cs="Arial" w:eastAsia="Arial" w:hAnsi="Arial"/>
          <w:sz w:val="16"/>
          <w:szCs w:val="16"/>
          <w:color w:val="auto"/>
        </w:rPr>
      </w:pPr>
      <w:r>
        <w:rPr>
          <w:rFonts w:ascii="Arial" w:cs="Arial" w:eastAsia="Arial" w:hAnsi="Arial"/>
          <w:sz w:val="16"/>
          <w:szCs w:val="16"/>
          <w:color w:val="auto"/>
        </w:rPr>
        <w:t>to pay the principal of all Revolving Loans until paid in full,</w:t>
      </w:r>
    </w:p>
    <w:p>
      <w:pPr>
        <w:spacing w:after="0" w:line="157" w:lineRule="exact"/>
        <w:rPr>
          <w:rFonts w:ascii="Arial" w:cs="Arial" w:eastAsia="Arial" w:hAnsi="Arial"/>
          <w:sz w:val="16"/>
          <w:szCs w:val="16"/>
          <w:color w:val="auto"/>
        </w:rPr>
      </w:pPr>
    </w:p>
    <w:p>
      <w:pPr>
        <w:ind w:left="3800" w:hanging="295"/>
        <w:spacing w:after="0"/>
        <w:tabs>
          <w:tab w:leader="none" w:pos="3800" w:val="left"/>
        </w:tabs>
        <w:numPr>
          <w:ilvl w:val="2"/>
          <w:numId w:val="218"/>
        </w:numPr>
        <w:rPr>
          <w:rFonts w:ascii="Arial" w:cs="Arial" w:eastAsia="Arial" w:hAnsi="Arial"/>
          <w:sz w:val="16"/>
          <w:szCs w:val="16"/>
          <w:color w:val="auto"/>
        </w:rPr>
      </w:pPr>
      <w:r>
        <w:rPr>
          <w:rFonts w:ascii="Arial" w:cs="Arial" w:eastAsia="Arial" w:hAnsi="Arial"/>
          <w:sz w:val="16"/>
          <w:szCs w:val="16"/>
          <w:color w:val="auto"/>
        </w:rPr>
        <w:t>to pay or cash collateralize Bank Services provided under the Revolving Loan Facility,</w:t>
      </w:r>
    </w:p>
    <w:p>
      <w:pPr>
        <w:spacing w:after="0" w:line="157" w:lineRule="exact"/>
        <w:rPr>
          <w:rFonts w:ascii="Arial" w:cs="Arial" w:eastAsia="Arial" w:hAnsi="Arial"/>
          <w:sz w:val="16"/>
          <w:szCs w:val="16"/>
          <w:color w:val="auto"/>
        </w:rPr>
      </w:pPr>
    </w:p>
    <w:p>
      <w:pPr>
        <w:ind w:left="3800" w:hanging="295"/>
        <w:spacing w:after="0"/>
        <w:tabs>
          <w:tab w:leader="none" w:pos="3800" w:val="left"/>
        </w:tabs>
        <w:numPr>
          <w:ilvl w:val="2"/>
          <w:numId w:val="218"/>
        </w:numPr>
        <w:rPr>
          <w:rFonts w:ascii="Arial" w:cs="Arial" w:eastAsia="Arial" w:hAnsi="Arial"/>
          <w:sz w:val="14"/>
          <w:szCs w:val="14"/>
          <w:color w:val="auto"/>
        </w:rPr>
      </w:pPr>
      <w:r>
        <w:rPr>
          <w:rFonts w:ascii="Arial" w:cs="Arial" w:eastAsia="Arial" w:hAnsi="Arial"/>
          <w:sz w:val="14"/>
          <w:szCs w:val="14"/>
          <w:color w:val="auto"/>
        </w:rPr>
        <w:t>to pay the outstanding principal balance of the Term Loans (in the inverse order of the maturity of the installments</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due thereunder) until the Term Loans are paid in full,</w:t>
      </w:r>
    </w:p>
    <w:p>
      <w:pPr>
        <w:spacing w:after="0" w:line="145" w:lineRule="exact"/>
        <w:rPr>
          <w:rFonts w:ascii="Arial" w:cs="Arial" w:eastAsia="Arial" w:hAnsi="Arial"/>
          <w:sz w:val="14"/>
          <w:szCs w:val="14"/>
          <w:color w:val="auto"/>
        </w:rPr>
      </w:pPr>
    </w:p>
    <w:p>
      <w:pPr>
        <w:ind w:left="2820" w:hanging="484"/>
        <w:spacing w:after="0"/>
        <w:tabs>
          <w:tab w:leader="none" w:pos="282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to pay any other Obligations other than Obligations owed to Defaulting Lender,</w:t>
      </w:r>
    </w:p>
    <w:p>
      <w:pPr>
        <w:spacing w:after="0" w:line="157" w:lineRule="exact"/>
        <w:rPr>
          <w:rFonts w:ascii="Arial" w:cs="Arial" w:eastAsia="Arial" w:hAnsi="Arial"/>
          <w:sz w:val="16"/>
          <w:szCs w:val="16"/>
          <w:color w:val="auto"/>
        </w:rPr>
      </w:pPr>
    </w:p>
    <w:p>
      <w:pPr>
        <w:ind w:left="2740" w:hanging="404"/>
        <w:spacing w:after="0"/>
        <w:tabs>
          <w:tab w:leader="none" w:pos="274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ratably to pay any Obligations owed to Defaulting Lenders; and</w:t>
      </w:r>
    </w:p>
    <w:p>
      <w:pPr>
        <w:spacing w:after="0" w:line="157" w:lineRule="exact"/>
        <w:rPr>
          <w:rFonts w:ascii="Arial" w:cs="Arial" w:eastAsia="Arial" w:hAnsi="Arial"/>
          <w:sz w:val="16"/>
          <w:szCs w:val="16"/>
          <w:color w:val="auto"/>
        </w:rPr>
      </w:pPr>
    </w:p>
    <w:p>
      <w:pPr>
        <w:ind w:left="2680" w:hanging="344"/>
        <w:spacing w:after="0"/>
        <w:tabs>
          <w:tab w:leader="none" w:pos="268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to Borrowers or such other Person entitled thereto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96" w:right="339" w:bottom="1440" w:gutter="0" w:footer="0" w:header="0"/>
        </w:sectPr>
      </w:pPr>
    </w:p>
    <w:bookmarkStart w:id="348" w:name="page349"/>
    <w:bookmarkEnd w:id="348"/>
    <w:p>
      <w:pPr>
        <w:ind w:firstLine="1167"/>
        <w:spacing w:after="0" w:line="283" w:lineRule="auto"/>
        <w:tabs>
          <w:tab w:leader="none" w:pos="155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Agent promptly shall distribute to each Lender, pursuant to the applicable wire instructions received from each Lender in writing, such funds as it may be entitled to receive.</w:t>
      </w:r>
    </w:p>
    <w:p>
      <w:pPr>
        <w:spacing w:after="0" w:line="101" w:lineRule="exact"/>
        <w:rPr>
          <w:rFonts w:ascii="Arial" w:cs="Arial" w:eastAsia="Arial" w:hAnsi="Arial"/>
          <w:sz w:val="16"/>
          <w:szCs w:val="16"/>
          <w:color w:val="auto"/>
        </w:rPr>
      </w:pPr>
    </w:p>
    <w:p>
      <w:pPr>
        <w:jc w:val="both"/>
        <w:ind w:firstLine="1167"/>
        <w:spacing w:after="0" w:line="268" w:lineRule="auto"/>
        <w:tabs>
          <w:tab w:leader="none" w:pos="162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In each instance, so long as no Application Event has occurred and is continuing, </w:t>
      </w:r>
      <w:r>
        <w:rPr>
          <w:rFonts w:ascii="Arial" w:cs="Arial" w:eastAsia="Arial" w:hAnsi="Arial"/>
          <w:sz w:val="16"/>
          <w:szCs w:val="16"/>
          <w:u w:val="single" w:color="auto"/>
          <w:color w:val="auto"/>
        </w:rPr>
        <w:t>Section 2.7(f)(ii)</w:t>
      </w:r>
      <w:r>
        <w:rPr>
          <w:rFonts w:ascii="Arial" w:cs="Arial" w:eastAsia="Arial" w:hAnsi="Arial"/>
          <w:sz w:val="16"/>
          <w:szCs w:val="16"/>
          <w:color w:val="auto"/>
        </w:rPr>
        <w:t xml:space="preserve"> shall not apply to any payment made by Borrowers to Agent and specified by Borrowers to be for the payment of specific Obligations then due and payable (or prepayable) under any provision of this Agreement or any other Loan Document.</w:t>
      </w:r>
    </w:p>
    <w:p>
      <w:pPr>
        <w:spacing w:after="0" w:line="114" w:lineRule="exact"/>
        <w:rPr>
          <w:rFonts w:ascii="Arial" w:cs="Arial" w:eastAsia="Arial" w:hAnsi="Arial"/>
          <w:sz w:val="16"/>
          <w:szCs w:val="16"/>
          <w:color w:val="auto"/>
        </w:rPr>
      </w:pPr>
    </w:p>
    <w:p>
      <w:pPr>
        <w:jc w:val="both"/>
        <w:ind w:firstLine="1167"/>
        <w:spacing w:after="0" w:line="294" w:lineRule="auto"/>
        <w:tabs>
          <w:tab w:leader="none" w:pos="1492" w:val="left"/>
        </w:tabs>
        <w:numPr>
          <w:ilvl w:val="0"/>
          <w:numId w:val="219"/>
        </w:numPr>
        <w:rPr>
          <w:rFonts w:ascii="Arial" w:cs="Arial" w:eastAsia="Arial" w:hAnsi="Arial"/>
          <w:sz w:val="15"/>
          <w:szCs w:val="15"/>
          <w:color w:val="auto"/>
        </w:rPr>
      </w:pPr>
      <w:r>
        <w:rPr>
          <w:rFonts w:ascii="Arial" w:cs="Arial" w:eastAsia="Arial" w:hAnsi="Arial"/>
          <w:sz w:val="15"/>
          <w:szCs w:val="15"/>
          <w:color w:val="auto"/>
        </w:rPr>
        <w:t xml:space="preserve">For purposes of </w:t>
      </w:r>
      <w:r>
        <w:rPr>
          <w:rFonts w:ascii="Arial" w:cs="Arial" w:eastAsia="Arial" w:hAnsi="Arial"/>
          <w:sz w:val="15"/>
          <w:szCs w:val="15"/>
          <w:u w:val="single" w:color="auto"/>
          <w:color w:val="auto"/>
        </w:rPr>
        <w:t>Section 2.7(f)(iii)</w:t>
      </w:r>
      <w:r>
        <w:rPr>
          <w:rFonts w:ascii="Arial" w:cs="Arial" w:eastAsia="Arial" w:hAnsi="Arial"/>
          <w:sz w:val="15"/>
          <w:szCs w:val="15"/>
          <w:color w:val="auto"/>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96" w:lineRule="exact"/>
        <w:rPr>
          <w:rFonts w:ascii="Arial" w:cs="Arial" w:eastAsia="Arial" w:hAnsi="Arial"/>
          <w:sz w:val="15"/>
          <w:szCs w:val="15"/>
          <w:color w:val="auto"/>
        </w:rPr>
      </w:pPr>
    </w:p>
    <w:p>
      <w:pPr>
        <w:ind w:firstLine="1167"/>
        <w:spacing w:after="0" w:line="358" w:lineRule="auto"/>
        <w:tabs>
          <w:tab w:leader="none" w:pos="1511" w:val="left"/>
        </w:tabs>
        <w:numPr>
          <w:ilvl w:val="0"/>
          <w:numId w:val="219"/>
        </w:numPr>
        <w:rPr>
          <w:rFonts w:ascii="Arial" w:cs="Arial" w:eastAsia="Arial" w:hAnsi="Arial"/>
          <w:sz w:val="14"/>
          <w:szCs w:val="14"/>
          <w:color w:val="auto"/>
        </w:rPr>
      </w:pPr>
      <w:r>
        <w:rPr>
          <w:rFonts w:ascii="Arial" w:cs="Arial" w:eastAsia="Arial" w:hAnsi="Arial"/>
          <w:sz w:val="14"/>
          <w:szCs w:val="14"/>
          <w:color w:val="auto"/>
        </w:rPr>
        <w:t xml:space="preserve">In the event of a direct conflict between the priority provisions of this </w:t>
      </w:r>
      <w:r>
        <w:rPr>
          <w:rFonts w:ascii="Arial" w:cs="Arial" w:eastAsia="Arial" w:hAnsi="Arial"/>
          <w:sz w:val="14"/>
          <w:szCs w:val="14"/>
          <w:u w:val="single" w:color="auto"/>
          <w:color w:val="auto"/>
        </w:rPr>
        <w:t>Section 2.7</w:t>
      </w:r>
      <w:r>
        <w:rPr>
          <w:rFonts w:ascii="Arial" w:cs="Arial" w:eastAsia="Arial" w:hAnsi="Arial"/>
          <w:sz w:val="14"/>
          <w:szCs w:val="14"/>
          <w:color w:val="auto"/>
        </w:rPr>
        <w:t xml:space="preserve"> and any other provision contained in this Agreement or any other Loan Document, it is the intention of the parties hereto that such provisions be read together and construed, to the fullest extent possible, to be in concert with each other.</w:t>
      </w:r>
    </w:p>
    <w:p>
      <w:pPr>
        <w:spacing w:after="0" w:line="55" w:lineRule="exact"/>
        <w:rPr>
          <w:rFonts w:ascii="Arial" w:cs="Arial" w:eastAsia="Arial" w:hAnsi="Arial"/>
          <w:sz w:val="14"/>
          <w:szCs w:val="14"/>
          <w:color w:val="auto"/>
        </w:rPr>
      </w:pPr>
    </w:p>
    <w:p>
      <w:pPr>
        <w:jc w:val="both"/>
        <w:ind w:firstLine="1167"/>
        <w:spacing w:after="0" w:line="298" w:lineRule="auto"/>
        <w:tabs>
          <w:tab w:leader="none" w:pos="1542" w:val="left"/>
        </w:tabs>
        <w:numPr>
          <w:ilvl w:val="0"/>
          <w:numId w:val="219"/>
        </w:numPr>
        <w:rPr>
          <w:rFonts w:ascii="Arial" w:cs="Arial" w:eastAsia="Arial" w:hAnsi="Arial"/>
          <w:sz w:val="14"/>
          <w:szCs w:val="14"/>
          <w:color w:val="auto"/>
        </w:rPr>
      </w:pPr>
      <w:r>
        <w:rPr>
          <w:rFonts w:ascii="Arial" w:cs="Arial" w:eastAsia="Arial" w:hAnsi="Arial"/>
          <w:sz w:val="14"/>
          <w:szCs w:val="14"/>
          <w:color w:val="auto"/>
        </w:rPr>
        <w:t>If any Lender shall obtain any payment (whether voluntary, involuntary, through the exercise of any right of set-off, or otherwise) on account of the principal of or interest on any Loan made by it, such Lender shall (a) notify Agent of the receipt of such payment, and (b) within five (5) Business Days of such receipt purchase (for cash at face value) from the other applicable Lenders (through Agent), without recourse, such participations in the Loans made by them or held by them, as applicable, or make such other adjustments as shall be equitable, as shall be necessary to cause such purchasing Lender to share the excess payment ratably with each of the other Lenders in accordance with their respective Applicable Percentages; provided, however, that (i) if any such participations are purchased and all or any portion of the payment giving rise thereto is recovered, such participations shall be rescinded and the purchase price restored to the extent of such recovery, without interest. Each Borrower agrees that any Lender so purchasing a participation from another Lender pursuant to this subsection may exercise all its rights of payment (including the right of set-off) with respect to such participation as fully as if such Lender were the direct creditor of such Borrower in the amount of such participation. No documentation other than notices and the like referred to in this subsection shall be required to implement the terms hereof. Agent shall keep records (which shall be conclusive and binding in the absence of manifest error) of participations purchased pursuant hereto and shall in each case notify the applicable Lenders, following any such purchase.</w:t>
      </w:r>
    </w:p>
    <w:p>
      <w:pPr>
        <w:spacing w:after="0" w:line="92"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4"/>
          <w:szCs w:val="14"/>
          <w:b w:val="1"/>
          <w:bCs w:val="1"/>
          <w:color w:val="auto"/>
        </w:rPr>
        <w:t>Defaulting Lenders.</w:t>
      </w:r>
    </w:p>
    <w:p>
      <w:pPr>
        <w:spacing w:after="0" w:line="161" w:lineRule="exact"/>
        <w:rPr>
          <w:sz w:val="20"/>
          <w:szCs w:val="20"/>
          <w:color w:val="auto"/>
        </w:rPr>
      </w:pPr>
    </w:p>
    <w:p>
      <w:pPr>
        <w:ind w:firstLine="1167"/>
        <w:spacing w:after="0" w:line="283" w:lineRule="auto"/>
        <w:tabs>
          <w:tab w:leader="none" w:pos="1524"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01" w:lineRule="exact"/>
        <w:rPr>
          <w:rFonts w:ascii="Arial" w:cs="Arial" w:eastAsia="Arial" w:hAnsi="Arial"/>
          <w:sz w:val="16"/>
          <w:szCs w:val="16"/>
          <w:color w:val="auto"/>
        </w:rPr>
      </w:pPr>
    </w:p>
    <w:p>
      <w:pPr>
        <w:ind w:right="20" w:firstLine="2336"/>
        <w:spacing w:after="0" w:line="283" w:lineRule="auto"/>
        <w:tabs>
          <w:tab w:leader="none" w:pos="2654" w:val="left"/>
        </w:tabs>
        <w:numPr>
          <w:ilvl w:val="1"/>
          <w:numId w:val="220"/>
        </w:numPr>
        <w:rPr>
          <w:rFonts w:ascii="Arial" w:cs="Arial" w:eastAsia="Arial" w:hAnsi="Arial"/>
          <w:sz w:val="16"/>
          <w:szCs w:val="16"/>
          <w:color w:val="auto"/>
        </w:rPr>
      </w:pPr>
      <w:r>
        <w:rPr>
          <w:rFonts w:ascii="Arial" w:cs="Arial" w:eastAsia="Arial" w:hAnsi="Arial"/>
          <w:sz w:val="16"/>
          <w:szCs w:val="16"/>
          <w:i w:val="1"/>
          <w:iCs w:val="1"/>
          <w:color w:val="auto"/>
        </w:rPr>
        <w:t>Waivers and Amendments</w:t>
      </w:r>
      <w:r>
        <w:rPr>
          <w:rFonts w:ascii="Arial" w:cs="Arial" w:eastAsia="Arial" w:hAnsi="Arial"/>
          <w:sz w:val="16"/>
          <w:szCs w:val="16"/>
          <w:color w:val="auto"/>
        </w:rPr>
        <w:t>. Such Defaulting Lender’s right to approve or disapprove any amendment, waiver or consent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this Agreement shall be restricted as set forth in Section 12.8.</w:t>
      </w:r>
    </w:p>
    <w:p>
      <w:pPr>
        <w:spacing w:after="0" w:line="101" w:lineRule="exact"/>
        <w:rPr>
          <w:rFonts w:ascii="Arial" w:cs="Arial" w:eastAsia="Arial" w:hAnsi="Arial"/>
          <w:sz w:val="16"/>
          <w:szCs w:val="16"/>
          <w:color w:val="auto"/>
        </w:rPr>
      </w:pPr>
    </w:p>
    <w:p>
      <w:pPr>
        <w:ind w:right="380" w:firstLine="2336"/>
        <w:spacing w:after="0" w:line="283" w:lineRule="auto"/>
        <w:tabs>
          <w:tab w:leader="none" w:pos="2699" w:val="left"/>
        </w:tabs>
        <w:numPr>
          <w:ilvl w:val="1"/>
          <w:numId w:val="220"/>
        </w:numPr>
        <w:rPr>
          <w:rFonts w:ascii="Arial" w:cs="Arial" w:eastAsia="Arial" w:hAnsi="Arial"/>
          <w:sz w:val="16"/>
          <w:szCs w:val="16"/>
          <w:color w:val="auto"/>
        </w:rPr>
      </w:pPr>
      <w:r>
        <w:rPr>
          <w:rFonts w:ascii="Arial" w:cs="Arial" w:eastAsia="Arial" w:hAnsi="Arial"/>
          <w:sz w:val="16"/>
          <w:szCs w:val="16"/>
          <w:i w:val="1"/>
          <w:iCs w:val="1"/>
          <w:color w:val="auto"/>
        </w:rPr>
        <w:t>Defaulting Lender Waterfall</w:t>
      </w:r>
      <w:r>
        <w:rPr>
          <w:rFonts w:ascii="Arial" w:cs="Arial" w:eastAsia="Arial" w:hAnsi="Arial"/>
          <w:sz w:val="16"/>
          <w:szCs w:val="16"/>
          <w:color w:val="auto"/>
        </w:rPr>
        <w:t>. Any payment of principal, interest, fees or other amounts received by Agent for the account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Defaulting Lender shall be applied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ind w:left="2740" w:hanging="404"/>
        <w:spacing w:after="0"/>
        <w:tabs>
          <w:tab w:leader="none" w:pos="2740" w:val="left"/>
        </w:tabs>
        <w:numPr>
          <w:ilvl w:val="1"/>
          <w:numId w:val="220"/>
        </w:numPr>
        <w:rPr>
          <w:rFonts w:ascii="Arial" w:cs="Arial" w:eastAsia="Arial" w:hAnsi="Arial"/>
          <w:sz w:val="15"/>
          <w:szCs w:val="15"/>
          <w:color w:val="auto"/>
        </w:rPr>
      </w:pPr>
      <w:r>
        <w:rPr>
          <w:rFonts w:ascii="Arial" w:cs="Arial" w:eastAsia="Arial" w:hAnsi="Arial"/>
          <w:sz w:val="15"/>
          <w:szCs w:val="15"/>
          <w:i w:val="1"/>
          <w:iCs w:val="1"/>
          <w:color w:val="auto"/>
        </w:rPr>
        <w:t>Certain Fees</w:t>
      </w:r>
      <w:r>
        <w:rPr>
          <w:rFonts w:ascii="Arial" w:cs="Arial" w:eastAsia="Arial" w:hAnsi="Arial"/>
          <w:sz w:val="15"/>
          <w:szCs w:val="15"/>
          <w:color w:val="auto"/>
        </w:rPr>
        <w:t>. Except as expressly set forth herein, no Defaulting Lender shall be entitled to any portion of any fees paid in</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 xml:space="preserve">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45" w:lineRule="exact"/>
        <w:rPr>
          <w:rFonts w:ascii="Arial" w:cs="Arial" w:eastAsia="Arial" w:hAnsi="Arial"/>
          <w:sz w:val="15"/>
          <w:szCs w:val="15"/>
          <w:color w:val="auto"/>
        </w:rPr>
      </w:pPr>
    </w:p>
    <w:p>
      <w:pPr>
        <w:jc w:val="both"/>
        <w:ind w:firstLine="1167"/>
        <w:spacing w:after="0" w:line="264" w:lineRule="auto"/>
        <w:tabs>
          <w:tab w:leader="none" w:pos="1545"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If Borrowers, Agent and Required Lenders agree in writing that a Lender is no longer a Defaulting Lender, Agent shall so notify the parties hereto, whereupon as of the effective date specified in such notice and subject to any conditions set forth therein, such Lender will, to the extent applicable, purchase at par that portion of outstanding Loans of the other Lenders or take such other actions as Agent may determine to be necessary to cause the Loans to be held on a pro rata basis by Lenders in accordance with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296" w:right="339" w:bottom="1440" w:gutter="0" w:footer="0" w:header="0"/>
        </w:sectPr>
      </w:pPr>
    </w:p>
    <w:bookmarkStart w:id="349" w:name="page350"/>
    <w:bookmarkEnd w:id="349"/>
    <w:p>
      <w:pPr>
        <w:jc w:val="both"/>
        <w:ind w:right="20"/>
        <w:spacing w:after="0" w:line="264" w:lineRule="auto"/>
        <w:rPr>
          <w:sz w:val="20"/>
          <w:szCs w:val="20"/>
          <w:color w:val="auto"/>
        </w:rPr>
      </w:pPr>
      <w:r>
        <w:rPr>
          <w:rFonts w:ascii="Arial" w:cs="Arial" w:eastAsia="Arial" w:hAnsi="Arial"/>
          <w:sz w:val="16"/>
          <w:szCs w:val="16"/>
          <w:color w:val="auto"/>
        </w:rPr>
        <w:t>respective Applicable Percentages, whereupon such Lender will cease to be a Defaulting Lender; provided that no adjustments will be made retroactively with respect to fees accrued or payments made by or on behalf of the Borrower while such Lender was a Defaulting Lender; and provided further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16" w:lineRule="exact"/>
        <w:rPr>
          <w:sz w:val="20"/>
          <w:szCs w:val="20"/>
          <w:color w:val="auto"/>
        </w:rPr>
      </w:pPr>
    </w:p>
    <w:p>
      <w:pPr>
        <w:jc w:val="both"/>
        <w:ind w:firstLine="1167"/>
        <w:spacing w:after="0" w:line="264" w:lineRule="auto"/>
        <w:tabs>
          <w:tab w:leader="none" w:pos="1512"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Termination of Defaulting Lender</w:t>
      </w:r>
      <w:r>
        <w:rPr>
          <w:rFonts w:ascii="Arial" w:cs="Arial" w:eastAsia="Arial" w:hAnsi="Arial"/>
          <w:sz w:val="16"/>
          <w:szCs w:val="16"/>
          <w:color w:val="auto"/>
        </w:rPr>
        <w:t>. Borrower Representative may terminate the unused amount of any Commitment of any Lender that is a Defaulting Lender upon not less than ten (10) Business Days’ prior notice to Agent (which shall promptly notify Lenders thereof); provided that (i) no Event of Default shall have occurred and be continuing, and (ii) such termination shall not be deemed to be a waiver or release of any claim of Borrowers, Agent, or any other Lender may have against such Defaulting Lender.</w:t>
      </w:r>
    </w:p>
    <w:p>
      <w:pPr>
        <w:spacing w:after="0" w:line="112" w:lineRule="exact"/>
        <w:rPr>
          <w:rFonts w:ascii="Arial" w:cs="Arial" w:eastAsia="Arial" w:hAnsi="Arial"/>
          <w:sz w:val="16"/>
          <w:szCs w:val="16"/>
          <w:color w:val="auto"/>
        </w:rPr>
      </w:pPr>
    </w:p>
    <w:p>
      <w:pPr>
        <w:ind w:left="860" w:hanging="278"/>
        <w:spacing w:after="0"/>
        <w:tabs>
          <w:tab w:leader="none" w:pos="86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OF LOANS</w:t>
      </w:r>
    </w:p>
    <w:p>
      <w:pPr>
        <w:spacing w:after="0" w:line="157" w:lineRule="exact"/>
        <w:rPr>
          <w:sz w:val="20"/>
          <w:szCs w:val="20"/>
          <w:color w:val="auto"/>
        </w:rPr>
      </w:pPr>
    </w:p>
    <w:p>
      <w:pPr>
        <w:jc w:val="both"/>
        <w:ind w:firstLine="585"/>
        <w:spacing w:after="0" w:line="297" w:lineRule="auto"/>
        <w:rPr>
          <w:sz w:val="20"/>
          <w:szCs w:val="20"/>
          <w:color w:val="auto"/>
        </w:rPr>
      </w:pPr>
      <w:r>
        <w:rPr>
          <w:rFonts w:ascii="Arial" w:cs="Arial" w:eastAsia="Arial" w:hAnsi="Arial"/>
          <w:sz w:val="15"/>
          <w:szCs w:val="15"/>
          <w:b w:val="1"/>
          <w:bCs w:val="1"/>
          <w:color w:val="auto"/>
        </w:rPr>
        <w:t>3.1 Conditions Precedent to Effectiveness</w:t>
      </w:r>
      <w:r>
        <w:rPr>
          <w:rFonts w:ascii="Arial" w:cs="Arial" w:eastAsia="Arial" w:hAnsi="Arial"/>
          <w:sz w:val="15"/>
          <w:szCs w:val="15"/>
          <w:color w:val="auto"/>
        </w:rPr>
        <w:t>. The effectiveness of this Agreement and the Commitments hereunder are subject to the condition precedent that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Agent shall have received, in form and substance satisfactory to Required Lenders, such agreements, documents and certificates, duly executed by the parties thereto, and in case of a Borrower; by a Responsible Officer, or as applicable, the conditions shall have been satisfied, in each case, as set forth on </w:t>
      </w:r>
      <w:r>
        <w:rPr>
          <w:rFonts w:ascii="Arial" w:cs="Arial" w:eastAsia="Arial" w:hAnsi="Arial"/>
          <w:sz w:val="15"/>
          <w:szCs w:val="15"/>
          <w:u w:val="single" w:color="auto"/>
          <w:color w:val="auto"/>
        </w:rPr>
        <w:t>Schedule 2</w:t>
      </w:r>
      <w:r>
        <w:rPr>
          <w:rFonts w:ascii="Arial" w:cs="Arial" w:eastAsia="Arial" w:hAnsi="Arial"/>
          <w:sz w:val="15"/>
          <w:szCs w:val="15"/>
          <w:color w:val="auto"/>
        </w:rPr>
        <w:t>.</w:t>
      </w:r>
    </w:p>
    <w:p>
      <w:pPr>
        <w:spacing w:after="0" w:line="90" w:lineRule="exact"/>
        <w:rPr>
          <w:sz w:val="20"/>
          <w:szCs w:val="20"/>
          <w:color w:val="auto"/>
        </w:rPr>
      </w:pPr>
    </w:p>
    <w:p>
      <w:pPr>
        <w:jc w:val="center"/>
        <w:ind w:right="-39"/>
        <w:spacing w:after="0"/>
        <w:tabs>
          <w:tab w:leader="none" w:pos="14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Conditions Precedent to all Credit Extensions</w:t>
      </w:r>
      <w:r>
        <w:rPr>
          <w:rFonts w:ascii="Arial" w:cs="Arial" w:eastAsia="Arial" w:hAnsi="Arial"/>
          <w:sz w:val="14"/>
          <w:szCs w:val="14"/>
          <w:color w:val="auto"/>
        </w:rPr>
        <w:t>. Lenders’ obligations to make each Credit Extension is subject to the following conditions precedent:</w:t>
      </w:r>
    </w:p>
    <w:p>
      <w:pPr>
        <w:spacing w:after="0" w:line="161" w:lineRule="exact"/>
        <w:rPr>
          <w:sz w:val="20"/>
          <w:szCs w:val="20"/>
          <w:color w:val="auto"/>
        </w:rPr>
      </w:pPr>
    </w:p>
    <w:p>
      <w:pPr>
        <w:jc w:val="both"/>
        <w:ind w:right="20" w:firstLine="1167"/>
        <w:spacing w:after="0" w:line="264" w:lineRule="auto"/>
        <w:tabs>
          <w:tab w:leader="none" w:pos="1536"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in this Agreement and the other Loan Documents shall be true, accurate, and complete in all material respects on the date of each Credit Extension;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those representations and warranties expressly referring to a specific date shall be true, accurate and complete in all material respects as of such date,</w:t>
      </w:r>
    </w:p>
    <w:p>
      <w:pPr>
        <w:spacing w:after="0" w:line="116" w:lineRule="exact"/>
        <w:rPr>
          <w:rFonts w:ascii="Arial" w:cs="Arial" w:eastAsia="Arial" w:hAnsi="Arial"/>
          <w:sz w:val="16"/>
          <w:szCs w:val="16"/>
          <w:color w:val="auto"/>
        </w:rPr>
      </w:pPr>
    </w:p>
    <w:p>
      <w:pPr>
        <w:ind w:left="1520" w:hanging="353"/>
        <w:spacing w:after="0"/>
        <w:tabs>
          <w:tab w:leader="none" w:pos="15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or result from the Credit Extension;</w:t>
      </w:r>
    </w:p>
    <w:p>
      <w:pPr>
        <w:spacing w:after="0" w:line="157" w:lineRule="exact"/>
        <w:rPr>
          <w:rFonts w:ascii="Arial" w:cs="Arial" w:eastAsia="Arial" w:hAnsi="Arial"/>
          <w:sz w:val="16"/>
          <w:szCs w:val="16"/>
          <w:color w:val="auto"/>
        </w:rPr>
      </w:pPr>
    </w:p>
    <w:p>
      <w:pPr>
        <w:jc w:val="both"/>
        <w:ind w:right="20" w:firstLine="1167"/>
        <w:spacing w:after="0" w:line="268" w:lineRule="auto"/>
        <w:tabs>
          <w:tab w:leader="none" w:pos="1553"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Agent has received a duly executed Loan Request (except no Loan Request shall be required for any Loans made on or about the Effective Date, which shall be applied in accordance with the disbursement letter delivered to Agent as of the Effective Date), including calculations in form satisfactory to Agent demonstrating pro forma compliance with applicable financial covenants after giving effect to the requested Loan; and</w:t>
      </w:r>
    </w:p>
    <w:p>
      <w:pPr>
        <w:spacing w:after="0" w:line="114" w:lineRule="exact"/>
        <w:rPr>
          <w:rFonts w:ascii="Arial" w:cs="Arial" w:eastAsia="Arial" w:hAnsi="Arial"/>
          <w:sz w:val="16"/>
          <w:szCs w:val="16"/>
          <w:color w:val="auto"/>
        </w:rPr>
      </w:pPr>
    </w:p>
    <w:p>
      <w:pPr>
        <w:jc w:val="both"/>
        <w:ind w:firstLine="1167"/>
        <w:spacing w:after="0" w:line="268" w:lineRule="auto"/>
        <w:tabs>
          <w:tab w:leader="none" w:pos="1526"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there has not been any event or circumstance that has had or could reasonably be expected to have a Material Adverse Effect, or any material adverse deviation by Borrowers from the most recent business plan of Borrowers presented to and accepted by Required Lenders, as determined by Required Lenders in their discretion.</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4"/>
          <w:szCs w:val="14"/>
          <w:b w:val="1"/>
          <w:bCs w:val="1"/>
          <w:color w:val="auto"/>
        </w:rPr>
        <w:t>Covenant to Deliver</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94" w:lineRule="auto"/>
        <w:tabs>
          <w:tab w:leader="none" w:pos="1598" w:val="left"/>
        </w:tabs>
        <w:numPr>
          <w:ilvl w:val="0"/>
          <w:numId w:val="224"/>
        </w:numPr>
        <w:rPr>
          <w:rFonts w:ascii="Arial" w:cs="Arial" w:eastAsia="Arial" w:hAnsi="Arial"/>
          <w:sz w:val="15"/>
          <w:szCs w:val="15"/>
          <w:color w:val="auto"/>
        </w:rPr>
      </w:pPr>
      <w:r>
        <w:rPr>
          <w:rFonts w:ascii="Arial" w:cs="Arial" w:eastAsia="Arial" w:hAnsi="Arial"/>
          <w:sz w:val="15"/>
          <w:szCs w:val="15"/>
          <w:color w:val="auto"/>
        </w:rPr>
        <w:t>Borrowers agree to deliver to Agent each item required to be delivered to Agent under this Agreement as a condition precedent to any Credit Extension. Borrowers expressly agree that a Credit Extension made prior to the receipt by Agent of any such item shall not constitute a waiver of a Borrower’s obligation to deliver such item, and the making of any Credit Extension in the absence of a required item shall be in the discretion of Required Lenders.</w:t>
      </w:r>
    </w:p>
    <w:p>
      <w:pPr>
        <w:spacing w:after="0" w:line="96" w:lineRule="exact"/>
        <w:rPr>
          <w:rFonts w:ascii="Arial" w:cs="Arial" w:eastAsia="Arial" w:hAnsi="Arial"/>
          <w:sz w:val="15"/>
          <w:szCs w:val="15"/>
          <w:color w:val="auto"/>
        </w:rPr>
      </w:pPr>
    </w:p>
    <w:p>
      <w:pPr>
        <w:ind w:right="20" w:firstLine="1167"/>
        <w:spacing w:after="0" w:line="283" w:lineRule="auto"/>
        <w:tabs>
          <w:tab w:leader="none" w:pos="153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Borrower agrees to deliver the items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hereto within the timeframe set forth therein (or by such other date as Required Lenders may approve in writing), in each case, in form and substance reasonably acceptable to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320" w:top="1296" w:right="319" w:bottom="1440" w:gutter="0" w:footer="0" w:header="0"/>
        </w:sectPr>
      </w:pPr>
    </w:p>
    <w:bookmarkStart w:id="350" w:name="page351"/>
    <w:bookmarkEnd w:id="350"/>
    <w:p>
      <w:pPr>
        <w:ind w:left="860" w:hanging="278"/>
        <w:spacing w:after="0"/>
        <w:tabs>
          <w:tab w:leader="none" w:pos="860"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CREATION OF SECURITY INTEREST</w:t>
      </w:r>
    </w:p>
    <w:p>
      <w:pPr>
        <w:spacing w:after="0" w:line="157" w:lineRule="exact"/>
        <w:rPr>
          <w:sz w:val="20"/>
          <w:szCs w:val="20"/>
          <w:color w:val="auto"/>
        </w:rPr>
      </w:pPr>
    </w:p>
    <w:p>
      <w:pPr>
        <w:jc w:val="both"/>
        <w:ind w:right="20" w:firstLine="585"/>
        <w:spacing w:after="0" w:line="281" w:lineRule="auto"/>
        <w:rPr>
          <w:sz w:val="20"/>
          <w:szCs w:val="20"/>
          <w:color w:val="auto"/>
        </w:rPr>
      </w:pPr>
      <w:r>
        <w:rPr>
          <w:rFonts w:ascii="Arial" w:cs="Arial" w:eastAsia="Arial" w:hAnsi="Arial"/>
          <w:sz w:val="15"/>
          <w:szCs w:val="15"/>
          <w:b w:val="1"/>
          <w:bCs w:val="1"/>
          <w:color w:val="auto"/>
        </w:rPr>
        <w:t>4.1 Grant of Security Interest</w:t>
      </w:r>
      <w:r>
        <w:rPr>
          <w:rFonts w:ascii="Arial" w:cs="Arial" w:eastAsia="Arial" w:hAnsi="Arial"/>
          <w:sz w:val="15"/>
          <w:szCs w:val="15"/>
          <w:color w:val="auto"/>
        </w:rPr>
        <w:t>. Each Borrower hereby grants Agent, for the ratable benefit of Lenders, to secure the payment and performance in full of all of</w:t>
      </w:r>
      <w:r>
        <w:rPr>
          <w:rFonts w:ascii="Arial" w:cs="Arial" w:eastAsia="Arial" w:hAnsi="Arial"/>
          <w:sz w:val="15"/>
          <w:szCs w:val="15"/>
          <w:b w:val="1"/>
          <w:bCs w:val="1"/>
          <w:color w:val="auto"/>
        </w:rPr>
        <w:t xml:space="preserve"> </w:t>
      </w:r>
      <w:r>
        <w:rPr>
          <w:rFonts w:ascii="Arial" w:cs="Arial" w:eastAsia="Arial" w:hAnsi="Arial"/>
          <w:sz w:val="15"/>
          <w:szCs w:val="15"/>
          <w:color w:val="auto"/>
        </w:rPr>
        <w:t>the Obligations, a continuing security interest in, and pledges to Agent, for the ratable benefit of Lenders, the Collateral, wherever located, whether now owned or hereafter acquired or arising, and all proceeds and products thereof. If this Agreement is terminated, Agent’s Lien in the Collateral shall continue until the Obligations (other than contingent indemnification obligations as to which no claim has been asserted or is known to exist) are repaid in full in cash. Upon payment in full in cash of the Obligations (other than contingent indemnification obligations as to which no claim has been asserted or is known to exist) and at such time as all Commitments have terminated, Agent shall, at Borrowers’ sole cost and expense, release its Liens in the Collateral and all rights therein shall revert to the applicable Borrower.</w:t>
      </w:r>
    </w:p>
    <w:p>
      <w:pPr>
        <w:spacing w:after="0" w:line="104" w:lineRule="exact"/>
        <w:rPr>
          <w:sz w:val="20"/>
          <w:szCs w:val="20"/>
          <w:color w:val="auto"/>
        </w:rPr>
      </w:pPr>
    </w:p>
    <w:p>
      <w:pPr>
        <w:jc w:val="both"/>
        <w:ind w:right="20" w:firstLine="585"/>
        <w:spacing w:after="0" w:line="281" w:lineRule="auto"/>
        <w:rPr>
          <w:sz w:val="20"/>
          <w:szCs w:val="20"/>
          <w:color w:val="auto"/>
        </w:rPr>
      </w:pPr>
      <w:r>
        <w:rPr>
          <w:rFonts w:ascii="Arial" w:cs="Arial" w:eastAsia="Arial" w:hAnsi="Arial"/>
          <w:sz w:val="15"/>
          <w:szCs w:val="15"/>
          <w:b w:val="1"/>
          <w:bCs w:val="1"/>
          <w:color w:val="auto"/>
        </w:rPr>
        <w:t>4.2 Priority of Security Interest</w:t>
      </w:r>
      <w:r>
        <w:rPr>
          <w:rFonts w:ascii="Arial" w:cs="Arial" w:eastAsia="Arial" w:hAnsi="Arial"/>
          <w:sz w:val="15"/>
          <w:szCs w:val="15"/>
          <w:color w:val="auto"/>
        </w:rPr>
        <w:t>. Each Borrower represents, warrants, and covenants that the security interest granted herein is and shall at all times continue to</w:t>
      </w:r>
      <w:r>
        <w:rPr>
          <w:rFonts w:ascii="Arial" w:cs="Arial" w:eastAsia="Arial" w:hAnsi="Arial"/>
          <w:sz w:val="15"/>
          <w:szCs w:val="15"/>
          <w:b w:val="1"/>
          <w:bCs w:val="1"/>
          <w:color w:val="auto"/>
        </w:rPr>
        <w:t xml:space="preserve"> </w:t>
      </w:r>
      <w:r>
        <w:rPr>
          <w:rFonts w:ascii="Arial" w:cs="Arial" w:eastAsia="Arial" w:hAnsi="Arial"/>
          <w:sz w:val="15"/>
          <w:szCs w:val="15"/>
          <w:color w:val="auto"/>
        </w:rPr>
        <w:t>be a first priority perfected security interest in the Collateral (subject only to Permitted Liens that are permitted pursuant to the terms of this Agreement to have superior priority to Agent’s Lien under this Agreement). If a Borrower shall acquire a commercial tort claim with a potential recovery in excess of One Hundred Thousand Dollars ($100,000), Borrowers shall promptly notify Agent in writing and deliver such other documents as Agent may require to grant Agent a perfected security interest in such commercial tort claim. If a Borrower shall acquire a certificate with respect to Shares or any instrument, such Borrower shall promptly notify Agent and deliver the same together with a stock power or instrument of transfer and any necessary endorsement, all in form satisfactory to Agent.</w:t>
      </w:r>
    </w:p>
    <w:p>
      <w:pPr>
        <w:spacing w:after="0" w:line="104"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b w:val="1"/>
          <w:bCs w:val="1"/>
          <w:color w:val="auto"/>
        </w:rPr>
        <w:t>4.3 Authorization to File Financing Statements</w:t>
      </w:r>
      <w:r>
        <w:rPr>
          <w:rFonts w:ascii="Arial" w:cs="Arial" w:eastAsia="Arial" w:hAnsi="Arial"/>
          <w:sz w:val="16"/>
          <w:szCs w:val="16"/>
          <w:color w:val="auto"/>
        </w:rPr>
        <w:t>. Each Borrower hereby authorizes Agent to file at any time financing statements, continuation statements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amendments thereto with all appropriate jurisdictions to perfect or protect Agent’s interest or rights hereunder. Such financing statements may describe the Collateral as all assets of such Borrower.</w:t>
      </w:r>
    </w:p>
    <w:p>
      <w:pPr>
        <w:spacing w:after="0" w:line="107" w:lineRule="exact"/>
        <w:rPr>
          <w:sz w:val="20"/>
          <w:szCs w:val="20"/>
          <w:color w:val="auto"/>
        </w:rPr>
      </w:pPr>
    </w:p>
    <w:p>
      <w:pPr>
        <w:jc w:val="both"/>
        <w:ind w:firstLine="585"/>
        <w:spacing w:after="0" w:line="296" w:lineRule="auto"/>
        <w:rPr>
          <w:sz w:val="20"/>
          <w:szCs w:val="20"/>
          <w:color w:val="auto"/>
        </w:rPr>
      </w:pPr>
      <w:r>
        <w:rPr>
          <w:rFonts w:ascii="Arial" w:cs="Arial" w:eastAsia="Arial" w:hAnsi="Arial"/>
          <w:sz w:val="14"/>
          <w:szCs w:val="14"/>
          <w:b w:val="1"/>
          <w:bCs w:val="1"/>
          <w:color w:val="auto"/>
        </w:rPr>
        <w:t>4.4 Pledge of Collateral</w:t>
      </w:r>
      <w:r>
        <w:rPr>
          <w:rFonts w:ascii="Arial" w:cs="Arial" w:eastAsia="Arial" w:hAnsi="Arial"/>
          <w:sz w:val="14"/>
          <w:szCs w:val="14"/>
          <w:color w:val="auto"/>
        </w:rPr>
        <w:t>. Each Borrower hereby pledges, assigns and grants to Agent a security interest in all the Equity Interests in which such Borrower has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any interest, including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as required pursuant to </w:t>
      </w:r>
      <w:r>
        <w:rPr>
          <w:rFonts w:ascii="Arial" w:cs="Arial" w:eastAsia="Arial" w:hAnsi="Arial"/>
          <w:sz w:val="14"/>
          <w:szCs w:val="14"/>
          <w:u w:val="single" w:color="auto"/>
          <w:color w:val="auto"/>
        </w:rPr>
        <w:t>Section 6.11</w:t>
      </w:r>
      <w:r>
        <w:rPr>
          <w:rFonts w:ascii="Arial" w:cs="Arial" w:eastAsia="Arial" w:hAnsi="Arial"/>
          <w:sz w:val="14"/>
          <w:szCs w:val="14"/>
          <w:color w:val="auto"/>
        </w:rPr>
        <w:t>, the certificate or certificates for such Equity Interests, to the extent certificated, will be delivered to Agent, accompanied by a stock power or other appropriate instrument of assignment duly executed in blank. To the extent required by the terms and conditions governing the Equity Interests in which a Borrower has an interest, such Borrower shall cause the books of each Person whose Equity Interests are part of the Collateral and any transfer agent to reflect the pledge of the Equity Interests. Upon the occurrence and during the continuance of an Event of Default hereunder, Agent may effect the transfer of any securities included in the Collateral (including but not limited to the Equity Interests) into the name of Agent and cause new certificates representing such securities to be issued in the name of Agent or its transferee. Each Borrower will execute and deliver such documents, and take or cause to be taken such actions, as Agent may reasonably request to perfect or continue the perfection of Agent’s security interest in the Equity Interests. Unless an Event of Default shall have occurred and be continuing, each Borrower shall be entitled to exercise any voting rights with respect to the Equity Interests in which it has an interest and to give consents, waivers and ratifications in respect thereof, provided that: no such notice shall be required if a Borrower has commenced an Insolvency Proceeding and, in any event,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during the continuance of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0"/>
          </w:cols>
          <w:pgMar w:left="320" w:top="1292" w:right="319" w:bottom="1440" w:gutter="0" w:footer="0" w:header="0"/>
        </w:sectPr>
      </w:pPr>
    </w:p>
    <w:bookmarkStart w:id="351" w:name="page352"/>
    <w:bookmarkEnd w:id="351"/>
    <w:p>
      <w:pPr>
        <w:ind w:left="860" w:hanging="278"/>
        <w:spacing w:after="0"/>
        <w:tabs>
          <w:tab w:leader="none" w:pos="860" w:val="left"/>
        </w:tabs>
        <w:numPr>
          <w:ilvl w:val="0"/>
          <w:numId w:val="2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Each Borrower represents and warrants as follows:</w:t>
      </w:r>
    </w:p>
    <w:p>
      <w:pPr>
        <w:spacing w:after="0" w:line="153"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5"/>
          <w:szCs w:val="15"/>
          <w:b w:val="1"/>
          <w:bCs w:val="1"/>
          <w:color w:val="auto"/>
        </w:rPr>
        <w:t>Due Organization, Authorization; Power and Authority</w:t>
      </w:r>
      <w:r>
        <w:rPr>
          <w:rFonts w:ascii="Arial" w:cs="Arial" w:eastAsia="Arial" w:hAnsi="Arial"/>
          <w:sz w:val="15"/>
          <w:szCs w:val="15"/>
          <w:color w:val="auto"/>
        </w:rPr>
        <w:t>.</w:t>
      </w:r>
    </w:p>
    <w:p>
      <w:pPr>
        <w:spacing w:after="0" w:line="161" w:lineRule="exact"/>
        <w:rPr>
          <w:sz w:val="20"/>
          <w:szCs w:val="20"/>
          <w:color w:val="auto"/>
        </w:rPr>
      </w:pPr>
    </w:p>
    <w:p>
      <w:pPr>
        <w:jc w:val="both"/>
        <w:ind w:right="20" w:firstLine="1167"/>
        <w:spacing w:after="0" w:line="296" w:lineRule="auto"/>
        <w:tabs>
          <w:tab w:leader="none" w:pos="1539" w:val="left"/>
        </w:tabs>
        <w:numPr>
          <w:ilvl w:val="0"/>
          <w:numId w:val="227"/>
        </w:numPr>
        <w:rPr>
          <w:rFonts w:ascii="Arial" w:cs="Arial" w:eastAsia="Arial" w:hAnsi="Arial"/>
          <w:sz w:val="14"/>
          <w:szCs w:val="14"/>
          <w:color w:val="auto"/>
        </w:rPr>
      </w:pPr>
      <w:r>
        <w:rPr>
          <w:rFonts w:ascii="Arial" w:cs="Arial" w:eastAsia="Arial" w:hAnsi="Arial"/>
          <w:sz w:val="14"/>
          <w:szCs w:val="14"/>
          <w:color w:val="auto"/>
        </w:rPr>
        <w:t>Each Loan Party and each of its Subsidiaries are duly existing and in good standing as a Registered Organization in their respective jurisdictions of formation and are qualified and licensed to do business and are in good standing in any other jurisdiction in which the conduct of their respective business or ownership of property require that they be qualified except where the failure to do so could not reasonably be expected to have a Material Adverse Effect. In connection with this Agreement, Borrower Representative has delivered to Agent a completed certificate signed by Borrower Representative entitled “</w:t>
      </w:r>
      <w:r>
        <w:rPr>
          <w:rFonts w:ascii="Arial" w:cs="Arial" w:eastAsia="Arial" w:hAnsi="Arial"/>
          <w:sz w:val="14"/>
          <w:szCs w:val="14"/>
          <w:b w:val="1"/>
          <w:bCs w:val="1"/>
          <w:color w:val="auto"/>
        </w:rPr>
        <w:t>Perfection Certificate</w:t>
      </w:r>
      <w:r>
        <w:rPr>
          <w:rFonts w:ascii="Arial" w:cs="Arial" w:eastAsia="Arial" w:hAnsi="Arial"/>
          <w:sz w:val="14"/>
          <w:szCs w:val="14"/>
          <w:color w:val="auto"/>
        </w:rPr>
        <w:t>”. Except to the extent Borrower Representative has provided notice of a legal name change to Agent in accordance with Section 7.2, (i) each Loan Party’s exact legal name is that indicated on the Perfection Certificate and on the signature page hereof; (ii) each Loan Party is an organization of the type and is organized in the jurisdiction set forth in the Perfection Certificate; (iii) the Perfection Certificate accurately sets forth each Loan Party’s organizational identification number or accurately states that such Loan Party has none; (iv) the Perfection Certificate accurately sets forth each Loan Party’s place of business, or, if more than one, its chief executive office as well as such Loan Party’s mailing address (if different than its chief executive office); (v) except as set forth in the Perfection Certificate, each Loan Party (and each of its predecessors) has not, in the past five (5) years, changed its jurisdiction of formation, organizational structure or type, or any organizational number assigned by its jurisdiction; (vi) each Subsidiary that is an MSB Subsidiary is designated as such in the Perfection Certificate; and (vii) all other information set forth on the Perfection Certificate pertaining to each Loan Party and each of its Subsidiaries is accurate and complete in all material respects (it being understood and agreed that such Loan Party may from time to time update certain information in the Perfection Certificate after the Closing Date to the extent permitted by one or more specific provisions in this Agreement).</w:t>
      </w:r>
    </w:p>
    <w:p>
      <w:pPr>
        <w:spacing w:after="0" w:line="98" w:lineRule="exact"/>
        <w:rPr>
          <w:rFonts w:ascii="Arial" w:cs="Arial" w:eastAsia="Arial" w:hAnsi="Arial"/>
          <w:sz w:val="14"/>
          <w:szCs w:val="14"/>
          <w:color w:val="auto"/>
        </w:rPr>
      </w:pPr>
    </w:p>
    <w:p>
      <w:pPr>
        <w:jc w:val="both"/>
        <w:ind w:firstLine="1167"/>
        <w:spacing w:after="0" w:line="277" w:lineRule="auto"/>
        <w:tabs>
          <w:tab w:leader="none" w:pos="1532"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execution, delivery and performance by each Loan Party of the Loan Documents to which it is a party have been duly authorized, and do not (i) conflict with such Loan Party’s Operating Documents or other organizational documents, (ii) contravene, conflict with, constitute a default under or violate any material Requirement of Law, (iii) contravene, conflict or violate any applicable order, writ, judgment, injunction, decree, determination or award of any Governmental Authority by which such Loan Party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such Loan Party is bound. No Loan Party is in default under any agreement to which it is a party or by which it is bound in which the default could reasonably be expected to have a Material Adverse Effect. No Subsidiary which is not a Loan Party owns any material Intellectual Property.</w:t>
      </w:r>
    </w:p>
    <w:p>
      <w:pPr>
        <w:spacing w:after="0" w:line="108"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5"/>
          <w:szCs w:val="15"/>
          <w:b w:val="1"/>
          <w:bCs w:val="1"/>
          <w:color w:val="auto"/>
        </w:rPr>
        <w:t>Collateral</w:t>
      </w:r>
      <w:r>
        <w:rPr>
          <w:rFonts w:ascii="Arial" w:cs="Arial" w:eastAsia="Arial" w:hAnsi="Arial"/>
          <w:sz w:val="15"/>
          <w:szCs w:val="15"/>
          <w:color w:val="auto"/>
        </w:rPr>
        <w:t>.</w:t>
      </w:r>
    </w:p>
    <w:p>
      <w:pPr>
        <w:spacing w:after="0" w:line="161" w:lineRule="exact"/>
        <w:rPr>
          <w:sz w:val="20"/>
          <w:szCs w:val="20"/>
          <w:color w:val="auto"/>
        </w:rPr>
      </w:pPr>
    </w:p>
    <w:p>
      <w:pPr>
        <w:ind w:right="20" w:firstLine="1167"/>
        <w:spacing w:after="0" w:line="283" w:lineRule="auto"/>
        <w:tabs>
          <w:tab w:leader="none" w:pos="154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Each Loan Party has good title to, rights in, and the power to transfer each item of the Collateral upon which it purports to grant a Lien hereunder, free and clear of any and all Liens except Permitted Liens.</w:t>
      </w:r>
    </w:p>
    <w:p>
      <w:pPr>
        <w:spacing w:after="0" w:line="101" w:lineRule="exact"/>
        <w:rPr>
          <w:rFonts w:ascii="Arial" w:cs="Arial" w:eastAsia="Arial" w:hAnsi="Arial"/>
          <w:sz w:val="16"/>
          <w:szCs w:val="16"/>
          <w:color w:val="auto"/>
        </w:rPr>
      </w:pPr>
    </w:p>
    <w:p>
      <w:pPr>
        <w:jc w:val="both"/>
        <w:ind w:right="20" w:firstLine="1167"/>
        <w:spacing w:after="0" w:line="294" w:lineRule="auto"/>
        <w:tabs>
          <w:tab w:leader="none" w:pos="1547" w:val="left"/>
        </w:tabs>
        <w:numPr>
          <w:ilvl w:val="0"/>
          <w:numId w:val="228"/>
        </w:numPr>
        <w:rPr>
          <w:rFonts w:ascii="Arial" w:cs="Arial" w:eastAsia="Arial" w:hAnsi="Arial"/>
          <w:sz w:val="15"/>
          <w:szCs w:val="15"/>
          <w:color w:val="auto"/>
        </w:rPr>
      </w:pPr>
      <w:r>
        <w:rPr>
          <w:rFonts w:ascii="Arial" w:cs="Arial" w:eastAsia="Arial" w:hAnsi="Arial"/>
          <w:sz w:val="15"/>
          <w:szCs w:val="15"/>
          <w:color w:val="auto"/>
        </w:rPr>
        <w:t xml:space="preserve">Except for the Collateral Accounts described in the Perfection Certificate or in a notice timely delivered pursuant to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no Loan Party has any Collateral Accounts at or with any bank, broker or other financial institution, and each Loan Party has taken such actions as are necessary to give Agent a perfected security interest therein as required pursuant to the terms of </w:t>
      </w:r>
      <w:r>
        <w:rPr>
          <w:rFonts w:ascii="Arial" w:cs="Arial" w:eastAsia="Arial" w:hAnsi="Arial"/>
          <w:sz w:val="15"/>
          <w:szCs w:val="15"/>
          <w:u w:val="single" w:color="auto"/>
          <w:color w:val="auto"/>
        </w:rPr>
        <w:t>Section 6.6(b)</w:t>
      </w:r>
      <w:r>
        <w:rPr>
          <w:rFonts w:ascii="Arial" w:cs="Arial" w:eastAsia="Arial" w:hAnsi="Arial"/>
          <w:sz w:val="15"/>
          <w:szCs w:val="15"/>
          <w:color w:val="auto"/>
        </w:rPr>
        <w:t>. The Accounts are bona fide, existing obligations of the Account Debtors.</w:t>
      </w:r>
    </w:p>
    <w:p>
      <w:pPr>
        <w:spacing w:after="0" w:line="96" w:lineRule="exact"/>
        <w:rPr>
          <w:rFonts w:ascii="Arial" w:cs="Arial" w:eastAsia="Arial" w:hAnsi="Arial"/>
          <w:sz w:val="15"/>
          <w:szCs w:val="15"/>
          <w:color w:val="auto"/>
        </w:rPr>
      </w:pPr>
    </w:p>
    <w:p>
      <w:pPr>
        <w:jc w:val="both"/>
        <w:ind w:right="20" w:firstLine="1167"/>
        <w:spacing w:after="0" w:line="268" w:lineRule="auto"/>
        <w:tabs>
          <w:tab w:leader="none" w:pos="152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The Collateral (other than mobile Equipment such as laptop computers in the possession of a Borrower’s employees or agents) is located only at the locations identified in the Perfection Certificate and other Permitted Locations. The Collateral is not in the possession of any third party bailee (such as a warehouse) except as otherwise provided in the Perfection Certificate or as disclosed in writing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60"/>
          </w:cols>
          <w:pgMar w:left="320" w:top="1292" w:right="319" w:bottom="1440" w:gutter="0" w:footer="0" w:header="0"/>
        </w:sectPr>
      </w:pPr>
    </w:p>
    <w:bookmarkStart w:id="352" w:name="page353"/>
    <w:bookmarkEnd w:id="352"/>
    <w:p>
      <w:pPr>
        <w:jc w:val="both"/>
        <w:ind w:right="20" w:firstLine="1167"/>
        <w:spacing w:after="0" w:line="258" w:lineRule="auto"/>
        <w:tabs>
          <w:tab w:leader="none" w:pos="157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Each Loan Parties is the sole owners of the Intellectual Property which it owns or purports to own except for (i) licenses constituting “Permitted Transfers”, (ii) open-source software, (iii) over-the-counter software that is commercially available to the public, (iv) material Intellectual Property licensed to such Loan Party and noted on the Perfection Certificate or as disclosed pursuant to </w:t>
      </w:r>
      <w:r>
        <w:rPr>
          <w:rFonts w:ascii="Arial" w:cs="Arial" w:eastAsia="Arial" w:hAnsi="Arial"/>
          <w:sz w:val="16"/>
          <w:szCs w:val="16"/>
          <w:u w:val="single" w:color="auto"/>
          <w:color w:val="auto"/>
        </w:rPr>
        <w:t>Section 6.7(b)</w:t>
      </w:r>
      <w:r>
        <w:rPr>
          <w:rFonts w:ascii="Arial" w:cs="Arial" w:eastAsia="Arial" w:hAnsi="Arial"/>
          <w:sz w:val="16"/>
          <w:szCs w:val="16"/>
          <w:color w:val="auto"/>
        </w:rPr>
        <w:t xml:space="preserve">, and (v) immaterial Intellectual Property licensed to such Loan Party. Each Patent (other than patent applications) which it owns or purports to own and which is material to such Loan Party’s business is valid and enforceable, and no part of the Intellectual Property which a Loan Party owns or purports to own and which is material to the Loan Parties’ business has been judged invalid or unenforceable, in whole or in part. To the best of each Borrower’s knowledge, no claim has been made that any part of the Intellectual Property violates the rights of any third party except to the extent such claim could not reasonably be expected to have a Material Adverse Effect. Except as noted on the Perfection Certificate or as disclosed pursuant to </w:t>
      </w:r>
      <w:r>
        <w:rPr>
          <w:rFonts w:ascii="Arial" w:cs="Arial" w:eastAsia="Arial" w:hAnsi="Arial"/>
          <w:sz w:val="16"/>
          <w:szCs w:val="16"/>
          <w:u w:val="single" w:color="auto"/>
          <w:color w:val="auto"/>
        </w:rPr>
        <w:t>Section 6.7(b)</w:t>
      </w:r>
      <w:r>
        <w:rPr>
          <w:rFonts w:ascii="Arial" w:cs="Arial" w:eastAsia="Arial" w:hAnsi="Arial"/>
          <w:sz w:val="16"/>
          <w:szCs w:val="16"/>
          <w:color w:val="auto"/>
        </w:rPr>
        <w:t>, no Loan Party is a party to, nor is it bound by, any Restricted License.</w:t>
      </w:r>
    </w:p>
    <w:p>
      <w:pPr>
        <w:spacing w:after="0" w:line="122" w:lineRule="exact"/>
        <w:rPr>
          <w:rFonts w:ascii="Arial" w:cs="Arial" w:eastAsia="Arial" w:hAnsi="Arial"/>
          <w:sz w:val="16"/>
          <w:szCs w:val="16"/>
          <w:color w:val="auto"/>
        </w:rPr>
      </w:pPr>
    </w:p>
    <w:p>
      <w:pPr>
        <w:jc w:val="both"/>
        <w:ind w:right="20" w:firstLine="1167"/>
        <w:spacing w:after="0" w:line="264" w:lineRule="auto"/>
        <w:tabs>
          <w:tab w:leader="none" w:pos="162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As of the Effective Date, no Collateral consisting of promissory notes is evidenced by an original instrument, and except for the Shares of Subsidiaries, no Investments consisting of equity interests of a third person are evidenced by certificates. Except as permitted to be delivered post-closing in accordance with </w:t>
      </w:r>
      <w:r>
        <w:rPr>
          <w:rFonts w:ascii="Arial" w:cs="Arial" w:eastAsia="Arial" w:hAnsi="Arial"/>
          <w:sz w:val="16"/>
          <w:szCs w:val="16"/>
          <w:u w:val="single" w:color="auto"/>
          <w:color w:val="auto"/>
        </w:rPr>
        <w:t>Section 3.3(b)</w:t>
      </w:r>
      <w:r>
        <w:rPr>
          <w:rFonts w:ascii="Arial" w:cs="Arial" w:eastAsia="Arial" w:hAnsi="Arial"/>
          <w:sz w:val="16"/>
          <w:szCs w:val="16"/>
          <w:color w:val="auto"/>
        </w:rPr>
        <w:t>, all Collateral consisting of certificated securities or instruments has been delivered to Agent to be held as possessory collateral with such powers or allonges as Agent may require.</w:t>
      </w:r>
    </w:p>
    <w:p>
      <w:pPr>
        <w:spacing w:after="0" w:line="116" w:lineRule="exact"/>
        <w:rPr>
          <w:rFonts w:ascii="Arial" w:cs="Arial" w:eastAsia="Arial" w:hAnsi="Arial"/>
          <w:sz w:val="16"/>
          <w:szCs w:val="16"/>
          <w:color w:val="auto"/>
        </w:rPr>
      </w:pPr>
    </w:p>
    <w:p>
      <w:pPr>
        <w:jc w:val="both"/>
        <w:ind w:right="20" w:firstLine="1167"/>
        <w:spacing w:after="0" w:line="261" w:lineRule="auto"/>
        <w:tabs>
          <w:tab w:leader="none" w:pos="154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All sales and other transactions underlying or giving rise to Recurring Revenue shall comply in all material respects with all applicable laws and governmental rules and regulations. To the best of Borrower’s knowledge, all signatures and endorsements on all documents, instruments, and agreements relating to all customer Accounts are genuine, and all such documents, instruments and agreements are legally enforceable in accordance with their terms. Borrower is the owner of and has the legal right to grant a security interest in each customer contract, and, there are no defenses, offsets, counterclaims or agreements for which the customer may claim any deduction or discount.</w:t>
      </w:r>
    </w:p>
    <w:p>
      <w:pPr>
        <w:spacing w:after="0" w:line="116"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5"/>
          <w:szCs w:val="15"/>
          <w:b w:val="1"/>
          <w:bCs w:val="1"/>
          <w:color w:val="auto"/>
        </w:rPr>
        <w:t>5.3 Accounts; Material Agreements</w:t>
      </w:r>
      <w:r>
        <w:rPr>
          <w:rFonts w:ascii="Arial" w:cs="Arial" w:eastAsia="Arial" w:hAnsi="Arial"/>
          <w:sz w:val="15"/>
          <w:szCs w:val="15"/>
          <w:color w:val="auto"/>
        </w:rPr>
        <w:t>. The Accounts are bona fide existing obligations. The property or services giving rise to such Accounts have been delivered</w:t>
      </w:r>
      <w:r>
        <w:rPr>
          <w:rFonts w:ascii="Arial" w:cs="Arial" w:eastAsia="Arial" w:hAnsi="Arial"/>
          <w:sz w:val="15"/>
          <w:szCs w:val="15"/>
          <w:b w:val="1"/>
          <w:bCs w:val="1"/>
          <w:color w:val="auto"/>
        </w:rPr>
        <w:t xml:space="preserve"> </w:t>
      </w:r>
      <w:r>
        <w:rPr>
          <w:rFonts w:ascii="Arial" w:cs="Arial" w:eastAsia="Arial" w:hAnsi="Arial"/>
          <w:sz w:val="15"/>
          <w:szCs w:val="15"/>
          <w:color w:val="auto"/>
        </w:rPr>
        <w:t>or rendered. No Borrower has received any written notice of actual or imminent insolvency of an account debtor. The material licenses and agreements to which any Loan Party or any of its Subsidiaries is a party is in good standing and in full force and effect and no Loan Party is in material breach with respect thereto. No material customer or supplier has terminated, significantly reduced or communicated its intent to do so to any Loan Party or any of its Subsidiaries.</w:t>
      </w:r>
    </w:p>
    <w:p>
      <w:pPr>
        <w:spacing w:after="0" w:line="98"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5"/>
          <w:szCs w:val="15"/>
          <w:b w:val="1"/>
          <w:bCs w:val="1"/>
          <w:color w:val="auto"/>
        </w:rPr>
        <w:t>5.4 Litigation and Proceedings</w:t>
      </w:r>
      <w:r>
        <w:rPr>
          <w:rFonts w:ascii="Arial" w:cs="Arial" w:eastAsia="Arial" w:hAnsi="Arial"/>
          <w:sz w:val="15"/>
          <w:szCs w:val="15"/>
          <w:color w:val="auto"/>
        </w:rPr>
        <w:t>. Except as set forth in the Perfection Certificate or as disclosed in writing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6.2</w:t>
      </w:r>
      <w:r>
        <w:rPr>
          <w:rFonts w:ascii="Arial" w:cs="Arial" w:eastAsia="Arial" w:hAnsi="Arial"/>
          <w:sz w:val="15"/>
          <w:szCs w:val="15"/>
          <w:color w:val="auto"/>
        </w:rPr>
        <w:t>, there are no actions, suits,</w:t>
      </w:r>
      <w:r>
        <w:rPr>
          <w:rFonts w:ascii="Arial" w:cs="Arial" w:eastAsia="Arial" w:hAnsi="Arial"/>
          <w:sz w:val="15"/>
          <w:szCs w:val="15"/>
          <w:b w:val="1"/>
          <w:bCs w:val="1"/>
          <w:color w:val="auto"/>
        </w:rPr>
        <w:t xml:space="preserve"> </w:t>
      </w:r>
      <w:r>
        <w:rPr>
          <w:rFonts w:ascii="Arial" w:cs="Arial" w:eastAsia="Arial" w:hAnsi="Arial"/>
          <w:sz w:val="15"/>
          <w:szCs w:val="15"/>
          <w:color w:val="auto"/>
        </w:rPr>
        <w:t>litigations or proceedings, at law or in equity, pending, or, to the knowledge of any Responsible Officer, threatened in writing, by or against any Loan Party, any of its Subsidiaries or any officers or directors of the foregoing involving more than, individually or in the aggregate for all related proceedings, Two Hundred Fifty Thousand Dollars ($250,000) or in which any adverse decision has had or could reasonably be expected to have any Material Adverse Effect.</w:t>
      </w:r>
    </w:p>
    <w:p>
      <w:pPr>
        <w:spacing w:after="0" w:line="98" w:lineRule="exact"/>
        <w:rPr>
          <w:sz w:val="20"/>
          <w:szCs w:val="20"/>
          <w:color w:val="auto"/>
        </w:rPr>
      </w:pPr>
    </w:p>
    <w:p>
      <w:pPr>
        <w:jc w:val="both"/>
        <w:ind w:right="20" w:firstLine="585"/>
        <w:spacing w:after="0" w:line="284" w:lineRule="auto"/>
        <w:rPr>
          <w:sz w:val="20"/>
          <w:szCs w:val="20"/>
          <w:color w:val="auto"/>
        </w:rPr>
      </w:pPr>
      <w:r>
        <w:rPr>
          <w:rFonts w:ascii="Arial" w:cs="Arial" w:eastAsia="Arial" w:hAnsi="Arial"/>
          <w:sz w:val="15"/>
          <w:szCs w:val="15"/>
          <w:b w:val="1"/>
          <w:bCs w:val="1"/>
          <w:color w:val="auto"/>
        </w:rPr>
        <w:t>5.5 Financial Statements; Financial Condition</w:t>
      </w:r>
      <w:r>
        <w:rPr>
          <w:rFonts w:ascii="Arial" w:cs="Arial" w:eastAsia="Arial" w:hAnsi="Arial"/>
          <w:sz w:val="15"/>
          <w:szCs w:val="15"/>
          <w:color w:val="auto"/>
        </w:rPr>
        <w:t>. All consolidated and consolidating financial statements for the Loan Parties and each of their Subsidiaries</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to Agent fairly present in all material respects the consolidated and consolidating financial condition and results of operations of the Loan Parties and each of their Subsidiaries as of the respective dates and for the respective periods then ended, and there are no material liabilities (including any contingent liabilities) which are not reflected in such financial statements. There has not been any material deterioration in the consolidated and consolidating financial condition of the Loan Parties and each of its Subsidiaries or the Collateral since the date of the most recent financial statements submitted to Agent.</w:t>
      </w:r>
    </w:p>
    <w:p>
      <w:pPr>
        <w:spacing w:after="0" w:line="100"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5.6 Solvency</w:t>
      </w:r>
      <w:r>
        <w:rPr>
          <w:rFonts w:ascii="Arial" w:cs="Arial" w:eastAsia="Arial" w:hAnsi="Arial"/>
          <w:sz w:val="16"/>
          <w:szCs w:val="16"/>
          <w:color w:val="auto"/>
        </w:rPr>
        <w:t>. The fair salable value of the assets (including goodwill minus disposition costs) of the Loan Parties and each of their Subsidiaries,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basis, exceeds the fair value of liabilities of the Loan Parties’ and each of their Subsidiaries, on a consolidated basis; no Loan Party is left with unreasonably small capital after the transactions in this Agreement; and each Loan Party is able to pay its debts (including trade debts) as they mature.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0"/>
          </w:cols>
          <w:pgMar w:left="320" w:top="1296" w:right="319" w:bottom="1440" w:gutter="0" w:footer="0" w:header="0"/>
        </w:sectPr>
      </w:pPr>
    </w:p>
    <w:bookmarkStart w:id="353" w:name="page354"/>
    <w:bookmarkEnd w:id="353"/>
    <w:p>
      <w:pPr>
        <w:jc w:val="both"/>
        <w:ind w:firstLine="585"/>
        <w:spacing w:after="0" w:line="265" w:lineRule="auto"/>
        <w:rPr>
          <w:sz w:val="20"/>
          <w:szCs w:val="20"/>
          <w:color w:val="auto"/>
        </w:rPr>
      </w:pPr>
      <w:r>
        <w:rPr>
          <w:rFonts w:ascii="Arial" w:cs="Arial" w:eastAsia="Arial" w:hAnsi="Arial"/>
          <w:sz w:val="16"/>
          <w:szCs w:val="16"/>
          <w:b w:val="1"/>
          <w:bCs w:val="1"/>
          <w:color w:val="auto"/>
        </w:rPr>
        <w:t>5.7 Consents; Approvals</w:t>
      </w:r>
      <w:r>
        <w:rPr>
          <w:rFonts w:ascii="Arial" w:cs="Arial" w:eastAsia="Arial" w:hAnsi="Arial"/>
          <w:sz w:val="16"/>
          <w:szCs w:val="16"/>
          <w:color w:val="auto"/>
        </w:rPr>
        <w:t>. Each Loan Party and each of its Subsidiaries have obtained all third party or governmental consents, licenses, approvals, waivers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made all declarations or filings with, and given all notices to, all Governmental Authorities that are necessary (i) to enter into the Loan Documents and consummate the transactions contemplated thereby, and (ii) to continue their respective businesses as currently conducted, except (with respect to this clause (ii)) where failure to do so could not reasonably be expected to result in a Material Adverse Effect.</w:t>
      </w:r>
    </w:p>
    <w:p>
      <w:pPr>
        <w:spacing w:after="0" w:line="113"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5.8 Subsidiaries; Investments</w:t>
      </w:r>
      <w:r>
        <w:rPr>
          <w:rFonts w:ascii="Arial" w:cs="Arial" w:eastAsia="Arial" w:hAnsi="Arial"/>
          <w:sz w:val="16"/>
          <w:szCs w:val="16"/>
          <w:color w:val="auto"/>
        </w:rPr>
        <w:t>. No Loan Party has any Subsidiaries, except as noted on the Perfection Certificate or as disclosed to Agent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below. No Loan Party owns any stock, partnership, or other ownership interest or other Equity Interests except for Permitted Investments.</w:t>
      </w:r>
    </w:p>
    <w:p>
      <w:pPr>
        <w:spacing w:after="0" w:line="94" w:lineRule="exact"/>
        <w:rPr>
          <w:sz w:val="20"/>
          <w:szCs w:val="20"/>
          <w:color w:val="auto"/>
        </w:rPr>
      </w:pPr>
    </w:p>
    <w:p>
      <w:pPr>
        <w:jc w:val="both"/>
        <w:ind w:right="20" w:firstLine="585"/>
        <w:spacing w:after="0" w:line="259" w:lineRule="auto"/>
        <w:rPr>
          <w:sz w:val="20"/>
          <w:szCs w:val="20"/>
          <w:color w:val="auto"/>
        </w:rPr>
      </w:pPr>
      <w:r>
        <w:rPr>
          <w:rFonts w:ascii="Arial" w:cs="Arial" w:eastAsia="Arial" w:hAnsi="Arial"/>
          <w:sz w:val="16"/>
          <w:szCs w:val="16"/>
          <w:b w:val="1"/>
          <w:bCs w:val="1"/>
          <w:color w:val="auto"/>
        </w:rPr>
        <w:t>5.9 Tax Returns and Payments</w:t>
      </w:r>
      <w:r>
        <w:rPr>
          <w:rFonts w:ascii="Arial" w:cs="Arial" w:eastAsia="Arial" w:hAnsi="Arial"/>
          <w:sz w:val="16"/>
          <w:szCs w:val="16"/>
          <w:color w:val="auto"/>
        </w:rPr>
        <w:t>. Each Loan Party and each of its Subsidiaries have timely filed all required tax returns and reports (or appropriate extensions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therefor), and such Loan Party and each of its Subsidiary has timely paid all foreign, federal, state and local taxes, assessments, deposits and contributions owed such Subsidiary or such Subsidiary, as applicable,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Ten Thousand Dollars ($10,000). No Borrower is aware of any claims or adjustments proposed for any prior tax years of any Borrower or any of its Subsidiaries which could result in a material amount of additional taxes becoming due and payable by a Borrower or any of its Subsidiary.</w:t>
      </w:r>
    </w:p>
    <w:p>
      <w:pPr>
        <w:spacing w:after="0" w:line="120"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6"/>
          <w:szCs w:val="16"/>
          <w:b w:val="1"/>
          <w:bCs w:val="1"/>
          <w:color w:val="auto"/>
        </w:rPr>
        <w:t xml:space="preserve">5.10 Shares. </w:t>
      </w:r>
      <w:r>
        <w:rPr>
          <w:rFonts w:ascii="Arial" w:cs="Arial" w:eastAsia="Arial" w:hAnsi="Arial"/>
          <w:sz w:val="16"/>
          <w:szCs w:val="16"/>
          <w:color w:val="auto"/>
        </w:rPr>
        <w:t>Such Borrower has full power and authority to create a first lien on the Shares and no disability or contractual obligation exists that would prohibit</w:t>
      </w:r>
      <w:r>
        <w:rPr>
          <w:rFonts w:ascii="Arial" w:cs="Arial" w:eastAsia="Arial" w:hAnsi="Arial"/>
          <w:sz w:val="16"/>
          <w:szCs w:val="16"/>
          <w:b w:val="1"/>
          <w:bCs w:val="1"/>
          <w:color w:val="auto"/>
        </w:rPr>
        <w:t xml:space="preserve"> </w:t>
      </w:r>
      <w:r>
        <w:rPr>
          <w:rFonts w:ascii="Arial" w:cs="Arial" w:eastAsia="Arial" w:hAnsi="Arial"/>
          <w:sz w:val="16"/>
          <w:szCs w:val="16"/>
          <w:color w:val="auto"/>
        </w:rPr>
        <w:t>such Borrower from pledging the Shares pursuant to this Agreement. There are no subscriptions, warrants, rights of first refusal or other restrictions on transfer relative to, or options exercisable with respect to the Shares. The Shares have been and will be duly authorized and validly issued, and are fully paid and non-assessable. The Shares are not the subject of any present or threatened suit, action, arbitration, administrative or other proceeding, and such Borrower knows of no reasonable grounds for the institution of any such proceedings.</w:t>
      </w:r>
    </w:p>
    <w:p>
      <w:pPr>
        <w:spacing w:after="0" w:line="11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5.11</w:t>
      </w:r>
      <w:r>
        <w:rPr>
          <w:sz w:val="20"/>
          <w:szCs w:val="20"/>
          <w:color w:val="auto"/>
        </w:rPr>
        <w:tab/>
      </w:r>
      <w:r>
        <w:rPr>
          <w:rFonts w:ascii="Arial" w:cs="Arial" w:eastAsia="Arial" w:hAnsi="Arial"/>
          <w:sz w:val="14"/>
          <w:szCs w:val="14"/>
          <w:b w:val="1"/>
          <w:bCs w:val="1"/>
          <w:color w:val="auto"/>
        </w:rPr>
        <w:t>Compliance with Laws</w:t>
      </w:r>
      <w:r>
        <w:rPr>
          <w:rFonts w:ascii="Arial" w:cs="Arial" w:eastAsia="Arial" w:hAnsi="Arial"/>
          <w:sz w:val="14"/>
          <w:szCs w:val="14"/>
          <w:color w:val="auto"/>
        </w:rPr>
        <w:t>.</w:t>
      </w:r>
    </w:p>
    <w:p>
      <w:pPr>
        <w:spacing w:after="0" w:line="161" w:lineRule="exact"/>
        <w:rPr>
          <w:sz w:val="20"/>
          <w:szCs w:val="20"/>
          <w:color w:val="auto"/>
        </w:rPr>
      </w:pPr>
    </w:p>
    <w:p>
      <w:pPr>
        <w:ind w:right="20" w:firstLine="1167"/>
        <w:spacing w:after="0" w:line="283" w:lineRule="auto"/>
        <w:tabs>
          <w:tab w:leader="none" w:pos="152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 Loan Party or Subsidiary of Loan Party is an “investment company” or an “affiliated person” of, or “promoter” or “principal underwriter” for, an “investment company”, as such terms are defined in the Investment Company Act of 1940 as amended.</w:t>
      </w:r>
    </w:p>
    <w:p>
      <w:pPr>
        <w:spacing w:after="0" w:line="101" w:lineRule="exact"/>
        <w:rPr>
          <w:rFonts w:ascii="Arial" w:cs="Arial" w:eastAsia="Arial" w:hAnsi="Arial"/>
          <w:sz w:val="16"/>
          <w:szCs w:val="16"/>
          <w:color w:val="auto"/>
        </w:rPr>
      </w:pPr>
    </w:p>
    <w:p>
      <w:pPr>
        <w:jc w:val="both"/>
        <w:ind w:firstLine="1167"/>
        <w:spacing w:after="0" w:line="279" w:lineRule="auto"/>
        <w:tabs>
          <w:tab w:leader="none" w:pos="1597" w:val="left"/>
        </w:tabs>
        <w:numPr>
          <w:ilvl w:val="0"/>
          <w:numId w:val="230"/>
        </w:numPr>
        <w:rPr>
          <w:rFonts w:ascii="Arial" w:cs="Arial" w:eastAsia="Arial" w:hAnsi="Arial"/>
          <w:sz w:val="15"/>
          <w:szCs w:val="15"/>
          <w:color w:val="auto"/>
        </w:rPr>
      </w:pPr>
      <w:r>
        <w:rPr>
          <w:rFonts w:ascii="Arial" w:cs="Arial" w:eastAsia="Arial" w:hAnsi="Arial"/>
          <w:sz w:val="15"/>
          <w:szCs w:val="15"/>
          <w:color w:val="auto"/>
        </w:rPr>
        <w:t>No Loan Party or Subsidiary of a Loan Party is engaged, nor will it engage, principally or as one of its important activities, in the business of extending credit for the purpose of “purchasing” or “carrying” any “margin security” as such terms are defined in Regulation U of the Federal Reserve Board as now and from time to time hereafter in effect (such securities being referred to herein as “</w:t>
      </w:r>
      <w:r>
        <w:rPr>
          <w:rFonts w:ascii="Arial" w:cs="Arial" w:eastAsia="Arial" w:hAnsi="Arial"/>
          <w:sz w:val="15"/>
          <w:szCs w:val="15"/>
          <w:b w:val="1"/>
          <w:bCs w:val="1"/>
          <w:color w:val="auto"/>
        </w:rPr>
        <w:t>Margin Stock</w:t>
      </w:r>
      <w:r>
        <w:rPr>
          <w:rFonts w:ascii="Arial" w:cs="Arial" w:eastAsia="Arial" w:hAnsi="Arial"/>
          <w:sz w:val="15"/>
          <w:szCs w:val="15"/>
          <w:color w:val="auto"/>
        </w:rPr>
        <w:t>”). None of the proceeds of the Credit Extensions or other extensions of credit under this Agreement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Credit Extensions or other extensions of credit under this Agreement to be considered a “purpose credit” within the meaning of Regulation T, U or X of the Federal Reserve Board. None of the proceeds of the Credit Extensions or other extensions of credit under this Agreement have been (or will be) used to fund Investments in Expensify Payments.</w:t>
      </w:r>
    </w:p>
    <w:p>
      <w:pPr>
        <w:spacing w:after="0" w:line="106" w:lineRule="exact"/>
        <w:rPr>
          <w:rFonts w:ascii="Arial" w:cs="Arial" w:eastAsia="Arial" w:hAnsi="Arial"/>
          <w:sz w:val="15"/>
          <w:szCs w:val="15"/>
          <w:color w:val="auto"/>
        </w:rPr>
      </w:pPr>
    </w:p>
    <w:p>
      <w:pPr>
        <w:jc w:val="both"/>
        <w:ind w:right="20" w:firstLine="1167"/>
        <w:spacing w:after="0" w:line="283" w:lineRule="auto"/>
        <w:tabs>
          <w:tab w:leader="none" w:pos="1522" w:val="left"/>
        </w:tabs>
        <w:numPr>
          <w:ilvl w:val="0"/>
          <w:numId w:val="230"/>
        </w:numPr>
        <w:rPr>
          <w:rFonts w:ascii="Arial" w:cs="Arial" w:eastAsia="Arial" w:hAnsi="Arial"/>
          <w:sz w:val="15"/>
          <w:szCs w:val="15"/>
          <w:color w:val="auto"/>
        </w:rPr>
      </w:pPr>
      <w:r>
        <w:rPr>
          <w:rFonts w:ascii="Arial" w:cs="Arial" w:eastAsia="Arial" w:hAnsi="Arial"/>
          <w:sz w:val="15"/>
          <w:szCs w:val="15"/>
          <w:color w:val="auto"/>
        </w:rPr>
        <w:t>No Loan Party has taken or permitted to be taken any action which might cause any Loan Document to violate any regulation of the Federal Reserve Board. Neither the making of the Credit Extensions by the Lenders hereunder nor Borrowers’ use of the proceeds thereof will violate the Trading with the Enemy Act, as amended, or any of the foreign assets control regulations of the United States Treasury Department (31 CFR, Subtitle B, Chapter V, as amended) or any enabling legislation or executive order relating thereto. No Loan Party, nor any of its Subsidiaries, nor any Affiliate of any Loan Party or of any Subsidiary, nor any present holder of Equity Interests of any of the foregoing (i) is, or will become, a Person described or designated in the Specially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320" w:top="1291" w:right="319" w:bottom="1440" w:gutter="0" w:footer="0" w:header="0"/>
        </w:sectPr>
      </w:pPr>
    </w:p>
    <w:bookmarkStart w:id="354" w:name="page355"/>
    <w:bookmarkEnd w:id="354"/>
    <w:p>
      <w:pPr>
        <w:jc w:val="both"/>
        <w:spacing w:after="0" w:line="276" w:lineRule="auto"/>
        <w:rPr>
          <w:sz w:val="20"/>
          <w:szCs w:val="20"/>
          <w:color w:val="auto"/>
        </w:rPr>
      </w:pPr>
      <w:r>
        <w:rPr>
          <w:rFonts w:ascii="Arial" w:cs="Arial" w:eastAsia="Arial" w:hAnsi="Arial"/>
          <w:sz w:val="15"/>
          <w:szCs w:val="15"/>
          <w:color w:val="auto"/>
        </w:rPr>
        <w:t>Designated Nationals and Blocked Persons List of the Office of Foreign Assets Control of the United States Department of Treasury (“</w:t>
      </w:r>
      <w:r>
        <w:rPr>
          <w:rFonts w:ascii="Arial" w:cs="Arial" w:eastAsia="Arial" w:hAnsi="Arial"/>
          <w:sz w:val="15"/>
          <w:szCs w:val="15"/>
          <w:b w:val="1"/>
          <w:bCs w:val="1"/>
          <w:color w:val="auto"/>
        </w:rPr>
        <w:t>OFAC</w:t>
      </w:r>
      <w:r>
        <w:rPr>
          <w:rFonts w:ascii="Arial" w:cs="Arial" w:eastAsia="Arial" w:hAnsi="Arial"/>
          <w:sz w:val="15"/>
          <w:szCs w:val="15"/>
          <w:color w:val="auto"/>
        </w:rPr>
        <w:t>”) or in Section 1 of the Anti-Terrorism Order or similar sanctions laws of any other Governmental Authority (“</w:t>
      </w:r>
      <w:r>
        <w:rPr>
          <w:rFonts w:ascii="Arial" w:cs="Arial" w:eastAsia="Arial" w:hAnsi="Arial"/>
          <w:sz w:val="15"/>
          <w:szCs w:val="15"/>
          <w:b w:val="1"/>
          <w:bCs w:val="1"/>
          <w:color w:val="auto"/>
        </w:rPr>
        <w:t>Sanctions</w:t>
      </w:r>
      <w:r>
        <w:rPr>
          <w:rFonts w:ascii="Arial" w:cs="Arial" w:eastAsia="Arial" w:hAnsi="Arial"/>
          <w:sz w:val="15"/>
          <w:szCs w:val="15"/>
          <w:color w:val="auto"/>
        </w:rPr>
        <w:t>”), (ii) is, or will become, a citizen or resident of any country that is subject to embargo or trade sanctions enforced by OFAC, (iii) is, or will become, a Person whose property or interest in property is blocked or subject to blocking pursuant to applicable Sanctions, or (iv) engages or will engage in any dealings or transactions, or is or will be otherwise associated, with any such Person. Each Loan Party and its Subsidiaries are in compliance, in all material respects, with the USA Patriot Act, and any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 (“</w:t>
      </w:r>
      <w:r>
        <w:rPr>
          <w:rFonts w:ascii="Arial" w:cs="Arial" w:eastAsia="Arial" w:hAnsi="Arial"/>
          <w:sz w:val="15"/>
          <w:szCs w:val="15"/>
          <w:b w:val="1"/>
          <w:bCs w:val="1"/>
          <w:color w:val="auto"/>
        </w:rPr>
        <w:t>Anti-Money Laundering Laws</w:t>
      </w:r>
      <w:r>
        <w:rPr>
          <w:rFonts w:ascii="Arial" w:cs="Arial" w:eastAsia="Arial" w:hAnsi="Arial"/>
          <w:sz w:val="15"/>
          <w:szCs w:val="15"/>
          <w:color w:val="auto"/>
        </w:rPr>
        <w:t>”). No part of the proceeds from the Credit Extensions made hereunder has been (or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applicable Anti-Corruption Laws. Borrower Representative and each applicable Subsidiary has implemented policies and procedures (including know-your-customer verifications) reasonably designed to ensure compliance with applicable Sanctions, Anti-Money Laundering Laws and Anti-Corruption Laws.</w:t>
      </w:r>
    </w:p>
    <w:p>
      <w:pPr>
        <w:spacing w:after="0" w:line="112" w:lineRule="exact"/>
        <w:rPr>
          <w:sz w:val="20"/>
          <w:szCs w:val="20"/>
          <w:color w:val="auto"/>
        </w:rPr>
      </w:pPr>
    </w:p>
    <w:p>
      <w:pPr>
        <w:jc w:val="both"/>
        <w:ind w:right="20" w:firstLine="1167"/>
        <w:spacing w:after="0" w:line="286" w:lineRule="auto"/>
        <w:tabs>
          <w:tab w:leader="none" w:pos="1524" w:val="left"/>
        </w:tabs>
        <w:numPr>
          <w:ilvl w:val="0"/>
          <w:numId w:val="231"/>
        </w:numPr>
        <w:rPr>
          <w:rFonts w:ascii="Arial" w:cs="Arial" w:eastAsia="Arial" w:hAnsi="Arial"/>
          <w:sz w:val="15"/>
          <w:szCs w:val="15"/>
          <w:color w:val="auto"/>
        </w:rPr>
      </w:pPr>
      <w:r>
        <w:rPr>
          <w:rFonts w:ascii="Arial" w:cs="Arial" w:eastAsia="Arial" w:hAnsi="Arial"/>
          <w:sz w:val="15"/>
          <w:szCs w:val="15"/>
          <w:color w:val="auto"/>
        </w:rPr>
        <w:t>No Reportable Event or Prohibited Transaction, as defined in ERISA has occurred or is reasonably expected to occur, and no Loan Party has failed to meet the minimum funding requirements of ERISA. No Loan Party has violated any applicable environmental laws in any material respect, maintains any properties or assets which have been designated in any manner pursuant to any environmental protection statute as a hazardous materials disposal site, or has received any notice, summons, citation or directive from the Environmental Protection Agency or any other similar Governmental Authority.</w:t>
      </w:r>
    </w:p>
    <w:p>
      <w:pPr>
        <w:spacing w:after="0" w:line="99"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5.12 Broker</w:t>
      </w:r>
      <w:r>
        <w:rPr>
          <w:rFonts w:ascii="Arial" w:cs="Arial" w:eastAsia="Arial" w:hAnsi="Arial"/>
          <w:sz w:val="16"/>
          <w:szCs w:val="16"/>
          <w:color w:val="auto"/>
        </w:rPr>
        <w:t>. No Person has any agreement or option to provide financial advisory services to any Loan Party or any of its Subsidiaries or to receive any finder’s</w:t>
      </w:r>
      <w:r>
        <w:rPr>
          <w:rFonts w:ascii="Arial" w:cs="Arial" w:eastAsia="Arial" w:hAnsi="Arial"/>
          <w:sz w:val="16"/>
          <w:szCs w:val="16"/>
          <w:b w:val="1"/>
          <w:bCs w:val="1"/>
          <w:color w:val="auto"/>
        </w:rPr>
        <w:t xml:space="preserve"> </w:t>
      </w:r>
      <w:r>
        <w:rPr>
          <w:rFonts w:ascii="Arial" w:cs="Arial" w:eastAsia="Arial" w:hAnsi="Arial"/>
          <w:sz w:val="16"/>
          <w:szCs w:val="16"/>
          <w:color w:val="auto"/>
        </w:rPr>
        <w:t>fee or similar fee with respect to this Agreement or any other debt or equity transaction entered into by a Loan Party.</w:t>
      </w:r>
    </w:p>
    <w:p>
      <w:pPr>
        <w:spacing w:after="0" w:line="94" w:lineRule="exact"/>
        <w:rPr>
          <w:sz w:val="20"/>
          <w:szCs w:val="20"/>
          <w:color w:val="auto"/>
        </w:rPr>
      </w:pPr>
    </w:p>
    <w:p>
      <w:pPr>
        <w:jc w:val="both"/>
        <w:ind w:firstLine="585"/>
        <w:spacing w:after="0" w:line="261" w:lineRule="auto"/>
        <w:rPr>
          <w:sz w:val="20"/>
          <w:szCs w:val="20"/>
          <w:color w:val="auto"/>
        </w:rPr>
      </w:pPr>
      <w:r>
        <w:rPr>
          <w:rFonts w:ascii="Arial" w:cs="Arial" w:eastAsia="Arial" w:hAnsi="Arial"/>
          <w:sz w:val="16"/>
          <w:szCs w:val="16"/>
          <w:b w:val="1"/>
          <w:bCs w:val="1"/>
          <w:color w:val="auto"/>
        </w:rPr>
        <w:t>5.13 Full Disclosure</w:t>
      </w:r>
      <w:r>
        <w:rPr>
          <w:rFonts w:ascii="Arial" w:cs="Arial" w:eastAsia="Arial" w:hAnsi="Arial"/>
          <w:sz w:val="16"/>
          <w:szCs w:val="16"/>
          <w:color w:val="auto"/>
        </w:rPr>
        <w:t>. No written representation, warranty or other statement of a Loan Party or any of its Subsidiaries in any certificate or written statement given</w:t>
      </w:r>
      <w:r>
        <w:rPr>
          <w:rFonts w:ascii="Arial" w:cs="Arial" w:eastAsia="Arial" w:hAnsi="Arial"/>
          <w:sz w:val="16"/>
          <w:szCs w:val="16"/>
          <w:b w:val="1"/>
          <w:bCs w:val="1"/>
          <w:color w:val="auto"/>
        </w:rPr>
        <w:t xml:space="preserve"> </w:t>
      </w:r>
      <w:r>
        <w:rPr>
          <w:rFonts w:ascii="Arial" w:cs="Arial" w:eastAsia="Arial" w:hAnsi="Arial"/>
          <w:sz w:val="16"/>
          <w:szCs w:val="16"/>
          <w:color w:val="auto"/>
        </w:rPr>
        <w:t>to Agent by or on behalf of a Loan Party or any of its Subsidiaries, as of the date such representation, warranty, or other statement was made, taken together with all such written certificates and written statements given to, contains any untrue statement of a material fact or omits to state a material fact necessary to make the statements contained in the certificates or statements not misleading in light of the circumstances under which they were made (it being recognized that the projections and forecasts provided by any Loan Party in good faith and based upon reasonable assumptions are not viewed as facts and that actual results during the period or periods covered by such projections and forecasts may differ from the projected or forecasted results).</w:t>
      </w:r>
    </w:p>
    <w:p>
      <w:pPr>
        <w:spacing w:after="0" w:line="115" w:lineRule="exact"/>
        <w:rPr>
          <w:sz w:val="20"/>
          <w:szCs w:val="20"/>
          <w:color w:val="auto"/>
        </w:rPr>
      </w:pPr>
    </w:p>
    <w:p>
      <w:pPr>
        <w:ind w:left="860" w:hanging="278"/>
        <w:spacing w:after="0"/>
        <w:tabs>
          <w:tab w:leader="none" w:pos="860"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AFFIRMATIVE COVENANTS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Borrower shall, and shall cause each Loan Party to, do all of the following:</w:t>
      </w:r>
    </w:p>
    <w:p>
      <w:pPr>
        <w:spacing w:after="0" w:line="153" w:lineRule="exact"/>
        <w:rPr>
          <w:sz w:val="20"/>
          <w:szCs w:val="20"/>
          <w:color w:val="auto"/>
        </w:rPr>
      </w:pPr>
    </w:p>
    <w:p>
      <w:pPr>
        <w:jc w:val="both"/>
        <w:ind w:right="20" w:firstLine="585"/>
        <w:spacing w:after="0" w:line="261" w:lineRule="auto"/>
        <w:rPr>
          <w:sz w:val="20"/>
          <w:szCs w:val="20"/>
          <w:color w:val="auto"/>
        </w:rPr>
      </w:pPr>
      <w:r>
        <w:rPr>
          <w:rFonts w:ascii="Arial" w:cs="Arial" w:eastAsia="Arial" w:hAnsi="Arial"/>
          <w:sz w:val="16"/>
          <w:szCs w:val="16"/>
          <w:b w:val="1"/>
          <w:bCs w:val="1"/>
          <w:color w:val="auto"/>
        </w:rPr>
        <w:t>6.1 Government Compliance</w:t>
      </w:r>
      <w:r>
        <w:rPr>
          <w:rFonts w:ascii="Arial" w:cs="Arial" w:eastAsia="Arial" w:hAnsi="Arial"/>
          <w:sz w:val="16"/>
          <w:szCs w:val="16"/>
          <w:color w:val="auto"/>
        </w:rPr>
        <w:t>. Maintain its and all its Subsidiaries’ legal existence and good standing in their respective jurisdictions of formation and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qualification in each jurisdiction in which the failure to so qualify could reasonably be expected to have a Material Adverse Effect; comply, and cause each Subsidiary to comply, with all laws, ordinances and regulations to which it is subject except where a failure to do so could not reasonably be expected to have a Material Adverse Effect; obtain all of the Governmental Approvals required in connection with such Loan Party’s business and for the performance by each Loan Party of its obligations under the Loan Documents to which it is a party and the grant of a security interest to Agent in all of its property, and comply with all terms and conditions with respect to such Governmental Approvals.</w:t>
      </w:r>
    </w:p>
    <w:p>
      <w:pPr>
        <w:spacing w:after="0" w:line="115"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4"/>
          <w:szCs w:val="14"/>
          <w:b w:val="1"/>
          <w:bCs w:val="1"/>
          <w:color w:val="auto"/>
        </w:rPr>
        <w:t>Financial Statements, Reports, Certificates</w:t>
      </w:r>
      <w:r>
        <w:rPr>
          <w:rFonts w:ascii="Arial" w:cs="Arial" w:eastAsia="Arial" w:hAnsi="Arial"/>
          <w:sz w:val="14"/>
          <w:szCs w:val="14"/>
          <w:color w:val="auto"/>
        </w:rPr>
        <w:t>. Provide Agent with the following:</w:t>
      </w:r>
    </w:p>
    <w:p>
      <w:pPr>
        <w:spacing w:after="0" w:line="161" w:lineRule="exact"/>
        <w:rPr>
          <w:sz w:val="20"/>
          <w:szCs w:val="20"/>
          <w:color w:val="auto"/>
        </w:rPr>
      </w:pPr>
    </w:p>
    <w:p>
      <w:pPr>
        <w:ind w:left="1160"/>
        <w:spacing w:after="0"/>
        <w:tabs>
          <w:tab w:leader="none" w:pos="1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320" w:top="1291" w:right="319" w:bottom="1440" w:gutter="0" w:footer="0" w:header="0"/>
        </w:sectPr>
      </w:pPr>
    </w:p>
    <w:bookmarkStart w:id="355" w:name="page356"/>
    <w:bookmarkEnd w:id="355"/>
    <w:p>
      <w:pPr>
        <w:jc w:val="both"/>
        <w:ind w:left="3" w:right="20" w:firstLine="1167"/>
        <w:spacing w:after="0" w:line="264" w:lineRule="auto"/>
        <w:tabs>
          <w:tab w:leader="none" w:pos="1609"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Quarterly Compliance Certificate</w:t>
      </w:r>
      <w:r>
        <w:rPr>
          <w:rFonts w:ascii="Arial" w:cs="Arial" w:eastAsia="Arial" w:hAnsi="Arial"/>
          <w:sz w:val="16"/>
          <w:szCs w:val="16"/>
          <w:color w:val="auto"/>
        </w:rPr>
        <w:t>. Within forty five (45) days after the last day of each fiscal quarter and together with the quarterly financial statements, a duly completed Compliance Certificate signed by a Responsible Officer, certifying that as of the end of such fiscal quarter, the Loan Parties were in full compliance with all of the terms and conditions of this Agreement, and, if applicable, setting forth calculations showing compliance with the financial covenants set forth in this Agreement and such other information as Agent may reasonably request (including at the direction of Required Lenders).</w:t>
      </w:r>
    </w:p>
    <w:p>
      <w:pPr>
        <w:spacing w:after="0" w:line="116" w:lineRule="exact"/>
        <w:rPr>
          <w:rFonts w:ascii="Arial" w:cs="Arial" w:eastAsia="Arial" w:hAnsi="Arial"/>
          <w:sz w:val="16"/>
          <w:szCs w:val="16"/>
          <w:color w:val="auto"/>
        </w:rPr>
      </w:pPr>
    </w:p>
    <w:p>
      <w:pPr>
        <w:jc w:val="both"/>
        <w:ind w:left="3" w:right="20" w:firstLine="1167"/>
        <w:spacing w:after="0" w:line="264" w:lineRule="auto"/>
        <w:tabs>
          <w:tab w:leader="none" w:pos="1648"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Within forty-five (45) days after the last day of each fiscal quarter, a company prepared consolidated and consolidating balance sheet, income statement and statement of cash flows covering the Loan Parties and each of their Subsidiaries’ operations for such fiscal quarter, in form acceptable to Agent, certified by a Responsible Officer as having been prepared in accordance with GAAP, consistently applied, except for the absence of footnotes, and subject to normal year-end adjustments.</w:t>
      </w:r>
    </w:p>
    <w:p>
      <w:pPr>
        <w:spacing w:after="0" w:line="116" w:lineRule="exact"/>
        <w:rPr>
          <w:rFonts w:ascii="Arial" w:cs="Arial" w:eastAsia="Arial" w:hAnsi="Arial"/>
          <w:sz w:val="16"/>
          <w:szCs w:val="16"/>
          <w:color w:val="auto"/>
        </w:rPr>
      </w:pPr>
    </w:p>
    <w:p>
      <w:pPr>
        <w:jc w:val="both"/>
        <w:ind w:left="3" w:firstLine="1167"/>
        <w:spacing w:after="0" w:line="264" w:lineRule="auto"/>
        <w:tabs>
          <w:tab w:leader="none" w:pos="1621"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Annual Operating Budget and Financial Projections</w:t>
      </w:r>
      <w:r>
        <w:rPr>
          <w:rFonts w:ascii="Arial" w:cs="Arial" w:eastAsia="Arial" w:hAnsi="Arial"/>
          <w:sz w:val="16"/>
          <w:szCs w:val="16"/>
          <w:color w:val="auto"/>
        </w:rPr>
        <w:t>. Within sixty (60) days after the end of each fiscal year of Borrower Representative (and promptly and within five (5) days of any material modification thereto), an annual operating budgets, on a consolidating basis (including income statements, balance sheets and cash flow statements, by month) for the upcoming fiscal year of Borrower Representative, as approved by Borrower Representative’s Board, together with any related business forecasts used in the preparation of such annual financial projections.</w:t>
      </w:r>
    </w:p>
    <w:p>
      <w:pPr>
        <w:spacing w:after="0" w:line="116" w:lineRule="exact"/>
        <w:rPr>
          <w:rFonts w:ascii="Arial" w:cs="Arial" w:eastAsia="Arial" w:hAnsi="Arial"/>
          <w:sz w:val="16"/>
          <w:szCs w:val="16"/>
          <w:color w:val="auto"/>
        </w:rPr>
      </w:pPr>
    </w:p>
    <w:p>
      <w:pPr>
        <w:ind w:left="1503" w:hanging="333"/>
        <w:spacing w:after="0"/>
        <w:tabs>
          <w:tab w:leader="none" w:pos="1503" w:val="left"/>
        </w:tabs>
        <w:numPr>
          <w:ilvl w:val="1"/>
          <w:numId w:val="233"/>
        </w:numPr>
        <w:rPr>
          <w:rFonts w:ascii="Arial" w:cs="Arial" w:eastAsia="Arial" w:hAnsi="Arial"/>
          <w:sz w:val="14"/>
          <w:szCs w:val="14"/>
          <w:color w:val="auto"/>
        </w:rPr>
      </w:pPr>
      <w:r>
        <w:rPr>
          <w:rFonts w:ascii="Arial" w:cs="Arial" w:eastAsia="Arial" w:hAnsi="Arial"/>
          <w:sz w:val="14"/>
          <w:szCs w:val="14"/>
          <w:u w:val="single" w:color="auto"/>
          <w:color w:val="auto"/>
        </w:rPr>
        <w:t>Annual Audited Financial Statements</w:t>
      </w:r>
      <w:r>
        <w:rPr>
          <w:rFonts w:ascii="Arial" w:cs="Arial" w:eastAsia="Arial" w:hAnsi="Arial"/>
          <w:sz w:val="14"/>
          <w:szCs w:val="14"/>
          <w:color w:val="auto"/>
        </w:rPr>
        <w:t>. As soon as provided to Borrower Representative’s lead investor, but in no event later than one hundred twenty</w:t>
      </w:r>
    </w:p>
    <w:p>
      <w:pPr>
        <w:spacing w:after="0" w:line="45" w:lineRule="exact"/>
        <w:rPr>
          <w:rFonts w:ascii="Arial" w:cs="Arial" w:eastAsia="Arial" w:hAnsi="Arial"/>
          <w:sz w:val="14"/>
          <w:szCs w:val="14"/>
          <w:color w:val="auto"/>
        </w:rPr>
      </w:pPr>
    </w:p>
    <w:p>
      <w:pPr>
        <w:jc w:val="both"/>
        <w:ind w:left="3" w:right="20" w:hanging="3"/>
        <w:spacing w:after="0" w:line="261" w:lineRule="auto"/>
        <w:tabs>
          <w:tab w:leader="none" w:pos="40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days after the last day of Borrower Representative’s fiscal year, audited consolidated financial statements prepared in accordance with GAAP, consistently applied, together with an unqualified opinion on the financial statements from an independent certified public accounting firm reasonably acceptable to Agent, together with any management letter with respect thereto.</w:t>
      </w:r>
    </w:p>
    <w:p>
      <w:pPr>
        <w:spacing w:after="0" w:line="118" w:lineRule="exact"/>
        <w:rPr>
          <w:rFonts w:ascii="Arial" w:cs="Arial" w:eastAsia="Arial" w:hAnsi="Arial"/>
          <w:sz w:val="16"/>
          <w:szCs w:val="16"/>
          <w:color w:val="auto"/>
        </w:rPr>
      </w:pPr>
    </w:p>
    <w:p>
      <w:pPr>
        <w:ind w:left="3" w:right="20" w:firstLine="1167"/>
        <w:spacing w:after="0" w:line="283" w:lineRule="auto"/>
        <w:tabs>
          <w:tab w:leader="none" w:pos="1642"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Other Statements</w:t>
      </w:r>
      <w:r>
        <w:rPr>
          <w:rFonts w:ascii="Arial" w:cs="Arial" w:eastAsia="Arial" w:hAnsi="Arial"/>
          <w:sz w:val="16"/>
          <w:szCs w:val="16"/>
          <w:color w:val="auto"/>
        </w:rPr>
        <w:t>. Within five (5) days of delivery, copies of all statements, reports and notices generally made available to all Borrower Representative’s Equity Interest holders or to all holders of Borrower Representative’s preferred stock or to any holders of Subordinated Debt.</w:t>
      </w:r>
    </w:p>
    <w:p>
      <w:pPr>
        <w:spacing w:after="0" w:line="101" w:lineRule="exact"/>
        <w:rPr>
          <w:rFonts w:ascii="Arial" w:cs="Arial" w:eastAsia="Arial" w:hAnsi="Arial"/>
          <w:sz w:val="16"/>
          <w:szCs w:val="16"/>
          <w:color w:val="auto"/>
        </w:rPr>
      </w:pPr>
    </w:p>
    <w:p>
      <w:pPr>
        <w:ind w:left="3" w:right="20" w:firstLine="1167"/>
        <w:spacing w:after="0" w:line="318" w:lineRule="auto"/>
        <w:tabs>
          <w:tab w:leader="none" w:pos="1523" w:val="left"/>
        </w:tabs>
        <w:numPr>
          <w:ilvl w:val="1"/>
          <w:numId w:val="234"/>
        </w:numPr>
        <w:rPr>
          <w:rFonts w:ascii="Arial" w:cs="Arial" w:eastAsia="Arial" w:hAnsi="Arial"/>
          <w:sz w:val="15"/>
          <w:szCs w:val="15"/>
          <w:color w:val="auto"/>
        </w:rPr>
      </w:pPr>
      <w:r>
        <w:rPr>
          <w:rFonts w:ascii="Arial" w:cs="Arial" w:eastAsia="Arial" w:hAnsi="Arial"/>
          <w:sz w:val="15"/>
          <w:szCs w:val="15"/>
          <w:u w:val="single" w:color="auto"/>
          <w:color w:val="auto"/>
        </w:rPr>
        <w:t>SEC Filings</w:t>
      </w:r>
      <w:r>
        <w:rPr>
          <w:rFonts w:ascii="Arial" w:cs="Arial" w:eastAsia="Arial" w:hAnsi="Arial"/>
          <w:sz w:val="15"/>
          <w:szCs w:val="15"/>
          <w:color w:val="auto"/>
        </w:rPr>
        <w:t>. In the event that Borrower Representative becomes subject to the reporting requirements under the Exchange Act within five (5) days of filing, copies of all periodic and other reports, proxy statements and other materials filed by Borrower Representative with the Securities and Exchange Commission.</w:t>
      </w:r>
    </w:p>
    <w:p>
      <w:pPr>
        <w:spacing w:after="0" w:line="78" w:lineRule="exact"/>
        <w:rPr>
          <w:rFonts w:ascii="Arial" w:cs="Arial" w:eastAsia="Arial" w:hAnsi="Arial"/>
          <w:sz w:val="15"/>
          <w:szCs w:val="15"/>
          <w:color w:val="auto"/>
        </w:rPr>
      </w:pPr>
    </w:p>
    <w:p>
      <w:pPr>
        <w:jc w:val="both"/>
        <w:ind w:left="3" w:right="20" w:firstLine="1167"/>
        <w:spacing w:after="0" w:line="286" w:lineRule="auto"/>
        <w:tabs>
          <w:tab w:leader="none" w:pos="1609" w:val="left"/>
        </w:tabs>
        <w:numPr>
          <w:ilvl w:val="1"/>
          <w:numId w:val="234"/>
        </w:numPr>
        <w:rPr>
          <w:rFonts w:ascii="Arial" w:cs="Arial" w:eastAsia="Arial" w:hAnsi="Arial"/>
          <w:sz w:val="15"/>
          <w:szCs w:val="15"/>
          <w:color w:val="auto"/>
        </w:rPr>
      </w:pPr>
      <w:r>
        <w:rPr>
          <w:rFonts w:ascii="Arial" w:cs="Arial" w:eastAsia="Arial" w:hAnsi="Arial"/>
          <w:sz w:val="15"/>
          <w:szCs w:val="15"/>
          <w:u w:val="single" w:color="auto"/>
          <w:color w:val="auto"/>
        </w:rPr>
        <w:t>Legal Action Notice and Updates</w:t>
      </w:r>
      <w:r>
        <w:rPr>
          <w:rFonts w:ascii="Arial" w:cs="Arial" w:eastAsia="Arial" w:hAnsi="Arial"/>
          <w:sz w:val="15"/>
          <w:szCs w:val="15"/>
          <w:color w:val="auto"/>
        </w:rPr>
        <w:t>. A prompt report of any legal actions pending or threatened in writing against any Loan Party or any of its Subsidiaries that could result in damages or costs to any Loan Party or any of its Subsidiaries of, individually or in the aggregate for all related proceedings, Two Hundred Fifty Thousand Dollars ($250,000) or more, or of any Loan Party or any of its Subsidiaries taking or threatening legal action against any third person with respect to a material claim, and with respect to any pending action or threatened action, a prompt report of any material development with respect thereto.</w:t>
      </w:r>
    </w:p>
    <w:p>
      <w:pPr>
        <w:spacing w:after="0" w:line="103" w:lineRule="exact"/>
        <w:rPr>
          <w:rFonts w:ascii="Arial" w:cs="Arial" w:eastAsia="Arial" w:hAnsi="Arial"/>
          <w:sz w:val="15"/>
          <w:szCs w:val="15"/>
          <w:color w:val="auto"/>
        </w:rPr>
      </w:pPr>
    </w:p>
    <w:p>
      <w:pPr>
        <w:ind w:left="3" w:right="20" w:firstLine="1167"/>
        <w:spacing w:after="0" w:line="283" w:lineRule="auto"/>
        <w:tabs>
          <w:tab w:leader="none" w:pos="1524"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Valuation Reports</w:t>
      </w:r>
      <w:r>
        <w:rPr>
          <w:rFonts w:ascii="Arial" w:cs="Arial" w:eastAsia="Arial" w:hAnsi="Arial"/>
          <w:sz w:val="16"/>
          <w:szCs w:val="16"/>
          <w:color w:val="auto"/>
        </w:rPr>
        <w:t>. A copy of each 409A valuation report as to Borrower Representative’s capital stock that Borrower Representative receives after the Closing Date within five (5) days after the Borrower Representative’s receipt thereof.</w:t>
      </w:r>
    </w:p>
    <w:p>
      <w:pPr>
        <w:spacing w:after="0" w:line="101" w:lineRule="exact"/>
        <w:rPr>
          <w:rFonts w:ascii="Arial" w:cs="Arial" w:eastAsia="Arial" w:hAnsi="Arial"/>
          <w:sz w:val="16"/>
          <w:szCs w:val="16"/>
          <w:color w:val="auto"/>
        </w:rPr>
      </w:pPr>
    </w:p>
    <w:p>
      <w:pPr>
        <w:jc w:val="both"/>
        <w:ind w:left="3" w:firstLine="1167"/>
        <w:spacing w:after="0" w:line="260" w:lineRule="auto"/>
        <w:tabs>
          <w:tab w:leader="none" w:pos="1487"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Board Materials</w:t>
      </w:r>
      <w:r>
        <w:rPr>
          <w:rFonts w:ascii="Arial" w:cs="Arial" w:eastAsia="Arial" w:hAnsi="Arial"/>
          <w:sz w:val="16"/>
          <w:szCs w:val="16"/>
          <w:color w:val="auto"/>
        </w:rPr>
        <w:t xml:space="preserve">. At the same time and in the same manner as it gives to the members of Borrower Representative’s Board, copies of all materials that Borrower Representative provides to its Board in connection with meetings of Borrower Representative’s Board, including any reports with respect to Borrowers’ operations or performance, and promptly after such meeting, minutes of such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Secured Party agrees to hold in confidence and trust all such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foregoing may be subject to such exclusions and redactions as Borrower Representative deems reasonably necessary, in the exercise of its good faith judgment, in order to (A) preserve the confidentiality of highly sensitive proprietary information, or (B) prevent impairment of the attorney client privilege with respect to pending or threatened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3"/>
          </w:cols>
          <w:pgMar w:left="317" w:top="1296" w:right="319" w:bottom="1440" w:gutter="0" w:footer="0" w:header="0"/>
        </w:sectPr>
      </w:pPr>
    </w:p>
    <w:bookmarkStart w:id="356" w:name="page357"/>
    <w:bookmarkEnd w:id="356"/>
    <w:p>
      <w:pPr>
        <w:jc w:val="both"/>
        <w:ind w:left="3" w:right="20" w:firstLine="1167"/>
        <w:spacing w:after="0" w:line="324" w:lineRule="auto"/>
        <w:tabs>
          <w:tab w:leader="none" w:pos="1584" w:val="left"/>
        </w:tabs>
        <w:numPr>
          <w:ilvl w:val="0"/>
          <w:numId w:val="235"/>
        </w:numPr>
        <w:rPr>
          <w:rFonts w:ascii="Arial" w:cs="Arial" w:eastAsia="Arial" w:hAnsi="Arial"/>
          <w:sz w:val="14"/>
          <w:szCs w:val="14"/>
          <w:color w:val="auto"/>
        </w:rPr>
      </w:pPr>
      <w:r>
        <w:rPr>
          <w:rFonts w:ascii="Arial" w:cs="Arial" w:eastAsia="Arial" w:hAnsi="Arial"/>
          <w:sz w:val="14"/>
          <w:szCs w:val="14"/>
          <w:u w:val="single" w:color="auto"/>
          <w:color w:val="auto"/>
        </w:rPr>
        <w:t>Intellectual Property Report</w:t>
      </w:r>
      <w:r>
        <w:rPr>
          <w:rFonts w:ascii="Arial" w:cs="Arial" w:eastAsia="Arial" w:hAnsi="Arial"/>
          <w:sz w:val="14"/>
          <w:szCs w:val="14"/>
          <w:color w:val="auto"/>
        </w:rPr>
        <w:t>. Together with the Compliance Certificate delivered at the end of each calendar quarter, a report in form reasonably acceptable to Agent, listing any applications or registrations that any Loan Party or any of its Subsidiaries has made or filed in respect of any Patents, Copyrights or Trademarks and the status of any outstanding applications or registrations, as well as any material change in any Loan Party or any of its Subsidiaries’ Intellectual Property.</w:t>
      </w:r>
    </w:p>
    <w:p>
      <w:pPr>
        <w:spacing w:after="0" w:line="78" w:lineRule="exact"/>
        <w:rPr>
          <w:rFonts w:ascii="Arial" w:cs="Arial" w:eastAsia="Arial" w:hAnsi="Arial"/>
          <w:sz w:val="14"/>
          <w:szCs w:val="14"/>
          <w:color w:val="auto"/>
        </w:rPr>
      </w:pPr>
    </w:p>
    <w:p>
      <w:pPr>
        <w:jc w:val="both"/>
        <w:ind w:left="3" w:right="20" w:firstLine="1167"/>
        <w:spacing w:after="0" w:line="268" w:lineRule="auto"/>
        <w:tabs>
          <w:tab w:leader="none" w:pos="1560"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Other Reports and Information</w:t>
      </w:r>
      <w:r>
        <w:rPr>
          <w:rFonts w:ascii="Arial" w:cs="Arial" w:eastAsia="Arial" w:hAnsi="Arial"/>
          <w:sz w:val="16"/>
          <w:szCs w:val="16"/>
          <w:color w:val="auto"/>
        </w:rPr>
        <w:t>. Together with the quarterly financial reports, reports as to the following, in form acceptable to Agent: accounts receivable and accounts payable aging, general ledger, and any other information related to the financial or business condition of any Loan Party as and when reasonably requested by Agent (including at the direction of Required Lenders).</w:t>
      </w:r>
    </w:p>
    <w:p>
      <w:pPr>
        <w:spacing w:after="0" w:line="114" w:lineRule="exact"/>
        <w:rPr>
          <w:rFonts w:ascii="Arial" w:cs="Arial" w:eastAsia="Arial" w:hAnsi="Arial"/>
          <w:sz w:val="16"/>
          <w:szCs w:val="16"/>
          <w:color w:val="auto"/>
        </w:rPr>
      </w:pPr>
    </w:p>
    <w:p>
      <w:pPr>
        <w:ind w:left="3" w:right="20" w:firstLine="1167"/>
        <w:spacing w:after="0" w:line="283" w:lineRule="auto"/>
        <w:tabs>
          <w:tab w:leader="none" w:pos="1654"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Bank Account Balances</w:t>
      </w:r>
      <w:r>
        <w:rPr>
          <w:rFonts w:ascii="Arial" w:cs="Arial" w:eastAsia="Arial" w:hAnsi="Arial"/>
          <w:sz w:val="16"/>
          <w:szCs w:val="16"/>
          <w:color w:val="auto"/>
        </w:rPr>
        <w:t>. At the end of each fiscal quarter, a report of all bank balances for each Collateral Account maintained by Borrower Representative and each of its Subsidiaries, together with, at Agent’s request, a copy of associated account statements, with transaction detail.</w:t>
      </w:r>
    </w:p>
    <w:p>
      <w:pPr>
        <w:spacing w:after="0" w:line="101" w:lineRule="exact"/>
        <w:rPr>
          <w:rFonts w:ascii="Arial" w:cs="Arial" w:eastAsia="Arial" w:hAnsi="Arial"/>
          <w:sz w:val="16"/>
          <w:szCs w:val="16"/>
          <w:color w:val="auto"/>
        </w:rPr>
      </w:pPr>
    </w:p>
    <w:p>
      <w:pPr>
        <w:ind w:left="3" w:right="20" w:firstLine="1167"/>
        <w:spacing w:after="0" w:line="283" w:lineRule="auto"/>
        <w:tabs>
          <w:tab w:leader="none" w:pos="1548"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Financing Documents</w:t>
      </w:r>
      <w:r>
        <w:rPr>
          <w:rFonts w:ascii="Arial" w:cs="Arial" w:eastAsia="Arial" w:hAnsi="Arial"/>
          <w:sz w:val="16"/>
          <w:szCs w:val="16"/>
          <w:color w:val="auto"/>
        </w:rPr>
        <w:t>. Together with the Compliance Certificate due after the closing of any equity financing transaction, a copy of the documents entered into in connection therewith.</w:t>
      </w:r>
    </w:p>
    <w:p>
      <w:pPr>
        <w:spacing w:after="0" w:line="98" w:lineRule="exact"/>
        <w:rPr>
          <w:sz w:val="20"/>
          <w:szCs w:val="20"/>
          <w:color w:val="auto"/>
        </w:rPr>
      </w:pPr>
    </w:p>
    <w:p>
      <w:pPr>
        <w:jc w:val="both"/>
        <w:ind w:left="3" w:right="20" w:firstLine="585"/>
        <w:spacing w:after="0" w:line="265" w:lineRule="auto"/>
        <w:rPr>
          <w:sz w:val="20"/>
          <w:szCs w:val="20"/>
          <w:color w:val="auto"/>
        </w:rPr>
      </w:pPr>
      <w:r>
        <w:rPr>
          <w:rFonts w:ascii="Arial" w:cs="Arial" w:eastAsia="Arial" w:hAnsi="Arial"/>
          <w:sz w:val="16"/>
          <w:szCs w:val="16"/>
          <w:b w:val="1"/>
          <w:bCs w:val="1"/>
          <w:color w:val="auto"/>
        </w:rPr>
        <w:t>6.3 Equipment; Inventory; Returns</w:t>
      </w:r>
      <w:r>
        <w:rPr>
          <w:rFonts w:ascii="Arial" w:cs="Arial" w:eastAsia="Arial" w:hAnsi="Arial"/>
          <w:sz w:val="16"/>
          <w:szCs w:val="16"/>
          <w:color w:val="auto"/>
        </w:rPr>
        <w:t>. Keep all Equipment in good operating condition and in a state of good maintenance and repair subject to the usual wear</w:t>
      </w:r>
      <w:r>
        <w:rPr>
          <w:rFonts w:ascii="Arial" w:cs="Arial" w:eastAsia="Arial" w:hAnsi="Arial"/>
          <w:sz w:val="16"/>
          <w:szCs w:val="16"/>
          <w:b w:val="1"/>
          <w:bCs w:val="1"/>
          <w:color w:val="auto"/>
        </w:rPr>
        <w:t xml:space="preserve"> </w:t>
      </w:r>
      <w:r>
        <w:rPr>
          <w:rFonts w:ascii="Arial" w:cs="Arial" w:eastAsia="Arial" w:hAnsi="Arial"/>
          <w:sz w:val="16"/>
          <w:szCs w:val="16"/>
          <w:color w:val="auto"/>
        </w:rPr>
        <w:t>and tear; and keep all Inventory in good marketable condition, free from material defects. Returns and allowances between a Loan Party and its Account Debtors shall follow such Loan Party’s customary practices as they exist at the Closing Date. Borrower Representative shall promptly notify Agent of all returns, recoveries, disputes and claims that involve more than Two Hundred Fifty Thousand Dollars ($250,000).</w:t>
      </w:r>
    </w:p>
    <w:p>
      <w:pPr>
        <w:spacing w:after="0" w:line="113" w:lineRule="exact"/>
        <w:rPr>
          <w:sz w:val="20"/>
          <w:szCs w:val="20"/>
          <w:color w:val="auto"/>
        </w:rPr>
      </w:pPr>
    </w:p>
    <w:p>
      <w:pPr>
        <w:jc w:val="both"/>
        <w:ind w:left="3" w:firstLine="585"/>
        <w:spacing w:after="0" w:line="288" w:lineRule="auto"/>
        <w:rPr>
          <w:sz w:val="20"/>
          <w:szCs w:val="20"/>
          <w:color w:val="auto"/>
        </w:rPr>
      </w:pPr>
      <w:r>
        <w:rPr>
          <w:rFonts w:ascii="Arial" w:cs="Arial" w:eastAsia="Arial" w:hAnsi="Arial"/>
          <w:sz w:val="15"/>
          <w:szCs w:val="15"/>
          <w:b w:val="1"/>
          <w:bCs w:val="1"/>
          <w:color w:val="auto"/>
        </w:rPr>
        <w:t>6.4 Taxes; Pensions</w:t>
      </w:r>
      <w:r>
        <w:rPr>
          <w:rFonts w:ascii="Arial" w:cs="Arial" w:eastAsia="Arial" w:hAnsi="Arial"/>
          <w:sz w:val="15"/>
          <w:szCs w:val="15"/>
          <w:color w:val="auto"/>
        </w:rPr>
        <w:t>. Timely file, and cause each of its Subsidiaries to timely file, all required tax returns and reports and timely pay, and require each of its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Subsidiaries to timely pay, all foreign, federal, state and local taxes, assessments, deposits and contributions owed by such Loan Party and each of its Subsidiaries, except for deferred payment of any taxes contested pursuant to the terms of </w:t>
      </w:r>
      <w:r>
        <w:rPr>
          <w:rFonts w:ascii="Arial" w:cs="Arial" w:eastAsia="Arial" w:hAnsi="Arial"/>
          <w:sz w:val="15"/>
          <w:szCs w:val="15"/>
          <w:u w:val="single" w:color="auto"/>
          <w:color w:val="auto"/>
        </w:rPr>
        <w:t>Section 5.8</w:t>
      </w:r>
      <w:r>
        <w:rPr>
          <w:rFonts w:ascii="Arial" w:cs="Arial" w:eastAsia="Arial" w:hAnsi="Arial"/>
          <w:sz w:val="15"/>
          <w:szCs w:val="15"/>
          <w:color w:val="auto"/>
        </w:rPr>
        <w:t>, and shall deliver to Agent, on demand, appropriate certificates attesting to such payments, and pay all amounts necessary to fund all present pension, profit sharing and deferred compensation plans in accordance with their terms.</w:t>
      </w:r>
    </w:p>
    <w:p>
      <w:pPr>
        <w:spacing w:after="0" w:line="98" w:lineRule="exact"/>
        <w:rPr>
          <w:sz w:val="20"/>
          <w:szCs w:val="20"/>
          <w:color w:val="auto"/>
        </w:rPr>
      </w:pPr>
    </w:p>
    <w:p>
      <w:pPr>
        <w:ind w:left="583"/>
        <w:spacing w:after="0"/>
        <w:tabs>
          <w:tab w:leader="none" w:pos="922" w:val="left"/>
        </w:tabs>
        <w:rPr>
          <w:sz w:val="20"/>
          <w:szCs w:val="20"/>
          <w:color w:val="auto"/>
        </w:rPr>
      </w:pPr>
      <w:r>
        <w:rPr>
          <w:rFonts w:ascii="Arial" w:cs="Arial" w:eastAsia="Arial" w:hAnsi="Arial"/>
          <w:sz w:val="16"/>
          <w:szCs w:val="16"/>
          <w:b w:val="1"/>
          <w:bCs w:val="1"/>
          <w:color w:val="auto"/>
        </w:rPr>
        <w:t>6.5</w:t>
      </w:r>
      <w:r>
        <w:rPr>
          <w:sz w:val="20"/>
          <w:szCs w:val="20"/>
          <w:color w:val="auto"/>
        </w:rPr>
        <w:tab/>
      </w:r>
      <w:r>
        <w:rPr>
          <w:rFonts w:ascii="Arial" w:cs="Arial" w:eastAsia="Arial" w:hAnsi="Arial"/>
          <w:sz w:val="14"/>
          <w:szCs w:val="14"/>
          <w:b w:val="1"/>
          <w:bCs w:val="1"/>
          <w:color w:val="auto"/>
        </w:rPr>
        <w:t>Insurance</w:t>
      </w:r>
      <w:r>
        <w:rPr>
          <w:rFonts w:ascii="Arial" w:cs="Arial" w:eastAsia="Arial" w:hAnsi="Arial"/>
          <w:sz w:val="14"/>
          <w:szCs w:val="14"/>
          <w:color w:val="auto"/>
        </w:rPr>
        <w:t>.</w:t>
      </w:r>
    </w:p>
    <w:p>
      <w:pPr>
        <w:spacing w:after="0" w:line="161" w:lineRule="exact"/>
        <w:rPr>
          <w:sz w:val="20"/>
          <w:szCs w:val="20"/>
          <w:color w:val="auto"/>
        </w:rPr>
      </w:pPr>
    </w:p>
    <w:p>
      <w:pPr>
        <w:jc w:val="both"/>
        <w:ind w:left="3" w:right="20" w:firstLine="1167"/>
        <w:spacing w:after="0" w:line="268" w:lineRule="auto"/>
        <w:tabs>
          <w:tab w:leader="none" w:pos="1525" w:val="left"/>
        </w:tabs>
        <w:numPr>
          <w:ilvl w:val="1"/>
          <w:numId w:val="236"/>
        </w:numPr>
        <w:rPr>
          <w:rFonts w:ascii="Arial" w:cs="Arial" w:eastAsia="Arial" w:hAnsi="Arial"/>
          <w:sz w:val="16"/>
          <w:szCs w:val="16"/>
          <w:color w:val="auto"/>
        </w:rPr>
      </w:pPr>
      <w:r>
        <w:rPr>
          <w:rFonts w:ascii="Arial" w:cs="Arial" w:eastAsia="Arial" w:hAnsi="Arial"/>
          <w:sz w:val="16"/>
          <w:szCs w:val="16"/>
          <w:color w:val="auto"/>
        </w:rPr>
        <w:t>Keep, and cause each Subsidiary to keep, its business and the Collateral insured for risks and in amounts standard for companies in the Loan Parties’ industry and location and as Required Lenders may reasonably request. Insurance policies shall be in a form, with financially sound and reputable insurance companies that are not Affiliates of any Loan Party, and in amounts that are reasonably satisfactory to Required Lenders.</w:t>
      </w:r>
    </w:p>
    <w:p>
      <w:pPr>
        <w:spacing w:after="0" w:line="114" w:lineRule="exact"/>
        <w:rPr>
          <w:rFonts w:ascii="Arial" w:cs="Arial" w:eastAsia="Arial" w:hAnsi="Arial"/>
          <w:sz w:val="16"/>
          <w:szCs w:val="16"/>
          <w:color w:val="auto"/>
        </w:rPr>
      </w:pPr>
    </w:p>
    <w:p>
      <w:pPr>
        <w:jc w:val="both"/>
        <w:ind w:left="3" w:firstLine="1167"/>
        <w:spacing w:after="0" w:line="264" w:lineRule="auto"/>
        <w:tabs>
          <w:tab w:leader="none" w:pos="1538" w:val="left"/>
        </w:tabs>
        <w:numPr>
          <w:ilvl w:val="1"/>
          <w:numId w:val="236"/>
        </w:numPr>
        <w:rPr>
          <w:rFonts w:ascii="Arial" w:cs="Arial" w:eastAsia="Arial" w:hAnsi="Arial"/>
          <w:sz w:val="16"/>
          <w:szCs w:val="16"/>
          <w:color w:val="auto"/>
        </w:rPr>
      </w:pPr>
      <w:r>
        <w:rPr>
          <w:rFonts w:ascii="Arial" w:cs="Arial" w:eastAsia="Arial" w:hAnsi="Arial"/>
          <w:sz w:val="16"/>
          <w:szCs w:val="16"/>
          <w:color w:val="auto"/>
        </w:rPr>
        <w:t xml:space="preserve">Ensure that proceeds payable under any property policy with respect to Collateral or key man insurance are, at Agent’s option, payable to Agent, for the ratable benefit of Lenders, on account of the Obligations. To that end, all property policies shall have a lender’s loss payable endorsement showing Agent as lender loss payee, all liability policies shall show, or have endorsements showing, Agent as an additional insured, in each case, in form satisfactory to Agent and as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jc w:val="both"/>
        <w:ind w:left="3" w:firstLine="1167"/>
        <w:spacing w:after="0" w:line="296" w:lineRule="auto"/>
        <w:tabs>
          <w:tab w:leader="none" w:pos="1533" w:val="left"/>
        </w:tabs>
        <w:numPr>
          <w:ilvl w:val="1"/>
          <w:numId w:val="236"/>
        </w:numPr>
        <w:rPr>
          <w:rFonts w:ascii="Arial" w:cs="Arial" w:eastAsia="Arial" w:hAnsi="Arial"/>
          <w:sz w:val="14"/>
          <w:szCs w:val="14"/>
          <w:color w:val="auto"/>
        </w:rPr>
      </w:pPr>
      <w:r>
        <w:rPr>
          <w:rFonts w:ascii="Arial" w:cs="Arial" w:eastAsia="Arial" w:hAnsi="Arial"/>
          <w:sz w:val="14"/>
          <w:szCs w:val="14"/>
          <w:color w:val="auto"/>
        </w:rPr>
        <w:t>Notwithstanding the foregoing, (a) so long as no Event of Default has occurred and is continuing, the Loan Parties shall have the option of applying the proceeds of any casualty policy up to Five Hundred Thousand Dollars ($500,000), in the aggregate per fiscal year, toward the prompt replacement or repair of destroyed or damaged property; provided that any such replaced or repaired property shall be deemed Collateral in which Agent has been granted a first priority security interest and</w:t>
      </w:r>
    </w:p>
    <w:p>
      <w:pPr>
        <w:ind w:left="3" w:right="20" w:hanging="3"/>
        <w:spacing w:after="0" w:line="268" w:lineRule="auto"/>
        <w:tabs>
          <w:tab w:leader="none" w:pos="24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after the occurrence and during the continuance of an Event of Default, all such proceeds shall, at the option of Required Lenders, be payable to Agent, for the ratable benefit of Lenders, on account of the Obligations.</w:t>
      </w:r>
    </w:p>
    <w:p>
      <w:pPr>
        <w:spacing w:after="0" w:line="113" w:lineRule="exact"/>
        <w:rPr>
          <w:rFonts w:ascii="Arial" w:cs="Arial" w:eastAsia="Arial" w:hAnsi="Arial"/>
          <w:sz w:val="16"/>
          <w:szCs w:val="16"/>
          <w:color w:val="auto"/>
        </w:rPr>
      </w:pPr>
    </w:p>
    <w:p>
      <w:pPr>
        <w:ind w:left="3" w:right="20" w:firstLine="1167"/>
        <w:spacing w:after="0" w:line="358" w:lineRule="auto"/>
        <w:tabs>
          <w:tab w:leader="none" w:pos="1514" w:val="left"/>
        </w:tabs>
        <w:numPr>
          <w:ilvl w:val="1"/>
          <w:numId w:val="237"/>
        </w:numPr>
        <w:rPr>
          <w:rFonts w:ascii="Arial" w:cs="Arial" w:eastAsia="Arial" w:hAnsi="Arial"/>
          <w:sz w:val="14"/>
          <w:szCs w:val="14"/>
          <w:color w:val="auto"/>
        </w:rPr>
      </w:pPr>
      <w:r>
        <w:rPr>
          <w:rFonts w:ascii="Arial" w:cs="Arial" w:eastAsia="Arial" w:hAnsi="Arial"/>
          <w:sz w:val="14"/>
          <w:szCs w:val="14"/>
          <w:color w:val="auto"/>
        </w:rPr>
        <w:t xml:space="preserve">At Agent’s request, Borrower Representative shall deliver certified copies of insurance policies and evidence of all premium payments. Each provider of any such insurance required under this </w:t>
      </w:r>
      <w:r>
        <w:rPr>
          <w:rFonts w:ascii="Arial" w:cs="Arial" w:eastAsia="Arial" w:hAnsi="Arial"/>
          <w:sz w:val="14"/>
          <w:szCs w:val="14"/>
          <w:u w:val="single" w:color="auto"/>
          <w:color w:val="auto"/>
        </w:rPr>
        <w:t>Section 6.5</w:t>
      </w:r>
      <w:r>
        <w:rPr>
          <w:rFonts w:ascii="Arial" w:cs="Arial" w:eastAsia="Arial" w:hAnsi="Arial"/>
          <w:sz w:val="14"/>
          <w:szCs w:val="14"/>
          <w:color w:val="auto"/>
        </w:rPr>
        <w:t xml:space="preserve"> shall agree, by endorsement upon the policy or policies issued by it or by independent instruments furnished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3"/>
          </w:cols>
          <w:pgMar w:left="317" w:top="1296" w:right="319" w:bottom="1440" w:gutter="0" w:footer="0" w:header="0"/>
        </w:sectPr>
      </w:pPr>
    </w:p>
    <w:bookmarkStart w:id="357" w:name="page358"/>
    <w:bookmarkEnd w:id="357"/>
    <w:p>
      <w:pPr>
        <w:ind w:right="20"/>
        <w:spacing w:after="0" w:line="283" w:lineRule="auto"/>
        <w:rPr>
          <w:sz w:val="20"/>
          <w:szCs w:val="20"/>
          <w:color w:val="auto"/>
        </w:rPr>
      </w:pPr>
      <w:r>
        <w:rPr>
          <w:rFonts w:ascii="Arial" w:cs="Arial" w:eastAsia="Arial" w:hAnsi="Arial"/>
          <w:sz w:val="16"/>
          <w:szCs w:val="16"/>
          <w:color w:val="auto"/>
        </w:rPr>
        <w:t>Agent, that it will give Agent thirty (30) days prior written notice before any such policy or policies shall be canceled (or ten (10) days’ notice for cancellation for non-payment of premiums).</w:t>
      </w:r>
    </w:p>
    <w:p>
      <w:pPr>
        <w:spacing w:after="0" w:line="102" w:lineRule="exact"/>
        <w:rPr>
          <w:sz w:val="20"/>
          <w:szCs w:val="20"/>
          <w:color w:val="auto"/>
        </w:rPr>
      </w:pPr>
    </w:p>
    <w:p>
      <w:pPr>
        <w:jc w:val="both"/>
        <w:ind w:firstLine="1167"/>
        <w:spacing w:after="0" w:line="268" w:lineRule="auto"/>
        <w:tabs>
          <w:tab w:leader="none" w:pos="153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If any Loan Party fails to obtain insurance as required under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or to pay any amount or furnish any required proof of payment to third persons and Agent, Agent may make all or part of such payment or obtain such insurance policies required in this </w:t>
      </w:r>
      <w:r>
        <w:rPr>
          <w:rFonts w:ascii="Arial" w:cs="Arial" w:eastAsia="Arial" w:hAnsi="Arial"/>
          <w:sz w:val="16"/>
          <w:szCs w:val="16"/>
          <w:u w:val="single" w:color="auto"/>
          <w:color w:val="auto"/>
        </w:rPr>
        <w:t>Section 6.5</w:t>
      </w:r>
      <w:r>
        <w:rPr>
          <w:rFonts w:ascii="Arial" w:cs="Arial" w:eastAsia="Arial" w:hAnsi="Arial"/>
          <w:sz w:val="16"/>
          <w:szCs w:val="16"/>
          <w:color w:val="auto"/>
        </w:rPr>
        <w:t>, and take any action under the policies Agent deems prudent, or as Required Lenders may direct.</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6.6</w:t>
      </w:r>
      <w:r>
        <w:rPr>
          <w:sz w:val="20"/>
          <w:szCs w:val="20"/>
          <w:color w:val="auto"/>
        </w:rPr>
        <w:tab/>
      </w:r>
      <w:r>
        <w:rPr>
          <w:rFonts w:ascii="Arial" w:cs="Arial" w:eastAsia="Arial" w:hAnsi="Arial"/>
          <w:sz w:val="14"/>
          <w:szCs w:val="14"/>
          <w:b w:val="1"/>
          <w:bCs w:val="1"/>
          <w:color w:val="auto"/>
        </w:rPr>
        <w:t>Deposit and Securities Accounts</w:t>
      </w:r>
      <w:r>
        <w:rPr>
          <w:rFonts w:ascii="Arial" w:cs="Arial" w:eastAsia="Arial" w:hAnsi="Arial"/>
          <w:sz w:val="14"/>
          <w:szCs w:val="14"/>
          <w:color w:val="auto"/>
        </w:rPr>
        <w:t>.</w:t>
      </w:r>
    </w:p>
    <w:p>
      <w:pPr>
        <w:spacing w:after="0" w:line="161" w:lineRule="exact"/>
        <w:rPr>
          <w:sz w:val="20"/>
          <w:szCs w:val="20"/>
          <w:color w:val="auto"/>
        </w:rPr>
      </w:pPr>
    </w:p>
    <w:p>
      <w:pPr>
        <w:jc w:val="both"/>
        <w:ind w:firstLine="1167"/>
        <w:spacing w:after="0" w:line="264" w:lineRule="auto"/>
        <w:tabs>
          <w:tab w:leader="none" w:pos="1573"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Maintain, and cause each Subsidiary to maintain, all U.S. and Canadian domiciled Deposit Accounts and other operating accounts with CIBC or CIBC USA, and maintain Collateral Accounts only as set forth on the Perfection Certificate, or as disclosed pursuant to a notice timely delivered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w:t>
      </w:r>
      <w:r>
        <w:rPr>
          <w:rFonts w:ascii="Arial" w:cs="Arial" w:eastAsia="Arial" w:hAnsi="Arial"/>
          <w:sz w:val="16"/>
          <w:szCs w:val="16"/>
          <w:u w:val="single" w:color="auto"/>
          <w:color w:val="auto"/>
        </w:rPr>
        <w:t>below</w:t>
      </w:r>
      <w:r>
        <w:rPr>
          <w:rFonts w:ascii="Arial" w:cs="Arial" w:eastAsia="Arial" w:hAnsi="Arial"/>
          <w:sz w:val="16"/>
          <w:szCs w:val="16"/>
          <w:color w:val="auto"/>
        </w:rPr>
        <w:t>. Notwithstanding the foregoing, Borrower Representative shall be permitted to maintain the Collateral Accounts outside CIBC or CIBC USA as expressly contemplated by clause (d) of the defined term “Permitted Investments”.</w:t>
      </w:r>
    </w:p>
    <w:p>
      <w:pPr>
        <w:spacing w:after="0" w:line="116" w:lineRule="exact"/>
        <w:rPr>
          <w:rFonts w:ascii="Arial" w:cs="Arial" w:eastAsia="Arial" w:hAnsi="Arial"/>
          <w:sz w:val="16"/>
          <w:szCs w:val="16"/>
          <w:color w:val="auto"/>
        </w:rPr>
      </w:pPr>
    </w:p>
    <w:p>
      <w:pPr>
        <w:jc w:val="both"/>
        <w:ind w:firstLine="1167"/>
        <w:spacing w:after="0" w:line="261" w:lineRule="auto"/>
        <w:tabs>
          <w:tab w:leader="none" w:pos="1546"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Except for Collateral Accounts with an aggregate balance not to exceed $200,000, any account in which Permitted Cash Collateral is maintained or any account that is used exclusively to maintain funds in trust for customers, including in connection with expense reimbursement processing services provided to customers, in each case, which accounts have been identified as such to Agent in writing as such, for each Collateral Account that any Loan Party at any time maintains, Borrowers shall cause such Collateral Account to be subject to an Account Control Agreement, which Account Control Agreement may not be terminated without the prior written consent of Agent.</w:t>
      </w:r>
    </w:p>
    <w:p>
      <w:pPr>
        <w:spacing w:after="0" w:line="120" w:lineRule="exact"/>
        <w:rPr>
          <w:rFonts w:ascii="Arial" w:cs="Arial" w:eastAsia="Arial" w:hAnsi="Arial"/>
          <w:sz w:val="16"/>
          <w:szCs w:val="16"/>
          <w:color w:val="auto"/>
        </w:rPr>
      </w:pPr>
    </w:p>
    <w:p>
      <w:pPr>
        <w:jc w:val="both"/>
        <w:ind w:firstLine="1167"/>
        <w:spacing w:after="0" w:line="268" w:lineRule="auto"/>
        <w:tabs>
          <w:tab w:leader="none" w:pos="151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Borrowers shall not permit any CIBC Collateral Account to be used for third party payment processing activity or any other MSB Subsidiary activity, and to the extent necessary to comply with this clause (c), any MSB Subsidiary shall be permitted to maintain Collateral Accounts with other depository institutions.</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6.7</w:t>
      </w:r>
      <w:r>
        <w:rPr>
          <w:sz w:val="20"/>
          <w:szCs w:val="20"/>
          <w:color w:val="auto"/>
        </w:rPr>
        <w:tab/>
      </w:r>
      <w:r>
        <w:rPr>
          <w:rFonts w:ascii="Arial" w:cs="Arial" w:eastAsia="Arial" w:hAnsi="Arial"/>
          <w:sz w:val="15"/>
          <w:szCs w:val="15"/>
          <w:b w:val="1"/>
          <w:bCs w:val="1"/>
          <w:color w:val="auto"/>
        </w:rPr>
        <w:t>Intellectual Property</w:t>
      </w:r>
      <w:r>
        <w:rPr>
          <w:rFonts w:ascii="Arial" w:cs="Arial" w:eastAsia="Arial" w:hAnsi="Arial"/>
          <w:sz w:val="15"/>
          <w:szCs w:val="15"/>
          <w:color w:val="auto"/>
        </w:rPr>
        <w:t>.</w:t>
      </w:r>
    </w:p>
    <w:p>
      <w:pPr>
        <w:spacing w:after="0" w:line="161" w:lineRule="exact"/>
        <w:rPr>
          <w:sz w:val="20"/>
          <w:szCs w:val="20"/>
          <w:color w:val="auto"/>
        </w:rPr>
      </w:pPr>
    </w:p>
    <w:p>
      <w:pPr>
        <w:jc w:val="both"/>
        <w:ind w:right="20" w:firstLine="1167"/>
        <w:spacing w:after="0" w:line="260" w:lineRule="auto"/>
        <w:tabs>
          <w:tab w:leader="none" w:pos="1541" w:val="left"/>
        </w:tabs>
        <w:numPr>
          <w:ilvl w:val="0"/>
          <w:numId w:val="240"/>
        </w:numPr>
        <w:rPr>
          <w:rFonts w:ascii="Arial" w:cs="Arial" w:eastAsia="Arial" w:hAnsi="Arial"/>
          <w:sz w:val="16"/>
          <w:szCs w:val="16"/>
          <w:color w:val="auto"/>
        </w:rPr>
      </w:pPr>
      <w:r>
        <w:rPr>
          <w:rFonts w:ascii="Arial" w:cs="Arial" w:eastAsia="Arial" w:hAnsi="Arial"/>
          <w:sz w:val="16"/>
          <w:szCs w:val="16"/>
          <w:color w:val="auto"/>
        </w:rPr>
        <w:t>Protect, defend and maintain the validity and enforceability of its Intellectual Property material to its business; promptly advise Agent in writing of material infringements or any other event that could reasonably be expected to materially and adversely affect the value of its Intellectual Property material to its business; not suffer any material claim of infringement that could reasonably be expected to have a Material Adverse Effect unless such claim is dismissed within thirty days from initiation thereof or Borrowers have demonstrated to the satisfaction of Required Lenders that such proceedings are without merit and adequate reserves have been taken; and not allow any Intellectual Property material to the Loan Parties’ business to be abandoned, forfeited or dedicated to the public without written consent of Required Lenders.</w:t>
      </w:r>
    </w:p>
    <w:p>
      <w:pPr>
        <w:spacing w:after="0" w:line="119" w:lineRule="exact"/>
        <w:rPr>
          <w:rFonts w:ascii="Arial" w:cs="Arial" w:eastAsia="Arial" w:hAnsi="Arial"/>
          <w:sz w:val="16"/>
          <w:szCs w:val="16"/>
          <w:color w:val="auto"/>
        </w:rPr>
      </w:pPr>
    </w:p>
    <w:p>
      <w:pPr>
        <w:jc w:val="both"/>
        <w:ind w:right="20" w:firstLine="1167"/>
        <w:spacing w:after="0" w:line="298" w:lineRule="auto"/>
        <w:tabs>
          <w:tab w:leader="none" w:pos="1530" w:val="left"/>
        </w:tabs>
        <w:numPr>
          <w:ilvl w:val="0"/>
          <w:numId w:val="240"/>
        </w:numPr>
        <w:rPr>
          <w:rFonts w:ascii="Arial" w:cs="Arial" w:eastAsia="Arial" w:hAnsi="Arial"/>
          <w:sz w:val="14"/>
          <w:szCs w:val="14"/>
          <w:color w:val="auto"/>
        </w:rPr>
      </w:pPr>
      <w:r>
        <w:rPr>
          <w:rFonts w:ascii="Arial" w:cs="Arial" w:eastAsia="Arial" w:hAnsi="Arial"/>
          <w:sz w:val="14"/>
          <w:szCs w:val="14"/>
          <w:color w:val="auto"/>
        </w:rPr>
        <w:t>If any Loan Party (i) obtains any Patent, registered Trademark, registered Copyright, registered mask work, or any pending application for any of the foregoing, whether as owner or licensee, or (ii) applies for any Patent or the registration of any Trademark, then Borrower Representative shall promptly provide written notice thereof to Agent and shall execute such intellectual property security agreements and other documents and take such other actions as Agent may request to perfect and maintain a first priority perfected security interest in favor of Agent in such property. If a Loan Party decides to register any Copyrights or mask works in the United States Copyright Office, Borrower Representative shall: (x) provide Agent with at least fifteen (15) days prior written notice of such Loan Party’s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Agent may request to perfect and maintain a first priority perfected security interest in favor of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Representative shall promptly provide to Agent copies of all applications that it files for Patents or for the registration of Trademarks, Copyrights or mask 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320" w:top="1296" w:right="319" w:bottom="1440" w:gutter="0" w:footer="0" w:header="0"/>
        </w:sectPr>
      </w:pPr>
    </w:p>
    <w:bookmarkStart w:id="358" w:name="page359"/>
    <w:bookmarkEnd w:id="358"/>
    <w:p>
      <w:pPr>
        <w:ind w:right="20"/>
        <w:spacing w:after="0" w:line="283" w:lineRule="auto"/>
        <w:rPr>
          <w:sz w:val="20"/>
          <w:szCs w:val="20"/>
          <w:color w:val="auto"/>
        </w:rPr>
      </w:pPr>
      <w:r>
        <w:rPr>
          <w:rFonts w:ascii="Arial" w:cs="Arial" w:eastAsia="Arial" w:hAnsi="Arial"/>
          <w:sz w:val="16"/>
          <w:szCs w:val="16"/>
          <w:color w:val="auto"/>
        </w:rPr>
        <w:t>together with evidence of the recording of the intellectual property security agreement required for Agent to perfect and maintain a first priority perfected security interest in such property.</w:t>
      </w:r>
    </w:p>
    <w:p>
      <w:pPr>
        <w:spacing w:after="0" w:line="102" w:lineRule="exact"/>
        <w:rPr>
          <w:sz w:val="20"/>
          <w:szCs w:val="20"/>
          <w:color w:val="auto"/>
        </w:rPr>
      </w:pPr>
    </w:p>
    <w:p>
      <w:pPr>
        <w:jc w:val="both"/>
        <w:ind w:right="20" w:firstLine="1167"/>
        <w:spacing w:after="0" w:line="260" w:lineRule="auto"/>
        <w:tabs>
          <w:tab w:leader="none" w:pos="1559"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Provide written notice to Agent within ten (10) days of any Loan Party entering or becoming bound by any Restricted License (other than off the shelf software and services that are commercially available to the public). Each Borrower shall, and shall cause each Loan Party to, take such steps as Agent requests to obtain the consent of, or waiver by, any person whose consent or waiver is necessary for (i) any Restricted License to be deemed “Collateral” and for Agent to have a security interest in it that might otherwise be restricted or prohibited by law or by the terms of any such Restricted License, whether now existing or entered into in the future, and (ii) Agent to have the ability in the event of a liquidation of any Collateral to dispose of such Collateral in accordance with Agent’s rights and remedies under this Agreement and the other Loan Documents.</w:t>
      </w:r>
    </w:p>
    <w:p>
      <w:pPr>
        <w:spacing w:after="0" w:line="115"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b w:val="1"/>
          <w:bCs w:val="1"/>
          <w:color w:val="auto"/>
        </w:rPr>
        <w:t>6.8 Litigation Cooperation</w:t>
      </w:r>
      <w:r>
        <w:rPr>
          <w:rFonts w:ascii="Arial" w:cs="Arial" w:eastAsia="Arial" w:hAnsi="Arial"/>
          <w:sz w:val="16"/>
          <w:szCs w:val="16"/>
          <w:color w:val="auto"/>
        </w:rPr>
        <w:t>. From the Closing Date and continuing through the termination of this Agreement, make available to any Secured Party,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to such Secured Party, each Loan Party and its officers, employees and agents and each Loan Party’s books and records, to the extent that such Secured Party may deem them reasonably necessary to prosecute or defend any third-party suit or proceeding instituted by or against such Secured Party with respect to any Collateral or relating to such Loan Party.</w:t>
      </w:r>
    </w:p>
    <w:p>
      <w:pPr>
        <w:spacing w:after="0" w:line="113"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5"/>
          <w:szCs w:val="15"/>
          <w:b w:val="1"/>
          <w:bCs w:val="1"/>
          <w:color w:val="auto"/>
        </w:rPr>
        <w:t>6.9 Access to Collateral; Books and Records</w:t>
      </w:r>
      <w:r>
        <w:rPr>
          <w:rFonts w:ascii="Arial" w:cs="Arial" w:eastAsia="Arial" w:hAnsi="Arial"/>
          <w:sz w:val="15"/>
          <w:szCs w:val="15"/>
          <w:color w:val="auto"/>
        </w:rPr>
        <w:t>. Allow Agent, or its agents, to inspect the Collateral and audit and copy such Loan Party’s Books in accordance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w:t>
      </w:r>
      <w:r>
        <w:rPr>
          <w:rFonts w:ascii="Arial" w:cs="Arial" w:eastAsia="Arial" w:hAnsi="Arial"/>
          <w:sz w:val="15"/>
          <w:szCs w:val="15"/>
          <w:u w:val="single" w:color="auto"/>
          <w:color w:val="auto"/>
        </w:rPr>
        <w:t>Section 6.13</w:t>
      </w:r>
      <w:r>
        <w:rPr>
          <w:rFonts w:ascii="Arial" w:cs="Arial" w:eastAsia="Arial" w:hAnsi="Arial"/>
          <w:sz w:val="15"/>
          <w:szCs w:val="15"/>
          <w:color w:val="auto"/>
        </w:rPr>
        <w:t>. Such inspections or audits shall occur during Borrower’s usual business hours and upon at least five (5) business days’ prior written notice and be conducted no more often than once every twelve (12) months, unless an Event of Default has occurred and is continuing in which case such inspections and audits shall occur as often and at such times as Agent shall determine is necessary. The foregoing inspections and audits shall be at Borrowers’ expense.</w:t>
      </w:r>
    </w:p>
    <w:p>
      <w:pPr>
        <w:spacing w:after="0" w:line="98"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6.10</w:t>
      </w:r>
      <w:r>
        <w:rPr>
          <w:sz w:val="20"/>
          <w:szCs w:val="20"/>
          <w:color w:val="auto"/>
        </w:rPr>
        <w:tab/>
      </w:r>
      <w:r>
        <w:rPr>
          <w:rFonts w:ascii="Arial" w:cs="Arial" w:eastAsia="Arial" w:hAnsi="Arial"/>
          <w:sz w:val="14"/>
          <w:szCs w:val="14"/>
          <w:b w:val="1"/>
          <w:bCs w:val="1"/>
          <w:color w:val="auto"/>
        </w:rPr>
        <w:t>Financial Covenants</w:t>
      </w:r>
      <w:r>
        <w:rPr>
          <w:rFonts w:ascii="Arial" w:cs="Arial" w:eastAsia="Arial" w:hAnsi="Arial"/>
          <w:sz w:val="14"/>
          <w:szCs w:val="14"/>
          <w:color w:val="auto"/>
        </w:rPr>
        <w:t>.</w:t>
      </w:r>
    </w:p>
    <w:p>
      <w:pPr>
        <w:spacing w:after="0" w:line="161" w:lineRule="exact"/>
        <w:rPr>
          <w:sz w:val="20"/>
          <w:szCs w:val="20"/>
          <w:color w:val="auto"/>
        </w:rPr>
      </w:pPr>
    </w:p>
    <w:p>
      <w:pPr>
        <w:ind w:left="1500" w:hanging="333"/>
        <w:spacing w:after="0"/>
        <w:tabs>
          <w:tab w:leader="none" w:pos="150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From the Effective Date to but excluding the one year anniversary of the Effective Date, the following financial covenants shall apply:</w:t>
      </w:r>
    </w:p>
    <w:p>
      <w:pPr>
        <w:spacing w:after="0" w:line="157" w:lineRule="exact"/>
        <w:rPr>
          <w:rFonts w:ascii="Arial" w:cs="Arial" w:eastAsia="Arial" w:hAnsi="Arial"/>
          <w:sz w:val="16"/>
          <w:szCs w:val="16"/>
          <w:color w:val="auto"/>
        </w:rPr>
      </w:pPr>
    </w:p>
    <w:p>
      <w:pPr>
        <w:ind w:left="2060" w:hanging="309"/>
        <w:spacing w:after="0"/>
        <w:tabs>
          <w:tab w:leader="none" w:pos="206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Total ARR Leverage Ratio shall not exceed 0.8 to 1.0, tested on the last day of each fiscal quarter.</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Borrowers shall maintain Liquidity at all times not less than $10,000,000.</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From the one year anniversary of the Effective Date and at all times thereafter, the following financial covenants shall apply:</w:t>
      </w:r>
    </w:p>
    <w:p>
      <w:pPr>
        <w:spacing w:after="0" w:line="157" w:lineRule="exact"/>
        <w:rPr>
          <w:rFonts w:ascii="Arial" w:cs="Arial" w:eastAsia="Arial" w:hAnsi="Arial"/>
          <w:sz w:val="16"/>
          <w:szCs w:val="16"/>
          <w:color w:val="auto"/>
        </w:rPr>
      </w:pPr>
    </w:p>
    <w:p>
      <w:pPr>
        <w:ind w:left="2060" w:hanging="309"/>
        <w:spacing w:after="0"/>
        <w:tabs>
          <w:tab w:leader="none" w:pos="2060" w:val="left"/>
        </w:tabs>
        <w:numPr>
          <w:ilvl w:val="1"/>
          <w:numId w:val="242"/>
        </w:numPr>
        <w:rPr>
          <w:rFonts w:ascii="Arial" w:cs="Arial" w:eastAsia="Arial" w:hAnsi="Arial"/>
          <w:sz w:val="14"/>
          <w:szCs w:val="14"/>
          <w:color w:val="auto"/>
        </w:rPr>
      </w:pPr>
      <w:r>
        <w:rPr>
          <w:rFonts w:ascii="Arial" w:cs="Arial" w:eastAsia="Arial" w:hAnsi="Arial"/>
          <w:sz w:val="14"/>
          <w:szCs w:val="14"/>
          <w:color w:val="auto"/>
        </w:rPr>
        <w:t>Total EBITDA Net Leverage Ratio shall not be less than the amount set forth in the schedule below opposite the corresponding measurement</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date, tested quarterly;</w:t>
      </w:r>
    </w:p>
    <w:p>
      <w:pPr>
        <w:spacing w:after="0" w:line="162" w:lineRule="exact"/>
        <w:rPr>
          <w:sz w:val="20"/>
          <w:szCs w:val="20"/>
          <w:color w:val="auto"/>
        </w:rPr>
      </w:pPr>
    </w:p>
    <w:tbl>
      <w:tblPr>
        <w:tblLayout w:type="fixed"/>
        <w:tblInd w:w="2350" w:type="dxa"/>
        <w:tblCellMar>
          <w:top w:w="0" w:type="dxa"/>
          <w:left w:w="0" w:type="dxa"/>
          <w:bottom w:w="0" w:type="dxa"/>
          <w:right w:w="0" w:type="dxa"/>
        </w:tblCellMar>
      </w:tblPr>
      <w:tr>
        <w:trPr>
          <w:trHeight w:val="219"/>
        </w:trPr>
        <w:tc>
          <w:tcPr>
            <w:tcW w:w="31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Measurement Period</w:t>
            </w:r>
          </w:p>
        </w:tc>
        <w:tc>
          <w:tcPr>
            <w:tcW w:w="30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Maximum Total Leverage Ratio</w:t>
            </w:r>
          </w:p>
        </w:tc>
      </w:tr>
      <w:tr>
        <w:trPr>
          <w:trHeight w:val="151"/>
        </w:trPr>
        <w:tc>
          <w:tcPr>
            <w:tcW w:w="3100" w:type="dxa"/>
            <w:vAlign w:val="bottom"/>
            <w:tcBorders>
              <w:left w:val="single" w:sz="8" w:color="auto"/>
              <w:right w:val="single" w:sz="8" w:color="auto"/>
            </w:tcBorders>
          </w:tcPr>
          <w:p>
            <w:pPr>
              <w:ind w:left="60"/>
              <w:spacing w:after="0" w:line="151" w:lineRule="exact"/>
              <w:rPr>
                <w:sz w:val="20"/>
                <w:szCs w:val="20"/>
                <w:color w:val="auto"/>
              </w:rPr>
            </w:pPr>
            <w:r>
              <w:rPr>
                <w:rFonts w:ascii="Arial" w:cs="Arial" w:eastAsia="Arial" w:hAnsi="Arial"/>
                <w:sz w:val="16"/>
                <w:szCs w:val="16"/>
                <w:color w:val="auto"/>
                <w:w w:val="99"/>
              </w:rPr>
              <w:t>September 30, 2022 through and including</w:t>
            </w:r>
          </w:p>
        </w:tc>
        <w:tc>
          <w:tcPr>
            <w:tcW w:w="308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6"/>
                <w:szCs w:val="16"/>
                <w:color w:val="auto"/>
              </w:rPr>
              <w:t>5.00 to 1.00</w:t>
            </w:r>
          </w:p>
        </w:tc>
      </w:tr>
      <w:tr>
        <w:trPr>
          <w:trHeight w:val="207"/>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June 30, 2023</w:t>
            </w:r>
          </w:p>
        </w:tc>
        <w:tc>
          <w:tcPr>
            <w:tcW w:w="3080" w:type="dxa"/>
            <w:vAlign w:val="bottom"/>
            <w:tcBorders>
              <w:bottom w:val="single" w:sz="8" w:color="auto"/>
              <w:right w:val="single" w:sz="8" w:color="auto"/>
            </w:tcBorders>
          </w:tcPr>
          <w:p>
            <w:pPr>
              <w:spacing w:after="0"/>
              <w:rPr>
                <w:sz w:val="17"/>
                <w:szCs w:val="17"/>
                <w:color w:val="auto"/>
              </w:rPr>
            </w:pPr>
          </w:p>
        </w:tc>
      </w:tr>
      <w:tr>
        <w:trPr>
          <w:trHeight w:val="151"/>
        </w:trPr>
        <w:tc>
          <w:tcPr>
            <w:tcW w:w="3100" w:type="dxa"/>
            <w:vAlign w:val="bottom"/>
            <w:tcBorders>
              <w:left w:val="single" w:sz="8" w:color="auto"/>
              <w:right w:val="single" w:sz="8" w:color="auto"/>
            </w:tcBorders>
          </w:tcPr>
          <w:p>
            <w:pPr>
              <w:ind w:left="60"/>
              <w:spacing w:after="0" w:line="151" w:lineRule="exact"/>
              <w:rPr>
                <w:sz w:val="20"/>
                <w:szCs w:val="20"/>
                <w:color w:val="auto"/>
              </w:rPr>
            </w:pPr>
            <w:r>
              <w:rPr>
                <w:rFonts w:ascii="Arial" w:cs="Arial" w:eastAsia="Arial" w:hAnsi="Arial"/>
                <w:sz w:val="16"/>
                <w:szCs w:val="16"/>
                <w:color w:val="auto"/>
                <w:w w:val="99"/>
              </w:rPr>
              <w:t>September 30, 2023 through and including</w:t>
            </w:r>
          </w:p>
        </w:tc>
        <w:tc>
          <w:tcPr>
            <w:tcW w:w="308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6"/>
                <w:szCs w:val="16"/>
                <w:color w:val="auto"/>
              </w:rPr>
              <w:t>4.00 to 1.00</w:t>
            </w:r>
          </w:p>
        </w:tc>
      </w:tr>
      <w:tr>
        <w:trPr>
          <w:trHeight w:val="207"/>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June 30, 2024</w:t>
            </w:r>
          </w:p>
        </w:tc>
        <w:tc>
          <w:tcPr>
            <w:tcW w:w="3080" w:type="dxa"/>
            <w:vAlign w:val="bottom"/>
            <w:tcBorders>
              <w:bottom w:val="single" w:sz="8" w:color="auto"/>
              <w:right w:val="single" w:sz="8" w:color="auto"/>
            </w:tcBorders>
          </w:tcPr>
          <w:p>
            <w:pPr>
              <w:spacing w:after="0"/>
              <w:rPr>
                <w:sz w:val="17"/>
                <w:szCs w:val="17"/>
                <w:color w:val="auto"/>
              </w:rPr>
            </w:pPr>
          </w:p>
        </w:tc>
      </w:tr>
      <w:tr>
        <w:trPr>
          <w:trHeight w:val="199"/>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September 30, 2024 and thereafter</w:t>
            </w:r>
          </w:p>
        </w:tc>
        <w:tc>
          <w:tcPr>
            <w:tcW w:w="3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3.00 to 1.00</w:t>
            </w:r>
          </w:p>
        </w:tc>
      </w:tr>
    </w:tbl>
    <w:p>
      <w:pPr>
        <w:spacing w:after="0" w:line="219" w:lineRule="exact"/>
        <w:rPr>
          <w:sz w:val="20"/>
          <w:szCs w:val="20"/>
          <w:color w:val="auto"/>
        </w:rPr>
      </w:pPr>
    </w:p>
    <w:p>
      <w:pPr>
        <w:ind w:left="2100" w:hanging="349"/>
        <w:spacing w:after="0"/>
        <w:tabs>
          <w:tab w:leader="none" w:pos="210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Fixed Charge Coverage Ratio shall not be less than 1.10 to 1.00, tested quarterly on the last day of each calendar quarter.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17</w:t>
      </w:r>
    </w:p>
    <w:p>
      <w:pPr>
        <w:sectPr>
          <w:pgSz w:w="11900" w:h="16838" w:orient="portrait"/>
          <w:cols w:equalWidth="0" w:num="1">
            <w:col w:w="11260"/>
          </w:cols>
          <w:pgMar w:left="320" w:top="1296" w:right="319" w:bottom="1440" w:gutter="0" w:footer="0" w:header="0"/>
        </w:sectPr>
      </w:pPr>
    </w:p>
    <w:bookmarkStart w:id="359" w:name="page360"/>
    <w:bookmarkEnd w:id="359"/>
    <w:p>
      <w:pPr>
        <w:ind w:left="580"/>
        <w:spacing w:after="0"/>
        <w:tabs>
          <w:tab w:leader="none" w:pos="1000" w:val="left"/>
        </w:tabs>
        <w:rPr>
          <w:sz w:val="20"/>
          <w:szCs w:val="20"/>
          <w:color w:val="auto"/>
        </w:rPr>
      </w:pPr>
      <w:r>
        <w:rPr>
          <w:rFonts w:ascii="Arial" w:cs="Arial" w:eastAsia="Arial" w:hAnsi="Arial"/>
          <w:sz w:val="16"/>
          <w:szCs w:val="16"/>
          <w:b w:val="1"/>
          <w:bCs w:val="1"/>
          <w:color w:val="auto"/>
        </w:rPr>
        <w:t>6.11</w:t>
      </w:r>
      <w:r>
        <w:rPr>
          <w:sz w:val="20"/>
          <w:szCs w:val="20"/>
          <w:color w:val="auto"/>
        </w:rPr>
        <w:tab/>
      </w:r>
      <w:r>
        <w:rPr>
          <w:rFonts w:ascii="Arial" w:cs="Arial" w:eastAsia="Arial" w:hAnsi="Arial"/>
          <w:sz w:val="14"/>
          <w:szCs w:val="14"/>
          <w:b w:val="1"/>
          <w:bCs w:val="1"/>
          <w:color w:val="auto"/>
        </w:rPr>
        <w:t>Subsidiary Matters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76" w:lineRule="auto"/>
        <w:tabs>
          <w:tab w:leader="none" w:pos="1535" w:val="left"/>
        </w:tabs>
        <w:numPr>
          <w:ilvl w:val="0"/>
          <w:numId w:val="244"/>
        </w:numPr>
        <w:rPr>
          <w:rFonts w:ascii="Arial" w:cs="Arial" w:eastAsia="Arial" w:hAnsi="Arial"/>
          <w:sz w:val="15"/>
          <w:szCs w:val="15"/>
          <w:color w:val="auto"/>
        </w:rPr>
      </w:pPr>
      <w:r>
        <w:rPr>
          <w:rFonts w:ascii="Arial" w:cs="Arial" w:eastAsia="Arial" w:hAnsi="Arial"/>
          <w:sz w:val="15"/>
          <w:szCs w:val="15"/>
          <w:color w:val="auto"/>
        </w:rPr>
        <w:t xml:space="preserve">No later than thirty (30) days after such time as (a) a Loan Party or any of its Subsidiaries forms or acquires any direct or indirect Subsidiary (other than an MSB Subsidiary), or if any Subsidiary ceases to qualify as an Excluded Subsidiary pursuant to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of the defined term “Excluded Subsidiary”, Borrower Representative shall notify Agent thereof, and shall provide such details as Agent may reasonably request, and at the request of Agent, shall cause such Subsidiary to (x) enter into a joinder to this Agreement to become a co-borrower hereunder, or enter into a Guaranty with respect to the Obligations, together with such collateral security documents and related filings, all in form and substance satisfactory to Agent and sufficient to grant Agent a first priority Lien (subject to Permitted Liens) in and to all assets of such Subsidiary, (y) promptly, and in any event within five (5) days of the formation or acquisition or Agent’s request, provide certified copies of the Operating Documents for such Subsidiary and (z) provide to Agent all other documentation in form and substance satisfactory to Agent, including one or more opinions of counsel satisfactory to Agent, which in its opinion is appropriate with respect to the execution and delivery of such joinder, guaranty or security documents. Any document, agreement, or instrument executed or issued pursuant to this </w:t>
      </w:r>
      <w:r>
        <w:rPr>
          <w:rFonts w:ascii="Arial" w:cs="Arial" w:eastAsia="Arial" w:hAnsi="Arial"/>
          <w:sz w:val="15"/>
          <w:szCs w:val="15"/>
          <w:u w:val="single" w:color="auto"/>
          <w:color w:val="auto"/>
        </w:rPr>
        <w:t>Section 6.11</w:t>
      </w:r>
      <w:r>
        <w:rPr>
          <w:rFonts w:ascii="Arial" w:cs="Arial" w:eastAsia="Arial" w:hAnsi="Arial"/>
          <w:sz w:val="15"/>
          <w:szCs w:val="15"/>
          <w:color w:val="auto"/>
        </w:rPr>
        <w:t xml:space="preserve"> shall be a Loan Document. Notwithstanding the foregoing, any Excluded Subsidiary shall not be required to become a Loan Party pursuant to the foregoing, subject to any conditions applicable thereto set forth in the defined term “Excluded Subsidiary”.</w:t>
      </w:r>
    </w:p>
    <w:p>
      <w:pPr>
        <w:spacing w:after="0" w:line="111" w:lineRule="exact"/>
        <w:rPr>
          <w:rFonts w:ascii="Arial" w:cs="Arial" w:eastAsia="Arial" w:hAnsi="Arial"/>
          <w:sz w:val="15"/>
          <w:szCs w:val="15"/>
          <w:color w:val="auto"/>
        </w:rPr>
      </w:pPr>
    </w:p>
    <w:p>
      <w:pPr>
        <w:jc w:val="both"/>
        <w:ind w:right="20" w:firstLine="1167"/>
        <w:spacing w:after="0" w:line="277" w:lineRule="auto"/>
        <w:tabs>
          <w:tab w:leader="none" w:pos="1607" w:val="left"/>
        </w:tabs>
        <w:numPr>
          <w:ilvl w:val="0"/>
          <w:numId w:val="244"/>
        </w:numPr>
        <w:rPr>
          <w:rFonts w:ascii="Arial" w:cs="Arial" w:eastAsia="Arial" w:hAnsi="Arial"/>
          <w:sz w:val="15"/>
          <w:szCs w:val="15"/>
          <w:color w:val="auto"/>
        </w:rPr>
      </w:pPr>
      <w:r>
        <w:rPr>
          <w:rFonts w:ascii="Arial" w:cs="Arial" w:eastAsia="Arial" w:hAnsi="Arial"/>
          <w:sz w:val="15"/>
          <w:szCs w:val="15"/>
          <w:color w:val="auto"/>
        </w:rPr>
        <w:t>Not permit Subsidiaries which are not Loan Parties (including all MSB Subsidiaries), together, (i) to maintain cash and other assets having an aggregate value in excess of ten percent (10.0%) of consolidated assets of Borrower Representative, and its Subsidiaries, on a consolidated basis, and each such Subsidiary, individually, to maintain cash and other assets having an aggregate value in excess of five percent (5.0%) of consolidated assets of Borrower Representative, and its Subsidiaries, on a consolidated basis, in each case, tested as of the last day of each fiscal quarter, provided that, for purposes of the foregoing, (x) the assets of the Real Estate SPV and (y) with respect to MSB Subsidiaries, any customer held funds, funds held by FBO customers and any funds held in trust as required by banking partners shall be disregarded, (ii) to contribute more than ten percent (10.0%) to consolidated revenue of Borrower Representative and its Subsidiaries consolidated revenue or EBITDA, and each such Subsidiary, individually, not contribute more than five percent (5.0%) to consolidated revenue of Borrower Representative and its Subsidiaries consolidated revenue or EBITDA, in each case, tested on a quarterly basis for the then-most recent quarter, or (iii) to own any Intellectual Property that is material to the business of Borrower Representative and its Subsidiaries as a whole.</w:t>
      </w:r>
    </w:p>
    <w:p>
      <w:pPr>
        <w:spacing w:after="0" w:line="108" w:lineRule="exact"/>
        <w:rPr>
          <w:rFonts w:ascii="Arial" w:cs="Arial" w:eastAsia="Arial" w:hAnsi="Arial"/>
          <w:sz w:val="15"/>
          <w:szCs w:val="15"/>
          <w:color w:val="auto"/>
        </w:rPr>
      </w:pPr>
    </w:p>
    <w:p>
      <w:pPr>
        <w:jc w:val="both"/>
        <w:ind w:firstLine="1167"/>
        <w:spacing w:after="0" w:line="257" w:lineRule="auto"/>
        <w:tabs>
          <w:tab w:leader="none" w:pos="153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Cause each MSB Subsidiary to (i) not conduct any business or have any operations except as necessary to maintain legal existence, maintain money transmitter licenses and other activities ancillary thereto (including, but not limited to, the transmission of funds on behalf of Borrower or its customers), (ii) have no material assets except for (x) proceeds from Investments made in accordance with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in the defined term “Permitted Investments”, which are maintained as restricted cash in connection with money transmitter licenses, or funds held in a trust account on behalf of customers, and (y) money transmitter licenses, (iv) not have any revenue, provided that the foregoing shall not restrict such MSB Subsidiary from contributing to revenue generation by a Borrower and (v) not have any Subsidiaries. No Loan Party shall guaranty or otherwise be liable for or provide collateral security or other credit support for Indebtedness of an MSB Subsidiary, and no MSB Subsidiary shall guaranty or otherwise be liable for or provide collateral security or other credit support for Indebtedness of a Loan Party, in each case, directly or indirectly. At Agent’s request, Borrower Representative shall provide evidence and supporting calculations satisfactory to Agent demonstrating compliance with the foregoing.</w:t>
      </w:r>
    </w:p>
    <w:p>
      <w:pPr>
        <w:spacing w:after="0" w:line="123"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6.12</w:t>
      </w:r>
      <w:r>
        <w:rPr>
          <w:sz w:val="20"/>
          <w:szCs w:val="20"/>
          <w:color w:val="auto"/>
        </w:rPr>
        <w:tab/>
      </w:r>
      <w:r>
        <w:rPr>
          <w:rFonts w:ascii="Arial" w:cs="Arial" w:eastAsia="Arial" w:hAnsi="Arial"/>
          <w:sz w:val="14"/>
          <w:szCs w:val="14"/>
          <w:b w:val="1"/>
          <w:bCs w:val="1"/>
          <w:color w:val="auto"/>
        </w:rPr>
        <w:t>Property Locations</w:t>
      </w:r>
      <w:r>
        <w:rPr>
          <w:rFonts w:ascii="Arial" w:cs="Arial" w:eastAsia="Arial" w:hAnsi="Arial"/>
          <w:sz w:val="14"/>
          <w:szCs w:val="14"/>
          <w:color w:val="auto"/>
        </w:rPr>
        <w:t>.</w:t>
      </w:r>
    </w:p>
    <w:p>
      <w:pPr>
        <w:spacing w:after="0" w:line="161" w:lineRule="exact"/>
        <w:rPr>
          <w:sz w:val="20"/>
          <w:szCs w:val="20"/>
          <w:color w:val="auto"/>
        </w:rPr>
      </w:pPr>
    </w:p>
    <w:p>
      <w:pPr>
        <w:ind w:right="20" w:firstLine="1167"/>
        <w:spacing w:after="0" w:line="283" w:lineRule="auto"/>
        <w:tabs>
          <w:tab w:leader="none" w:pos="153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Provide to Agent at least ten (10) days’ prior written notice before adding any new offices or business or Collateral locations, including warehouses (unless such new offices or business or Collateral locations qualify as Excluded Locations).</w:t>
      </w:r>
    </w:p>
    <w:p>
      <w:pPr>
        <w:spacing w:after="0" w:line="101" w:lineRule="exact"/>
        <w:rPr>
          <w:rFonts w:ascii="Arial" w:cs="Arial" w:eastAsia="Arial" w:hAnsi="Arial"/>
          <w:sz w:val="16"/>
          <w:szCs w:val="16"/>
          <w:color w:val="auto"/>
        </w:rPr>
      </w:pPr>
    </w:p>
    <w:p>
      <w:pPr>
        <w:ind w:right="20" w:firstLine="1167"/>
        <w:spacing w:after="0" w:line="318" w:lineRule="auto"/>
        <w:tabs>
          <w:tab w:leader="none" w:pos="1558" w:val="left"/>
        </w:tabs>
        <w:numPr>
          <w:ilvl w:val="0"/>
          <w:numId w:val="245"/>
        </w:numPr>
        <w:rPr>
          <w:rFonts w:ascii="Arial" w:cs="Arial" w:eastAsia="Arial" w:hAnsi="Arial"/>
          <w:sz w:val="15"/>
          <w:szCs w:val="15"/>
          <w:color w:val="auto"/>
        </w:rPr>
      </w:pPr>
      <w:r>
        <w:rPr>
          <w:rFonts w:ascii="Arial" w:cs="Arial" w:eastAsia="Arial" w:hAnsi="Arial"/>
          <w:sz w:val="15"/>
          <w:szCs w:val="15"/>
          <w:color w:val="auto"/>
        </w:rPr>
        <w:t>With respect to any property or assets of a Loan Party located with a third party, including a bailee, datacenter or warehouse (other than Excluded Locations), Borrowers shall cause such third party to execute and deliver a Collateral Access Agreement for such location, including an acknowledgment from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320" w:top="1292" w:right="319" w:bottom="1440" w:gutter="0" w:footer="0" w:header="0"/>
        </w:sectPr>
      </w:pPr>
    </w:p>
    <w:bookmarkStart w:id="360" w:name="page361"/>
    <w:bookmarkEnd w:id="360"/>
    <w:p>
      <w:pPr>
        <w:ind w:right="20"/>
        <w:spacing w:after="0" w:line="283" w:lineRule="auto"/>
        <w:rPr>
          <w:sz w:val="20"/>
          <w:szCs w:val="20"/>
          <w:color w:val="auto"/>
        </w:rPr>
      </w:pPr>
      <w:r>
        <w:rPr>
          <w:rFonts w:ascii="Arial" w:cs="Arial" w:eastAsia="Arial" w:hAnsi="Arial"/>
          <w:sz w:val="16"/>
          <w:szCs w:val="16"/>
          <w:color w:val="auto"/>
        </w:rPr>
        <w:t>the third parties that it is holding or will hold such property for the benefit of Agent. Borrowers shall deliver to Agent each warehouse receipt, where negotiable, covering any such property.</w:t>
      </w:r>
    </w:p>
    <w:p>
      <w:pPr>
        <w:spacing w:after="0" w:line="102" w:lineRule="exact"/>
        <w:rPr>
          <w:sz w:val="20"/>
          <w:szCs w:val="20"/>
          <w:color w:val="auto"/>
        </w:rPr>
      </w:pPr>
    </w:p>
    <w:p>
      <w:pPr>
        <w:ind w:right="20" w:firstLine="1167"/>
        <w:spacing w:after="0" w:line="283" w:lineRule="auto"/>
        <w:tabs>
          <w:tab w:leader="none" w:pos="152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With respect to any property or assets of a Loan Party located on leased premises (other than Excluded Locations), Borrowers shall cause such third party to execute and deliver a Collateral Access Agreement for such location.</w:t>
      </w:r>
    </w:p>
    <w:p>
      <w:pPr>
        <w:spacing w:after="0" w:line="98" w:lineRule="exact"/>
        <w:rPr>
          <w:sz w:val="20"/>
          <w:szCs w:val="20"/>
          <w:color w:val="auto"/>
        </w:rPr>
      </w:pPr>
    </w:p>
    <w:p>
      <w:pPr>
        <w:jc w:val="both"/>
        <w:ind w:right="20" w:firstLine="585"/>
        <w:spacing w:after="0" w:line="261" w:lineRule="auto"/>
        <w:rPr>
          <w:sz w:val="20"/>
          <w:szCs w:val="20"/>
          <w:color w:val="auto"/>
        </w:rPr>
      </w:pPr>
      <w:r>
        <w:rPr>
          <w:rFonts w:ascii="Arial" w:cs="Arial" w:eastAsia="Arial" w:hAnsi="Arial"/>
          <w:sz w:val="16"/>
          <w:szCs w:val="16"/>
          <w:b w:val="1"/>
          <w:bCs w:val="1"/>
          <w:color w:val="auto"/>
        </w:rPr>
        <w:t>6.13 Board Observation Rights</w:t>
      </w:r>
      <w:r>
        <w:rPr>
          <w:rFonts w:ascii="Arial" w:cs="Arial" w:eastAsia="Arial" w:hAnsi="Arial"/>
          <w:sz w:val="16"/>
          <w:szCs w:val="16"/>
          <w:color w:val="auto"/>
        </w:rPr>
        <w:t>. Allow one representative of Agent designated from time to time to attend (in person or by conference call) any meetings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or committee or subcommittee thereof in a non-voting observer capacity, and provide to such representative, at the same time as provided to members of the Board or such committee or subcommittee, as applicable, with copies of all notices, minutes, written consents, and other materials provided to such members,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such representative shall agree to hold in confidence and trust all such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Borrower Representative reserves the right to withhold any information and to exclude such representative from any meeting or portion thereof if access to such information or attendance at such meeting could impair the attorney-client privilege with respect to pending or threatened litigation.</w:t>
      </w:r>
    </w:p>
    <w:p>
      <w:pPr>
        <w:spacing w:after="0" w:line="115"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b w:val="1"/>
          <w:bCs w:val="1"/>
          <w:color w:val="auto"/>
        </w:rPr>
        <w:t>6.14 Sanctions; Anti-Corruption Laws; Anti-Money Laundering Laws</w:t>
      </w:r>
      <w:r>
        <w:rPr>
          <w:rFonts w:ascii="Arial" w:cs="Arial" w:eastAsia="Arial" w:hAnsi="Arial"/>
          <w:sz w:val="16"/>
          <w:szCs w:val="16"/>
          <w:color w:val="auto"/>
        </w:rPr>
        <w:t>. Comply and cause each of its Subsidiaries to comply with all applicable Sanctions,</w:t>
      </w:r>
      <w:r>
        <w:rPr>
          <w:rFonts w:ascii="Arial" w:cs="Arial" w:eastAsia="Arial" w:hAnsi="Arial"/>
          <w:sz w:val="16"/>
          <w:szCs w:val="16"/>
          <w:b w:val="1"/>
          <w:bCs w:val="1"/>
          <w:color w:val="auto"/>
        </w:rPr>
        <w:t xml:space="preserve"> </w:t>
      </w:r>
      <w:r>
        <w:rPr>
          <w:rFonts w:ascii="Arial" w:cs="Arial" w:eastAsia="Arial" w:hAnsi="Arial"/>
          <w:sz w:val="16"/>
          <w:szCs w:val="16"/>
          <w:color w:val="auto"/>
        </w:rPr>
        <w:t>Anti-Corruption Laws and Anti-Money Laundering Laws. Each of the Loan Parties and its Subsidiaries shall implement and maintain in effect policies and procedures (including know-your-customer verifications) designed to ensure compliance by the Loan Parties and their Subsidiaries and their respective directors, officers, employees, agents and Affiliates with all Sanctions, Anti-Corruption Laws and Anti-Money Laundering Laws.</w:t>
      </w:r>
    </w:p>
    <w:p>
      <w:pPr>
        <w:spacing w:after="0" w:line="113"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6.15 Further Assurances</w:t>
      </w:r>
      <w:r>
        <w:rPr>
          <w:rFonts w:ascii="Arial" w:cs="Arial" w:eastAsia="Arial" w:hAnsi="Arial"/>
          <w:sz w:val="16"/>
          <w:szCs w:val="16"/>
          <w:color w:val="auto"/>
        </w:rPr>
        <w:t>. Execute any further instruments and take further action as Agent reasonably requests to perfect or continue Agent’s Lien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or to effect the purposes of this Agreement.</w:t>
      </w:r>
    </w:p>
    <w:p>
      <w:pPr>
        <w:spacing w:after="0" w:line="94" w:lineRule="exact"/>
        <w:rPr>
          <w:sz w:val="20"/>
          <w:szCs w:val="20"/>
          <w:color w:val="auto"/>
        </w:rPr>
      </w:pPr>
    </w:p>
    <w:p>
      <w:pPr>
        <w:ind w:left="860" w:hanging="278"/>
        <w:spacing w:after="0"/>
        <w:tabs>
          <w:tab w:leader="none" w:pos="860" w:val="left"/>
        </w:tabs>
        <w:numPr>
          <w:ilvl w:val="0"/>
          <w:numId w:val="2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NEGATIVE COVENANTS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 Borrower shall, or shall cause or permit any of its Subsidiaries to, do any of the following:</w:t>
      </w:r>
    </w:p>
    <w:p>
      <w:pPr>
        <w:spacing w:after="0" w:line="153"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7.1 Dispositions</w:t>
      </w:r>
      <w:r>
        <w:rPr>
          <w:rFonts w:ascii="Arial" w:cs="Arial" w:eastAsia="Arial" w:hAnsi="Arial"/>
          <w:sz w:val="16"/>
          <w:szCs w:val="16"/>
          <w:color w:val="auto"/>
        </w:rPr>
        <w:t>. Convey, sell, lease, transfer, assign,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all or any part of its business or property, except for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Transfers.</w:t>
      </w:r>
    </w:p>
    <w:p>
      <w:pPr>
        <w:spacing w:after="0" w:line="94" w:lineRule="exact"/>
        <w:rPr>
          <w:sz w:val="20"/>
          <w:szCs w:val="20"/>
          <w:color w:val="auto"/>
        </w:rPr>
      </w:pPr>
    </w:p>
    <w:p>
      <w:pPr>
        <w:jc w:val="both"/>
        <w:ind w:firstLine="585"/>
        <w:spacing w:after="0" w:line="259" w:lineRule="auto"/>
        <w:rPr>
          <w:sz w:val="20"/>
          <w:szCs w:val="20"/>
          <w:color w:val="auto"/>
        </w:rPr>
      </w:pPr>
      <w:r>
        <w:rPr>
          <w:rFonts w:ascii="Arial" w:cs="Arial" w:eastAsia="Arial" w:hAnsi="Arial"/>
          <w:sz w:val="16"/>
          <w:szCs w:val="16"/>
          <w:b w:val="1"/>
          <w:bCs w:val="1"/>
          <w:color w:val="auto"/>
        </w:rPr>
        <w:t>7.2 Changes in Business, Management, Ownership, or Business Locations</w:t>
      </w:r>
      <w:r>
        <w:rPr>
          <w:rFonts w:ascii="Arial" w:cs="Arial" w:eastAsia="Arial" w:hAnsi="Arial"/>
          <w:sz w:val="16"/>
          <w:szCs w:val="16"/>
          <w:color w:val="auto"/>
        </w:rPr>
        <w:t>. (a) Engage in any business in any material respect other than the businesses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engaged in by such Person, as applicable, or reasonably related or complementary thereto, except that Borrower shall cease any portion of its business related to Investments in other companies; (b) cease doing business, or liquidate or dissolve; or (c) fail to provide notice to Agent of any Key Person departing from or ceasing to be employed by Borrower within ten (10) days after such departure or change; (d) permit or suffer a Change in Control, (e) without at least ten (10) days prior written notice to Agent, add any new offices or business locations, including warehouses (unless such new offices or business locations already qualifies as a Permitted Location), (f) without at least ten (10) days prior written notice to Agent (i) change its jurisdiction of organization, (ii) change its organizational structure or type, (iii) change its legal name, or (iv) change its organizational number (if any) assigned by its jurisdiction of organization or (g) without at least thirty (30) days prior written notice to Agent, permit any Loan Party to become an MSB Subsidiary.</w:t>
      </w:r>
    </w:p>
    <w:p>
      <w:pPr>
        <w:spacing w:after="0" w:line="117"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7.3 Mergers or Acquisitions</w:t>
      </w:r>
      <w:r>
        <w:rPr>
          <w:rFonts w:ascii="Arial" w:cs="Arial" w:eastAsia="Arial" w:hAnsi="Arial"/>
          <w:sz w:val="16"/>
          <w:szCs w:val="16"/>
          <w:color w:val="auto"/>
        </w:rPr>
        <w:t>. Merge or consolidate to merge or consolidate, with any other Person, or acquire, or permit any of its Subsidiaries to acquire, all or</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all of the capital stock or property of another Person (including, without limitation, by the formation of any Subsidiary) or enter into any agreement to do any of the same, provided, that a Subsidiary may merge or consolidate into another Subsidiary or into a Borrower.</w:t>
      </w:r>
    </w:p>
    <w:p>
      <w:pPr>
        <w:spacing w:after="0" w:line="107"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7.4</w:t>
      </w:r>
      <w:r>
        <w:rPr>
          <w:sz w:val="20"/>
          <w:szCs w:val="20"/>
          <w:color w:val="auto"/>
        </w:rPr>
        <w:tab/>
      </w:r>
      <w:r>
        <w:rPr>
          <w:rFonts w:ascii="Arial" w:cs="Arial" w:eastAsia="Arial" w:hAnsi="Arial"/>
          <w:sz w:val="14"/>
          <w:szCs w:val="14"/>
          <w:b w:val="1"/>
          <w:bCs w:val="1"/>
          <w:color w:val="auto"/>
        </w:rPr>
        <w:t>Indebtedness</w:t>
      </w:r>
      <w:r>
        <w:rPr>
          <w:rFonts w:ascii="Arial" w:cs="Arial" w:eastAsia="Arial" w:hAnsi="Arial"/>
          <w:sz w:val="14"/>
          <w:szCs w:val="14"/>
          <w:color w:val="auto"/>
        </w:rPr>
        <w:t>. Create, incur, assume, or be liable for any Indebtedness, other than Permitted Indebtedness.</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7.5 Encumbrance</w:t>
      </w:r>
      <w:r>
        <w:rPr>
          <w:rFonts w:ascii="Arial" w:cs="Arial" w:eastAsia="Arial" w:hAnsi="Arial"/>
          <w:sz w:val="16"/>
          <w:szCs w:val="16"/>
          <w:color w:val="auto"/>
        </w:rPr>
        <w:t>. Create, incur, allow, or suffer any Lien on any of its property, or assign or convey any right to receive income, including the sale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or permit any of its Subsidiaries to do so,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0"/>
          </w:cols>
          <w:pgMar w:left="320" w:top="1296" w:right="319" w:bottom="1440" w:gutter="0" w:footer="0" w:header="0"/>
        </w:sectPr>
      </w:pPr>
    </w:p>
    <w:bookmarkStart w:id="361" w:name="page362"/>
    <w:bookmarkEnd w:id="361"/>
    <w:p>
      <w:pPr>
        <w:ind w:left="3" w:right="20"/>
        <w:spacing w:after="0" w:line="283" w:lineRule="auto"/>
        <w:rPr>
          <w:sz w:val="20"/>
          <w:szCs w:val="20"/>
          <w:color w:val="auto"/>
        </w:rPr>
      </w:pPr>
      <w:r>
        <w:rPr>
          <w:rFonts w:ascii="Arial" w:cs="Arial" w:eastAsia="Arial" w:hAnsi="Arial"/>
          <w:sz w:val="16"/>
          <w:szCs w:val="16"/>
          <w:color w:val="auto"/>
        </w:rPr>
        <w:t>Permitted Liens permitted to have priority over the security interest granted to Agent hereunder, permit any Collateral not to be subject to the first priority security interest granted herein.</w:t>
      </w:r>
    </w:p>
    <w:p>
      <w:pPr>
        <w:spacing w:after="0" w:line="98" w:lineRule="exact"/>
        <w:rPr>
          <w:sz w:val="20"/>
          <w:szCs w:val="20"/>
          <w:color w:val="auto"/>
        </w:rPr>
      </w:pPr>
    </w:p>
    <w:p>
      <w:pPr>
        <w:ind w:left="3" w:firstLine="585"/>
        <w:spacing w:after="0" w:line="288" w:lineRule="auto"/>
        <w:rPr>
          <w:sz w:val="20"/>
          <w:szCs w:val="20"/>
          <w:color w:val="auto"/>
        </w:rPr>
      </w:pPr>
      <w:r>
        <w:rPr>
          <w:rFonts w:ascii="Arial" w:cs="Arial" w:eastAsia="Arial" w:hAnsi="Arial"/>
          <w:sz w:val="16"/>
          <w:szCs w:val="16"/>
          <w:b w:val="1"/>
          <w:bCs w:val="1"/>
          <w:color w:val="auto"/>
        </w:rPr>
        <w:t>7.6 Maintenance of Collateral Accounts</w:t>
      </w:r>
      <w:r>
        <w:rPr>
          <w:rFonts w:ascii="Arial" w:cs="Arial" w:eastAsia="Arial" w:hAnsi="Arial"/>
          <w:sz w:val="16"/>
          <w:szCs w:val="16"/>
          <w:color w:val="auto"/>
        </w:rPr>
        <w:t>. Maintain any Collateral Account except pursuant to the terms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6.6(b)</w:t>
      </w:r>
      <w:r>
        <w:rPr>
          <w:rFonts w:ascii="Arial" w:cs="Arial" w:eastAsia="Arial" w:hAnsi="Arial"/>
          <w:sz w:val="16"/>
          <w:szCs w:val="16"/>
          <w:b w:val="1"/>
          <w:bCs w:val="1"/>
          <w:color w:val="auto"/>
        </w:rPr>
        <w:t xml:space="preserve"> </w:t>
      </w:r>
      <w:r>
        <w:rPr>
          <w:rFonts w:ascii="Arial" w:cs="Arial" w:eastAsia="Arial" w:hAnsi="Arial"/>
          <w:sz w:val="16"/>
          <w:szCs w:val="16"/>
          <w:color w:val="auto"/>
        </w:rPr>
        <w:t>or permit the aggregate balance of</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Accounts not subject to Account Control Agreements and of deposit or investment accounts of Subsidiaries to exceed $200,000.</w:t>
      </w:r>
    </w:p>
    <w:p>
      <w:pPr>
        <w:spacing w:after="0" w:line="94" w:lineRule="exact"/>
        <w:rPr>
          <w:sz w:val="20"/>
          <w:szCs w:val="20"/>
          <w:color w:val="auto"/>
        </w:rPr>
      </w:pPr>
    </w:p>
    <w:p>
      <w:pPr>
        <w:ind w:left="583"/>
        <w:spacing w:after="0"/>
        <w:tabs>
          <w:tab w:leader="none" w:pos="982" w:val="left"/>
        </w:tabs>
        <w:rPr>
          <w:sz w:val="20"/>
          <w:szCs w:val="20"/>
          <w:color w:val="auto"/>
        </w:rPr>
      </w:pPr>
      <w:r>
        <w:rPr>
          <w:rFonts w:ascii="Arial" w:cs="Arial" w:eastAsia="Arial" w:hAnsi="Arial"/>
          <w:sz w:val="16"/>
          <w:szCs w:val="16"/>
          <w:b w:val="1"/>
          <w:bCs w:val="1"/>
          <w:color w:val="auto"/>
        </w:rPr>
        <w:t>7.7</w:t>
      </w:r>
      <w:r>
        <w:rPr>
          <w:sz w:val="20"/>
          <w:szCs w:val="20"/>
          <w:color w:val="auto"/>
        </w:rPr>
        <w:tab/>
      </w:r>
      <w:r>
        <w:rPr>
          <w:rFonts w:ascii="Arial" w:cs="Arial" w:eastAsia="Arial" w:hAnsi="Arial"/>
          <w:sz w:val="15"/>
          <w:szCs w:val="15"/>
          <w:b w:val="1"/>
          <w:bCs w:val="1"/>
          <w:color w:val="auto"/>
        </w:rPr>
        <w:t>Distributions; Investments</w:t>
      </w:r>
      <w:r>
        <w:rPr>
          <w:rFonts w:ascii="Arial" w:cs="Arial" w:eastAsia="Arial" w:hAnsi="Arial"/>
          <w:sz w:val="15"/>
          <w:szCs w:val="15"/>
          <w:color w:val="auto"/>
        </w:rPr>
        <w:t>. (a) Pay any dividends or make any distribution or payment or redeem, retire or purchase any Equity Interests provided that</w:t>
      </w:r>
    </w:p>
    <w:p>
      <w:pPr>
        <w:spacing w:after="0" w:line="27" w:lineRule="exact"/>
        <w:rPr>
          <w:sz w:val="20"/>
          <w:szCs w:val="20"/>
          <w:color w:val="auto"/>
        </w:rPr>
      </w:pPr>
    </w:p>
    <w:p>
      <w:pPr>
        <w:jc w:val="both"/>
        <w:ind w:left="3" w:right="20" w:hanging="3"/>
        <w:spacing w:after="0" w:line="274" w:lineRule="auto"/>
        <w:tabs>
          <w:tab w:leader="none" w:pos="20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Borrower Representative may convert any of its convertible Equity Interests (including warrants) into other Equity Interests issued by Borrower Representative pursuant to the terms of such convertible securities or otherwise in exchange thereof, (ii) Borrower Representative may convert Subordinated Debt issued by Borrower Representative into Equity Interests issued by Borrower Representative pursuant to the terms of such Subordinated Debt and to the extent permitted under the terms of the applicable subordination or intercreditor agreement with Agent; (iii) Borrower Representative may pay dividends solely in Equity Interests of Borrower Representative, (iv) Borrower Representative may make cash payments in lieu of fractional shares; and (v) Borrower Representative may repurchase the Equity Interests issued by Borrower Representative pursuant to stock repurchase agreements approved by Borrower Representative’s Board so long as an Event of Default does not exist at the time of such repurchase and would not exist after giving effect to such repurchase, provided that the aggregate amount of all such repurchases does not exceed the Permitted Repurchase Amount; or (b) directly or indirectly make or solicit any Investment (including, without limitation, by the formation of any Subsidiary), other than Permitted Investments. Notwithstanding the foregoing, Loan Parties shall be permitted to make the repurchases, payments or distributions expressly permitted above only if, at such time, and immediately after giving effect thereto: (i) no Default or Event of Default, exists or could reasonably be expected to occur, (ii) each Loan Party is solvent, and (iii) such payment or distribution is permitted under and is made in compliance with all applicable laws.</w:t>
      </w:r>
    </w:p>
    <w:p>
      <w:pPr>
        <w:spacing w:after="0" w:line="108" w:lineRule="exact"/>
        <w:rPr>
          <w:sz w:val="20"/>
          <w:szCs w:val="20"/>
          <w:color w:val="auto"/>
        </w:rPr>
      </w:pPr>
    </w:p>
    <w:p>
      <w:pPr>
        <w:jc w:val="both"/>
        <w:ind w:left="3" w:right="20" w:firstLine="585"/>
        <w:spacing w:after="0" w:line="262" w:lineRule="auto"/>
        <w:rPr>
          <w:sz w:val="20"/>
          <w:szCs w:val="20"/>
          <w:color w:val="auto"/>
        </w:rPr>
      </w:pPr>
      <w:r>
        <w:rPr>
          <w:rFonts w:ascii="Arial" w:cs="Arial" w:eastAsia="Arial" w:hAnsi="Arial"/>
          <w:sz w:val="16"/>
          <w:szCs w:val="16"/>
          <w:b w:val="1"/>
          <w:bCs w:val="1"/>
          <w:color w:val="auto"/>
        </w:rPr>
        <w:t>7.8 Transactions with Affiliates</w:t>
      </w:r>
      <w:r>
        <w:rPr>
          <w:rFonts w:ascii="Arial" w:cs="Arial" w:eastAsia="Arial" w:hAnsi="Arial"/>
          <w:sz w:val="16"/>
          <w:szCs w:val="16"/>
          <w:color w:val="auto"/>
        </w:rPr>
        <w:t>. Directly or indirectly enter into or permit to exist any material transaction with any Affiliate of a Loan Party, except for (a)</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that are in the Ordinary Course of Business and on fair and reasonable terms that are no less favorable to such Person than would be obtained in an arm’s length transaction with a non-affiliated Person; (b) bona fide rounds of Subordinated Debt or equity financing by investors in Borrower Representative for capital raising purposes, and (c) reasonable and customary director, officer and employee compensation and other customary benefits including retirement, health, stock option and other benefit plans and indemnification arrangements approved by Borrower Representative’s Board.</w:t>
      </w:r>
    </w:p>
    <w:p>
      <w:pPr>
        <w:spacing w:after="0" w:line="116" w:lineRule="exact"/>
        <w:rPr>
          <w:sz w:val="20"/>
          <w:szCs w:val="20"/>
          <w:color w:val="auto"/>
        </w:rPr>
      </w:pPr>
    </w:p>
    <w:p>
      <w:pPr>
        <w:jc w:val="both"/>
        <w:ind w:left="3" w:right="20" w:firstLine="585"/>
        <w:spacing w:after="0" w:line="297" w:lineRule="auto"/>
        <w:rPr>
          <w:sz w:val="20"/>
          <w:szCs w:val="20"/>
          <w:color w:val="auto"/>
        </w:rPr>
      </w:pPr>
      <w:r>
        <w:rPr>
          <w:rFonts w:ascii="Arial" w:cs="Arial" w:eastAsia="Arial" w:hAnsi="Arial"/>
          <w:sz w:val="15"/>
          <w:szCs w:val="15"/>
          <w:b w:val="1"/>
          <w:bCs w:val="1"/>
          <w:color w:val="auto"/>
        </w:rPr>
        <w:t>7.9 Subordinated Debt</w:t>
      </w:r>
      <w:r>
        <w:rPr>
          <w:rFonts w:ascii="Arial" w:cs="Arial" w:eastAsia="Arial" w:hAnsi="Arial"/>
          <w:sz w:val="15"/>
          <w:szCs w:val="15"/>
          <w:color w:val="auto"/>
        </w:rPr>
        <w:t>. (a) Make or permit any payment on any Subordinated Debt, except under the terms of the subordination, intercreditor, or other similar</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the Obligations.</w:t>
      </w:r>
    </w:p>
    <w:p>
      <w:pPr>
        <w:spacing w:after="0" w:line="90" w:lineRule="exact"/>
        <w:rPr>
          <w:sz w:val="20"/>
          <w:szCs w:val="20"/>
          <w:color w:val="auto"/>
        </w:rPr>
      </w:pPr>
    </w:p>
    <w:p>
      <w:pPr>
        <w:jc w:val="both"/>
        <w:ind w:left="3" w:firstLine="585"/>
        <w:spacing w:after="0" w:line="297" w:lineRule="auto"/>
        <w:rPr>
          <w:sz w:val="20"/>
          <w:szCs w:val="20"/>
          <w:color w:val="auto"/>
        </w:rPr>
      </w:pPr>
      <w:r>
        <w:rPr>
          <w:rFonts w:ascii="Arial" w:cs="Arial" w:eastAsia="Arial" w:hAnsi="Arial"/>
          <w:sz w:val="15"/>
          <w:szCs w:val="15"/>
          <w:b w:val="1"/>
          <w:bCs w:val="1"/>
          <w:color w:val="auto"/>
        </w:rPr>
        <w:t>7.10 Capital Expenditures</w:t>
      </w:r>
      <w:r>
        <w:rPr>
          <w:rFonts w:ascii="Arial" w:cs="Arial" w:eastAsia="Arial" w:hAnsi="Arial"/>
          <w:sz w:val="15"/>
          <w:szCs w:val="15"/>
          <w:color w:val="auto"/>
        </w:rPr>
        <w:t>. Permit capital expenditures for any period to exceed the amount set forth in the budget delivered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6.2(h)</w:t>
      </w:r>
      <w:r>
        <w:rPr>
          <w:rFonts w:ascii="Arial" w:cs="Arial" w:eastAsia="Arial" w:hAnsi="Arial"/>
          <w:sz w:val="15"/>
          <w:szCs w:val="15"/>
          <w:b w:val="1"/>
          <w:bCs w:val="1"/>
          <w:color w:val="auto"/>
        </w:rPr>
        <w:t xml:space="preserve"> </w:t>
      </w:r>
      <w:r>
        <w:rPr>
          <w:rFonts w:ascii="Arial" w:cs="Arial" w:eastAsia="Arial" w:hAnsi="Arial"/>
          <w:sz w:val="15"/>
          <w:szCs w:val="15"/>
          <w:color w:val="auto"/>
        </w:rPr>
        <w:t>by an</w:t>
      </w:r>
      <w:r>
        <w:rPr>
          <w:rFonts w:ascii="Arial" w:cs="Arial" w:eastAsia="Arial" w:hAnsi="Arial"/>
          <w:sz w:val="15"/>
          <w:szCs w:val="15"/>
          <w:b w:val="1"/>
          <w:bCs w:val="1"/>
          <w:color w:val="auto"/>
        </w:rPr>
        <w:t xml:space="preserve"> </w:t>
      </w:r>
      <w:r>
        <w:rPr>
          <w:rFonts w:ascii="Arial" w:cs="Arial" w:eastAsia="Arial" w:hAnsi="Arial"/>
          <w:sz w:val="15"/>
          <w:szCs w:val="15"/>
          <w:color w:val="auto"/>
        </w:rPr>
        <w:t>amount equal to the greater of (i) 10% of the budgeted amount and (ii) $500,000, subject to Agent’s satisfactory review of the projected capital expenditures for each fiscal year. Notwithstanding the foregoing, this covenant shall cease to apply commencing on the one year anniversary of the Effective Date.</w:t>
      </w:r>
    </w:p>
    <w:p>
      <w:pPr>
        <w:spacing w:after="0" w:line="90" w:lineRule="exact"/>
        <w:rPr>
          <w:sz w:val="20"/>
          <w:szCs w:val="20"/>
          <w:color w:val="auto"/>
        </w:rPr>
      </w:pPr>
    </w:p>
    <w:p>
      <w:pPr>
        <w:ind w:left="583"/>
        <w:spacing w:after="0"/>
        <w:tabs>
          <w:tab w:leader="none" w:pos="1002" w:val="left"/>
        </w:tabs>
        <w:rPr>
          <w:sz w:val="20"/>
          <w:szCs w:val="20"/>
          <w:color w:val="auto"/>
        </w:rPr>
      </w:pPr>
      <w:r>
        <w:rPr>
          <w:rFonts w:ascii="Arial" w:cs="Arial" w:eastAsia="Arial" w:hAnsi="Arial"/>
          <w:sz w:val="16"/>
          <w:szCs w:val="16"/>
          <w:b w:val="1"/>
          <w:bCs w:val="1"/>
          <w:color w:val="auto"/>
        </w:rPr>
        <w:t>7.11</w:t>
      </w:r>
      <w:r>
        <w:rPr>
          <w:sz w:val="20"/>
          <w:szCs w:val="20"/>
          <w:color w:val="auto"/>
        </w:rPr>
        <w:tab/>
      </w:r>
      <w:r>
        <w:rPr>
          <w:rFonts w:ascii="Arial" w:cs="Arial" w:eastAsia="Arial" w:hAnsi="Arial"/>
          <w:sz w:val="14"/>
          <w:szCs w:val="14"/>
          <w:b w:val="1"/>
          <w:bCs w:val="1"/>
          <w:color w:val="auto"/>
        </w:rPr>
        <w:t>Compliance; Use of Proceeds</w:t>
      </w:r>
      <w:r>
        <w:rPr>
          <w:rFonts w:ascii="Arial" w:cs="Arial" w:eastAsia="Arial" w:hAnsi="Arial"/>
          <w:sz w:val="14"/>
          <w:szCs w:val="14"/>
          <w:color w:val="auto"/>
        </w:rPr>
        <w:t>.</w:t>
      </w:r>
    </w:p>
    <w:p>
      <w:pPr>
        <w:spacing w:after="0" w:line="161" w:lineRule="exact"/>
        <w:rPr>
          <w:sz w:val="20"/>
          <w:szCs w:val="20"/>
          <w:color w:val="auto"/>
        </w:rPr>
      </w:pPr>
    </w:p>
    <w:p>
      <w:pPr>
        <w:jc w:val="both"/>
        <w:ind w:left="3" w:firstLine="1167"/>
        <w:spacing w:after="0" w:line="261" w:lineRule="auto"/>
        <w:tabs>
          <w:tab w:leader="none" w:pos="153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or permit any of its Subsidiaries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63"/>
          </w:cols>
          <w:pgMar w:left="317" w:top="1296" w:right="319" w:bottom="1440" w:gutter="0" w:footer="0" w:header="0"/>
        </w:sectPr>
      </w:pPr>
    </w:p>
    <w:bookmarkStart w:id="362" w:name="page363"/>
    <w:bookmarkEnd w:id="362"/>
    <w:p>
      <w:pPr>
        <w:jc w:val="both"/>
        <w:ind w:right="20"/>
        <w:spacing w:after="0" w:line="268" w:lineRule="auto"/>
        <w:rPr>
          <w:sz w:val="20"/>
          <w:szCs w:val="20"/>
          <w:color w:val="auto"/>
        </w:rPr>
      </w:pPr>
      <w:r>
        <w:rPr>
          <w:rFonts w:ascii="Arial" w:cs="Arial" w:eastAsia="Arial" w:hAnsi="Arial"/>
          <w:sz w:val="16"/>
          <w:szCs w:val="16"/>
          <w:color w:val="auto"/>
        </w:rPr>
        <w:t>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a Loan Party or any of its Subsidiaries, including any liability to the Pension Benefit Guaranty Corporation or its successors or any other governmental agency.</w:t>
      </w:r>
    </w:p>
    <w:p>
      <w:pPr>
        <w:spacing w:after="0" w:line="114" w:lineRule="exact"/>
        <w:rPr>
          <w:sz w:val="20"/>
          <w:szCs w:val="20"/>
          <w:color w:val="auto"/>
        </w:rPr>
      </w:pPr>
    </w:p>
    <w:p>
      <w:pPr>
        <w:ind w:left="1520" w:hanging="353"/>
        <w:spacing w:after="0"/>
        <w:tabs>
          <w:tab w:leader="none" w:pos="152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Use the proceeds of the Credit Extensions, directly or indirectly, to fund any MSB Subsidiary.</w:t>
      </w:r>
    </w:p>
    <w:p>
      <w:pPr>
        <w:spacing w:after="0" w:line="153" w:lineRule="exact"/>
        <w:rPr>
          <w:rFonts w:ascii="Arial" w:cs="Arial" w:eastAsia="Arial" w:hAnsi="Arial"/>
          <w:sz w:val="16"/>
          <w:szCs w:val="16"/>
          <w:color w:val="auto"/>
        </w:rPr>
      </w:pPr>
    </w:p>
    <w:p>
      <w:pPr>
        <w:ind w:left="860" w:hanging="278"/>
        <w:spacing w:after="0"/>
        <w:tabs>
          <w:tab w:leader="none" w:pos="860"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EVENTS OF DEFAULT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Any one of the following shall constitute an event of default (an “</w:t>
      </w:r>
      <w:r>
        <w:rPr>
          <w:rFonts w:ascii="Arial" w:cs="Arial" w:eastAsia="Arial" w:hAnsi="Arial"/>
          <w:sz w:val="16"/>
          <w:szCs w:val="16"/>
          <w:b w:val="1"/>
          <w:bCs w:val="1"/>
          <w:color w:val="auto"/>
        </w:rPr>
        <w:t>Event of Default</w:t>
      </w:r>
      <w:r>
        <w:rPr>
          <w:rFonts w:ascii="Arial" w:cs="Arial" w:eastAsia="Arial" w:hAnsi="Arial"/>
          <w:sz w:val="16"/>
          <w:szCs w:val="16"/>
          <w:color w:val="auto"/>
        </w:rPr>
        <w:t>”) under this Agreement:</w:t>
      </w:r>
    </w:p>
    <w:p>
      <w:pPr>
        <w:spacing w:after="0" w:line="157"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4"/>
          <w:szCs w:val="14"/>
          <w:b w:val="1"/>
          <w:bCs w:val="1"/>
          <w:color w:val="auto"/>
        </w:rPr>
        <w:t>Payment Default</w:t>
      </w:r>
      <w:r>
        <w:rPr>
          <w:rFonts w:ascii="Arial" w:cs="Arial" w:eastAsia="Arial" w:hAnsi="Arial"/>
          <w:sz w:val="14"/>
          <w:szCs w:val="14"/>
          <w:color w:val="auto"/>
        </w:rPr>
        <w:t>. Any Loan Party fails to pay any Obligations after such Obligations are due and payable.</w:t>
      </w:r>
    </w:p>
    <w:p>
      <w:pPr>
        <w:spacing w:after="0" w:line="157"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8.2</w:t>
      </w:r>
      <w:r>
        <w:rPr>
          <w:sz w:val="20"/>
          <w:szCs w:val="20"/>
          <w:color w:val="auto"/>
        </w:rPr>
        <w:tab/>
      </w:r>
      <w:r>
        <w:rPr>
          <w:rFonts w:ascii="Arial" w:cs="Arial" w:eastAsia="Arial" w:hAnsi="Arial"/>
          <w:sz w:val="14"/>
          <w:szCs w:val="14"/>
          <w:b w:val="1"/>
          <w:bCs w:val="1"/>
          <w:color w:val="auto"/>
        </w:rPr>
        <w:t>Covenant Default</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94" w:lineRule="auto"/>
        <w:tabs>
          <w:tab w:leader="none" w:pos="1503"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A Borrower fails or neglects to perform any obligation in </w:t>
      </w:r>
      <w:r>
        <w:rPr>
          <w:rFonts w:ascii="Arial" w:cs="Arial" w:eastAsia="Arial" w:hAnsi="Arial"/>
          <w:sz w:val="15"/>
          <w:szCs w:val="15"/>
          <w:u w:val="single" w:color="auto"/>
          <w:color w:val="auto"/>
        </w:rPr>
        <w:t>Section 3.3(b)</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(except for a breach of the applicable leverage ratio in accordance with </w:t>
      </w:r>
      <w:r>
        <w:rPr>
          <w:rFonts w:ascii="Arial" w:cs="Arial" w:eastAsia="Arial" w:hAnsi="Arial"/>
          <w:sz w:val="15"/>
          <w:szCs w:val="15"/>
          <w:u w:val="single" w:color="auto"/>
          <w:color w:val="auto"/>
        </w:rPr>
        <w:t>Section 6.10</w:t>
      </w:r>
      <w:r>
        <w:rPr>
          <w:rFonts w:ascii="Arial" w:cs="Arial" w:eastAsia="Arial" w:hAnsi="Arial"/>
          <w:sz w:val="15"/>
          <w:szCs w:val="15"/>
          <w:color w:val="auto"/>
        </w:rPr>
        <w:t xml:space="preserve">, if Borrowers have timely made the prepayment required pursuant to </w:t>
      </w:r>
      <w:r>
        <w:rPr>
          <w:rFonts w:ascii="Arial" w:cs="Arial" w:eastAsia="Arial" w:hAnsi="Arial"/>
          <w:sz w:val="15"/>
          <w:szCs w:val="15"/>
          <w:u w:val="single" w:color="auto"/>
          <w:color w:val="auto"/>
        </w:rPr>
        <w:t>Section 2.3(e)</w:t>
      </w:r>
      <w:r>
        <w:rPr>
          <w:rFonts w:ascii="Arial" w:cs="Arial" w:eastAsia="Arial" w:hAnsi="Arial"/>
          <w:sz w:val="15"/>
          <w:szCs w:val="15"/>
          <w:color w:val="auto"/>
        </w:rPr>
        <w:t xml:space="preserve">, and if after giving pro forma effect to the required prepayment in accordance with </w:t>
      </w:r>
      <w:r>
        <w:rPr>
          <w:rFonts w:ascii="Arial" w:cs="Arial" w:eastAsia="Arial" w:hAnsi="Arial"/>
          <w:sz w:val="15"/>
          <w:szCs w:val="15"/>
          <w:u w:val="single" w:color="auto"/>
          <w:color w:val="auto"/>
        </w:rPr>
        <w:t>Section 2.3(e)</w:t>
      </w:r>
      <w:r>
        <w:rPr>
          <w:rFonts w:ascii="Arial" w:cs="Arial" w:eastAsia="Arial" w:hAnsi="Arial"/>
          <w:sz w:val="15"/>
          <w:szCs w:val="15"/>
          <w:color w:val="auto"/>
        </w:rPr>
        <w:t xml:space="preserve">, compliance with such leverage ratio has been restored), or violates any covenant in </w:t>
      </w:r>
      <w:r>
        <w:rPr>
          <w:rFonts w:ascii="Arial" w:cs="Arial" w:eastAsia="Arial" w:hAnsi="Arial"/>
          <w:sz w:val="15"/>
          <w:szCs w:val="15"/>
          <w:u w:val="single" w:color="auto"/>
          <w:color w:val="auto"/>
        </w:rPr>
        <w:t>Section 7</w:t>
      </w:r>
      <w:r>
        <w:rPr>
          <w:rFonts w:ascii="Arial" w:cs="Arial" w:eastAsia="Arial" w:hAnsi="Arial"/>
          <w:sz w:val="15"/>
          <w:szCs w:val="15"/>
          <w:color w:val="auto"/>
        </w:rPr>
        <w:t>; or</w:t>
      </w:r>
    </w:p>
    <w:p>
      <w:pPr>
        <w:spacing w:after="0" w:line="96" w:lineRule="exact"/>
        <w:rPr>
          <w:rFonts w:ascii="Arial" w:cs="Arial" w:eastAsia="Arial" w:hAnsi="Arial"/>
          <w:sz w:val="15"/>
          <w:szCs w:val="15"/>
          <w:color w:val="auto"/>
        </w:rPr>
      </w:pPr>
    </w:p>
    <w:p>
      <w:pPr>
        <w:jc w:val="both"/>
        <w:ind w:right="20" w:firstLine="1167"/>
        <w:spacing w:after="0" w:line="268" w:lineRule="auto"/>
        <w:tabs>
          <w:tab w:leader="none" w:pos="152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A Loan Party fails or neglects to perform, keep, or observe any other term, provision, condition, covenant or agreement contained in this Agreement or any Loan Documents, and as to any default (other than those specified in this </w:t>
      </w:r>
      <w:r>
        <w:rPr>
          <w:rFonts w:ascii="Arial" w:cs="Arial" w:eastAsia="Arial" w:hAnsi="Arial"/>
          <w:sz w:val="16"/>
          <w:szCs w:val="16"/>
          <w:u w:val="single" w:color="auto"/>
          <w:color w:val="auto"/>
        </w:rPr>
        <w:t>Section 8</w:t>
      </w:r>
      <w:r>
        <w:rPr>
          <w:rFonts w:ascii="Arial" w:cs="Arial" w:eastAsia="Arial" w:hAnsi="Arial"/>
          <w:sz w:val="16"/>
          <w:szCs w:val="16"/>
          <w:color w:val="auto"/>
        </w:rPr>
        <w:t>) under such other term, provision, condition, covenant or agreement that can be cured, has failed to cure the default within fifteen (15) days after the occurrence thereof.</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8.3</w:t>
      </w:r>
      <w:r>
        <w:rPr>
          <w:sz w:val="20"/>
          <w:szCs w:val="20"/>
          <w:color w:val="auto"/>
        </w:rPr>
        <w:tab/>
      </w:r>
      <w:r>
        <w:rPr>
          <w:rFonts w:ascii="Arial" w:cs="Arial" w:eastAsia="Arial" w:hAnsi="Arial"/>
          <w:sz w:val="14"/>
          <w:szCs w:val="14"/>
          <w:b w:val="1"/>
          <w:bCs w:val="1"/>
          <w:color w:val="auto"/>
        </w:rPr>
        <w:t>Material Adverse Effect</w:t>
      </w:r>
      <w:r>
        <w:rPr>
          <w:rFonts w:ascii="Arial" w:cs="Arial" w:eastAsia="Arial" w:hAnsi="Arial"/>
          <w:sz w:val="14"/>
          <w:szCs w:val="14"/>
          <w:color w:val="auto"/>
        </w:rPr>
        <w:t>. An event or circumstance has occurred which could reasonably be expected to have a Material Adverse Effect.</w:t>
      </w:r>
    </w:p>
    <w:p>
      <w:pPr>
        <w:spacing w:after="0" w:line="157"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8.4</w:t>
      </w:r>
      <w:r>
        <w:rPr>
          <w:sz w:val="20"/>
          <w:szCs w:val="20"/>
          <w:color w:val="auto"/>
        </w:rPr>
        <w:tab/>
      </w:r>
      <w:r>
        <w:rPr>
          <w:rFonts w:ascii="Arial" w:cs="Arial" w:eastAsia="Arial" w:hAnsi="Arial"/>
          <w:sz w:val="14"/>
          <w:szCs w:val="14"/>
          <w:b w:val="1"/>
          <w:bCs w:val="1"/>
          <w:color w:val="auto"/>
        </w:rPr>
        <w:t>Attachment; Levy; Restraint on Business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64" w:lineRule="auto"/>
        <w:tabs>
          <w:tab w:leader="none" w:pos="154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(i) The service of process seeking to attach, by trustee or similar process, any funds of a Loan Party or of any of its Subsidiaries, or (ii) a notice of Lien or levy is filed against the assets of any Loan Party or any of its Subsidiaries by any Governmental Authority, and the same under </w:t>
      </w:r>
      <w:r>
        <w:rPr>
          <w:rFonts w:ascii="Arial" w:cs="Arial" w:eastAsia="Arial" w:hAnsi="Arial"/>
          <w:sz w:val="16"/>
          <w:szCs w:val="16"/>
          <w:u w:val="single" w:color="auto"/>
          <w:color w:val="auto"/>
        </w:rPr>
        <w:t>clauses (i) and (ii)</w:t>
      </w:r>
      <w:r>
        <w:rPr>
          <w:rFonts w:ascii="Arial" w:cs="Arial" w:eastAsia="Arial" w:hAnsi="Arial"/>
          <w:sz w:val="16"/>
          <w:szCs w:val="16"/>
          <w:color w:val="auto"/>
        </w:rPr>
        <w:t xml:space="preserve"> hereof are not, within ten (10) days after the occurrence thereof, discharged or stayed (whether through the posting of a bond or otherwise); provided, however, no Credit Extensions shall be made during any ten (10) day cure period; or</w:t>
      </w:r>
    </w:p>
    <w:p>
      <w:pPr>
        <w:spacing w:after="0" w:line="116" w:lineRule="exact"/>
        <w:rPr>
          <w:rFonts w:ascii="Arial" w:cs="Arial" w:eastAsia="Arial" w:hAnsi="Arial"/>
          <w:sz w:val="16"/>
          <w:szCs w:val="16"/>
          <w:color w:val="auto"/>
        </w:rPr>
      </w:pPr>
    </w:p>
    <w:p>
      <w:pPr>
        <w:ind w:right="20" w:firstLine="1167"/>
        <w:spacing w:after="0" w:line="318" w:lineRule="auto"/>
        <w:tabs>
          <w:tab w:leader="none" w:pos="1539" w:val="left"/>
        </w:tabs>
        <w:numPr>
          <w:ilvl w:val="0"/>
          <w:numId w:val="253"/>
        </w:numPr>
        <w:rPr>
          <w:rFonts w:ascii="Arial" w:cs="Arial" w:eastAsia="Arial" w:hAnsi="Arial"/>
          <w:sz w:val="15"/>
          <w:szCs w:val="15"/>
          <w:color w:val="auto"/>
        </w:rPr>
      </w:pPr>
      <w:r>
        <w:rPr>
          <w:rFonts w:ascii="Arial" w:cs="Arial" w:eastAsia="Arial" w:hAnsi="Arial"/>
          <w:sz w:val="15"/>
          <w:szCs w:val="15"/>
          <w:color w:val="auto"/>
        </w:rPr>
        <w:t>(i) any material portion of the assets of a Loan Party or any of its Subsidiaries is attached, seized, levied on, or comes into possession of a trustee or receiver, or (ii) any court order enjoins, restrains, or prevents a Loan Party or any of its Subsidiaries from conducting all or any material part of its business.</w:t>
      </w:r>
    </w:p>
    <w:p>
      <w:pPr>
        <w:spacing w:after="0" w:line="75" w:lineRule="exact"/>
        <w:rPr>
          <w:sz w:val="20"/>
          <w:szCs w:val="20"/>
          <w:color w:val="auto"/>
        </w:rPr>
      </w:pPr>
    </w:p>
    <w:p>
      <w:pPr>
        <w:jc w:val="both"/>
        <w:ind w:right="20" w:firstLine="585"/>
        <w:spacing w:after="0" w:line="315" w:lineRule="auto"/>
        <w:rPr>
          <w:sz w:val="20"/>
          <w:szCs w:val="20"/>
          <w:color w:val="auto"/>
        </w:rPr>
      </w:pPr>
      <w:r>
        <w:rPr>
          <w:rFonts w:ascii="Arial" w:cs="Arial" w:eastAsia="Arial" w:hAnsi="Arial"/>
          <w:sz w:val="14"/>
          <w:szCs w:val="14"/>
          <w:b w:val="1"/>
          <w:bCs w:val="1"/>
          <w:color w:val="auto"/>
        </w:rPr>
        <w:t>8.5 Insolvency</w:t>
      </w:r>
      <w:r>
        <w:rPr>
          <w:rFonts w:ascii="Arial" w:cs="Arial" w:eastAsia="Arial" w:hAnsi="Arial"/>
          <w:sz w:val="14"/>
          <w:szCs w:val="14"/>
          <w:color w:val="auto"/>
        </w:rPr>
        <w:t>. (a) A Loan Party or any of its Subsidiaries, as a whole, is unable to pay its debts (including trade debts) as they become due, the realizable value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of the Loan Parties’ assets is less than the aggregate sum of its liabilities, or the Loan Parties otherwise become insolvent; (b) a Loan Party or any of its Subsidiaries begins an Insolvency Proceeding; or (c) an Insolvency Proceeding is begun against a Loan Party or any of its Subsidiaries and is not dismissed or stayed within forty-five (45) days (but no Credit Extensions shall be made while any of the conditions described in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exist and/or until any Insolvency Proceeding is dismissed).</w:t>
      </w:r>
    </w:p>
    <w:p>
      <w:pPr>
        <w:spacing w:after="0" w:line="80"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b w:val="1"/>
          <w:bCs w:val="1"/>
          <w:color w:val="auto"/>
        </w:rPr>
        <w:t>8.6 Other Agreements</w:t>
      </w:r>
      <w:r>
        <w:rPr>
          <w:rFonts w:ascii="Arial" w:cs="Arial" w:eastAsia="Arial" w:hAnsi="Arial"/>
          <w:sz w:val="16"/>
          <w:szCs w:val="16"/>
          <w:color w:val="auto"/>
        </w:rPr>
        <w:t>. There is, under any agreement to which a Loan Party or any of its Subsidiaries is a party with a third party or parties, (a) any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right by such third party or parties, whether or not exercised, to accelerate the maturity of any Indebtedness in an amount individually or in the aggregate in excess of One Hundred Thousand Dollars ($100,000) (except if such third party is restricted from accelerating the maturity of such Indebtedness, including pursuant to the terms of a subordination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60"/>
          </w:cols>
          <w:pgMar w:left="320" w:top="1296" w:right="319" w:bottom="1440" w:gutter="0" w:footer="0" w:header="0"/>
        </w:sectPr>
      </w:pPr>
    </w:p>
    <w:bookmarkStart w:id="363" w:name="page364"/>
    <w:bookmarkEnd w:id="363"/>
    <w:p>
      <w:pPr>
        <w:jc w:val="both"/>
        <w:ind w:right="20"/>
        <w:spacing w:after="0" w:line="264" w:lineRule="auto"/>
        <w:rPr>
          <w:sz w:val="20"/>
          <w:szCs w:val="20"/>
          <w:color w:val="auto"/>
        </w:rPr>
      </w:pPr>
      <w:r>
        <w:rPr>
          <w:rFonts w:ascii="Arial" w:cs="Arial" w:eastAsia="Arial" w:hAnsi="Arial"/>
          <w:sz w:val="16"/>
          <w:szCs w:val="16"/>
          <w:color w:val="auto"/>
        </w:rPr>
        <w:t>agreement in favor of Agent); or (b) any breach or default by a Loan Party or a Subsidiary of such Loan Party, the result of which could have a Material Adverse Effect. Notwithstanding the foregoing, if there is a non-monetary default under the Real Estate Loan Facility or any documents entered into pursuant thereto, such non-monetary default shall not entitle Agent to exercise its remedies under the Agreement with respect to such non-monetary default, unless the same also constitutes an Event of Default under the Agreement.</w:t>
      </w:r>
    </w:p>
    <w:p>
      <w:pPr>
        <w:spacing w:after="0" w:line="112"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6"/>
          <w:szCs w:val="16"/>
          <w:b w:val="1"/>
          <w:bCs w:val="1"/>
          <w:color w:val="auto"/>
        </w:rPr>
        <w:t>8.7 Judgments; Penalties</w:t>
      </w:r>
      <w:r>
        <w:rPr>
          <w:rFonts w:ascii="Arial" w:cs="Arial" w:eastAsia="Arial" w:hAnsi="Arial"/>
          <w:sz w:val="16"/>
          <w:szCs w:val="16"/>
          <w:color w:val="auto"/>
        </w:rPr>
        <w:t>. One or more fines, penalties or final judgments, orders or decrees for the payment of money in an amount, individually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of at least Five Hundred Thousand Dollars ($500,000) shall be rendered against a Loan Party or any of its Subsidiaries by any Governmental Authority, and the same are not, within ten (10) days after the entry, assessment or issuance thereof, vacated, or after execution thereof, stayed or bonded pending appeal, or such judgments are not vacated prior to the expiration of any such stay (provided that no Credit Extensions will be made prior to the such judgment, order or degree being vacated, stayed or bonded).</w:t>
      </w:r>
    </w:p>
    <w:p>
      <w:pPr>
        <w:spacing w:after="0" w:line="116"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b w:val="1"/>
          <w:bCs w:val="1"/>
          <w:color w:val="auto"/>
        </w:rPr>
        <w:t>8.8 Misrepresentations</w:t>
      </w:r>
      <w:r>
        <w:rPr>
          <w:rFonts w:ascii="Arial" w:cs="Arial" w:eastAsia="Arial" w:hAnsi="Arial"/>
          <w:sz w:val="16"/>
          <w:szCs w:val="16"/>
          <w:color w:val="auto"/>
        </w:rPr>
        <w:t>. Any Loan Party or any Person acting for such Loan Party makes any representation, warranty, or other statement now or later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any Loan Document or in any writing delivered to Agent or any other Secured Party or to induce any Secured Party to enter this Agreement or any Loan Document, and such representation, warranty, or other statement is incorrect in any material respect when made.</w:t>
      </w:r>
    </w:p>
    <w:p>
      <w:pPr>
        <w:spacing w:after="0" w:line="107"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8.9 Subordinated Debt</w:t>
      </w:r>
      <w:r>
        <w:rPr>
          <w:rFonts w:ascii="Arial" w:cs="Arial" w:eastAsia="Arial" w:hAnsi="Arial"/>
          <w:sz w:val="16"/>
          <w:szCs w:val="16"/>
          <w:color w:val="auto"/>
        </w:rPr>
        <w:t>. Any Subordination Agreement governing any Subordinated Debt shall for any reason be revoked or invalidated or otherwise cease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in full force and effect, any Person shall be in breach thereof or contest in any manner the validity or enforceability thereof or deny that it has any further obligation thereunder, or the Obligations shall for any reason not have the priority contemplated by this Agreement.</w:t>
      </w:r>
    </w:p>
    <w:p>
      <w:pPr>
        <w:spacing w:after="0" w:line="107"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b w:val="1"/>
          <w:bCs w:val="1"/>
          <w:color w:val="auto"/>
        </w:rPr>
        <w:t>8.10 Guaranty</w:t>
      </w:r>
      <w:r>
        <w:rPr>
          <w:rFonts w:ascii="Arial" w:cs="Arial" w:eastAsia="Arial" w:hAnsi="Arial"/>
          <w:sz w:val="16"/>
          <w:szCs w:val="16"/>
          <w:color w:val="auto"/>
        </w:rPr>
        <w:t>. (a) Any guaranty of any Obligations terminates or ceases for any reason to be in full force and effect; (b) any Guarantor does not perform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 or covenant under any guaranty of the Obligations; (c) any circumstance described in </w:t>
      </w:r>
      <w:r>
        <w:rPr>
          <w:rFonts w:ascii="Arial" w:cs="Arial" w:eastAsia="Arial" w:hAnsi="Arial"/>
          <w:sz w:val="16"/>
          <w:szCs w:val="16"/>
          <w:u w:val="single" w:color="auto"/>
          <w:color w:val="auto"/>
        </w:rPr>
        <w:t>Sections 8.4, 8.5, 8.6, 8.7, or 8.8</w:t>
      </w:r>
      <w:r>
        <w:rPr>
          <w:rFonts w:ascii="Arial" w:cs="Arial" w:eastAsia="Arial" w:hAnsi="Arial"/>
          <w:sz w:val="16"/>
          <w:szCs w:val="16"/>
          <w:color w:val="auto"/>
        </w:rPr>
        <w:t xml:space="preserve"> of this Agreement occurs with respect to any Guarantor, (d) the death, liquidation, winding up, or termination of existence of any Guarantor; or (e) a material impairment in the perfection or priority of Agent’s Lien in the collateral provided by Guarantor or in the value of such collateral;</w:t>
      </w:r>
    </w:p>
    <w:p>
      <w:pPr>
        <w:spacing w:after="0" w:line="113"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8.11 Governmental Approval</w:t>
      </w:r>
      <w:r>
        <w:rPr>
          <w:rFonts w:ascii="Arial" w:cs="Arial" w:eastAsia="Arial" w:hAnsi="Arial"/>
          <w:sz w:val="16"/>
          <w:szCs w:val="16"/>
          <w:color w:val="auto"/>
        </w:rPr>
        <w:t>. Any Governmental Approval shall have been revoked, rescinded, suspended, modified in an adverse manner or not renewed for a</w:t>
      </w:r>
      <w:r>
        <w:rPr>
          <w:rFonts w:ascii="Arial" w:cs="Arial" w:eastAsia="Arial" w:hAnsi="Arial"/>
          <w:sz w:val="16"/>
          <w:szCs w:val="16"/>
          <w:b w:val="1"/>
          <w:bCs w:val="1"/>
          <w:color w:val="auto"/>
        </w:rPr>
        <w:t xml:space="preserve"> </w:t>
      </w:r>
      <w:r>
        <w:rPr>
          <w:rFonts w:ascii="Arial" w:cs="Arial" w:eastAsia="Arial" w:hAnsi="Arial"/>
          <w:sz w:val="16"/>
          <w:szCs w:val="16"/>
          <w:color w:val="auto"/>
        </w:rPr>
        <w:t>full term, and such revocation, rescission, suspension, modification or non-renewal has, or could have, a Material Adverse Effect.</w:t>
      </w:r>
    </w:p>
    <w:p>
      <w:pPr>
        <w:spacing w:after="0" w:line="94" w:lineRule="exact"/>
        <w:rPr>
          <w:sz w:val="20"/>
          <w:szCs w:val="20"/>
          <w:color w:val="auto"/>
        </w:rPr>
      </w:pPr>
    </w:p>
    <w:p>
      <w:pPr>
        <w:ind w:left="860" w:hanging="278"/>
        <w:spacing w:after="0"/>
        <w:tabs>
          <w:tab w:leader="none" w:pos="860" w:val="left"/>
        </w:tabs>
        <w:numPr>
          <w:ilvl w:val="0"/>
          <w:numId w:val="2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AND REMEDIES</w:t>
      </w:r>
    </w:p>
    <w:p>
      <w:pPr>
        <w:spacing w:after="0" w:line="157"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b w:val="1"/>
          <w:bCs w:val="1"/>
          <w:color w:val="auto"/>
        </w:rPr>
        <w:t>9.1 Rights and Remedies</w:t>
      </w:r>
      <w:r>
        <w:rPr>
          <w:rFonts w:ascii="Arial" w:cs="Arial" w:eastAsia="Arial" w:hAnsi="Arial"/>
          <w:sz w:val="16"/>
          <w:szCs w:val="16"/>
          <w:color w:val="auto"/>
        </w:rPr>
        <w:t>. Upon the occurrence and during the continuance of an Event of Default, Agent may, or at the direction of Required Lenders, shall,</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notice or demand, do any or all of the following:</w:t>
      </w:r>
    </w:p>
    <w:p>
      <w:pPr>
        <w:spacing w:after="0" w:line="98" w:lineRule="exact"/>
        <w:rPr>
          <w:sz w:val="20"/>
          <w:szCs w:val="20"/>
          <w:color w:val="auto"/>
        </w:rPr>
      </w:pPr>
    </w:p>
    <w:p>
      <w:pPr>
        <w:ind w:right="20" w:firstLine="1167"/>
        <w:spacing w:after="0" w:line="283" w:lineRule="auto"/>
        <w:tabs>
          <w:tab w:leader="none" w:pos="153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declare all Obligations immediately due and payable (but if an Event of Default described in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occurs all Obligations are immediately due and payable without any action by Agent or any other Secured Party);</w:t>
      </w:r>
    </w:p>
    <w:p>
      <w:pPr>
        <w:spacing w:after="0" w:line="101" w:lineRule="exact"/>
        <w:rPr>
          <w:rFonts w:ascii="Arial" w:cs="Arial" w:eastAsia="Arial" w:hAnsi="Arial"/>
          <w:sz w:val="16"/>
          <w:szCs w:val="16"/>
          <w:color w:val="auto"/>
        </w:rPr>
      </w:pPr>
    </w:p>
    <w:p>
      <w:pPr>
        <w:ind w:left="1520" w:hanging="353"/>
        <w:spacing w:after="0"/>
        <w:tabs>
          <w:tab w:leader="none" w:pos="15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stop advancing money or extending credit for any Borrower’s benefit under this Agreement;</w:t>
      </w:r>
    </w:p>
    <w:p>
      <w:pPr>
        <w:spacing w:after="0" w:line="157" w:lineRule="exact"/>
        <w:rPr>
          <w:rFonts w:ascii="Arial" w:cs="Arial" w:eastAsia="Arial" w:hAnsi="Arial"/>
          <w:sz w:val="16"/>
          <w:szCs w:val="16"/>
          <w:color w:val="auto"/>
        </w:rPr>
      </w:pPr>
    </w:p>
    <w:p>
      <w:pPr>
        <w:jc w:val="both"/>
        <w:ind w:right="20" w:firstLine="1167"/>
        <w:spacing w:after="0" w:line="268" w:lineRule="auto"/>
        <w:tabs>
          <w:tab w:leader="none" w:pos="156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verify the amount of, demand payment of and performance under, and collect any Accounts and General Intangibles, settle or adjust disputes and claims directly with Account Debtors for amounts on terms and in any order that Agent considers advisable, and notify any Person owing a Borrower money of Agent’s security interest in such funds;</w:t>
      </w:r>
    </w:p>
    <w:p>
      <w:pPr>
        <w:spacing w:after="0" w:line="114" w:lineRule="exact"/>
        <w:rPr>
          <w:rFonts w:ascii="Arial" w:cs="Arial" w:eastAsia="Arial" w:hAnsi="Arial"/>
          <w:sz w:val="16"/>
          <w:szCs w:val="16"/>
          <w:color w:val="auto"/>
        </w:rPr>
      </w:pPr>
    </w:p>
    <w:p>
      <w:pPr>
        <w:jc w:val="both"/>
        <w:ind w:right="20" w:firstLine="1167"/>
        <w:spacing w:after="0" w:line="268" w:lineRule="auto"/>
        <w:tabs>
          <w:tab w:leader="none" w:pos="161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Borrowers shall assemble the Collateral if Agent requests and make it available as Agent designates. Agent may enter premises where the Collateral is located, take and maintain possession of any part of the Collateral, and pay, purchase, contest, or compromise any Lien which appears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60"/>
          </w:cols>
          <w:pgMar w:left="320" w:top="1295" w:right="319" w:bottom="1440" w:gutter="0" w:footer="0" w:header="0"/>
        </w:sectPr>
      </w:pPr>
    </w:p>
    <w:bookmarkStart w:id="364" w:name="page365"/>
    <w:bookmarkEnd w:id="364"/>
    <w:p>
      <w:pPr>
        <w:ind w:right="20"/>
        <w:spacing w:after="0" w:line="283" w:lineRule="auto"/>
        <w:rPr>
          <w:sz w:val="20"/>
          <w:szCs w:val="20"/>
          <w:color w:val="auto"/>
        </w:rPr>
      </w:pPr>
      <w:r>
        <w:rPr>
          <w:rFonts w:ascii="Arial" w:cs="Arial" w:eastAsia="Arial" w:hAnsi="Arial"/>
          <w:sz w:val="16"/>
          <w:szCs w:val="16"/>
          <w:color w:val="auto"/>
        </w:rPr>
        <w:t>prior or superior to its security interest and pay all expenses incurred. Each Borrower grants Agent a license to enter and occupy any of its premises, without charge, to exercise any of Agent’s rights or remedies;</w:t>
      </w:r>
    </w:p>
    <w:p>
      <w:pPr>
        <w:spacing w:after="0" w:line="102" w:lineRule="exact"/>
        <w:rPr>
          <w:sz w:val="20"/>
          <w:szCs w:val="20"/>
          <w:color w:val="auto"/>
        </w:rPr>
      </w:pPr>
    </w:p>
    <w:p>
      <w:pPr>
        <w:jc w:val="both"/>
        <w:ind w:firstLine="1167"/>
        <w:spacing w:after="0" w:line="261" w:lineRule="auto"/>
        <w:tabs>
          <w:tab w:leader="none" w:pos="1591" w:val="left"/>
        </w:tabs>
        <w:numPr>
          <w:ilvl w:val="0"/>
          <w:numId w:val="256"/>
        </w:numPr>
        <w:rPr>
          <w:rFonts w:ascii="Arial" w:cs="Arial" w:eastAsia="Arial" w:hAnsi="Arial"/>
          <w:sz w:val="16"/>
          <w:szCs w:val="16"/>
          <w:color w:val="auto"/>
        </w:rPr>
      </w:pPr>
      <w:r>
        <w:rPr>
          <w:rFonts w:ascii="Arial" w:cs="Arial" w:eastAsia="Arial" w:hAnsi="Arial"/>
          <w:sz w:val="16"/>
          <w:szCs w:val="16"/>
          <w:color w:val="auto"/>
        </w:rPr>
        <w:t>ship, reclaim, recover, store, finish, maintain, repair, prepare for sale, advertise for sale, and sell the Collateral. Agent is hereby granted a non-exclusive, royalty-free license or other right to use, without charge, a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Agent’s exercise of its rights under this Section, a Borrower’s rights under all licenses and all franchise agreements inure to Agent’s benefit;</w:t>
      </w:r>
    </w:p>
    <w:p>
      <w:pPr>
        <w:spacing w:after="0" w:line="120" w:lineRule="exact"/>
        <w:rPr>
          <w:rFonts w:ascii="Arial" w:cs="Arial" w:eastAsia="Arial" w:hAnsi="Arial"/>
          <w:sz w:val="16"/>
          <w:szCs w:val="16"/>
          <w:color w:val="auto"/>
        </w:rPr>
      </w:pPr>
    </w:p>
    <w:p>
      <w:pPr>
        <w:ind w:right="20" w:firstLine="1167"/>
        <w:spacing w:after="0" w:line="283" w:lineRule="auto"/>
        <w:tabs>
          <w:tab w:leader="none" w:pos="151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deliver a notice of exclusive control, any entitlement order, or other directions or instructions pursuant to any Account Control Agreement or similar agreements providing control of any Collateral;</w:t>
      </w:r>
    </w:p>
    <w:p>
      <w:pPr>
        <w:spacing w:after="0" w:line="101" w:lineRule="exact"/>
        <w:rPr>
          <w:rFonts w:ascii="Arial" w:cs="Arial" w:eastAsia="Arial" w:hAnsi="Arial"/>
          <w:sz w:val="16"/>
          <w:szCs w:val="16"/>
          <w:color w:val="auto"/>
        </w:rPr>
      </w:pPr>
    </w:p>
    <w:p>
      <w:pPr>
        <w:ind w:left="1520" w:hanging="353"/>
        <w:spacing w:after="0"/>
        <w:tabs>
          <w:tab w:leader="none" w:pos="152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demand and receive possession of any Borrower’s Books; and</w:t>
      </w:r>
    </w:p>
    <w:p>
      <w:pPr>
        <w:spacing w:after="0" w:line="157" w:lineRule="exact"/>
        <w:rPr>
          <w:rFonts w:ascii="Arial" w:cs="Arial" w:eastAsia="Arial" w:hAnsi="Arial"/>
          <w:sz w:val="16"/>
          <w:szCs w:val="16"/>
          <w:color w:val="auto"/>
        </w:rPr>
      </w:pPr>
    </w:p>
    <w:p>
      <w:pPr>
        <w:ind w:right="20" w:firstLine="1167"/>
        <w:spacing w:after="0" w:line="283" w:lineRule="auto"/>
        <w:tabs>
          <w:tab w:leader="none" w:pos="1559"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exercise all rights and remedies available to Agent under the Loan Documents or at law or equity, including all remedies provided under the Code (including disposal of the Collateral pursuant to the terms thereof).</w:t>
      </w:r>
    </w:p>
    <w:p>
      <w:pPr>
        <w:spacing w:after="0" w:line="98" w:lineRule="exact"/>
        <w:rPr>
          <w:sz w:val="20"/>
          <w:szCs w:val="20"/>
          <w:color w:val="auto"/>
        </w:rPr>
      </w:pPr>
    </w:p>
    <w:p>
      <w:pPr>
        <w:jc w:val="both"/>
        <w:ind w:firstLine="585"/>
        <w:spacing w:after="0" w:line="274" w:lineRule="auto"/>
        <w:rPr>
          <w:sz w:val="20"/>
          <w:szCs w:val="20"/>
          <w:color w:val="auto"/>
        </w:rPr>
      </w:pPr>
      <w:r>
        <w:rPr>
          <w:rFonts w:ascii="Arial" w:cs="Arial" w:eastAsia="Arial" w:hAnsi="Arial"/>
          <w:sz w:val="15"/>
          <w:szCs w:val="15"/>
          <w:b w:val="1"/>
          <w:bCs w:val="1"/>
          <w:color w:val="auto"/>
        </w:rPr>
        <w:t>9.2 Power of Attorney</w:t>
      </w:r>
      <w:r>
        <w:rPr>
          <w:rFonts w:ascii="Arial" w:cs="Arial" w:eastAsia="Arial" w:hAnsi="Arial"/>
          <w:sz w:val="15"/>
          <w:szCs w:val="15"/>
          <w:color w:val="auto"/>
        </w:rPr>
        <w:t>. Each Borrower hereby irrevocably appoints Agent (and any of Agent’s partners, managers, officers, agents or employees) as its lawful</w:t>
      </w:r>
      <w:r>
        <w:rPr>
          <w:rFonts w:ascii="Arial" w:cs="Arial" w:eastAsia="Arial" w:hAnsi="Arial"/>
          <w:sz w:val="15"/>
          <w:szCs w:val="15"/>
          <w:b w:val="1"/>
          <w:bCs w:val="1"/>
          <w:color w:val="auto"/>
        </w:rPr>
        <w:t xml:space="preserve"> </w:t>
      </w:r>
      <w:r>
        <w:rPr>
          <w:rFonts w:ascii="Arial" w:cs="Arial" w:eastAsia="Arial" w:hAnsi="Arial"/>
          <w:sz w:val="15"/>
          <w:szCs w:val="15"/>
          <w:color w:val="auto"/>
        </w:rPr>
        <w:t>attorney-in-fact, with full power of substitution, exercisable upon the occurrence and during the continuance of an Event of Default, to: (a) send requests for verification of Accounts or notify Account Debtors of Agent’s security interest and Liens in the Collateral; (b) endorse such Borrower’s name on any checks or other forms of payment or security; (c) sign such Borrower’s name on any invoice or bill of lading for any Account or drafts against Account Debtors schedules and assignments of Accounts, verifications of Accounts, and notices to Account Debtors; (d) settle and adjust disputes and claims about the Accounts directly with Account Debtors, for amounts and on terms Agent determines reasonable; (e) make, settle, and adjust all claims under such Borrower’s insurance policies; (f) pay, contest or settle any Lien, charge, encumbrance, security interest, and adverse claim in or to the Collateral, or any judgment based thereon, or otherwise take any action to terminate or discharge the same; (g) transfer the Collateral into the name of Agent or a third party as the Code permits; and (h) dispose of the Collateral. Each Borrower further hereby appoints Agent (and any of Agent’s partners, managers, officers, agents or employees) as its lawful attorney-in-fact, with full power of substitution, regardless of whether or not an Event of Default has occurred or is continuing to: (i) sign such Borrower’s name on any documents and other Security Instruments necessary to perfect or continue the perfection of, or maintain the priority of, Agent’s security interest in the Collateral, (ii) execute and do all such assurances, acts and things which such Borrower is required, but fails to do under the covenants and provisions of the Loan Documents; (iii) take any and all such actions as Agent may reasonably determine to be necessary or advisable for the purpose of maintaining, preserving or protecting the Collateral or any of the rights, remedies, powers or privileges of Agent under this Agreement or the other Loan Documents. Agent’s foregoing appointment as each Borrower’s attorney in fact, and all of Agent’s rights and powers, coupled with an interest, are irrevocable until all Obligations (other than contingent indemnification obligations as to which no claim has been asserted or is known to exist) have been fully repaid, in cash, and otherwise fully performed and all Commitments have been terminated.</w:t>
      </w:r>
    </w:p>
    <w:p>
      <w:pPr>
        <w:spacing w:after="0" w:line="113" w:lineRule="exact"/>
        <w:rPr>
          <w:sz w:val="20"/>
          <w:szCs w:val="20"/>
          <w:color w:val="auto"/>
        </w:rPr>
      </w:pPr>
    </w:p>
    <w:p>
      <w:pPr>
        <w:jc w:val="both"/>
        <w:ind w:firstLine="585"/>
        <w:spacing w:after="0" w:line="261" w:lineRule="auto"/>
        <w:rPr>
          <w:sz w:val="20"/>
          <w:szCs w:val="20"/>
          <w:color w:val="auto"/>
        </w:rPr>
      </w:pPr>
      <w:r>
        <w:rPr>
          <w:rFonts w:ascii="Arial" w:cs="Arial" w:eastAsia="Arial" w:hAnsi="Arial"/>
          <w:sz w:val="16"/>
          <w:szCs w:val="16"/>
          <w:b w:val="1"/>
          <w:bCs w:val="1"/>
          <w:color w:val="auto"/>
        </w:rPr>
        <w:t>9.3 Protective Payments</w:t>
      </w:r>
      <w:r>
        <w:rPr>
          <w:rFonts w:ascii="Arial" w:cs="Arial" w:eastAsia="Arial" w:hAnsi="Arial"/>
          <w:sz w:val="16"/>
          <w:szCs w:val="16"/>
          <w:color w:val="auto"/>
        </w:rPr>
        <w:t>. If a Borrower fails to obtain the insurance called for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6.5</w:t>
      </w:r>
      <w:r>
        <w:rPr>
          <w:rFonts w:ascii="Arial" w:cs="Arial" w:eastAsia="Arial" w:hAnsi="Arial"/>
          <w:sz w:val="16"/>
          <w:szCs w:val="16"/>
          <w:b w:val="1"/>
          <w:bCs w:val="1"/>
          <w:color w:val="auto"/>
        </w:rPr>
        <w:t xml:space="preserve"> </w:t>
      </w:r>
      <w:r>
        <w:rPr>
          <w:rFonts w:ascii="Arial" w:cs="Arial" w:eastAsia="Arial" w:hAnsi="Arial"/>
          <w:sz w:val="16"/>
          <w:szCs w:val="16"/>
          <w:color w:val="auto"/>
        </w:rPr>
        <w:t>or fails to pay any premium thereon or fails to pay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amount which such Borrower is obligated to pay under this Agreement or any other Loan Document or which may be required to preserve the Collateral, Agent may obtain such insurance or make such payment, and all amounts so paid by Agent are protective advances and immediately due and payable, bearing interest at the then highest rate applicable to the Obligations, and secured by the Collateral. Agent will make reasonable efforts to provide Borrower Representative with notice of Agent obtaining such insurance at the time it is obtained or within a reasonable time thereafter. No payments by Agent are deemed an agreement to make similar payments in the future or shall constitute a waiver of any Event of Default.</w:t>
      </w:r>
    </w:p>
    <w:p>
      <w:pPr>
        <w:spacing w:after="0" w:line="115"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9.4</w:t>
      </w:r>
      <w:r>
        <w:rPr>
          <w:sz w:val="20"/>
          <w:szCs w:val="20"/>
          <w:color w:val="auto"/>
        </w:rPr>
        <w:tab/>
      </w:r>
      <w:r>
        <w:rPr>
          <w:rFonts w:ascii="Arial" w:cs="Arial" w:eastAsia="Arial" w:hAnsi="Arial"/>
          <w:sz w:val="14"/>
          <w:szCs w:val="14"/>
          <w:b w:val="1"/>
          <w:bCs w:val="1"/>
          <w:color w:val="auto"/>
        </w:rPr>
        <w:t>[Reserved.]</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9.5 Agent’s Liability for Collateral</w:t>
      </w:r>
      <w:r>
        <w:rPr>
          <w:rFonts w:ascii="Arial" w:cs="Arial" w:eastAsia="Arial" w:hAnsi="Arial"/>
          <w:sz w:val="16"/>
          <w:szCs w:val="16"/>
          <w:color w:val="auto"/>
        </w:rPr>
        <w:t>. So long as Agent complies with reasonable secured lender practices regarding the safekeeping of the Collateral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possession or under the control of Agent, Agent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60"/>
          </w:cols>
          <w:pgMar w:left="320" w:top="1295" w:right="319" w:bottom="1440" w:gutter="0" w:footer="0" w:header="0"/>
        </w:sectPr>
      </w:pPr>
    </w:p>
    <w:bookmarkStart w:id="365" w:name="page366"/>
    <w:bookmarkEnd w:id="365"/>
    <w:p>
      <w:pPr>
        <w:jc w:val="both"/>
        <w:spacing w:after="0" w:line="283" w:lineRule="auto"/>
        <w:rPr>
          <w:sz w:val="20"/>
          <w:szCs w:val="20"/>
          <w:color w:val="auto"/>
        </w:rPr>
      </w:pPr>
      <w:r>
        <w:rPr>
          <w:rFonts w:ascii="Arial" w:cs="Arial" w:eastAsia="Arial" w:hAnsi="Arial"/>
          <w:sz w:val="16"/>
          <w:szCs w:val="16"/>
          <w:color w:val="auto"/>
        </w:rPr>
        <w:t>be liable or responsible for: (a) the safekeeping of the Collateral; (b) any loss or damage to the Collateral; (c) any diminution in the value of the Collateral; or (d) any act or default of any carrier, warehouseman, bailee, or other Person. Borrowers bear all risk of loss, damage or destruction of the Collateral.</w:t>
      </w:r>
    </w:p>
    <w:p>
      <w:pPr>
        <w:spacing w:after="0" w:line="98" w:lineRule="exact"/>
        <w:rPr>
          <w:sz w:val="20"/>
          <w:szCs w:val="20"/>
          <w:color w:val="auto"/>
        </w:rPr>
      </w:pPr>
    </w:p>
    <w:p>
      <w:pPr>
        <w:jc w:val="both"/>
        <w:ind w:firstLine="585"/>
        <w:spacing w:after="0" w:line="279" w:lineRule="auto"/>
        <w:rPr>
          <w:sz w:val="20"/>
          <w:szCs w:val="20"/>
          <w:color w:val="auto"/>
        </w:rPr>
      </w:pPr>
      <w:r>
        <w:rPr>
          <w:rFonts w:ascii="Arial" w:cs="Arial" w:eastAsia="Arial" w:hAnsi="Arial"/>
          <w:sz w:val="15"/>
          <w:szCs w:val="15"/>
          <w:b w:val="1"/>
          <w:bCs w:val="1"/>
          <w:color w:val="auto"/>
        </w:rPr>
        <w:t>9.6 No Waiver; Remedies Cumulative</w:t>
      </w:r>
      <w:r>
        <w:rPr>
          <w:rFonts w:ascii="Arial" w:cs="Arial" w:eastAsia="Arial" w:hAnsi="Arial"/>
          <w:sz w:val="15"/>
          <w:szCs w:val="15"/>
          <w:color w:val="auto"/>
        </w:rPr>
        <w:t>. Any failure on the part of Agent or any other Secured Party, at any time or times, to require strict performance by each</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 of any provision of this Agreement or any other Loan Document shall not waive, affect, or diminish any right of Secured Parties thereafter to demand strict performance and compliance herewith or therewith. No waiver hereunder shall be effective unless signed by the party granting the waiver and then is only effective for the specific instance and purpose for which it is given. The rights and remedies of Secured Parties under this Agreement and the other Loan Documents are cumulative. Agent has all rights and remedies as secured party provided under the Code, by law, or in equity. Any exercise of one right or remedy is not an election and shall not preclude Agent or any Secured Party from exercising any other remedy under this Agreement or other remedy available at law or in equity, and any waiver of any Event of Default is not a continuing waiver. Any delay in exercising any remedy on the part of any Secured Party is not a waiver, election, or acquiescence.</w:t>
      </w:r>
    </w:p>
    <w:p>
      <w:pPr>
        <w:spacing w:after="0" w:line="10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b w:val="1"/>
          <w:bCs w:val="1"/>
          <w:color w:val="auto"/>
        </w:rPr>
        <w:t>9.7 Demand Waiver</w:t>
      </w:r>
      <w:r>
        <w:rPr>
          <w:rFonts w:ascii="Arial" w:cs="Arial" w:eastAsia="Arial" w:hAnsi="Arial"/>
          <w:sz w:val="16"/>
          <w:szCs w:val="16"/>
          <w:color w:val="auto"/>
        </w:rPr>
        <w:t>. Each Borrower waives demand, notice of default or dishonor, notice of payment and nonpayment, notice of any default, nonpayment at</w:t>
      </w:r>
      <w:r>
        <w:rPr>
          <w:rFonts w:ascii="Arial" w:cs="Arial" w:eastAsia="Arial" w:hAnsi="Arial"/>
          <w:sz w:val="16"/>
          <w:szCs w:val="16"/>
          <w:b w:val="1"/>
          <w:bCs w:val="1"/>
          <w:color w:val="auto"/>
        </w:rPr>
        <w:t xml:space="preserve"> </w:t>
      </w:r>
      <w:r>
        <w:rPr>
          <w:rFonts w:ascii="Arial" w:cs="Arial" w:eastAsia="Arial" w:hAnsi="Arial"/>
          <w:sz w:val="16"/>
          <w:szCs w:val="16"/>
          <w:color w:val="auto"/>
        </w:rPr>
        <w:t>maturity, release, compromise, settlement, extension, or renewal of accounts, documents, instruments or chattel paper.</w:t>
      </w:r>
    </w:p>
    <w:p>
      <w:pPr>
        <w:spacing w:after="0" w:line="94" w:lineRule="exact"/>
        <w:rPr>
          <w:sz w:val="20"/>
          <w:szCs w:val="20"/>
          <w:color w:val="auto"/>
        </w:rPr>
      </w:pPr>
    </w:p>
    <w:p>
      <w:pPr>
        <w:ind w:left="940" w:hanging="358"/>
        <w:spacing w:after="0"/>
        <w:tabs>
          <w:tab w:leader="none" w:pos="940" w:val="left"/>
        </w:tabs>
        <w:numPr>
          <w:ilvl w:val="0"/>
          <w:numId w:val="2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p>
    <w:p>
      <w:pPr>
        <w:spacing w:after="0" w:line="161" w:lineRule="exact"/>
        <w:rPr>
          <w:sz w:val="20"/>
          <w:szCs w:val="20"/>
          <w:color w:val="auto"/>
        </w:rPr>
      </w:pPr>
    </w:p>
    <w:p>
      <w:pPr>
        <w:jc w:val="both"/>
        <w:ind w:firstLine="585"/>
        <w:spacing w:after="0" w:line="260" w:lineRule="auto"/>
        <w:rPr>
          <w:sz w:val="20"/>
          <w:szCs w:val="20"/>
          <w:color w:val="auto"/>
        </w:rPr>
      </w:pPr>
      <w:r>
        <w:rPr>
          <w:rFonts w:ascii="Arial" w:cs="Arial" w:eastAsia="Arial" w:hAnsi="Arial"/>
          <w:sz w:val="16"/>
          <w:szCs w:val="16"/>
          <w:color w:val="auto"/>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confirmation of receipt, when sent by electronic mail transmission; (c) one (1) Business Day after deposit with a reputable overnight courier with all charges prepaid; or (d) when delivered, if hand-delivered by messenger, all of which shall be addressed to the party to be notified and sent to the address, or email address indicated below. Each party may change their respective mailing or electronic mail addresses by giving the other party written notice thereof in accordance with the terms of this </w:t>
      </w:r>
      <w:r>
        <w:rPr>
          <w:rFonts w:ascii="Arial" w:cs="Arial" w:eastAsia="Arial" w:hAnsi="Arial"/>
          <w:sz w:val="16"/>
          <w:szCs w:val="16"/>
          <w:u w:val="single" w:color="auto"/>
          <w:color w:val="auto"/>
        </w:rPr>
        <w:t>Section 10</w:t>
      </w:r>
      <w:r>
        <w:rPr>
          <w:rFonts w:ascii="Arial" w:cs="Arial" w:eastAsia="Arial" w:hAnsi="Arial"/>
          <w:sz w:val="16"/>
          <w:szCs w:val="16"/>
          <w:color w:val="auto"/>
        </w:rPr>
        <w:t>.</w:t>
      </w:r>
    </w:p>
    <w:p>
      <w:pPr>
        <w:spacing w:after="0" w:line="144" w:lineRule="exact"/>
        <w:rPr>
          <w:sz w:val="20"/>
          <w:szCs w:val="20"/>
          <w:color w:val="auto"/>
        </w:rPr>
      </w:pPr>
    </w:p>
    <w:p>
      <w:pPr>
        <w:ind w:left="1180"/>
        <w:spacing w:after="0"/>
        <w:tabs>
          <w:tab w:leader="none" w:pos="3580" w:val="left"/>
        </w:tabs>
        <w:rPr>
          <w:sz w:val="20"/>
          <w:szCs w:val="20"/>
          <w:color w:val="auto"/>
        </w:rPr>
      </w:pPr>
      <w:r>
        <w:rPr>
          <w:rFonts w:ascii="Arial" w:cs="Arial" w:eastAsia="Arial" w:hAnsi="Arial"/>
          <w:sz w:val="16"/>
          <w:szCs w:val="16"/>
          <w:color w:val="auto"/>
        </w:rPr>
        <w:t>If to Borrower:</w:t>
      </w:r>
      <w:r>
        <w:rPr>
          <w:sz w:val="20"/>
          <w:szCs w:val="20"/>
          <w:color w:val="auto"/>
        </w:rPr>
        <w:tab/>
      </w:r>
      <w:r>
        <w:rPr>
          <w:rFonts w:ascii="Arial" w:cs="Arial" w:eastAsia="Arial" w:hAnsi="Arial"/>
          <w:sz w:val="15"/>
          <w:szCs w:val="15"/>
          <w:color w:val="auto"/>
        </w:rPr>
        <w:t>Expensify, Inc.</w:t>
      </w:r>
    </w:p>
    <w:p>
      <w:pPr>
        <w:ind w:left="3600"/>
        <w:spacing w:after="0" w:line="206" w:lineRule="auto"/>
        <w:rPr>
          <w:sz w:val="20"/>
          <w:szCs w:val="20"/>
          <w:color w:val="auto"/>
        </w:rPr>
      </w:pPr>
      <w:r>
        <w:rPr>
          <w:rFonts w:ascii="Arial" w:cs="Arial" w:eastAsia="Arial" w:hAnsi="Arial"/>
          <w:sz w:val="16"/>
          <w:szCs w:val="16"/>
          <w:color w:val="auto"/>
        </w:rPr>
        <w:t>401 SW 5th Avenue</w:t>
      </w:r>
    </w:p>
    <w:p>
      <w:pPr>
        <w:ind w:left="3600"/>
        <w:spacing w:after="0" w:line="207" w:lineRule="auto"/>
        <w:rPr>
          <w:sz w:val="20"/>
          <w:szCs w:val="20"/>
          <w:color w:val="auto"/>
        </w:rPr>
      </w:pPr>
      <w:r>
        <w:rPr>
          <w:rFonts w:ascii="Arial" w:cs="Arial" w:eastAsia="Arial" w:hAnsi="Arial"/>
          <w:sz w:val="16"/>
          <w:szCs w:val="16"/>
          <w:color w:val="auto"/>
        </w:rPr>
        <w:t>Portland, OR 97204</w:t>
      </w:r>
    </w:p>
    <w:p>
      <w:pPr>
        <w:ind w:left="3600"/>
        <w:spacing w:after="0" w:line="206" w:lineRule="auto"/>
        <w:rPr>
          <w:sz w:val="20"/>
          <w:szCs w:val="20"/>
          <w:color w:val="auto"/>
        </w:rPr>
      </w:pPr>
      <w:r>
        <w:rPr>
          <w:rFonts w:ascii="Arial" w:cs="Arial" w:eastAsia="Arial" w:hAnsi="Arial"/>
          <w:sz w:val="16"/>
          <w:szCs w:val="16"/>
          <w:color w:val="auto"/>
        </w:rPr>
        <w:t>Attn: Ryan Schaffer,</w:t>
      </w:r>
    </w:p>
    <w:p>
      <w:pPr>
        <w:ind w:left="3600"/>
        <w:spacing w:after="0" w:line="207" w:lineRule="auto"/>
        <w:rPr>
          <w:sz w:val="20"/>
          <w:szCs w:val="20"/>
          <w:color w:val="auto"/>
        </w:rPr>
      </w:pPr>
      <w:r>
        <w:rPr>
          <w:rFonts w:ascii="Arial" w:cs="Arial" w:eastAsia="Arial" w:hAnsi="Arial"/>
          <w:sz w:val="16"/>
          <w:szCs w:val="16"/>
          <w:color w:val="auto"/>
        </w:rPr>
        <w:t>Chief Financial Officer</w:t>
      </w:r>
    </w:p>
    <w:p>
      <w:pPr>
        <w:ind w:left="3600"/>
        <w:spacing w:after="0"/>
        <w:rPr>
          <w:sz w:val="20"/>
          <w:szCs w:val="20"/>
          <w:color w:val="auto"/>
        </w:rPr>
      </w:pPr>
      <w:r>
        <w:rPr>
          <w:rFonts w:ascii="Arial" w:cs="Arial" w:eastAsia="Arial" w:hAnsi="Arial"/>
          <w:sz w:val="16"/>
          <w:szCs w:val="16"/>
          <w:color w:val="auto"/>
        </w:rPr>
        <w:t>Email:</w:t>
      </w:r>
    </w:p>
    <w:p>
      <w:pPr>
        <w:sectPr>
          <w:pgSz w:w="11900" w:h="16838" w:orient="portrait"/>
          <w:cols w:equalWidth="0" w:num="1">
            <w:col w:w="11240"/>
          </w:cols>
          <w:pgMar w:left="320" w:top="1296" w:right="339" w:bottom="1440" w:gutter="0" w:footer="0" w:header="0"/>
        </w:sectPr>
      </w:pPr>
    </w:p>
    <w:p>
      <w:pPr>
        <w:spacing w:after="0" w:line="155" w:lineRule="exact"/>
        <w:rPr>
          <w:sz w:val="20"/>
          <w:szCs w:val="20"/>
          <w:color w:val="auto"/>
        </w:rPr>
      </w:pPr>
    </w:p>
    <w:p>
      <w:pPr>
        <w:ind w:left="1180"/>
        <w:spacing w:after="0" w:line="238" w:lineRule="auto"/>
        <w:rPr>
          <w:sz w:val="20"/>
          <w:szCs w:val="20"/>
          <w:color w:val="auto"/>
        </w:rPr>
      </w:pPr>
      <w:r>
        <w:rPr>
          <w:rFonts w:ascii="Arial" w:cs="Arial" w:eastAsia="Arial" w:hAnsi="Arial"/>
          <w:sz w:val="16"/>
          <w:szCs w:val="16"/>
          <w:color w:val="auto"/>
        </w:rPr>
        <w:t>With a copy, not constituting notice, to: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If to Agent: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for any borrowing request: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Silicon Legal Strategy</w:t>
      </w:r>
    </w:p>
    <w:p>
      <w:pPr>
        <w:spacing w:after="0" w:line="206" w:lineRule="auto"/>
        <w:rPr>
          <w:sz w:val="20"/>
          <w:szCs w:val="20"/>
          <w:color w:val="auto"/>
        </w:rPr>
      </w:pPr>
      <w:r>
        <w:rPr>
          <w:rFonts w:ascii="Arial" w:cs="Arial" w:eastAsia="Arial" w:hAnsi="Arial"/>
          <w:sz w:val="16"/>
          <w:szCs w:val="16"/>
          <w:color w:val="auto"/>
        </w:rPr>
        <w:t>201 Mission Street, Suite 800</w:t>
      </w:r>
    </w:p>
    <w:p>
      <w:pPr>
        <w:spacing w:after="0" w:line="207" w:lineRule="auto"/>
        <w:rPr>
          <w:sz w:val="20"/>
          <w:szCs w:val="20"/>
          <w:color w:val="auto"/>
        </w:rPr>
      </w:pPr>
      <w:r>
        <w:rPr>
          <w:rFonts w:ascii="Arial" w:cs="Arial" w:eastAsia="Arial" w:hAnsi="Arial"/>
          <w:sz w:val="16"/>
          <w:szCs w:val="16"/>
          <w:color w:val="auto"/>
        </w:rPr>
        <w:t>San Francisco, California 94105</w:t>
      </w:r>
    </w:p>
    <w:p>
      <w:pPr>
        <w:spacing w:after="0" w:line="206" w:lineRule="auto"/>
        <w:rPr>
          <w:sz w:val="20"/>
          <w:szCs w:val="20"/>
          <w:color w:val="auto"/>
        </w:rPr>
      </w:pPr>
      <w:r>
        <w:rPr>
          <w:rFonts w:ascii="Arial" w:cs="Arial" w:eastAsia="Arial" w:hAnsi="Arial"/>
          <w:sz w:val="16"/>
          <w:szCs w:val="16"/>
          <w:color w:val="auto"/>
        </w:rPr>
        <w:t>Attn: Andre Gharakhanian</w:t>
      </w:r>
    </w:p>
    <w:p>
      <w:pPr>
        <w:spacing w:after="0"/>
        <w:rPr>
          <w:sz w:val="20"/>
          <w:szCs w:val="20"/>
          <w:color w:val="auto"/>
        </w:rPr>
      </w:pPr>
      <w:r>
        <w:rPr>
          <w:rFonts w:ascii="Arial" w:cs="Arial" w:eastAsia="Arial" w:hAnsi="Arial"/>
          <w:sz w:val="16"/>
          <w:szCs w:val="16"/>
          <w:color w:val="auto"/>
        </w:rPr>
        <w:t>Email:</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Canadian Imperial Bank of Commerce</w:t>
      </w:r>
    </w:p>
    <w:p>
      <w:pPr>
        <w:spacing w:after="0" w:line="221" w:lineRule="auto"/>
        <w:rPr>
          <w:sz w:val="20"/>
          <w:szCs w:val="20"/>
          <w:color w:val="auto"/>
        </w:rPr>
      </w:pPr>
      <w:r>
        <w:rPr>
          <w:rFonts w:ascii="Arial" w:cs="Arial" w:eastAsia="Arial" w:hAnsi="Arial"/>
          <w:sz w:val="16"/>
          <w:szCs w:val="16"/>
          <w:color w:val="auto"/>
        </w:rPr>
        <w:t>Credit Processing Services</w:t>
      </w:r>
    </w:p>
    <w:p>
      <w:pPr>
        <w:spacing w:after="0" w:line="206" w:lineRule="auto"/>
        <w:rPr>
          <w:sz w:val="20"/>
          <w:szCs w:val="20"/>
          <w:color w:val="auto"/>
        </w:rPr>
      </w:pPr>
      <w:r>
        <w:rPr>
          <w:rFonts w:ascii="Arial" w:cs="Arial" w:eastAsia="Arial" w:hAnsi="Arial"/>
          <w:sz w:val="16"/>
          <w:szCs w:val="16"/>
          <w:color w:val="auto"/>
        </w:rPr>
        <w:t>595 Bay Street, 5th floor</w:t>
      </w:r>
    </w:p>
    <w:p>
      <w:pPr>
        <w:spacing w:after="0" w:line="207" w:lineRule="auto"/>
        <w:rPr>
          <w:sz w:val="20"/>
          <w:szCs w:val="20"/>
          <w:color w:val="auto"/>
        </w:rPr>
      </w:pPr>
      <w:r>
        <w:rPr>
          <w:rFonts w:ascii="Arial" w:cs="Arial" w:eastAsia="Arial" w:hAnsi="Arial"/>
          <w:sz w:val="16"/>
          <w:szCs w:val="16"/>
          <w:color w:val="auto"/>
        </w:rPr>
        <w:t>Toronto, Ontario</w:t>
      </w:r>
    </w:p>
    <w:p>
      <w:pPr>
        <w:spacing w:after="0" w:line="206" w:lineRule="auto"/>
        <w:rPr>
          <w:sz w:val="20"/>
          <w:szCs w:val="20"/>
          <w:color w:val="auto"/>
        </w:rPr>
      </w:pPr>
      <w:r>
        <w:rPr>
          <w:rFonts w:ascii="Arial" w:cs="Arial" w:eastAsia="Arial" w:hAnsi="Arial"/>
          <w:sz w:val="16"/>
          <w:szCs w:val="16"/>
          <w:color w:val="auto"/>
        </w:rPr>
        <w:t>M5G 2C2</w:t>
      </w:r>
    </w:p>
    <w:p>
      <w:pPr>
        <w:spacing w:after="0" w:line="207" w:lineRule="auto"/>
        <w:rPr>
          <w:sz w:val="20"/>
          <w:szCs w:val="20"/>
          <w:color w:val="auto"/>
        </w:rPr>
      </w:pPr>
      <w:r>
        <w:rPr>
          <w:rFonts w:ascii="Arial" w:cs="Arial" w:eastAsia="Arial" w:hAnsi="Arial"/>
          <w:sz w:val="16"/>
          <w:szCs w:val="16"/>
          <w:color w:val="auto"/>
        </w:rPr>
        <w:t>e-mail:</w:t>
      </w:r>
    </w:p>
    <w:p>
      <w:pPr>
        <w:spacing w:after="0"/>
        <w:rPr>
          <w:sz w:val="20"/>
          <w:szCs w:val="20"/>
          <w:color w:val="auto"/>
        </w:rPr>
      </w:pPr>
      <w:r>
        <w:rPr>
          <w:rFonts w:ascii="Arial" w:cs="Arial" w:eastAsia="Arial" w:hAnsi="Arial"/>
          <w:sz w:val="16"/>
          <w:szCs w:val="16"/>
          <w:color w:val="auto"/>
        </w:rPr>
        <w:t>Attention: Gregory McDonald</w:t>
      </w:r>
    </w:p>
    <w:p>
      <w:pPr>
        <w:spacing w:after="0" w:line="200" w:lineRule="exact"/>
        <w:rPr>
          <w:sz w:val="20"/>
          <w:szCs w:val="20"/>
          <w:color w:val="auto"/>
        </w:rPr>
      </w:pPr>
    </w:p>
    <w:p>
      <w:pPr>
        <w:sectPr>
          <w:pgSz w:w="11900" w:h="16838" w:orient="portrait"/>
          <w:cols w:equalWidth="0" w:num="2">
            <w:col w:w="3540" w:space="60"/>
            <w:col w:w="7640"/>
          </w:cols>
          <w:pgMar w:left="320" w:top="12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1296" w:right="339" w:bottom="1440" w:gutter="0" w:footer="0" w:header="0"/>
          <w:type w:val="continuous"/>
        </w:sectPr>
      </w:pPr>
    </w:p>
    <w:bookmarkStart w:id="366" w:name="page367"/>
    <w:bookmarkEnd w:id="366"/>
    <w:p>
      <w:pPr>
        <w:jc w:val="center"/>
        <w:ind w:left="800"/>
        <w:spacing w:after="0"/>
        <w:rPr>
          <w:sz w:val="20"/>
          <w:szCs w:val="20"/>
          <w:color w:val="auto"/>
        </w:rPr>
      </w:pPr>
      <w:r>
        <w:rPr>
          <w:rFonts w:ascii="Arial" w:cs="Arial" w:eastAsia="Arial" w:hAnsi="Arial"/>
          <w:sz w:val="15"/>
          <w:szCs w:val="15"/>
          <w:color w:val="auto"/>
        </w:rPr>
        <w:t>for all other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Canadian Imperial Bank of Commerce</w:t>
      </w:r>
    </w:p>
    <w:p>
      <w:pPr>
        <w:spacing w:after="0" w:line="206" w:lineRule="auto"/>
        <w:rPr>
          <w:sz w:val="20"/>
          <w:szCs w:val="20"/>
          <w:color w:val="auto"/>
        </w:rPr>
      </w:pPr>
      <w:r>
        <w:rPr>
          <w:rFonts w:ascii="Arial" w:cs="Arial" w:eastAsia="Arial" w:hAnsi="Arial"/>
          <w:sz w:val="16"/>
          <w:szCs w:val="16"/>
          <w:color w:val="auto"/>
        </w:rPr>
        <w:t>199 Bay Street, 4</w:t>
      </w:r>
      <w:r>
        <w:rPr>
          <w:rFonts w:ascii="Arial" w:cs="Arial" w:eastAsia="Arial" w:hAnsi="Arial"/>
          <w:sz w:val="10"/>
          <w:szCs w:val="10"/>
          <w:color w:val="auto"/>
        </w:rPr>
        <w:t>th</w:t>
      </w:r>
      <w:r>
        <w:rPr>
          <w:rFonts w:ascii="Arial" w:cs="Arial" w:eastAsia="Arial" w:hAnsi="Arial"/>
          <w:sz w:val="16"/>
          <w:szCs w:val="16"/>
          <w:color w:val="auto"/>
        </w:rPr>
        <w:t xml:space="preserve"> Floor</w:t>
      </w:r>
    </w:p>
    <w:p>
      <w:pPr>
        <w:spacing w:after="0" w:line="207" w:lineRule="auto"/>
        <w:rPr>
          <w:sz w:val="20"/>
          <w:szCs w:val="20"/>
          <w:color w:val="auto"/>
        </w:rPr>
      </w:pPr>
      <w:r>
        <w:rPr>
          <w:rFonts w:ascii="Arial" w:cs="Arial" w:eastAsia="Arial" w:hAnsi="Arial"/>
          <w:sz w:val="16"/>
          <w:szCs w:val="16"/>
          <w:color w:val="auto"/>
        </w:rPr>
        <w:t>Toronto, Ontario</w:t>
      </w:r>
    </w:p>
    <w:p>
      <w:pPr>
        <w:spacing w:after="0" w:line="206" w:lineRule="auto"/>
        <w:rPr>
          <w:sz w:val="20"/>
          <w:szCs w:val="20"/>
          <w:color w:val="auto"/>
        </w:rPr>
      </w:pPr>
      <w:r>
        <w:rPr>
          <w:rFonts w:ascii="Arial" w:cs="Arial" w:eastAsia="Arial" w:hAnsi="Arial"/>
          <w:sz w:val="16"/>
          <w:szCs w:val="16"/>
          <w:color w:val="auto"/>
        </w:rPr>
        <w:t>M5L 1A2</w:t>
      </w:r>
    </w:p>
    <w:p>
      <w:pPr>
        <w:spacing w:after="0" w:line="207" w:lineRule="auto"/>
        <w:rPr>
          <w:sz w:val="20"/>
          <w:szCs w:val="20"/>
          <w:color w:val="auto"/>
        </w:rPr>
      </w:pPr>
      <w:r>
        <w:rPr>
          <w:rFonts w:ascii="Arial" w:cs="Arial" w:eastAsia="Arial" w:hAnsi="Arial"/>
          <w:sz w:val="16"/>
          <w:szCs w:val="16"/>
          <w:color w:val="auto"/>
        </w:rPr>
        <w:t>e-mail:</w:t>
      </w:r>
    </w:p>
    <w:p>
      <w:pPr>
        <w:spacing w:after="0"/>
        <w:rPr>
          <w:sz w:val="20"/>
          <w:szCs w:val="20"/>
          <w:color w:val="auto"/>
        </w:rPr>
      </w:pPr>
      <w:r>
        <w:rPr>
          <w:rFonts w:ascii="Arial" w:cs="Arial" w:eastAsia="Arial" w:hAnsi="Arial"/>
          <w:sz w:val="15"/>
          <w:szCs w:val="15"/>
          <w:color w:val="auto"/>
        </w:rPr>
        <w:t>Attention: Paul McKinlay; Imran Premji</w:t>
      </w:r>
    </w:p>
    <w:p>
      <w:pPr>
        <w:spacing w:after="0" w:line="9" w:lineRule="exact"/>
        <w:rPr>
          <w:sz w:val="20"/>
          <w:szCs w:val="20"/>
          <w:color w:val="auto"/>
        </w:rPr>
      </w:pPr>
    </w:p>
    <w:p>
      <w:pPr>
        <w:sectPr>
          <w:pgSz w:w="11900" w:h="16838" w:orient="portrait"/>
          <w:cols w:equalWidth="0" w:num="2">
            <w:col w:w="2880" w:space="720"/>
            <w:col w:w="7660"/>
          </w:cols>
          <w:pgMar w:left="320" w:top="1332" w:right="319" w:bottom="1440" w:gutter="0" w:footer="0" w:header="0"/>
        </w:sectPr>
      </w:pPr>
    </w:p>
    <w:p>
      <w:pPr>
        <w:spacing w:after="0" w:line="12" w:lineRule="exact"/>
        <w:rPr>
          <w:sz w:val="20"/>
          <w:szCs w:val="20"/>
          <w:color w:val="auto"/>
        </w:rPr>
      </w:pPr>
    </w:p>
    <w:p>
      <w:pPr>
        <w:ind w:left="1180"/>
        <w:spacing w:after="0" w:line="238" w:lineRule="auto"/>
        <w:rPr>
          <w:sz w:val="20"/>
          <w:szCs w:val="20"/>
          <w:color w:val="auto"/>
        </w:rPr>
      </w:pPr>
      <w:r>
        <w:rPr>
          <w:rFonts w:ascii="Arial" w:cs="Arial" w:eastAsia="Arial" w:hAnsi="Arial"/>
          <w:sz w:val="16"/>
          <w:szCs w:val="16"/>
          <w:color w:val="auto"/>
        </w:rPr>
        <w:t>With a copy, not constituting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Cooley LLP</w:t>
      </w:r>
    </w:p>
    <w:p>
      <w:pPr>
        <w:spacing w:after="0" w:line="236" w:lineRule="auto"/>
        <w:rPr>
          <w:sz w:val="20"/>
          <w:szCs w:val="20"/>
          <w:color w:val="auto"/>
        </w:rPr>
      </w:pPr>
      <w:r>
        <w:rPr>
          <w:rFonts w:ascii="Arial" w:cs="Arial" w:eastAsia="Arial" w:hAnsi="Arial"/>
          <w:sz w:val="14"/>
          <w:szCs w:val="14"/>
          <w:color w:val="auto"/>
        </w:rPr>
        <w:t>3175 Hanover Street</w:t>
      </w:r>
    </w:p>
    <w:p>
      <w:pPr>
        <w:spacing w:after="0" w:line="220" w:lineRule="auto"/>
        <w:rPr>
          <w:sz w:val="20"/>
          <w:szCs w:val="20"/>
          <w:color w:val="auto"/>
        </w:rPr>
      </w:pPr>
      <w:r>
        <w:rPr>
          <w:rFonts w:ascii="Arial" w:cs="Arial" w:eastAsia="Arial" w:hAnsi="Arial"/>
          <w:sz w:val="15"/>
          <w:szCs w:val="15"/>
          <w:color w:val="auto"/>
        </w:rPr>
        <w:t>Palo Alto, CA 94304</w:t>
      </w:r>
    </w:p>
    <w:p>
      <w:pPr>
        <w:spacing w:after="0" w:line="206" w:lineRule="auto"/>
        <w:rPr>
          <w:sz w:val="20"/>
          <w:szCs w:val="20"/>
          <w:color w:val="auto"/>
        </w:rPr>
      </w:pPr>
      <w:r>
        <w:rPr>
          <w:rFonts w:ascii="Arial" w:cs="Arial" w:eastAsia="Arial" w:hAnsi="Arial"/>
          <w:sz w:val="16"/>
          <w:szCs w:val="16"/>
          <w:color w:val="auto"/>
        </w:rPr>
        <w:t>Attn: Cynthia Bai</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Email:</w:t>
      </w:r>
    </w:p>
    <w:p>
      <w:pPr>
        <w:spacing w:after="0" w:line="200" w:lineRule="exact"/>
        <w:rPr>
          <w:sz w:val="20"/>
          <w:szCs w:val="20"/>
          <w:color w:val="auto"/>
        </w:rPr>
      </w:pPr>
    </w:p>
    <w:p>
      <w:pPr>
        <w:sectPr>
          <w:pgSz w:w="11900" w:h="16838" w:orient="portrait"/>
          <w:cols w:equalWidth="0" w:num="2">
            <w:col w:w="3540" w:space="60"/>
            <w:col w:w="7660"/>
          </w:cols>
          <w:pgMar w:left="320" w:top="1332" w:right="319" w:bottom="1440" w:gutter="0" w:footer="0" w:header="0"/>
          <w:type w:val="continuous"/>
        </w:sectPr>
      </w:pPr>
    </w:p>
    <w:p>
      <w:pPr>
        <w:spacing w:after="0" w:line="24" w:lineRule="exact"/>
        <w:rPr>
          <w:sz w:val="20"/>
          <w:szCs w:val="20"/>
          <w:color w:val="auto"/>
        </w:rPr>
      </w:pPr>
    </w:p>
    <w:p>
      <w:pPr>
        <w:ind w:left="940" w:hanging="358"/>
        <w:spacing w:after="0"/>
        <w:tabs>
          <w:tab w:leader="none" w:pos="940" w:val="left"/>
        </w:tabs>
        <w:numPr>
          <w:ilvl w:val="0"/>
          <w:numId w:val="2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CHOICE OF LAW, VENUE, JURY TRIAL WAIVER, AND JUDICIAL REFERENCE</w:t>
      </w:r>
    </w:p>
    <w:p>
      <w:pPr>
        <w:spacing w:after="0" w:line="161" w:lineRule="exact"/>
        <w:rPr>
          <w:sz w:val="20"/>
          <w:szCs w:val="20"/>
          <w:color w:val="auto"/>
        </w:rPr>
      </w:pPr>
    </w:p>
    <w:p>
      <w:pPr>
        <w:jc w:val="both"/>
        <w:ind w:firstLine="585"/>
        <w:spacing w:after="0" w:line="275" w:lineRule="auto"/>
        <w:rPr>
          <w:sz w:val="20"/>
          <w:szCs w:val="20"/>
          <w:color w:val="auto"/>
        </w:rPr>
      </w:pPr>
      <w:r>
        <w:rPr>
          <w:rFonts w:ascii="Arial" w:cs="Arial" w:eastAsia="Arial" w:hAnsi="Arial"/>
          <w:sz w:val="15"/>
          <w:szCs w:val="15"/>
          <w:color w:val="auto"/>
        </w:rPr>
        <w:t xml:space="preserve">Except as otherwise expressly provided in any of the Loan Documents, this Agreement and the other Loan Documents shall be governed by, and construed in accordance with, the laws of the State of New York without regard to principles of conflicts of law. Each Borrower hereby submits to the exclusive jurisdiction of the State and Federal courts in New York County, City of New York, New York;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in this Agreement shall be deemed to operate to preclude any Secured Party from bringing suit or taking other legal action in any other jurisdiction to realize on the Collateral or any other security for the Obligations, or to enforce a judgment or other court order in favor of Agent or any Secured Party. Each Borrower expressly submits and consents in advance to such jurisdiction in any action or suit commenced in any such court, and each Borrower hereby waives any objection that it may have based upon lack of personal jurisdiction, improper venue, or forum non conveniens and hereby consents to the granting of such legal or equitable relief as is deemed appropriate by such court. Each Borrower hereby waives personal service of the summons, complaints, and other process issued in such action or suit and agrees that service of such summons, complaints, and other process may be made by registered or certified mail addressed to such Borrower at the address set forth in, or subsequently provided by such Borrower in accordance with,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and that service so made shall be deemed completed upon the earlier to occur of Borrowers’ actual receipt thereof or three (3) days after deposit in the U.S. mails, proper postage prepaid. Each Borrower hereby expressly waives any claim to assert that the laws of any other jurisdiction govern this Agreement.</w:t>
      </w:r>
    </w:p>
    <w:p>
      <w:pPr>
        <w:spacing w:after="0" w:line="112" w:lineRule="exact"/>
        <w:rPr>
          <w:sz w:val="20"/>
          <w:szCs w:val="20"/>
          <w:color w:val="auto"/>
        </w:rPr>
      </w:pPr>
    </w:p>
    <w:p>
      <w:pPr>
        <w:jc w:val="both"/>
        <w:ind w:right="20" w:firstLine="585"/>
        <w:spacing w:after="0" w:line="259" w:lineRule="auto"/>
        <w:rPr>
          <w:sz w:val="20"/>
          <w:szCs w:val="20"/>
          <w:color w:val="auto"/>
        </w:rPr>
      </w:pPr>
      <w:r>
        <w:rPr>
          <w:rFonts w:ascii="Arial" w:cs="Arial" w:eastAsia="Arial" w:hAnsi="Arial"/>
          <w:sz w:val="16"/>
          <w:szCs w:val="16"/>
          <w:b w:val="1"/>
          <w:bCs w:val="1"/>
          <w:color w:val="auto"/>
        </w:rPr>
        <w:t>TO THE FULLEST EXTENT PERMITTED BY APPLICABLE LAW, EACH PARTY HERETO WAIVES ITS RIGHT TO A JURY TRIAL OF ANY CLAIM OR CAUSE OF ACTION ARISING OUT OF OR BASED UPON THIS AGREEMENT, THE LOAN DOCUMENTS OR ANY CONTEMPLATED TRANSACTION, INCLUDING CONTRACT, TORT, BREACH OF DUTY AND ALL OTHER CLAIMS. THIS WAIVER IS A MATERIAL INDUCEMENT FOR THE PARTIES TO ENTER INTO THIS AGREEMENT. NOTWITHSTANDING ANYTHING TO THE CONTRARY CONTAINED IN THIS AGREEMENT OR ANYWHERE ELSE, EACH BORROWER AGREES THAT IT SHALL NOT SEEK FROM ANY SECURED PARTY UNDER ANY THEORY OF LIABILITY (INCLUDING ANY THEORY IN TORTS), ANY SPECIAL, INDIRECT, CONSEQUENTIAL OR PUNITIVE DAMAGES. EACH PARTY HAS REVIEWED THIS WAIVER WITH ITS COUNSEL.</w:t>
      </w:r>
    </w:p>
    <w:p>
      <w:pPr>
        <w:spacing w:after="0" w:line="124" w:lineRule="exact"/>
        <w:rPr>
          <w:sz w:val="20"/>
          <w:szCs w:val="20"/>
          <w:color w:val="auto"/>
        </w:rPr>
      </w:pPr>
    </w:p>
    <w:p>
      <w:pPr>
        <w:jc w:val="both"/>
        <w:ind w:firstLine="585"/>
        <w:spacing w:after="0" w:line="283" w:lineRule="auto"/>
        <w:rPr>
          <w:sz w:val="20"/>
          <w:szCs w:val="20"/>
          <w:color w:val="auto"/>
        </w:rPr>
      </w:pPr>
      <w:r>
        <w:rPr>
          <w:rFonts w:ascii="Arial" w:cs="Arial" w:eastAsia="Arial" w:hAnsi="Arial"/>
          <w:sz w:val="15"/>
          <w:szCs w:val="15"/>
          <w:color w:val="auto"/>
        </w:rPr>
        <w:t xml:space="preserve">WITHOUT INTENDING IN ANY WAY TO LIMIT THE PARTIES’ AGREEMENT TO WAIVE THEIR RESPECTIVE RIGHT TO A TRIAL BY JURY, if the above waiver of the right to a trial by jury is not enforceable, including to the extent any Secured Party seeks to enforce any judgment or takes any legal action in any other jurisdiction to realize upon the Collateral, the parties hereto agree that, with respect to any actions and proceedings with respect to which the above jury trial waiver is not enforceable, such disputes shall be decided by a reference to a private judge, mutually selected by the parties, including, including, if applicable, in accordance with the provisions of California Code of Civil Procedure §§ 638 through 645.1, inclusive.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60"/>
          </w:cols>
          <w:pgMar w:left="320" w:top="1332" w:right="319" w:bottom="1440" w:gutter="0" w:footer="0" w:header="0"/>
          <w:type w:val="continuous"/>
        </w:sectPr>
      </w:pPr>
    </w:p>
    <w:bookmarkStart w:id="367" w:name="page368"/>
    <w:bookmarkEnd w:id="367"/>
    <w:p>
      <w:pPr>
        <w:ind w:left="940" w:hanging="358"/>
        <w:spacing w:after="0"/>
        <w:tabs>
          <w:tab w:leader="none" w:pos="940" w:val="left"/>
        </w:tabs>
        <w:numPr>
          <w:ilvl w:val="0"/>
          <w:numId w:val="2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 PROVISIONS</w:t>
      </w:r>
    </w:p>
    <w:p>
      <w:pPr>
        <w:spacing w:after="0" w:line="157" w:lineRule="exact"/>
        <w:rPr>
          <w:sz w:val="20"/>
          <w:szCs w:val="20"/>
          <w:color w:val="auto"/>
        </w:rPr>
      </w:pPr>
    </w:p>
    <w:p>
      <w:pPr>
        <w:jc w:val="both"/>
        <w:ind w:firstLine="585"/>
        <w:spacing w:after="0" w:line="279" w:lineRule="auto"/>
        <w:rPr>
          <w:sz w:val="20"/>
          <w:szCs w:val="20"/>
          <w:color w:val="auto"/>
        </w:rPr>
      </w:pPr>
      <w:r>
        <w:rPr>
          <w:rFonts w:ascii="Arial" w:cs="Arial" w:eastAsia="Arial" w:hAnsi="Arial"/>
          <w:sz w:val="15"/>
          <w:szCs w:val="15"/>
          <w:b w:val="1"/>
          <w:bCs w:val="1"/>
          <w:color w:val="auto"/>
        </w:rPr>
        <w:t>12.1 Termination Prior to Maturity Date; Survival</w:t>
      </w:r>
      <w:r>
        <w:rPr>
          <w:rFonts w:ascii="Arial" w:cs="Arial" w:eastAsia="Arial" w:hAnsi="Arial"/>
          <w:sz w:val="15"/>
          <w:szCs w:val="15"/>
          <w:color w:val="auto"/>
        </w:rPr>
        <w:t>. All covenants, representations and warranties made in this Agreement continue in full force until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has terminated pursuant to its terms and all Obligations (other than contingent indemnification obligations as to which no claim has been asserted or is known to exist and any other obligations which, by their terms, are to survive the termination of this Agreement) have been satisfied in full, in cash and all Commitments shall have been terminated. So long as Borrowers have satisfied the Obligations (other than contingent indemnification obligations as to which no claim has been asserted or is known to exist and any other obligations which, by their terms, are to survive the termination of this Agreement), this Agreement may be terminated prior to the maturity date of the Credit Extensions by Borrowers, effective three (3) Business Days after written notice of termination is given to Agent. Those obligations that are expressly specified in this Agreement as surviving this Agreement’s termination shall continue to survive notwithstanding this Agreement’s termination.</w:t>
      </w:r>
    </w:p>
    <w:p>
      <w:pPr>
        <w:spacing w:after="0" w:line="10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12.2</w:t>
      </w:r>
      <w:r>
        <w:rPr>
          <w:sz w:val="20"/>
          <w:szCs w:val="20"/>
          <w:color w:val="auto"/>
        </w:rPr>
        <w:tab/>
      </w:r>
      <w:r>
        <w:rPr>
          <w:rFonts w:ascii="Arial" w:cs="Arial" w:eastAsia="Arial" w:hAnsi="Arial"/>
          <w:sz w:val="13"/>
          <w:szCs w:val="13"/>
          <w:b w:val="1"/>
          <w:bCs w:val="1"/>
          <w:color w:val="auto"/>
        </w:rPr>
        <w:t>Successors and Assigns</w:t>
      </w:r>
      <w:r>
        <w:rPr>
          <w:rFonts w:ascii="Arial" w:cs="Arial" w:eastAsia="Arial" w:hAnsi="Arial"/>
          <w:sz w:val="13"/>
          <w:szCs w:val="13"/>
          <w:color w:val="auto"/>
        </w:rPr>
        <w:t>.</w:t>
      </w:r>
    </w:p>
    <w:p>
      <w:pPr>
        <w:spacing w:after="0" w:line="161" w:lineRule="exact"/>
        <w:rPr>
          <w:sz w:val="20"/>
          <w:szCs w:val="20"/>
          <w:color w:val="auto"/>
        </w:rPr>
      </w:pPr>
    </w:p>
    <w:p>
      <w:pPr>
        <w:jc w:val="both"/>
        <w:ind w:firstLine="1167"/>
        <w:spacing w:after="0" w:line="268" w:lineRule="auto"/>
        <w:tabs>
          <w:tab w:leader="none" w:pos="155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Subject to the conditions set forth in clause (b)(ii) below, any Lender may assign and delegate all or any portion of its rights and duties under the Loan Documents (including the Obligations owed to it and its Commitments) to one or more assignees so long as such prospective assignee is an Eligible Transferee (each, an “</w:t>
      </w:r>
      <w:r>
        <w:rPr>
          <w:rFonts w:ascii="Arial" w:cs="Arial" w:eastAsia="Arial" w:hAnsi="Arial"/>
          <w:sz w:val="16"/>
          <w:szCs w:val="16"/>
          <w:u w:val="single" w:color="auto"/>
          <w:color w:val="auto"/>
        </w:rPr>
        <w:t>Assignee</w:t>
      </w:r>
      <w:r>
        <w:rPr>
          <w:rFonts w:ascii="Arial" w:cs="Arial" w:eastAsia="Arial" w:hAnsi="Arial"/>
          <w:sz w:val="16"/>
          <w:szCs w:val="16"/>
          <w:color w:val="auto"/>
        </w:rPr>
        <w:t>”), with the prior written consent (such consent not be unreasonably withheld or delayed) of Agent.</w:t>
      </w:r>
    </w:p>
    <w:p>
      <w:pPr>
        <w:spacing w:after="0" w:line="114" w:lineRule="exact"/>
        <w:rPr>
          <w:rFonts w:ascii="Arial" w:cs="Arial" w:eastAsia="Arial" w:hAnsi="Arial"/>
          <w:sz w:val="16"/>
          <w:szCs w:val="16"/>
          <w:color w:val="auto"/>
        </w:rPr>
      </w:pPr>
    </w:p>
    <w:p>
      <w:pPr>
        <w:ind w:left="1500" w:hanging="333"/>
        <w:spacing w:after="0"/>
        <w:tabs>
          <w:tab w:leader="none" w:pos="15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Assignments shall be subject to the following additional conditions:</w:t>
      </w:r>
    </w:p>
    <w:p>
      <w:pPr>
        <w:spacing w:after="0" w:line="157" w:lineRule="exact"/>
        <w:rPr>
          <w:rFonts w:ascii="Arial" w:cs="Arial" w:eastAsia="Arial" w:hAnsi="Arial"/>
          <w:sz w:val="16"/>
          <w:szCs w:val="16"/>
          <w:color w:val="auto"/>
        </w:rPr>
      </w:pPr>
    </w:p>
    <w:p>
      <w:pPr>
        <w:ind w:left="2660" w:hanging="324"/>
        <w:spacing w:after="0"/>
        <w:tabs>
          <w:tab w:leader="none" w:pos="266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no assignment may be made to a natural person,</w:t>
      </w:r>
    </w:p>
    <w:p>
      <w:pPr>
        <w:spacing w:after="0" w:line="157" w:lineRule="exact"/>
        <w:rPr>
          <w:rFonts w:ascii="Arial" w:cs="Arial" w:eastAsia="Arial" w:hAnsi="Arial"/>
          <w:sz w:val="16"/>
          <w:szCs w:val="16"/>
          <w:color w:val="auto"/>
        </w:rPr>
      </w:pPr>
    </w:p>
    <w:p>
      <w:pPr>
        <w:ind w:left="2700" w:hanging="364"/>
        <w:spacing w:after="0"/>
        <w:tabs>
          <w:tab w:leader="none" w:pos="270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no assignment may be made to a Loan Party or an Affiliate of a Loan Party,</w:t>
      </w:r>
    </w:p>
    <w:p>
      <w:pPr>
        <w:spacing w:after="0" w:line="157" w:lineRule="exact"/>
        <w:rPr>
          <w:rFonts w:ascii="Arial" w:cs="Arial" w:eastAsia="Arial" w:hAnsi="Arial"/>
          <w:sz w:val="16"/>
          <w:szCs w:val="16"/>
          <w:color w:val="auto"/>
        </w:rPr>
      </w:pPr>
    </w:p>
    <w:p>
      <w:pPr>
        <w:ind w:right="160" w:firstLine="2336"/>
        <w:spacing w:after="0" w:line="283" w:lineRule="auto"/>
        <w:tabs>
          <w:tab w:leader="none" w:pos="2744" w:val="left"/>
        </w:tabs>
        <w:numPr>
          <w:ilvl w:val="1"/>
          <w:numId w:val="260"/>
        </w:numPr>
        <w:rPr>
          <w:rFonts w:ascii="Arial" w:cs="Arial" w:eastAsia="Arial" w:hAnsi="Arial"/>
          <w:sz w:val="15"/>
          <w:szCs w:val="15"/>
          <w:color w:val="auto"/>
        </w:rPr>
      </w:pPr>
      <w:r>
        <w:rPr>
          <w:rFonts w:ascii="Arial" w:cs="Arial" w:eastAsia="Arial" w:hAnsi="Arial"/>
          <w:sz w:val="15"/>
          <w:szCs w:val="15"/>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spacing w:after="0" w:line="103" w:lineRule="exact"/>
        <w:rPr>
          <w:rFonts w:ascii="Arial" w:cs="Arial" w:eastAsia="Arial" w:hAnsi="Arial"/>
          <w:sz w:val="15"/>
          <w:szCs w:val="15"/>
          <w:color w:val="auto"/>
        </w:rPr>
      </w:pPr>
    </w:p>
    <w:p>
      <w:pPr>
        <w:ind w:left="2740" w:hanging="404"/>
        <w:spacing w:after="0"/>
        <w:tabs>
          <w:tab w:leader="none" w:pos="2740" w:val="left"/>
        </w:tabs>
        <w:numPr>
          <w:ilvl w:val="1"/>
          <w:numId w:val="260"/>
        </w:numPr>
        <w:rPr>
          <w:rFonts w:ascii="Arial" w:cs="Arial" w:eastAsia="Arial" w:hAnsi="Arial"/>
          <w:sz w:val="14"/>
          <w:szCs w:val="14"/>
          <w:color w:val="auto"/>
        </w:rPr>
      </w:pPr>
      <w:r>
        <w:rPr>
          <w:rFonts w:ascii="Arial" w:cs="Arial" w:eastAsia="Arial" w:hAnsi="Arial"/>
          <w:sz w:val="14"/>
          <w:szCs w:val="14"/>
          <w:color w:val="auto"/>
        </w:rPr>
        <w:t>each partial assignment shall be made as an assignment of a proportionate part of all the assigning Lender’s rights and obligations</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under this Agreement,</w:t>
      </w:r>
    </w:p>
    <w:p>
      <w:pPr>
        <w:spacing w:after="0" w:line="145" w:lineRule="exact"/>
        <w:rPr>
          <w:rFonts w:ascii="Arial" w:cs="Arial" w:eastAsia="Arial" w:hAnsi="Arial"/>
          <w:sz w:val="14"/>
          <w:szCs w:val="14"/>
          <w:color w:val="auto"/>
        </w:rPr>
      </w:pPr>
    </w:p>
    <w:p>
      <w:pPr>
        <w:ind w:right="120" w:firstLine="2336"/>
        <w:spacing w:after="0" w:line="264" w:lineRule="auto"/>
        <w:tabs>
          <w:tab w:leader="none" w:pos="269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 parties to each assignment shall execute and deliver to Agent an Assignment and Acceptance; provided,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spacing w:after="0" w:line="116" w:lineRule="exact"/>
        <w:rPr>
          <w:rFonts w:ascii="Arial" w:cs="Arial" w:eastAsia="Arial" w:hAnsi="Arial"/>
          <w:sz w:val="16"/>
          <w:szCs w:val="16"/>
          <w:color w:val="auto"/>
        </w:rPr>
      </w:pPr>
    </w:p>
    <w:p>
      <w:pPr>
        <w:ind w:left="2740" w:hanging="404"/>
        <w:spacing w:after="0"/>
        <w:tabs>
          <w:tab w:leader="none" w:pos="2740" w:val="left"/>
        </w:tabs>
        <w:numPr>
          <w:ilvl w:val="1"/>
          <w:numId w:val="260"/>
        </w:numPr>
        <w:rPr>
          <w:rFonts w:ascii="Arial" w:cs="Arial" w:eastAsia="Arial" w:hAnsi="Arial"/>
          <w:sz w:val="14"/>
          <w:szCs w:val="14"/>
          <w:color w:val="auto"/>
        </w:rPr>
      </w:pPr>
      <w:r>
        <w:rPr>
          <w:rFonts w:ascii="Arial" w:cs="Arial" w:eastAsia="Arial" w:hAnsi="Arial"/>
          <w:sz w:val="14"/>
          <w:szCs w:val="14"/>
          <w:color w:val="auto"/>
        </w:rPr>
        <w:t>unless waived by Agent, the assigning Lender or Assignee has paid to Agent, for Agent’s separate account, a processing fee in the</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amount of $3,500, and</w:t>
      </w:r>
    </w:p>
    <w:p>
      <w:pPr>
        <w:spacing w:after="0" w:line="145" w:lineRule="exact"/>
        <w:rPr>
          <w:rFonts w:ascii="Arial" w:cs="Arial" w:eastAsia="Arial" w:hAnsi="Arial"/>
          <w:sz w:val="14"/>
          <w:szCs w:val="14"/>
          <w:color w:val="auto"/>
        </w:rPr>
      </w:pPr>
    </w:p>
    <w:p>
      <w:pPr>
        <w:ind w:left="2780" w:hanging="444"/>
        <w:spacing w:after="0"/>
        <w:tabs>
          <w:tab w:leader="none" w:pos="2780" w:val="left"/>
        </w:tabs>
        <w:numPr>
          <w:ilvl w:val="1"/>
          <w:numId w:val="260"/>
        </w:numPr>
        <w:rPr>
          <w:rFonts w:ascii="Arial" w:cs="Arial" w:eastAsia="Arial" w:hAnsi="Arial"/>
          <w:sz w:val="15"/>
          <w:szCs w:val="15"/>
          <w:color w:val="auto"/>
        </w:rPr>
      </w:pPr>
      <w:r>
        <w:rPr>
          <w:rFonts w:ascii="Arial" w:cs="Arial" w:eastAsia="Arial" w:hAnsi="Arial"/>
          <w:sz w:val="15"/>
          <w:szCs w:val="15"/>
          <w:color w:val="auto"/>
        </w:rPr>
        <w:t>the assignee, if it is not a Lender, shall deliver to Agent an Administrative Questionnaire in a form approved by Agent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Questionnaire</w:t>
      </w:r>
      <w:r>
        <w:rPr>
          <w:rFonts w:ascii="Arial" w:cs="Arial" w:eastAsia="Arial" w:hAnsi="Arial"/>
          <w:sz w:val="16"/>
          <w:szCs w:val="16"/>
          <w:color w:val="auto"/>
        </w:rPr>
        <w:t>”).</w:t>
      </w:r>
    </w:p>
    <w:p>
      <w:pPr>
        <w:spacing w:after="0" w:line="145" w:lineRule="exact"/>
        <w:rPr>
          <w:sz w:val="20"/>
          <w:szCs w:val="20"/>
          <w:color w:val="auto"/>
        </w:rPr>
      </w:pPr>
    </w:p>
    <w:p>
      <w:pPr>
        <w:jc w:val="both"/>
        <w:ind w:right="20" w:firstLine="1167"/>
        <w:spacing w:after="0" w:line="313" w:lineRule="auto"/>
        <w:tabs>
          <w:tab w:leader="none" w:pos="1538" w:val="left"/>
        </w:tabs>
        <w:numPr>
          <w:ilvl w:val="0"/>
          <w:numId w:val="261"/>
        </w:numPr>
        <w:rPr>
          <w:rFonts w:ascii="Arial" w:cs="Arial" w:eastAsia="Arial" w:hAnsi="Arial"/>
          <w:sz w:val="14"/>
          <w:szCs w:val="14"/>
          <w:color w:val="auto"/>
        </w:rPr>
      </w:pPr>
      <w:r>
        <w:rPr>
          <w:rFonts w:ascii="Arial" w:cs="Arial" w:eastAsia="Arial" w:hAnsi="Arial"/>
          <w:sz w:val="14"/>
          <w:szCs w:val="14"/>
          <w:color w:val="auto"/>
        </w:rPr>
        <w:t>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60"/>
          </w:cols>
          <w:pgMar w:left="320" w:top="1292" w:right="319" w:bottom="1440" w:gutter="0" w:footer="0" w:header="0"/>
        </w:sectPr>
      </w:pPr>
    </w:p>
    <w:bookmarkStart w:id="368" w:name="page369"/>
    <w:bookmarkEnd w:id="368"/>
    <w:p>
      <w:pPr>
        <w:jc w:val="both"/>
        <w:ind w:right="20"/>
        <w:spacing w:after="0" w:line="264" w:lineRule="auto"/>
        <w:rPr>
          <w:sz w:val="20"/>
          <w:szCs w:val="20"/>
          <w:color w:val="auto"/>
        </w:rPr>
      </w:pPr>
      <w:r>
        <w:rPr>
          <w:rFonts w:ascii="Arial" w:cs="Arial" w:eastAsia="Arial" w:hAnsi="Arial"/>
          <w:sz w:val="16"/>
          <w:szCs w:val="16"/>
          <w:color w:val="auto"/>
        </w:rPr>
        <w:t xml:space="preserve">respect to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herein shall release any assigning Lender from obligations that survive the termination of this Agreement, including such assigning Lender’s obligations under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w:t>
      </w:r>
      <w:r>
        <w:rPr>
          <w:rFonts w:ascii="Arial" w:cs="Arial" w:eastAsia="Arial" w:hAnsi="Arial"/>
          <w:sz w:val="16"/>
          <w:szCs w:val="16"/>
          <w:color w:val="auto"/>
        </w:rPr>
        <w:t>.</w:t>
      </w:r>
    </w:p>
    <w:p>
      <w:pPr>
        <w:spacing w:after="0" w:line="116" w:lineRule="exact"/>
        <w:rPr>
          <w:sz w:val="20"/>
          <w:szCs w:val="20"/>
          <w:color w:val="auto"/>
        </w:rPr>
      </w:pPr>
    </w:p>
    <w:p>
      <w:pPr>
        <w:jc w:val="both"/>
        <w:ind w:right="20" w:firstLine="1167"/>
        <w:spacing w:after="0" w:line="275" w:lineRule="auto"/>
        <w:tabs>
          <w:tab w:leader="none" w:pos="1527" w:val="left"/>
        </w:tabs>
        <w:numPr>
          <w:ilvl w:val="0"/>
          <w:numId w:val="262"/>
        </w:numPr>
        <w:rPr>
          <w:rFonts w:ascii="Arial" w:cs="Arial" w:eastAsia="Arial" w:hAnsi="Arial"/>
          <w:sz w:val="15"/>
          <w:szCs w:val="15"/>
          <w:color w:val="auto"/>
        </w:rPr>
      </w:pPr>
      <w:r>
        <w:rPr>
          <w:rFonts w:ascii="Arial" w:cs="Arial" w:eastAsia="Arial" w:hAnsi="Arial"/>
          <w:sz w:val="15"/>
          <w:szCs w:val="15"/>
          <w:color w:val="auto"/>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12" w:lineRule="exact"/>
        <w:rPr>
          <w:rFonts w:ascii="Arial" w:cs="Arial" w:eastAsia="Arial" w:hAnsi="Arial"/>
          <w:sz w:val="15"/>
          <w:szCs w:val="15"/>
          <w:color w:val="auto"/>
        </w:rPr>
      </w:pPr>
    </w:p>
    <w:p>
      <w:pPr>
        <w:jc w:val="both"/>
        <w:ind w:right="20" w:firstLine="1167"/>
        <w:spacing w:after="0" w:line="294" w:lineRule="auto"/>
        <w:tabs>
          <w:tab w:leader="none" w:pos="1652" w:val="left"/>
        </w:tabs>
        <w:numPr>
          <w:ilvl w:val="0"/>
          <w:numId w:val="262"/>
        </w:numPr>
        <w:rPr>
          <w:rFonts w:ascii="Arial" w:cs="Arial" w:eastAsia="Arial" w:hAnsi="Arial"/>
          <w:sz w:val="15"/>
          <w:szCs w:val="15"/>
          <w:color w:val="auto"/>
        </w:rPr>
      </w:pPr>
      <w:r>
        <w:rPr>
          <w:rFonts w:ascii="Arial" w:cs="Arial" w:eastAsia="Arial" w:hAnsi="Arial"/>
          <w:sz w:val="15"/>
          <w:szCs w:val="15"/>
          <w:color w:val="auto"/>
        </w:rPr>
        <w:t xml:space="preserve">Immediately upon Agent’s receipt of the required processing fee, if applicable, and delivery of notice to the assigning Lender pursuant to </w:t>
      </w:r>
      <w:r>
        <w:rPr>
          <w:rFonts w:ascii="Arial" w:cs="Arial" w:eastAsia="Arial" w:hAnsi="Arial"/>
          <w:sz w:val="15"/>
          <w:szCs w:val="15"/>
          <w:u w:val="single" w:color="auto"/>
          <w:color w:val="auto"/>
        </w:rPr>
        <w:t>Section 12.2(c)</w:t>
      </w:r>
      <w:r>
        <w:rPr>
          <w:rFonts w:ascii="Arial" w:cs="Arial" w:eastAsia="Arial" w:hAnsi="Arial"/>
          <w:sz w:val="15"/>
          <w:szCs w:val="15"/>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Arial" w:cs="Arial" w:eastAsia="Arial" w:hAnsi="Arial"/>
          <w:sz w:val="15"/>
          <w:szCs w:val="15"/>
          <w:i w:val="1"/>
          <w:iCs w:val="1"/>
          <w:color w:val="auto"/>
        </w:rPr>
        <w:t>pro tanto</w:t>
      </w:r>
      <w:r>
        <w:rPr>
          <w:rFonts w:ascii="Arial" w:cs="Arial" w:eastAsia="Arial" w:hAnsi="Arial"/>
          <w:sz w:val="15"/>
          <w:szCs w:val="15"/>
          <w:color w:val="auto"/>
        </w:rPr>
        <w:t>.</w:t>
      </w:r>
    </w:p>
    <w:p>
      <w:pPr>
        <w:spacing w:after="0" w:line="96" w:lineRule="exact"/>
        <w:rPr>
          <w:rFonts w:ascii="Arial" w:cs="Arial" w:eastAsia="Arial" w:hAnsi="Arial"/>
          <w:sz w:val="15"/>
          <w:szCs w:val="15"/>
          <w:color w:val="auto"/>
        </w:rPr>
      </w:pPr>
    </w:p>
    <w:p>
      <w:pPr>
        <w:jc w:val="both"/>
        <w:ind w:firstLine="1167"/>
        <w:spacing w:after="0" w:line="274" w:lineRule="auto"/>
        <w:tabs>
          <w:tab w:leader="none" w:pos="1508" w:val="left"/>
        </w:tabs>
        <w:numPr>
          <w:ilvl w:val="0"/>
          <w:numId w:val="262"/>
        </w:numPr>
        <w:rPr>
          <w:rFonts w:ascii="Arial" w:cs="Arial" w:eastAsia="Arial" w:hAnsi="Arial"/>
          <w:sz w:val="15"/>
          <w:szCs w:val="15"/>
          <w:color w:val="auto"/>
        </w:rPr>
      </w:pPr>
      <w:r>
        <w:rPr>
          <w:rFonts w:ascii="Arial" w:cs="Arial" w:eastAsia="Arial" w:hAnsi="Arial"/>
          <w:sz w:val="15"/>
          <w:szCs w:val="15"/>
          <w:color w:val="auto"/>
        </w:rPr>
        <w:t>Any Lender may at any time sell to one or more commercial banks, financial institutions, or other Persons (a “</w:t>
      </w:r>
      <w:r>
        <w:rPr>
          <w:rFonts w:ascii="Arial" w:cs="Arial" w:eastAsia="Arial" w:hAnsi="Arial"/>
          <w:sz w:val="15"/>
          <w:szCs w:val="15"/>
          <w:u w:val="single" w:color="auto"/>
          <w:color w:val="auto"/>
        </w:rPr>
        <w:t>Participant</w:t>
      </w:r>
      <w:r>
        <w:rPr>
          <w:rFonts w:ascii="Arial" w:cs="Arial" w:eastAsia="Arial" w:hAnsi="Arial"/>
          <w:sz w:val="15"/>
          <w:szCs w:val="15"/>
          <w:color w:val="auto"/>
        </w:rPr>
        <w:t>”) participating interests in all or any portion of its Obligations, its Commitment, and the other rights and interests of that Lender (the “</w:t>
      </w:r>
      <w:r>
        <w:rPr>
          <w:rFonts w:ascii="Arial" w:cs="Arial" w:eastAsia="Arial" w:hAnsi="Arial"/>
          <w:sz w:val="15"/>
          <w:szCs w:val="15"/>
          <w:u w:val="single" w:color="auto"/>
          <w:color w:val="auto"/>
        </w:rPr>
        <w:t>Originating Lender</w:t>
      </w:r>
      <w:r>
        <w:rPr>
          <w:rFonts w:ascii="Arial" w:cs="Arial" w:eastAsia="Arial" w:hAnsi="Arial"/>
          <w:sz w:val="15"/>
          <w:szCs w:val="15"/>
          <w:color w:val="auto"/>
        </w:rPr>
        <w:t xml:space="preserve">”) hereunder and under the other Loan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 shall be sold to a Loan Party or an Affiliate of a Loan Party, and (vii) all amounts payable by Borrowers hereunder shall be determined as if such Lender had not sold such participation, except that, if amounts outstanding under this Agreement are due and unpaid, or shall have been declared or shall have become due and payable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0"/>
          </w:cols>
          <w:pgMar w:left="320" w:top="1296" w:right="319" w:bottom="1440" w:gutter="0" w:footer="0" w:header="0"/>
        </w:sectPr>
      </w:pPr>
    </w:p>
    <w:bookmarkStart w:id="369" w:name="page370"/>
    <w:bookmarkEnd w:id="369"/>
    <w:p>
      <w:pPr>
        <w:jc w:val="both"/>
        <w:ind w:right="20"/>
        <w:spacing w:after="0" w:line="261" w:lineRule="auto"/>
        <w:rPr>
          <w:sz w:val="20"/>
          <w:szCs w:val="20"/>
          <w:color w:val="auto"/>
        </w:rPr>
      </w:pPr>
      <w:r>
        <w:rPr>
          <w:rFonts w:ascii="Arial" w:cs="Arial" w:eastAsia="Arial" w:hAnsi="Arial"/>
          <w:sz w:val="16"/>
          <w:szCs w:val="16"/>
          <w:color w:val="auto"/>
        </w:rPr>
        <w:t>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w:t>
      </w:r>
    </w:p>
    <w:p>
      <w:pPr>
        <w:spacing w:after="0" w:line="120" w:lineRule="exact"/>
        <w:rPr>
          <w:sz w:val="20"/>
          <w:szCs w:val="20"/>
          <w:color w:val="auto"/>
        </w:rPr>
      </w:pPr>
    </w:p>
    <w:p>
      <w:pPr>
        <w:jc w:val="both"/>
        <w:ind w:right="20" w:firstLine="1167"/>
        <w:spacing w:after="0" w:line="268" w:lineRule="auto"/>
        <w:tabs>
          <w:tab w:leader="none" w:pos="1523"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 connection with any such assignment or participation or proposed assignment or participation or any grant of a security interest in, or pledge of, its rights under and interest in this Agreement, a Lender may disclose all documents and information which it now or hereafter may have relating to any Loan Party and its Subsidiaries and their respective businesses.</w:t>
      </w:r>
    </w:p>
    <w:p>
      <w:pPr>
        <w:spacing w:after="0" w:line="114" w:lineRule="exact"/>
        <w:rPr>
          <w:rFonts w:ascii="Arial" w:cs="Arial" w:eastAsia="Arial" w:hAnsi="Arial"/>
          <w:sz w:val="16"/>
          <w:szCs w:val="16"/>
          <w:color w:val="auto"/>
        </w:rPr>
      </w:pPr>
    </w:p>
    <w:p>
      <w:pPr>
        <w:jc w:val="both"/>
        <w:ind w:firstLine="1167"/>
        <w:spacing w:after="0" w:line="261" w:lineRule="auto"/>
        <w:tabs>
          <w:tab w:leader="none" w:pos="1539"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in accordance with Regulation A of the Federal Reserve Bank or U.S. Treasury Regulation 31 CFR §203.24, and such Federal Reserve Bank may enforce such pledge or security interest in any manner permitted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pledge shall release such Lender from any of its obligations hereunder or substitute any such pledgee or assignee for such Lender as a party hereto.</w:t>
      </w:r>
    </w:p>
    <w:p>
      <w:pPr>
        <w:spacing w:after="0" w:line="120" w:lineRule="exact"/>
        <w:rPr>
          <w:rFonts w:ascii="Arial" w:cs="Arial" w:eastAsia="Arial" w:hAnsi="Arial"/>
          <w:sz w:val="16"/>
          <w:szCs w:val="16"/>
          <w:color w:val="auto"/>
        </w:rPr>
      </w:pPr>
    </w:p>
    <w:p>
      <w:pPr>
        <w:jc w:val="both"/>
        <w:ind w:firstLine="1167"/>
        <w:spacing w:after="0" w:line="275" w:lineRule="auto"/>
        <w:tabs>
          <w:tab w:leader="none" w:pos="1508" w:val="left"/>
        </w:tabs>
        <w:numPr>
          <w:ilvl w:val="0"/>
          <w:numId w:val="263"/>
        </w:numPr>
        <w:rPr>
          <w:rFonts w:ascii="Arial" w:cs="Arial" w:eastAsia="Arial" w:hAnsi="Arial"/>
          <w:sz w:val="15"/>
          <w:szCs w:val="15"/>
          <w:color w:val="auto"/>
        </w:rPr>
      </w:pPr>
      <w:r>
        <w:rPr>
          <w:rFonts w:ascii="Arial" w:cs="Arial" w:eastAsia="Arial" w:hAnsi="Arial"/>
          <w:sz w:val="15"/>
          <w:szCs w:val="15"/>
          <w:color w:val="auto"/>
        </w:rPr>
        <w:t>Agent (as a non-fiduciary agent on behalf of Borrowers) shall maintain, or cause to be maintained, a register (the “</w:t>
      </w:r>
      <w:r>
        <w:rPr>
          <w:rFonts w:ascii="Arial" w:cs="Arial" w:eastAsia="Arial" w:hAnsi="Arial"/>
          <w:sz w:val="15"/>
          <w:szCs w:val="15"/>
          <w:u w:val="single" w:color="auto"/>
          <w:color w:val="auto"/>
        </w:rPr>
        <w:t>Register</w:t>
      </w:r>
      <w:r>
        <w:rPr>
          <w:rFonts w:ascii="Arial" w:cs="Arial" w:eastAsia="Arial" w:hAnsi="Arial"/>
          <w:sz w:val="15"/>
          <w:szCs w:val="15"/>
          <w:color w:val="auto"/>
        </w:rPr>
        <w:t>”) on which it enters the name and address of each Lender as the registered owner of the Term Loan (and the principal amount thereof and stated interest thereon) held by such Lender (each, a “</w:t>
      </w:r>
      <w:r>
        <w:rPr>
          <w:rFonts w:ascii="Arial" w:cs="Arial" w:eastAsia="Arial" w:hAnsi="Arial"/>
          <w:sz w:val="15"/>
          <w:szCs w:val="15"/>
          <w:u w:val="single" w:color="auto"/>
          <w:color w:val="auto"/>
        </w:rPr>
        <w:t>Registered Loan</w:t>
      </w:r>
      <w:r>
        <w:rPr>
          <w:rFonts w:ascii="Arial" w:cs="Arial" w:eastAsia="Arial" w:hAnsi="Arial"/>
          <w:sz w:val="15"/>
          <w:szCs w:val="15"/>
          <w:color w:val="auto"/>
        </w:rPr>
        <w:t>”). Other than in connection with an assignment by a Lender of all or any portion of its portion of the Term Loan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Term Loan to an Affiliate of such Lender or a Related Fund of such Lender, and which assignment is not recorded in the Register, the assigning Lender, on behalf of Borrowers, shall maintain a register comparable to the Register.</w:t>
      </w:r>
    </w:p>
    <w:p>
      <w:pPr>
        <w:spacing w:after="0" w:line="110" w:lineRule="exact"/>
        <w:rPr>
          <w:rFonts w:ascii="Arial" w:cs="Arial" w:eastAsia="Arial" w:hAnsi="Arial"/>
          <w:sz w:val="15"/>
          <w:szCs w:val="15"/>
          <w:color w:val="auto"/>
        </w:rPr>
      </w:pPr>
    </w:p>
    <w:p>
      <w:pPr>
        <w:jc w:val="both"/>
        <w:ind w:firstLine="1167"/>
        <w:spacing w:after="0" w:line="276" w:lineRule="auto"/>
        <w:tabs>
          <w:tab w:leader="none" w:pos="149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Arial" w:cs="Arial" w:eastAsia="Arial" w:hAnsi="Arial"/>
          <w:sz w:val="15"/>
          <w:szCs w:val="15"/>
          <w:u w:val="single" w:color="auto"/>
          <w:color w:val="auto"/>
        </w:rPr>
        <w:t>Participant Register</w:t>
      </w:r>
      <w:r>
        <w:rPr>
          <w:rFonts w:ascii="Arial" w:cs="Arial" w:eastAsia="Arial" w:hAnsi="Arial"/>
          <w:sz w:val="15"/>
          <w:szCs w:val="15"/>
          <w:color w:val="auto"/>
        </w:rPr>
        <w:t>”). A Registered Loan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0"/>
          </w:cols>
          <w:pgMar w:left="320" w:top="1296" w:right="319" w:bottom="1440" w:gutter="0" w:footer="0" w:header="0"/>
        </w:sectPr>
      </w:pPr>
    </w:p>
    <w:bookmarkStart w:id="370" w:name="page371"/>
    <w:bookmarkEnd w:id="370"/>
    <w:p>
      <w:pPr>
        <w:spacing w:after="0"/>
        <w:rPr>
          <w:sz w:val="20"/>
          <w:szCs w:val="20"/>
          <w:color w:val="auto"/>
        </w:rPr>
      </w:pPr>
      <w:r>
        <w:rPr>
          <w:rFonts w:ascii="Arial" w:cs="Arial" w:eastAsia="Arial" w:hAnsi="Arial"/>
          <w:sz w:val="16"/>
          <w:szCs w:val="16"/>
          <w:color w:val="auto"/>
        </w:rPr>
        <w:t>to the contrary. For the avoidance of doubt, the Agent (in its capacity as Agent) shall have no responsibility for maintaining a Participant Register.</w:t>
      </w:r>
    </w:p>
    <w:p>
      <w:pPr>
        <w:spacing w:after="0" w:line="157" w:lineRule="exact"/>
        <w:rPr>
          <w:sz w:val="20"/>
          <w:szCs w:val="20"/>
          <w:color w:val="auto"/>
        </w:rPr>
      </w:pPr>
    </w:p>
    <w:p>
      <w:pPr>
        <w:ind w:right="20" w:firstLine="1167"/>
        <w:spacing w:after="0" w:line="283" w:lineRule="auto"/>
        <w:tabs>
          <w:tab w:leader="none" w:pos="1534"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Agent shall make a copy of the Register (and each Lender shall make a copy of its Participant Register to the extent it has one) available for review by Borrowers from time to time as Borrowers may reasonably request.</w:t>
      </w:r>
    </w:p>
    <w:p>
      <w:pPr>
        <w:spacing w:after="0" w:line="98" w:lineRule="exact"/>
        <w:rPr>
          <w:sz w:val="20"/>
          <w:szCs w:val="20"/>
          <w:color w:val="auto"/>
        </w:rPr>
      </w:pPr>
    </w:p>
    <w:p>
      <w:pPr>
        <w:jc w:val="both"/>
        <w:ind w:firstLine="585"/>
        <w:spacing w:after="0" w:line="299" w:lineRule="auto"/>
        <w:rPr>
          <w:sz w:val="20"/>
          <w:szCs w:val="20"/>
          <w:color w:val="auto"/>
        </w:rPr>
      </w:pPr>
      <w:r>
        <w:rPr>
          <w:rFonts w:ascii="Arial" w:cs="Arial" w:eastAsia="Arial" w:hAnsi="Arial"/>
          <w:sz w:val="14"/>
          <w:szCs w:val="14"/>
          <w:b w:val="1"/>
          <w:bCs w:val="1"/>
          <w:color w:val="auto"/>
        </w:rPr>
        <w:t>12.3 Indemnification</w:t>
      </w:r>
      <w:r>
        <w:rPr>
          <w:rFonts w:ascii="Arial" w:cs="Arial" w:eastAsia="Arial" w:hAnsi="Arial"/>
          <w:sz w:val="14"/>
          <w:szCs w:val="14"/>
          <w:color w:val="auto"/>
        </w:rPr>
        <w:t>. Each Borrower agrees to indemnify, defend and hold Secured Party and its directors, officers, employees, agents, attorneys, or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Person affiliated with or representing such Secured Party (each, an “</w:t>
      </w:r>
      <w:r>
        <w:rPr>
          <w:rFonts w:ascii="Arial" w:cs="Arial" w:eastAsia="Arial" w:hAnsi="Arial"/>
          <w:sz w:val="14"/>
          <w:szCs w:val="14"/>
          <w:b w:val="1"/>
          <w:bCs w:val="1"/>
          <w:color w:val="auto"/>
        </w:rPr>
        <w:t>Indemnified Person</w:t>
      </w:r>
      <w:r>
        <w:rPr>
          <w:rFonts w:ascii="Arial" w:cs="Arial" w:eastAsia="Arial" w:hAnsi="Arial"/>
          <w:sz w:val="14"/>
          <w:szCs w:val="14"/>
          <w:color w:val="auto"/>
        </w:rPr>
        <w:t>”) harmless against: (i) all obligations, demands, claims, and liabilities (including such claims, costs, expenses, damages and liabilities based on liability in tort, including strict liability in tort) (collectively, “</w:t>
      </w:r>
      <w:r>
        <w:rPr>
          <w:rFonts w:ascii="Arial" w:cs="Arial" w:eastAsia="Arial" w:hAnsi="Arial"/>
          <w:sz w:val="14"/>
          <w:szCs w:val="14"/>
          <w:b w:val="1"/>
          <w:bCs w:val="1"/>
          <w:color w:val="auto"/>
        </w:rPr>
        <w:t>Claims</w:t>
      </w:r>
      <w:r>
        <w:rPr>
          <w:rFonts w:ascii="Arial" w:cs="Arial" w:eastAsia="Arial" w:hAnsi="Arial"/>
          <w:sz w:val="14"/>
          <w:szCs w:val="14"/>
          <w:color w:val="auto"/>
        </w:rPr>
        <w:t xml:space="preserve">”) claimed or asserted by any other party in connection with the transactions contemplated by the Loan Documents; and (ii) all losses or expenses (including Secured Party Expenses) in any way suffered, incurred, or paid by such Indemnified Person as a result of, following from, consequential to, or arising from transactions among any Secured Party and Borrowers (including reasonable attorneys’ fees and expenses), except for Claims and/or losses to the extent directly caused by such Indemnified Person’s gross negligence or willful misconduct. Each Borrower agrees to pay, and to save each Indemnified Person harmless from, any and all liabilities with respect to, or resulting from any delay in paying, any and all excise, sales or other similar taxes (excluding Taxes other than Indemnified Taxes) that may be payable or determined to be payable with respect to any of the Collateral or this Agreement. This </w:t>
      </w:r>
      <w:r>
        <w:rPr>
          <w:rFonts w:ascii="Arial" w:cs="Arial" w:eastAsia="Arial" w:hAnsi="Arial"/>
          <w:sz w:val="14"/>
          <w:szCs w:val="14"/>
          <w:u w:val="single" w:color="auto"/>
          <w:color w:val="auto"/>
        </w:rPr>
        <w:t>Section 12.3</w:t>
      </w:r>
      <w:r>
        <w:rPr>
          <w:rFonts w:ascii="Arial" w:cs="Arial" w:eastAsia="Arial" w:hAnsi="Arial"/>
          <w:sz w:val="14"/>
          <w:szCs w:val="14"/>
          <w:color w:val="auto"/>
        </w:rPr>
        <w:t xml:space="preserve"> shall survive until all statutes of limitation with respect to the Claims, losses, and expenses for which indemnity is given shall have run.</w:t>
      </w:r>
    </w:p>
    <w:p>
      <w:pPr>
        <w:spacing w:after="0" w:line="95"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12.4</w:t>
      </w:r>
      <w:r>
        <w:rPr>
          <w:sz w:val="20"/>
          <w:szCs w:val="20"/>
          <w:color w:val="auto"/>
        </w:rPr>
        <w:tab/>
      </w:r>
      <w:r>
        <w:rPr>
          <w:rFonts w:ascii="Arial" w:cs="Arial" w:eastAsia="Arial" w:hAnsi="Arial"/>
          <w:sz w:val="15"/>
          <w:szCs w:val="15"/>
          <w:b w:val="1"/>
          <w:bCs w:val="1"/>
          <w:color w:val="auto"/>
        </w:rPr>
        <w:t>Borrower Liability</w:t>
      </w:r>
      <w:r>
        <w:rPr>
          <w:rFonts w:ascii="Arial" w:cs="Arial" w:eastAsia="Arial" w:hAnsi="Arial"/>
          <w:sz w:val="15"/>
          <w:szCs w:val="15"/>
          <w:color w:val="auto"/>
        </w:rPr>
        <w:t>.</w:t>
      </w:r>
    </w:p>
    <w:p>
      <w:pPr>
        <w:spacing w:after="0" w:line="161" w:lineRule="exact"/>
        <w:rPr>
          <w:sz w:val="20"/>
          <w:szCs w:val="20"/>
          <w:color w:val="auto"/>
        </w:rPr>
      </w:pPr>
    </w:p>
    <w:p>
      <w:pPr>
        <w:jc w:val="both"/>
        <w:ind w:right="20" w:firstLine="1167"/>
        <w:spacing w:after="0" w:line="268" w:lineRule="auto"/>
        <w:tabs>
          <w:tab w:leader="none" w:pos="169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Obligations.</w:t>
      </w:r>
    </w:p>
    <w:p>
      <w:pPr>
        <w:spacing w:after="0" w:line="114" w:lineRule="exact"/>
        <w:rPr>
          <w:rFonts w:ascii="Arial" w:cs="Arial" w:eastAsia="Arial" w:hAnsi="Arial"/>
          <w:sz w:val="16"/>
          <w:szCs w:val="16"/>
          <w:color w:val="auto"/>
        </w:rPr>
      </w:pPr>
    </w:p>
    <w:p>
      <w:pPr>
        <w:jc w:val="both"/>
        <w:ind w:right="20" w:firstLine="1167"/>
        <w:spacing w:after="0" w:line="324" w:lineRule="auto"/>
        <w:tabs>
          <w:tab w:leader="none" w:pos="1526" w:val="left"/>
        </w:tabs>
        <w:numPr>
          <w:ilvl w:val="0"/>
          <w:numId w:val="265"/>
        </w:numPr>
        <w:rPr>
          <w:rFonts w:ascii="Arial" w:cs="Arial" w:eastAsia="Arial" w:hAnsi="Arial"/>
          <w:sz w:val="14"/>
          <w:szCs w:val="14"/>
          <w:color w:val="auto"/>
        </w:rPr>
      </w:pPr>
      <w:r>
        <w:rPr>
          <w:rFonts w:ascii="Arial" w:cs="Arial" w:eastAsia="Arial" w:hAnsi="Arial"/>
          <w:sz w:val="14"/>
          <w:szCs w:val="14"/>
          <w:color w:val="auto"/>
        </w:rPr>
        <w:t>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Section 12.4), it being the intention of the parties hereto that all the Obligations shall be the joint and several obligations of each Borrower without preferences or distinction among them.</w:t>
      </w:r>
    </w:p>
    <w:p>
      <w:pPr>
        <w:spacing w:after="0" w:line="78" w:lineRule="exact"/>
        <w:rPr>
          <w:rFonts w:ascii="Arial" w:cs="Arial" w:eastAsia="Arial" w:hAnsi="Arial"/>
          <w:sz w:val="14"/>
          <w:szCs w:val="14"/>
          <w:color w:val="auto"/>
        </w:rPr>
      </w:pPr>
    </w:p>
    <w:p>
      <w:pPr>
        <w:ind w:right="20" w:firstLine="1167"/>
        <w:spacing w:after="0" w:line="318" w:lineRule="auto"/>
        <w:tabs>
          <w:tab w:leader="none" w:pos="1517" w:val="left"/>
        </w:tabs>
        <w:numPr>
          <w:ilvl w:val="0"/>
          <w:numId w:val="265"/>
        </w:numPr>
        <w:rPr>
          <w:rFonts w:ascii="Arial" w:cs="Arial" w:eastAsia="Arial" w:hAnsi="Arial"/>
          <w:sz w:val="15"/>
          <w:szCs w:val="15"/>
          <w:color w:val="auto"/>
        </w:rPr>
      </w:pPr>
      <w:r>
        <w:rPr>
          <w:rFonts w:ascii="Arial" w:cs="Arial" w:eastAsia="Arial" w:hAnsi="Arial"/>
          <w:sz w:val="15"/>
          <w:szCs w:val="15"/>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78" w:lineRule="exact"/>
        <w:rPr>
          <w:rFonts w:ascii="Arial" w:cs="Arial" w:eastAsia="Arial" w:hAnsi="Arial"/>
          <w:sz w:val="15"/>
          <w:szCs w:val="15"/>
          <w:color w:val="auto"/>
        </w:rPr>
      </w:pPr>
    </w:p>
    <w:p>
      <w:pPr>
        <w:jc w:val="both"/>
        <w:ind w:right="20" w:firstLine="1167"/>
        <w:spacing w:after="0" w:line="268" w:lineRule="auto"/>
        <w:tabs>
          <w:tab w:leader="none" w:pos="156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Obligations of each Borrower under the provisions of this Section 12.4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114" w:lineRule="exact"/>
        <w:rPr>
          <w:rFonts w:ascii="Arial" w:cs="Arial" w:eastAsia="Arial" w:hAnsi="Arial"/>
          <w:sz w:val="16"/>
          <w:szCs w:val="16"/>
          <w:color w:val="auto"/>
        </w:rPr>
      </w:pPr>
    </w:p>
    <w:p>
      <w:pPr>
        <w:jc w:val="both"/>
        <w:ind w:right="20" w:firstLine="1167"/>
        <w:spacing w:after="0" w:line="277" w:lineRule="auto"/>
        <w:tabs>
          <w:tab w:leader="none" w:pos="1525" w:val="left"/>
        </w:tabs>
        <w:numPr>
          <w:ilvl w:val="0"/>
          <w:numId w:val="265"/>
        </w:numPr>
        <w:rPr>
          <w:rFonts w:ascii="Arial" w:cs="Arial" w:eastAsia="Arial" w:hAnsi="Arial"/>
          <w:sz w:val="15"/>
          <w:szCs w:val="15"/>
          <w:color w:val="auto"/>
        </w:rPr>
      </w:pPr>
      <w:r>
        <w:rPr>
          <w:rFonts w:ascii="Arial" w:cs="Arial" w:eastAsia="Arial" w:hAnsi="Arial"/>
          <w:sz w:val="15"/>
          <w:szCs w:val="15"/>
          <w:color w:val="auto"/>
        </w:rPr>
        <w:t>Except as otherwise expressly provided in this Agreement, each Borrower hereby waives notice of acceptance of its joint and several liability, notice of any Loans made or Letters of Credit issued under or pursuant to this Agreement, notice of the occurrence of any Default, Event of Default, or of any demand for any payment under this Agreement, notice of any action at any time taken or omitted by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Borrower in the performance or satisfaction of any term, covenant, condition or provision of this Agreement, any and all other indulgences whatsoever by Agent or Lenders in respect of any of the Obligations, and the taking,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60"/>
          </w:cols>
          <w:pgMar w:left="320" w:top="1296" w:right="319" w:bottom="1440" w:gutter="0" w:footer="0" w:header="0"/>
        </w:sectPr>
      </w:pPr>
    </w:p>
    <w:bookmarkStart w:id="371" w:name="page372"/>
    <w:bookmarkEnd w:id="371"/>
    <w:p>
      <w:pPr>
        <w:jc w:val="both"/>
        <w:ind w:right="20"/>
        <w:spacing w:after="0" w:line="277" w:lineRule="auto"/>
        <w:rPr>
          <w:sz w:val="20"/>
          <w:szCs w:val="20"/>
          <w:color w:val="auto"/>
        </w:rPr>
      </w:pPr>
      <w:r>
        <w:rPr>
          <w:rFonts w:ascii="Arial" w:cs="Arial" w:eastAsia="Arial" w:hAnsi="Arial"/>
          <w:sz w:val="15"/>
          <w:szCs w:val="15"/>
          <w:color w:val="auto"/>
        </w:rPr>
        <w:t>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Agent or Lender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Section 12.4 afford grounds for terminating, discharging or relieving any Borrower, in whole or in part, from any of its Obligations under this Section 12.4, it being the intention of each Borrower that, so long as any of the Obligations hereunder remain unsatisfied, the Obligations of each Borrower under this Section 12.4 shall not be discharged except by performance and then only to the extent of such performance. The Obligations of each Borrower under this Section 12.4 shall not be diminished or rendered unenforceable by any winding up, reorganization, arrangement, liquidation, reconstruction or similar proceeding with respect to any Borrower, Agent or any Lender.</w:t>
      </w:r>
    </w:p>
    <w:p>
      <w:pPr>
        <w:spacing w:after="0" w:line="112" w:lineRule="exact"/>
        <w:rPr>
          <w:sz w:val="20"/>
          <w:szCs w:val="20"/>
          <w:color w:val="auto"/>
        </w:rPr>
      </w:pPr>
    </w:p>
    <w:p>
      <w:pPr>
        <w:jc w:val="both"/>
        <w:ind w:firstLine="1167"/>
        <w:spacing w:after="0" w:line="261" w:lineRule="auto"/>
        <w:tabs>
          <w:tab w:leader="none" w:pos="1533" w:val="left"/>
        </w:tabs>
        <w:numPr>
          <w:ilvl w:val="0"/>
          <w:numId w:val="266"/>
        </w:numPr>
        <w:rPr>
          <w:rFonts w:ascii="Arial" w:cs="Arial" w:eastAsia="Arial" w:hAnsi="Arial"/>
          <w:sz w:val="16"/>
          <w:szCs w:val="16"/>
          <w:color w:val="auto"/>
        </w:rPr>
      </w:pPr>
      <w:r>
        <w:rPr>
          <w:rFonts w:ascii="Arial" w:cs="Arial" w:eastAsia="Arial" w:hAnsi="Arial"/>
          <w:sz w:val="16"/>
          <w:szCs w:val="16"/>
          <w:color w:val="auto"/>
        </w:rPr>
        <w:t>Each Borrower represents and warrants to Agent and Lenders that such Borrower is currently informed of the financial condition of the Borrowers and of all other circumstances which a diligent inquiry would reveal and which bear upon the risk of nonpayment of the Obligations. Each Borrower further represents and warrants to Agent and Lenders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spacing w:after="0" w:line="120" w:lineRule="exact"/>
        <w:rPr>
          <w:rFonts w:ascii="Arial" w:cs="Arial" w:eastAsia="Arial" w:hAnsi="Arial"/>
          <w:sz w:val="16"/>
          <w:szCs w:val="16"/>
          <w:color w:val="auto"/>
        </w:rPr>
      </w:pPr>
    </w:p>
    <w:p>
      <w:pPr>
        <w:jc w:val="both"/>
        <w:ind w:right="20" w:firstLine="1167"/>
        <w:spacing w:after="0" w:line="294" w:lineRule="auto"/>
        <w:tabs>
          <w:tab w:leader="none" w:pos="1611" w:val="left"/>
        </w:tabs>
        <w:numPr>
          <w:ilvl w:val="0"/>
          <w:numId w:val="266"/>
        </w:numPr>
        <w:rPr>
          <w:rFonts w:ascii="Arial" w:cs="Arial" w:eastAsia="Arial" w:hAnsi="Arial"/>
          <w:sz w:val="15"/>
          <w:szCs w:val="15"/>
          <w:color w:val="auto"/>
        </w:rPr>
      </w:pPr>
      <w:r>
        <w:rPr>
          <w:rFonts w:ascii="Arial" w:cs="Arial" w:eastAsia="Arial" w:hAnsi="Arial"/>
          <w:sz w:val="15"/>
          <w:szCs w:val="15"/>
          <w:color w:val="auto"/>
        </w:rPr>
        <w:t>Each Borrower waives all rights and defenses (i) arising out of an election of remedies by Agent or any Lender, even though that election of remedies, such as a nonjudicial foreclosure with respect to security for a guaranteed obligation, has destroyed such Borrower’s rights of subrogation and reimbursement against any applicable Loan Party, and (ii) relating to any suretyship defenses available to it under the Uniform Commercial Code or any other applicable law,.</w:t>
      </w:r>
    </w:p>
    <w:p>
      <w:pPr>
        <w:spacing w:after="0" w:line="96" w:lineRule="exact"/>
        <w:rPr>
          <w:rFonts w:ascii="Arial" w:cs="Arial" w:eastAsia="Arial" w:hAnsi="Arial"/>
          <w:sz w:val="15"/>
          <w:szCs w:val="15"/>
          <w:color w:val="auto"/>
        </w:rPr>
      </w:pPr>
    </w:p>
    <w:p>
      <w:pPr>
        <w:ind w:right="20" w:firstLine="1167"/>
        <w:spacing w:after="0" w:line="283" w:lineRule="auto"/>
        <w:tabs>
          <w:tab w:leader="none" w:pos="155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Each Borrower waives all rights and defenses that such Borrower may have because the Obligations are secured by real property at any time. This means, among other things:</w:t>
      </w:r>
    </w:p>
    <w:p>
      <w:pPr>
        <w:spacing w:after="0" w:line="101" w:lineRule="exact"/>
        <w:rPr>
          <w:rFonts w:ascii="Arial" w:cs="Arial" w:eastAsia="Arial" w:hAnsi="Arial"/>
          <w:sz w:val="16"/>
          <w:szCs w:val="16"/>
          <w:color w:val="auto"/>
        </w:rPr>
      </w:pPr>
    </w:p>
    <w:p>
      <w:pPr>
        <w:ind w:left="1480" w:hanging="313"/>
        <w:spacing w:after="0"/>
        <w:tabs>
          <w:tab w:leader="none" w:pos="148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Agent and Lenders may collect from such Borrower without first foreclosing on any real or personal property Collateral pledged by the Borrowers.</w:t>
      </w:r>
    </w:p>
    <w:p>
      <w:pPr>
        <w:spacing w:after="0" w:line="168" w:lineRule="exact"/>
        <w:rPr>
          <w:rFonts w:ascii="Arial" w:cs="Arial" w:eastAsia="Arial" w:hAnsi="Arial"/>
          <w:sz w:val="15"/>
          <w:szCs w:val="15"/>
          <w:color w:val="auto"/>
        </w:rPr>
      </w:pPr>
    </w:p>
    <w:p>
      <w:pPr>
        <w:jc w:val="both"/>
        <w:ind w:right="20" w:firstLine="1167"/>
        <w:spacing w:after="0" w:line="301" w:lineRule="auto"/>
        <w:tabs>
          <w:tab w:leader="none" w:pos="1503" w:val="left"/>
        </w:tabs>
        <w:numPr>
          <w:ilvl w:val="0"/>
          <w:numId w:val="266"/>
        </w:numPr>
        <w:rPr>
          <w:rFonts w:ascii="Arial" w:cs="Arial" w:eastAsia="Arial" w:hAnsi="Arial"/>
          <w:sz w:val="14"/>
          <w:szCs w:val="14"/>
          <w:color w:val="auto"/>
        </w:rPr>
      </w:pPr>
      <w:r>
        <w:rPr>
          <w:rFonts w:ascii="Arial" w:cs="Arial" w:eastAsia="Arial" w:hAnsi="Arial"/>
          <w:sz w:val="14"/>
          <w:szCs w:val="14"/>
          <w:color w:val="auto"/>
        </w:rPr>
        <w:t>The provisions of this Section 12.4 are made for the benefit of Agent, the Lenders, and their respective successors and assigns, and may be enforced by it or them from time to time against any or all the Borrowers as often as occasion therefor may arise and without requirement on the part of Agent, any Lender,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Section 12.4 shall remain in effect until all of the Obligations shall have been paid in full or otherwise fully satisfied. If at any time, any payment, or any part thereof, made in respect of any of the Obligations, is rescinded or must otherwise be restored or returned by Agent or any Lender upon the insolvency, bankruptcy or reorganization of any Borrower, or otherwise, the provisions of this Section 12.4 will forthwith be reinstated in effect, as though such payment had not been made.</w:t>
      </w:r>
    </w:p>
    <w:p>
      <w:pPr>
        <w:spacing w:after="0" w:line="96" w:lineRule="exact"/>
        <w:rPr>
          <w:rFonts w:ascii="Arial" w:cs="Arial" w:eastAsia="Arial" w:hAnsi="Arial"/>
          <w:sz w:val="14"/>
          <w:szCs w:val="14"/>
          <w:color w:val="auto"/>
        </w:rPr>
      </w:pPr>
    </w:p>
    <w:p>
      <w:pPr>
        <w:jc w:val="both"/>
        <w:ind w:right="20" w:firstLine="1167"/>
        <w:spacing w:after="0" w:line="279" w:lineRule="auto"/>
        <w:tabs>
          <w:tab w:leader="none" w:pos="1547" w:val="left"/>
        </w:tabs>
        <w:numPr>
          <w:ilvl w:val="0"/>
          <w:numId w:val="266"/>
        </w:numPr>
        <w:rPr>
          <w:rFonts w:ascii="Arial" w:cs="Arial" w:eastAsia="Arial" w:hAnsi="Arial"/>
          <w:sz w:val="15"/>
          <w:szCs w:val="15"/>
          <w:color w:val="auto"/>
        </w:rPr>
      </w:pPr>
      <w:r>
        <w:rPr>
          <w:rFonts w:ascii="Arial" w:cs="Arial" w:eastAsia="Arial" w:hAnsi="Arial"/>
          <w:sz w:val="15"/>
          <w:szCs w:val="15"/>
          <w:color w:val="auto"/>
        </w:rPr>
        <w:t>Each Borrower hereby agrees that it will not enforce any of its rights of contribution or subrogation against any other Borrower with respect to any liability incurred by it hereunder or under any of the other Loan Documents, any payments made by it to Agent or Lenders with respect to any of the Obligations or any collateral security therefor until such time as all of the Obligations have been paid in full in cash. Any claim which any Borrower may have against any other Borrower with respect to any payments to Agent or Lender hereunder or under any other Loan Documents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60"/>
          </w:cols>
          <w:pgMar w:left="320" w:top="1296" w:right="319" w:bottom="1440" w:gutter="0" w:footer="0" w:header="0"/>
        </w:sectPr>
      </w:pPr>
    </w:p>
    <w:bookmarkStart w:id="372" w:name="page373"/>
    <w:bookmarkEnd w:id="372"/>
    <w:p>
      <w:pPr>
        <w:jc w:val="both"/>
        <w:ind w:right="20"/>
        <w:spacing w:after="0" w:line="261" w:lineRule="auto"/>
        <w:rPr>
          <w:sz w:val="20"/>
          <w:szCs w:val="20"/>
          <w:color w:val="auto"/>
        </w:rPr>
      </w:pPr>
      <w:r>
        <w:rPr>
          <w:rFonts w:ascii="Arial" w:cs="Arial" w:eastAsia="Arial" w:hAnsi="Arial"/>
          <w:sz w:val="16"/>
          <w:szCs w:val="16"/>
          <w:color w:val="auto"/>
        </w:rPr>
        <w:t>character, whether in cash, securities or other property, shall be made to any other Borrower therefor. Notwithstanding anything to the contrary contained in this Section 12.4, no Borrower shall exercise any rights of subrogation, contribution, indemnity, reimbursement or other similar rights against, and shall not proceed or seek recourse against or with respect to any property or asset of, any other Borrower (the “</w:t>
      </w:r>
      <w:r>
        <w:rPr>
          <w:rFonts w:ascii="Arial" w:cs="Arial" w:eastAsia="Arial" w:hAnsi="Arial"/>
          <w:sz w:val="16"/>
          <w:szCs w:val="16"/>
          <w:b w:val="1"/>
          <w:bCs w:val="1"/>
          <w:color w:val="auto"/>
        </w:rPr>
        <w:t>Foreclosed Borrower</w:t>
      </w:r>
      <w:r>
        <w:rPr>
          <w:rFonts w:ascii="Arial" w:cs="Arial" w:eastAsia="Arial" w:hAnsi="Arial"/>
          <w:sz w:val="16"/>
          <w:szCs w:val="16"/>
          <w:color w:val="auto"/>
        </w:rPr>
        <w:t>”), including after payment in full of the Obligations, if all or any portion of the Obligations have been satisfied in connection with an exercise of remedies in respect of the Equity Interests of such Foreclosed Borrower whether pursuant to the Security Documents or otherwise.</w:t>
      </w:r>
    </w:p>
    <w:p>
      <w:pPr>
        <w:spacing w:after="0" w:line="120" w:lineRule="exact"/>
        <w:rPr>
          <w:sz w:val="20"/>
          <w:szCs w:val="20"/>
          <w:color w:val="auto"/>
        </w:rPr>
      </w:pPr>
    </w:p>
    <w:p>
      <w:pPr>
        <w:jc w:val="both"/>
        <w:ind w:right="20" w:firstLine="1167"/>
        <w:spacing w:after="0" w:line="304" w:lineRule="auto"/>
        <w:tabs>
          <w:tab w:leader="none" w:pos="1512" w:val="left"/>
        </w:tabs>
        <w:numPr>
          <w:ilvl w:val="0"/>
          <w:numId w:val="267"/>
        </w:numPr>
        <w:rPr>
          <w:rFonts w:ascii="Arial" w:cs="Arial" w:eastAsia="Arial" w:hAnsi="Arial"/>
          <w:sz w:val="14"/>
          <w:szCs w:val="14"/>
          <w:color w:val="auto"/>
        </w:rPr>
      </w:pPr>
      <w:r>
        <w:rPr>
          <w:rFonts w:ascii="Arial" w:cs="Arial" w:eastAsia="Arial" w:hAnsi="Arial"/>
          <w:sz w:val="14"/>
          <w:szCs w:val="14"/>
          <w:color w:val="auto"/>
        </w:rPr>
        <w:t>Each Borrower hereby agrees that, after the occurrence and during the continuance of any Default or Event of Default, the payment of any amounts due with respect to the indebtedness owing by any Borrower to any other Borrower is hereby subordinated to the prior payment in full in cash of the Obligations. Each Borrower hereby agrees that after the occurrence and during the continuance of any Default or Event of Default, such Borrower will not demand,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Agent, and such Borrower shall deliver any such amounts to Agent for application to the Obligations in accordance with the terms of this Agreement.</w:t>
      </w:r>
    </w:p>
    <w:p>
      <w:pPr>
        <w:spacing w:after="0" w:line="91" w:lineRule="exact"/>
        <w:rPr>
          <w:rFonts w:ascii="Arial" w:cs="Arial" w:eastAsia="Arial" w:hAnsi="Arial"/>
          <w:sz w:val="14"/>
          <w:szCs w:val="14"/>
          <w:color w:val="auto"/>
        </w:rPr>
      </w:pPr>
    </w:p>
    <w:p>
      <w:pPr>
        <w:jc w:val="both"/>
        <w:ind w:firstLine="1167"/>
        <w:spacing w:after="0" w:line="257" w:lineRule="auto"/>
        <w:tabs>
          <w:tab w:leader="none" w:pos="161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Arial" w:cs="Arial" w:eastAsia="Arial" w:hAnsi="Arial"/>
          <w:sz w:val="16"/>
          <w:szCs w:val="16"/>
          <w:b w:val="1"/>
          <w:bCs w:val="1"/>
          <w:color w:val="auto"/>
        </w:rPr>
        <w:t>Accommodation Payment</w:t>
      </w:r>
      <w:r>
        <w:rPr>
          <w:rFonts w:ascii="Arial" w:cs="Arial" w:eastAsia="Arial" w:hAnsi="Arial"/>
          <w:sz w:val="16"/>
          <w:szCs w:val="16"/>
          <w:color w:val="auto"/>
        </w:rPr>
        <w:t>”), then the Borrower making such Accommodation Payment shall be entitled to contribution and indemnification from, and be reimbursed by, 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Arial" w:cs="Arial" w:eastAsia="Arial" w:hAnsi="Arial"/>
          <w:sz w:val="16"/>
          <w:szCs w:val="16"/>
          <w:b w:val="1"/>
          <w:bCs w:val="1"/>
          <w:color w:val="auto"/>
        </w:rPr>
        <w:t>Allocable Amount</w:t>
      </w:r>
      <w:r>
        <w:rPr>
          <w:rFonts w:ascii="Arial" w:cs="Arial" w:eastAsia="Arial" w:hAnsi="Arial"/>
          <w:sz w:val="16"/>
          <w:szCs w:val="16"/>
          <w:color w:val="auto"/>
        </w:rPr>
        <w:t>” of each Borrower shall be equal to the maximum amount of liability for Accommodation Payments which could be asserted against such Borrower hereunder without (a) rendering such Borrower “insolvent” within the meaning of Section 101(31) of the Bankruptcy Code, Section 2 of the Uniform Fraudulent Transfer Act (“</w:t>
      </w:r>
      <w:r>
        <w:rPr>
          <w:rFonts w:ascii="Arial" w:cs="Arial" w:eastAsia="Arial" w:hAnsi="Arial"/>
          <w:sz w:val="16"/>
          <w:szCs w:val="16"/>
          <w:b w:val="1"/>
          <w:bCs w:val="1"/>
          <w:color w:val="auto"/>
        </w:rPr>
        <w:t>UFTA</w:t>
      </w:r>
      <w:r>
        <w:rPr>
          <w:rFonts w:ascii="Arial" w:cs="Arial" w:eastAsia="Arial" w:hAnsi="Arial"/>
          <w:sz w:val="16"/>
          <w:szCs w:val="16"/>
          <w:color w:val="auto"/>
        </w:rPr>
        <w:t>”) or Section 2 of the Uniform Fraudulent Conveyance Act (“</w:t>
      </w:r>
      <w:r>
        <w:rPr>
          <w:rFonts w:ascii="Arial" w:cs="Arial" w:eastAsia="Arial" w:hAnsi="Arial"/>
          <w:sz w:val="16"/>
          <w:szCs w:val="16"/>
          <w:b w:val="1"/>
          <w:bCs w:val="1"/>
          <w:color w:val="auto"/>
        </w:rPr>
        <w:t>UFCA</w:t>
      </w:r>
      <w:r>
        <w:rPr>
          <w:rFonts w:ascii="Arial" w:cs="Arial" w:eastAsia="Arial" w:hAnsi="Arial"/>
          <w:sz w:val="16"/>
          <w:szCs w:val="16"/>
          <w:color w:val="auto"/>
        </w:rPr>
        <w:t>”),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121"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12.5</w:t>
      </w:r>
      <w:r>
        <w:rPr>
          <w:sz w:val="20"/>
          <w:szCs w:val="20"/>
          <w:color w:val="auto"/>
        </w:rPr>
        <w:tab/>
      </w:r>
      <w:r>
        <w:rPr>
          <w:rFonts w:ascii="Arial" w:cs="Arial" w:eastAsia="Arial" w:hAnsi="Arial"/>
          <w:sz w:val="14"/>
          <w:szCs w:val="14"/>
          <w:b w:val="1"/>
          <w:bCs w:val="1"/>
          <w:color w:val="auto"/>
        </w:rPr>
        <w:t>Time of Essence</w:t>
      </w:r>
      <w:r>
        <w:rPr>
          <w:rFonts w:ascii="Arial" w:cs="Arial" w:eastAsia="Arial" w:hAnsi="Arial"/>
          <w:sz w:val="14"/>
          <w:szCs w:val="14"/>
          <w:color w:val="auto"/>
        </w:rPr>
        <w:t>. Time is of the essence for the performance of all Obligations in this Agreement.</w:t>
      </w:r>
    </w:p>
    <w:p>
      <w:pPr>
        <w:spacing w:after="0" w:line="15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12.6</w:t>
      </w:r>
      <w:r>
        <w:rPr>
          <w:sz w:val="20"/>
          <w:szCs w:val="20"/>
          <w:color w:val="auto"/>
        </w:rPr>
        <w:tab/>
      </w:r>
      <w:r>
        <w:rPr>
          <w:rFonts w:ascii="Arial" w:cs="Arial" w:eastAsia="Arial" w:hAnsi="Arial"/>
          <w:sz w:val="14"/>
          <w:szCs w:val="14"/>
          <w:b w:val="1"/>
          <w:bCs w:val="1"/>
          <w:color w:val="auto"/>
        </w:rPr>
        <w:t>Severability of Provisions</w:t>
      </w:r>
      <w:r>
        <w:rPr>
          <w:rFonts w:ascii="Arial" w:cs="Arial" w:eastAsia="Arial" w:hAnsi="Arial"/>
          <w:sz w:val="14"/>
          <w:szCs w:val="14"/>
          <w:color w:val="auto"/>
        </w:rPr>
        <w:t>. Each provision of this Agreement is severable from every other provision in determining the enforceability of any provision.</w:t>
      </w:r>
    </w:p>
    <w:p>
      <w:pPr>
        <w:spacing w:after="0" w:line="15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12.7</w:t>
      </w:r>
      <w:r>
        <w:rPr>
          <w:sz w:val="20"/>
          <w:szCs w:val="20"/>
          <w:color w:val="auto"/>
        </w:rPr>
        <w:tab/>
      </w:r>
      <w:r>
        <w:rPr>
          <w:rFonts w:ascii="Arial" w:cs="Arial" w:eastAsia="Arial" w:hAnsi="Arial"/>
          <w:sz w:val="14"/>
          <w:szCs w:val="14"/>
          <w:b w:val="1"/>
          <w:bCs w:val="1"/>
          <w:color w:val="auto"/>
        </w:rPr>
        <w:t>Correction of Loan Documents</w:t>
      </w:r>
      <w:r>
        <w:rPr>
          <w:rFonts w:ascii="Arial" w:cs="Arial" w:eastAsia="Arial" w:hAnsi="Arial"/>
          <w:sz w:val="14"/>
          <w:szCs w:val="14"/>
          <w:color w:val="auto"/>
        </w:rPr>
        <w:t>. Agent may correct patent errors and fill in any blanks in the Loan Documents consistent with the agreement of the parties.</w:t>
      </w:r>
    </w:p>
    <w:p>
      <w:pPr>
        <w:spacing w:after="0" w:line="157" w:lineRule="exact"/>
        <w:rPr>
          <w:sz w:val="20"/>
          <w:szCs w:val="20"/>
          <w:color w:val="auto"/>
        </w:rPr>
      </w:pPr>
    </w:p>
    <w:p>
      <w:pPr>
        <w:jc w:val="both"/>
        <w:ind w:firstLine="585"/>
        <w:spacing w:after="0" w:line="284" w:lineRule="auto"/>
        <w:rPr>
          <w:sz w:val="20"/>
          <w:szCs w:val="20"/>
          <w:color w:val="auto"/>
        </w:rPr>
      </w:pPr>
      <w:r>
        <w:rPr>
          <w:rFonts w:ascii="Arial" w:cs="Arial" w:eastAsia="Arial" w:hAnsi="Arial"/>
          <w:sz w:val="15"/>
          <w:szCs w:val="15"/>
          <w:b w:val="1"/>
          <w:bCs w:val="1"/>
          <w:color w:val="auto"/>
        </w:rPr>
        <w:t>12.8 Amendments</w:t>
      </w:r>
      <w:r>
        <w:rPr>
          <w:rFonts w:ascii="Arial" w:cs="Arial" w:eastAsia="Arial" w:hAnsi="Arial"/>
          <w:sz w:val="15"/>
          <w:szCs w:val="15"/>
          <w:color w:val="auto"/>
        </w:rPr>
        <w:t>. No amendment, waiver or other modification of any provision of this Agreement or any other Loan Document (other than the Success Fee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Letter), and no consent with respect to any departure by any Loan Party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Arial" w:cs="Arial" w:eastAsia="Arial" w:hAnsi="Arial"/>
          <w:sz w:val="15"/>
          <w:szCs w:val="15"/>
          <w:u w:val="single" w:color="auto"/>
          <w:color w:val="auto"/>
        </w:rPr>
        <w:t>provided</w:t>
      </w:r>
      <w:r>
        <w:rPr>
          <w:rFonts w:ascii="Arial" w:cs="Arial" w:eastAsia="Arial" w:hAnsi="Arial"/>
          <w:sz w:val="15"/>
          <w:szCs w:val="15"/>
          <w:color w:val="auto"/>
        </w:rPr>
        <w:t>, that no such waiver, amendment, or consent shall, unless in writing and signed by all of the Lenders directly affected thereby and all of the Loan Parties that are party thereto, do any of the following:</w:t>
      </w:r>
    </w:p>
    <w:p>
      <w:pPr>
        <w:spacing w:after="0" w:line="104" w:lineRule="exact"/>
        <w:rPr>
          <w:sz w:val="20"/>
          <w:szCs w:val="20"/>
          <w:color w:val="auto"/>
        </w:rPr>
      </w:pPr>
    </w:p>
    <w:p>
      <w:pPr>
        <w:ind w:right="20" w:firstLine="1167"/>
        <w:spacing w:after="0" w:line="283" w:lineRule="auto"/>
        <w:tabs>
          <w:tab w:leader="none" w:pos="1596"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increase the amount of or extend the expiration date of any Commitment of any Lender or amend, modify any provision regarding the ratable application of payments or Collateral proceeds to Obligations owing to Lenders;</w:t>
      </w:r>
    </w:p>
    <w:p>
      <w:pPr>
        <w:spacing w:after="0" w:line="101" w:lineRule="exact"/>
        <w:rPr>
          <w:rFonts w:ascii="Arial" w:cs="Arial" w:eastAsia="Arial" w:hAnsi="Arial"/>
          <w:sz w:val="16"/>
          <w:szCs w:val="16"/>
          <w:color w:val="auto"/>
        </w:rPr>
      </w:pPr>
    </w:p>
    <w:p>
      <w:pPr>
        <w:ind w:right="20" w:firstLine="1167"/>
        <w:spacing w:after="0" w:line="283" w:lineRule="auto"/>
        <w:tabs>
          <w:tab w:leader="none" w:pos="155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postpone or delay any date fixed by this Agreement or any other Loan Document for any payment of principal, interest, fees, or other amounts due hereunder or under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60"/>
          </w:cols>
          <w:pgMar w:left="320" w:top="1296" w:right="319" w:bottom="1440" w:gutter="0" w:footer="0" w:header="0"/>
        </w:sectPr>
      </w:pPr>
    </w:p>
    <w:bookmarkStart w:id="373" w:name="page374"/>
    <w:bookmarkEnd w:id="373"/>
    <w:p>
      <w:pPr>
        <w:jc w:val="both"/>
        <w:ind w:left="3" w:right="20" w:firstLine="1167"/>
        <w:spacing w:after="0" w:line="268" w:lineRule="auto"/>
        <w:tabs>
          <w:tab w:leader="none" w:pos="159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reduce the principal of, or the rate of interest on, any loan or other extension of credit hereunder, or reduce any fees or other amounts payable hereunder or under any other Loan Document, except in connection with a waiver of applicability of the Default Rate (which waiver shall be effective with the written consent of the Required Lenders),</w:t>
      </w:r>
    </w:p>
    <w:p>
      <w:pPr>
        <w:spacing w:after="0" w:line="114" w:lineRule="exact"/>
        <w:rPr>
          <w:rFonts w:ascii="Arial" w:cs="Arial" w:eastAsia="Arial" w:hAnsi="Arial"/>
          <w:sz w:val="16"/>
          <w:szCs w:val="16"/>
          <w:color w:val="auto"/>
        </w:rPr>
      </w:pPr>
    </w:p>
    <w:p>
      <w:pPr>
        <w:ind w:left="1523" w:hanging="353"/>
        <w:spacing w:after="0"/>
        <w:tabs>
          <w:tab w:leader="none" w:pos="152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amend, modify, or eliminate this Section or any provision of this Agreement providing for consent or other action by all Lenders,</w:t>
      </w:r>
    </w:p>
    <w:p>
      <w:pPr>
        <w:spacing w:after="0" w:line="157" w:lineRule="exact"/>
        <w:rPr>
          <w:rFonts w:ascii="Arial" w:cs="Arial" w:eastAsia="Arial" w:hAnsi="Arial"/>
          <w:sz w:val="16"/>
          <w:szCs w:val="16"/>
          <w:color w:val="auto"/>
        </w:rPr>
      </w:pPr>
    </w:p>
    <w:p>
      <w:pPr>
        <w:ind w:left="1503" w:hanging="333"/>
        <w:spacing w:after="0"/>
        <w:tabs>
          <w:tab w:leader="none" w:pos="150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release or contractually subordinated Agent’s Lien in and to any of the Collateral,</w:t>
      </w:r>
    </w:p>
    <w:p>
      <w:pPr>
        <w:spacing w:after="0" w:line="157" w:lineRule="exact"/>
        <w:rPr>
          <w:rFonts w:ascii="Arial" w:cs="Arial" w:eastAsia="Arial" w:hAnsi="Arial"/>
          <w:sz w:val="16"/>
          <w:szCs w:val="16"/>
          <w:color w:val="auto"/>
        </w:rPr>
      </w:pPr>
    </w:p>
    <w:p>
      <w:pPr>
        <w:ind w:left="1503" w:hanging="333"/>
        <w:spacing w:after="0"/>
        <w:tabs>
          <w:tab w:leader="none" w:pos="150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amend, modify, or eliminate the definitions of “Required Lenders”, or</w:t>
      </w:r>
    </w:p>
    <w:p>
      <w:pPr>
        <w:spacing w:after="0" w:line="157" w:lineRule="exact"/>
        <w:rPr>
          <w:rFonts w:ascii="Arial" w:cs="Arial" w:eastAsia="Arial" w:hAnsi="Arial"/>
          <w:sz w:val="16"/>
          <w:szCs w:val="16"/>
          <w:color w:val="auto"/>
        </w:rPr>
      </w:pPr>
    </w:p>
    <w:p>
      <w:pPr>
        <w:jc w:val="both"/>
        <w:ind w:left="3" w:right="20" w:firstLine="1167"/>
        <w:spacing w:after="0" w:line="268" w:lineRule="auto"/>
        <w:tabs>
          <w:tab w:leader="none" w:pos="158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other than in connection with a merger,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w:t>
      </w:r>
    </w:p>
    <w:p>
      <w:pPr>
        <w:spacing w:after="0" w:line="114" w:lineRule="exact"/>
        <w:rPr>
          <w:rFonts w:ascii="Arial" w:cs="Arial" w:eastAsia="Arial" w:hAnsi="Arial"/>
          <w:sz w:val="16"/>
          <w:szCs w:val="16"/>
          <w:color w:val="auto"/>
        </w:rPr>
      </w:pPr>
    </w:p>
    <w:p>
      <w:pPr>
        <w:ind w:left="1523" w:hanging="353"/>
        <w:spacing w:after="0"/>
        <w:tabs>
          <w:tab w:leader="none" w:pos="152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No amendment, waiver, modification, or consent shall amend, modify, waive, or eliminate,</w:t>
      </w:r>
    </w:p>
    <w:p>
      <w:pPr>
        <w:spacing w:after="0" w:line="157" w:lineRule="exact"/>
        <w:rPr>
          <w:rFonts w:ascii="Arial" w:cs="Arial" w:eastAsia="Arial" w:hAnsi="Arial"/>
          <w:sz w:val="16"/>
          <w:szCs w:val="16"/>
          <w:color w:val="auto"/>
        </w:rPr>
      </w:pPr>
    </w:p>
    <w:p>
      <w:pPr>
        <w:ind w:left="2663" w:hanging="324"/>
        <w:spacing w:after="0"/>
        <w:tabs>
          <w:tab w:leader="none" w:pos="2663" w:val="left"/>
        </w:tabs>
        <w:numPr>
          <w:ilvl w:val="1"/>
          <w:numId w:val="269"/>
        </w:numPr>
        <w:rPr>
          <w:rFonts w:ascii="Arial" w:cs="Arial" w:eastAsia="Arial" w:hAnsi="Arial"/>
          <w:sz w:val="15"/>
          <w:szCs w:val="15"/>
          <w:color w:val="auto"/>
        </w:rPr>
      </w:pPr>
      <w:r>
        <w:rPr>
          <w:rFonts w:ascii="Arial" w:cs="Arial" w:eastAsia="Arial" w:hAnsi="Arial"/>
          <w:sz w:val="15"/>
          <w:szCs w:val="15"/>
          <w:color w:val="auto"/>
        </w:rPr>
        <w:t>the definition of, or any of the terms or provisions of, the Success Fee Letter, except in accordance with the terms thereof,</w:t>
      </w:r>
    </w:p>
    <w:p>
      <w:pPr>
        <w:spacing w:after="0" w:line="168" w:lineRule="exact"/>
        <w:rPr>
          <w:rFonts w:ascii="Arial" w:cs="Arial" w:eastAsia="Arial" w:hAnsi="Arial"/>
          <w:sz w:val="15"/>
          <w:szCs w:val="15"/>
          <w:color w:val="auto"/>
        </w:rPr>
      </w:pPr>
    </w:p>
    <w:p>
      <w:pPr>
        <w:ind w:left="3" w:right="360" w:firstLine="2336"/>
        <w:spacing w:after="0" w:line="283" w:lineRule="auto"/>
        <w:tabs>
          <w:tab w:leader="none" w:pos="2702" w:val="left"/>
        </w:tabs>
        <w:numPr>
          <w:ilvl w:val="1"/>
          <w:numId w:val="269"/>
        </w:numPr>
        <w:rPr>
          <w:rFonts w:ascii="Arial" w:cs="Arial" w:eastAsia="Arial" w:hAnsi="Arial"/>
          <w:sz w:val="16"/>
          <w:szCs w:val="16"/>
          <w:color w:val="auto"/>
        </w:rPr>
      </w:pPr>
      <w:r>
        <w:rPr>
          <w:rFonts w:ascii="Arial" w:cs="Arial" w:eastAsia="Arial" w:hAnsi="Arial"/>
          <w:sz w:val="16"/>
          <w:szCs w:val="16"/>
          <w:color w:val="auto"/>
        </w:rPr>
        <w:t xml:space="preserve">any provision of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pertaining to Agent, or any other rights or duties of Agent under this Agreement or the other Loan Documents, without the written consent of Agent, Borrower Representative, and the Required Lenders;</w:t>
      </w:r>
    </w:p>
    <w:p>
      <w:pPr>
        <w:spacing w:after="0" w:line="101" w:lineRule="exact"/>
        <w:rPr>
          <w:rFonts w:ascii="Arial" w:cs="Arial" w:eastAsia="Arial" w:hAnsi="Arial"/>
          <w:sz w:val="16"/>
          <w:szCs w:val="16"/>
          <w:color w:val="auto"/>
        </w:rPr>
      </w:pPr>
    </w:p>
    <w:p>
      <w:pPr>
        <w:jc w:val="both"/>
        <w:ind w:left="3" w:firstLine="1167"/>
        <w:spacing w:after="0" w:line="261" w:lineRule="auto"/>
        <w:tabs>
          <w:tab w:leader="none" w:pos="149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Anything in this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Lenders among themselves, and that does not affect the rights or obligations of any Loan Party, shall not require consent by or the agreement of any Loan Party, and (ii) any amendment, waiver, modification, elimination, or consent of or with respect to any provision of this Agreement or any other Loan Document may be entered into without the consent of, or over the objection of, any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-2753360</wp:posOffset>
            </wp:positionV>
            <wp:extent cx="3365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7620"/>
                    </a:xfrm>
                    <a:prstGeom prst="rect">
                      <a:avLst/>
                    </a:prstGeom>
                    <a:noFill/>
                  </pic:spPr>
                </pic:pic>
              </a:graphicData>
            </a:graphic>
          </wp:anchor>
        </w:drawing>
      </w:r>
    </w:p>
    <w:p>
      <w:pPr>
        <w:spacing w:after="0" w:line="96" w:lineRule="exact"/>
        <w:rPr>
          <w:sz w:val="20"/>
          <w:szCs w:val="20"/>
          <w:color w:val="auto"/>
        </w:rPr>
      </w:pPr>
    </w:p>
    <w:p>
      <w:pPr>
        <w:jc w:val="both"/>
        <w:ind w:left="3" w:right="20" w:firstLine="585"/>
        <w:spacing w:after="0" w:line="259" w:lineRule="auto"/>
        <w:rPr>
          <w:sz w:val="20"/>
          <w:szCs w:val="20"/>
          <w:color w:val="auto"/>
        </w:rPr>
      </w:pPr>
      <w:r>
        <w:rPr>
          <w:rFonts w:ascii="Arial" w:cs="Arial" w:eastAsia="Arial" w:hAnsi="Arial"/>
          <w:sz w:val="16"/>
          <w:szCs w:val="16"/>
          <w:b w:val="1"/>
          <w:bCs w:val="1"/>
          <w:color w:val="auto"/>
        </w:rPr>
        <w:t>12.9 Counterparts; Electronic Execution of Documents</w:t>
      </w:r>
      <w:r>
        <w:rPr>
          <w:rFonts w:ascii="Arial" w:cs="Arial" w:eastAsia="Arial" w:hAnsi="Arial"/>
          <w:sz w:val="16"/>
          <w:szCs w:val="16"/>
          <w:color w:val="auto"/>
        </w:rPr>
        <w:t>. This Agreement may be executed in any number of counterparts and by different parties on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each of which, when executed and delivered, is an original, and all taken together, constitute one Agreement.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Delivery of an executed counterpart of a signature page of any Loan Document by electronic means including by email delivery of a “.pdf” format data file shall be effective as delivery of an original executed counterpart of such Loan Document.</w:t>
      </w:r>
    </w:p>
    <w:p>
      <w:pPr>
        <w:spacing w:after="0" w:line="120" w:lineRule="exact"/>
        <w:rPr>
          <w:sz w:val="20"/>
          <w:szCs w:val="20"/>
          <w:color w:val="auto"/>
        </w:rPr>
      </w:pPr>
    </w:p>
    <w:p>
      <w:pPr>
        <w:jc w:val="both"/>
        <w:ind w:left="3" w:right="20" w:firstLine="585"/>
        <w:spacing w:after="0" w:line="295" w:lineRule="auto"/>
        <w:rPr>
          <w:sz w:val="20"/>
          <w:szCs w:val="20"/>
          <w:color w:val="auto"/>
        </w:rPr>
      </w:pPr>
      <w:r>
        <w:rPr>
          <w:rFonts w:ascii="Arial" w:cs="Arial" w:eastAsia="Arial" w:hAnsi="Arial"/>
          <w:sz w:val="14"/>
          <w:szCs w:val="14"/>
          <w:b w:val="1"/>
          <w:bCs w:val="1"/>
          <w:color w:val="auto"/>
        </w:rPr>
        <w:t>12.10 Confidentiality</w:t>
      </w:r>
      <w:r>
        <w:rPr>
          <w:rFonts w:ascii="Arial" w:cs="Arial" w:eastAsia="Arial" w:hAnsi="Arial"/>
          <w:sz w:val="14"/>
          <w:szCs w:val="14"/>
          <w:color w:val="auto"/>
        </w:rPr>
        <w:t>. In handling any confidential information, each Secured Party shall exercise the same degree of care that it exercises for its own</w:t>
      </w:r>
      <w:r>
        <w:rPr>
          <w:rFonts w:ascii="Arial" w:cs="Arial" w:eastAsia="Arial" w:hAnsi="Arial"/>
          <w:sz w:val="14"/>
          <w:szCs w:val="14"/>
          <w:b w:val="1"/>
          <w:bCs w:val="1"/>
          <w:color w:val="auto"/>
        </w:rPr>
        <w:t xml:space="preserve"> </w:t>
      </w:r>
      <w:r>
        <w:rPr>
          <w:rFonts w:ascii="Arial" w:cs="Arial" w:eastAsia="Arial" w:hAnsi="Arial"/>
          <w:sz w:val="14"/>
          <w:szCs w:val="14"/>
          <w:color w:val="auto"/>
        </w:rPr>
        <w:t>proprietary information, but disclosure of information may be made: (a) to such Secured Party’s Subsidiaries or Affiliates (such Subsidiaries and Affiliates, together with Secured Party, collectively, “</w:t>
      </w:r>
      <w:r>
        <w:rPr>
          <w:rFonts w:ascii="Arial" w:cs="Arial" w:eastAsia="Arial" w:hAnsi="Arial"/>
          <w:sz w:val="14"/>
          <w:szCs w:val="14"/>
          <w:b w:val="1"/>
          <w:bCs w:val="1"/>
          <w:color w:val="auto"/>
        </w:rPr>
        <w:t>Secured Party Entities</w:t>
      </w:r>
      <w:r>
        <w:rPr>
          <w:rFonts w:ascii="Arial" w:cs="Arial" w:eastAsia="Arial" w:hAnsi="Arial"/>
          <w:sz w:val="14"/>
          <w:szCs w:val="14"/>
          <w:color w:val="auto"/>
        </w:rPr>
        <w:t>”); (b) to prospective transferees or purchasers of any interest in the Credit Extensions (provided, however, each Secured Party shall use its best efforts to obtain any prospective transferee’s or purchaser’s agreement to the terms of this provision); (c) as required by law, regulation, subpoena, or other order and in connection with reporting obligations applicable to a Secured Party, including pursuant to the Securities Exchange Act of 1934, as amended;</w:t>
      </w:r>
    </w:p>
    <w:p>
      <w:pPr>
        <w:spacing w:after="0" w:line="1" w:lineRule="exact"/>
        <w:rPr>
          <w:sz w:val="20"/>
          <w:szCs w:val="20"/>
          <w:color w:val="auto"/>
        </w:rPr>
      </w:pPr>
    </w:p>
    <w:p>
      <w:pPr>
        <w:ind w:left="3" w:right="20" w:hanging="3"/>
        <w:spacing w:after="0" w:line="268" w:lineRule="auto"/>
        <w:tabs>
          <w:tab w:leader="none" w:pos="244"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to a Secured Party’s regulators or as otherwise required in connection with such Secured Party’s examination or audit; (e) as a Secured Party considers appropriate in exercising remedies under the Loan Documents; and (f) to third-party service providers of a Secured Party so long as such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63"/>
          </w:cols>
          <w:pgMar w:left="317" w:top="1295" w:right="319" w:bottom="1440" w:gutter="0" w:footer="0" w:header="0"/>
        </w:sectPr>
      </w:pPr>
    </w:p>
    <w:bookmarkStart w:id="374" w:name="page375"/>
    <w:bookmarkEnd w:id="374"/>
    <w:p>
      <w:pPr>
        <w:jc w:val="both"/>
        <w:spacing w:after="0" w:line="264" w:lineRule="auto"/>
        <w:rPr>
          <w:sz w:val="20"/>
          <w:szCs w:val="20"/>
          <w:color w:val="auto"/>
        </w:rPr>
      </w:pPr>
      <w:r>
        <w:rPr>
          <w:rFonts w:ascii="Arial" w:cs="Arial" w:eastAsia="Arial" w:hAnsi="Arial"/>
          <w:sz w:val="16"/>
          <w:szCs w:val="16"/>
          <w:color w:val="auto"/>
        </w:rPr>
        <w:t>have executed a confidentiality agreement with such Secured Party with terms no less restrictive than those contained herein. Confidential information does not include information that is either: (i) in the public domain or in a Secured Party’s possession when disclosed to such Secured Party, or becomes part of the public domain (other than as a result of its disclosure by Secured Party Entities in violation of this Agreement) after disclosure to a Secured Party; or (ii) disclosed to a Secured Party by a third party, if a Secured Party does not know that the third party is prohibited from disclosing the information.</w:t>
      </w:r>
    </w:p>
    <w:p>
      <w:pPr>
        <w:spacing w:after="0" w:line="112" w:lineRule="exact"/>
        <w:rPr>
          <w:sz w:val="20"/>
          <w:szCs w:val="20"/>
          <w:color w:val="auto"/>
        </w:rPr>
      </w:pPr>
    </w:p>
    <w:p>
      <w:pPr>
        <w:jc w:val="both"/>
        <w:ind w:firstLine="585"/>
        <w:spacing w:after="0" w:line="364" w:lineRule="auto"/>
        <w:rPr>
          <w:sz w:val="20"/>
          <w:szCs w:val="20"/>
          <w:color w:val="auto"/>
        </w:rPr>
      </w:pPr>
      <w:r>
        <w:rPr>
          <w:rFonts w:ascii="Arial" w:cs="Arial" w:eastAsia="Arial" w:hAnsi="Arial"/>
          <w:sz w:val="14"/>
          <w:szCs w:val="14"/>
          <w:b w:val="1"/>
          <w:bCs w:val="1"/>
          <w:color w:val="auto"/>
        </w:rPr>
        <w:t>12.11 Attorneys’ Fees, Costs and Expenses</w:t>
      </w:r>
      <w:r>
        <w:rPr>
          <w:rFonts w:ascii="Arial" w:cs="Arial" w:eastAsia="Arial" w:hAnsi="Arial"/>
          <w:sz w:val="14"/>
          <w:szCs w:val="14"/>
          <w:color w:val="auto"/>
        </w:rPr>
        <w:t>. In any action or proceeding among Borrowers and Secured Party arising out of or relating to the Loan Documents,</w:t>
      </w:r>
      <w:r>
        <w:rPr>
          <w:rFonts w:ascii="Arial" w:cs="Arial" w:eastAsia="Arial" w:hAnsi="Arial"/>
          <w:sz w:val="14"/>
          <w:szCs w:val="14"/>
          <w:b w:val="1"/>
          <w:bCs w:val="1"/>
          <w:color w:val="auto"/>
        </w:rPr>
        <w:t xml:space="preserve"> </w:t>
      </w:r>
      <w:r>
        <w:rPr>
          <w:rFonts w:ascii="Arial" w:cs="Arial" w:eastAsia="Arial" w:hAnsi="Arial"/>
          <w:sz w:val="14"/>
          <w:szCs w:val="14"/>
          <w:color w:val="auto"/>
        </w:rPr>
        <w:t>the prevailing party shall be entitled to recover its reasonable attorneys’ fees and other costs and expenses incurred, in addition to any other relief to which it may be entitled.</w:t>
      </w:r>
    </w:p>
    <w:p>
      <w:pPr>
        <w:spacing w:after="0" w:line="48" w:lineRule="exact"/>
        <w:rPr>
          <w:sz w:val="20"/>
          <w:szCs w:val="20"/>
          <w:color w:val="auto"/>
        </w:rPr>
      </w:pPr>
    </w:p>
    <w:p>
      <w:pPr>
        <w:jc w:val="both"/>
        <w:ind w:firstLine="585"/>
        <w:spacing w:after="0" w:line="258" w:lineRule="auto"/>
        <w:rPr>
          <w:sz w:val="20"/>
          <w:szCs w:val="20"/>
          <w:color w:val="auto"/>
        </w:rPr>
      </w:pPr>
      <w:r>
        <w:rPr>
          <w:rFonts w:ascii="Arial" w:cs="Arial" w:eastAsia="Arial" w:hAnsi="Arial"/>
          <w:sz w:val="16"/>
          <w:szCs w:val="16"/>
          <w:b w:val="1"/>
          <w:bCs w:val="1"/>
          <w:color w:val="auto"/>
        </w:rPr>
        <w:t>12.12 Borrower Representative</w:t>
      </w:r>
      <w:r>
        <w:rPr>
          <w:rFonts w:ascii="Arial" w:cs="Arial" w:eastAsia="Arial" w:hAnsi="Arial"/>
          <w:sz w:val="16"/>
          <w:szCs w:val="16"/>
          <w:color w:val="auto"/>
        </w:rPr>
        <w:t>. Each of the Borrowers hereby appoints Borrower Representative to act as its exclusive agent for all purposes under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(including, without limitation, with respect to all matters related to the borrowing and repayment of any Credit Extension). Each of the Borrowers acknowledges and agrees that (a) Borrower Representative may execute such documents on behalf of any Borrower as Borrower Representative deems appropriate in its sole discretion and each Borrower shall be bound by and obligated by all of the terms of any such document executed by Borrower Representative on its behalf, (b) any notice or other communication delivered by Secured Party hereunder to Borrower Representative shall be deemed to have been delivered to each Borrower and (c) each Secured Party shall accept (and shall be permitted to rely on) any document or agreement executed by Borrower Representative on behalf of Borrowers (or any of them). Borrower must act through the Borrower Representative for all purposes under this Agreement and the other Loan Documents. Notwithstanding anything contained herein to the contrary, to the extent any provision in this Agreement requires any Borrower to interact in any manner with any Secured Party, such Borrower shall do so through Borrower Representative.</w:t>
      </w:r>
    </w:p>
    <w:p>
      <w:pPr>
        <w:spacing w:after="0" w:line="120"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6"/>
          <w:szCs w:val="16"/>
          <w:b w:val="1"/>
          <w:bCs w:val="1"/>
          <w:color w:val="auto"/>
        </w:rPr>
        <w:t>12.13</w:t>
      </w:r>
      <w:r>
        <w:rPr>
          <w:sz w:val="20"/>
          <w:szCs w:val="20"/>
          <w:color w:val="auto"/>
        </w:rPr>
        <w:tab/>
      </w:r>
      <w:r>
        <w:rPr>
          <w:rFonts w:ascii="Arial" w:cs="Arial" w:eastAsia="Arial" w:hAnsi="Arial"/>
          <w:sz w:val="14"/>
          <w:szCs w:val="14"/>
          <w:b w:val="1"/>
          <w:bCs w:val="1"/>
          <w:color w:val="auto"/>
        </w:rPr>
        <w:t>Captions</w:t>
      </w:r>
      <w:r>
        <w:rPr>
          <w:rFonts w:ascii="Arial" w:cs="Arial" w:eastAsia="Arial" w:hAnsi="Arial"/>
          <w:sz w:val="14"/>
          <w:szCs w:val="14"/>
          <w:color w:val="auto"/>
        </w:rPr>
        <w:t>. The headings used in this Agreement are for convenience only and shall not affect the interpretation of this Agreement.</w:t>
      </w:r>
    </w:p>
    <w:p>
      <w:pPr>
        <w:spacing w:after="0" w:line="15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b w:val="1"/>
          <w:bCs w:val="1"/>
          <w:color w:val="auto"/>
        </w:rPr>
        <w:t>12.14 Construction of Agreement</w:t>
      </w:r>
      <w:r>
        <w:rPr>
          <w:rFonts w:ascii="Arial" w:cs="Arial" w:eastAsia="Arial" w:hAnsi="Arial"/>
          <w:sz w:val="16"/>
          <w:szCs w:val="16"/>
          <w:color w:val="auto"/>
        </w:rPr>
        <w:t>. The parties mutually acknowledge that they and their attorneys have participated in the preparation and negotiation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 cases of uncertainty this Agreement shall be construed without regard to which of the parties caused the uncertainty to exist.</w:t>
      </w:r>
    </w:p>
    <w:p>
      <w:pPr>
        <w:spacing w:after="0" w:line="94" w:lineRule="exact"/>
        <w:rPr>
          <w:sz w:val="20"/>
          <w:szCs w:val="20"/>
          <w:color w:val="auto"/>
        </w:rPr>
      </w:pPr>
    </w:p>
    <w:p>
      <w:pPr>
        <w:jc w:val="both"/>
        <w:ind w:firstLine="585"/>
        <w:spacing w:after="0" w:line="324" w:lineRule="auto"/>
        <w:rPr>
          <w:sz w:val="20"/>
          <w:szCs w:val="20"/>
          <w:color w:val="auto"/>
        </w:rPr>
      </w:pPr>
      <w:r>
        <w:rPr>
          <w:rFonts w:ascii="Arial" w:cs="Arial" w:eastAsia="Arial" w:hAnsi="Arial"/>
          <w:sz w:val="15"/>
          <w:szCs w:val="15"/>
          <w:b w:val="1"/>
          <w:bCs w:val="1"/>
          <w:color w:val="auto"/>
        </w:rPr>
        <w:t>12.15 Relationship</w:t>
      </w:r>
      <w:r>
        <w:rPr>
          <w:rFonts w:ascii="Arial" w:cs="Arial" w:eastAsia="Arial" w:hAnsi="Arial"/>
          <w:sz w:val="15"/>
          <w:szCs w:val="15"/>
          <w:color w:val="auto"/>
        </w:rPr>
        <w:t>. The relationship of the parties to this Agreement is determined solely by the provisions of this Agreement. The parties do not intend to create</w:t>
      </w:r>
      <w:r>
        <w:rPr>
          <w:rFonts w:ascii="Arial" w:cs="Arial" w:eastAsia="Arial" w:hAnsi="Arial"/>
          <w:sz w:val="15"/>
          <w:szCs w:val="15"/>
          <w:b w:val="1"/>
          <w:bCs w:val="1"/>
          <w:color w:val="auto"/>
        </w:rPr>
        <w:t xml:space="preserve"> </w:t>
      </w:r>
      <w:r>
        <w:rPr>
          <w:rFonts w:ascii="Arial" w:cs="Arial" w:eastAsia="Arial" w:hAnsi="Arial"/>
          <w:sz w:val="15"/>
          <w:szCs w:val="15"/>
          <w:color w:val="auto"/>
        </w:rPr>
        <w:t>any agency, partnership, joint venture, trust, fiduciary or other relationship with duties or incidents different from those of parties to an arm’s-length contract.</w:t>
      </w:r>
    </w:p>
    <w:p>
      <w:pPr>
        <w:spacing w:after="0" w:line="70"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b w:val="1"/>
          <w:bCs w:val="1"/>
          <w:color w:val="auto"/>
        </w:rPr>
        <w:t>12.16 Publicity; Press Releases</w:t>
      </w:r>
      <w:r>
        <w:rPr>
          <w:rFonts w:ascii="Arial" w:cs="Arial" w:eastAsia="Arial" w:hAnsi="Arial"/>
          <w:sz w:val="16"/>
          <w:szCs w:val="16"/>
          <w:color w:val="auto"/>
        </w:rPr>
        <w:t>. Borrowers agree that CIBC may issue a press release announcing the financing pursuant to this Agreement and may display any</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logo on its website and other marketing materials consistent with CIBC’s practices with respect to its loan portfolio.</w:t>
      </w:r>
    </w:p>
    <w:p>
      <w:pPr>
        <w:spacing w:after="0" w:line="94"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b w:val="1"/>
          <w:bCs w:val="1"/>
          <w:color w:val="auto"/>
        </w:rPr>
        <w:t>12.17 Third Parties</w:t>
      </w:r>
      <w:r>
        <w:rPr>
          <w:rFonts w:ascii="Arial" w:cs="Arial" w:eastAsia="Arial" w:hAnsi="Arial"/>
          <w:sz w:val="16"/>
          <w:szCs w:val="16"/>
          <w:color w:val="auto"/>
        </w:rPr>
        <w:t>. Nothing in this Agreement, whether express or implied, is intended to: (a) confer any benefits, rights or remedies under or by reason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13" w:lineRule="exact"/>
        <w:rPr>
          <w:sz w:val="20"/>
          <w:szCs w:val="20"/>
          <w:color w:val="auto"/>
        </w:rPr>
      </w:pPr>
    </w:p>
    <w:p>
      <w:pPr>
        <w:jc w:val="both"/>
        <w:ind w:firstLine="585"/>
        <w:spacing w:after="0" w:line="305" w:lineRule="auto"/>
        <w:rPr>
          <w:sz w:val="20"/>
          <w:szCs w:val="20"/>
          <w:color w:val="auto"/>
        </w:rPr>
      </w:pPr>
      <w:r>
        <w:rPr>
          <w:rFonts w:ascii="Arial" w:cs="Arial" w:eastAsia="Arial" w:hAnsi="Arial"/>
          <w:sz w:val="14"/>
          <w:szCs w:val="14"/>
          <w:b w:val="1"/>
          <w:bCs w:val="1"/>
          <w:color w:val="auto"/>
        </w:rPr>
        <w:t>12.18 Amendment and Restatement</w:t>
      </w:r>
      <w:r>
        <w:rPr>
          <w:rFonts w:ascii="Arial" w:cs="Arial" w:eastAsia="Arial" w:hAnsi="Arial"/>
          <w:sz w:val="14"/>
          <w:szCs w:val="14"/>
          <w:color w:val="auto"/>
        </w:rPr>
        <w:t>. The parties to this Agreement agree that, on the Effective Date, the terms and provisions of the Existing Loan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and hereby are amended, superseded and restated in their entirety by the terms and provisions of this Agreement. This Agreement is not intended to be, and shall not constitute, a novation, and the security interest granted pursuant to the Existing Loan Agreement to secure the Obligations shall continue from the date of its original grant, held by Agent for the ratable benefit of Lenders. All Credit Extensions made, and Obligations outstanding under the Existing Credit Agreement which continue to be outstanding on the Effective Date shall continue under (and shall be governed by the terms of) this Agreement and the other Loan Documents. Without limiting the foregoing, upon the effectiveness of the Agreement on the Effective Date: (a) all references in the “Loan Documents” (as defined in the Existing Loan Agreement)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95" w:right="339" w:bottom="1440" w:gutter="0" w:footer="0" w:header="0"/>
        </w:sectPr>
      </w:pPr>
    </w:p>
    <w:bookmarkStart w:id="375" w:name="page376"/>
    <w:bookmarkEnd w:id="375"/>
    <w:p>
      <w:pPr>
        <w:jc w:val="both"/>
        <w:spacing w:after="0" w:line="283" w:lineRule="auto"/>
        <w:rPr>
          <w:sz w:val="20"/>
          <w:szCs w:val="20"/>
          <w:color w:val="auto"/>
        </w:rPr>
      </w:pPr>
      <w:r>
        <w:rPr>
          <w:rFonts w:ascii="Arial" w:cs="Arial" w:eastAsia="Arial" w:hAnsi="Arial"/>
          <w:sz w:val="16"/>
          <w:szCs w:val="16"/>
          <w:color w:val="auto"/>
        </w:rPr>
        <w:t>“Loan Agreement” or “Agreement” and the “Loan Documents” shall be deemed to refer to this Agreement and the Loan Documents, (b) each reference to CIBC, in its capacity as secured party, shall refer to Agent, in its capacity as collateral agent, for the ratable benefit of Lenders.</w:t>
      </w:r>
    </w:p>
    <w:p>
      <w:pPr>
        <w:spacing w:after="0" w:line="98"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b w:val="1"/>
          <w:bCs w:val="1"/>
          <w:color w:val="auto"/>
        </w:rPr>
        <w:t>12.19 Acknowledgement and Consent to Bail-In of EEA Financial Institutions</w:t>
      </w:r>
      <w:r>
        <w:rPr>
          <w:rFonts w:ascii="Arial" w:cs="Arial" w:eastAsia="Arial" w:hAnsi="Arial"/>
          <w:sz w:val="16"/>
          <w:szCs w:val="16"/>
          <w:color w:val="auto"/>
        </w:rPr>
        <w:t>. Notwithstanding anything to the contrary in any Loan Document or in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17" w:lineRule="exact"/>
        <w:rPr>
          <w:sz w:val="20"/>
          <w:szCs w:val="20"/>
          <w:color w:val="auto"/>
        </w:rPr>
      </w:pPr>
    </w:p>
    <w:p>
      <w:pPr>
        <w:ind w:firstLine="1167"/>
        <w:spacing w:after="0" w:line="283" w:lineRule="auto"/>
        <w:tabs>
          <w:tab w:leader="none" w:pos="1539"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1" w:lineRule="exact"/>
        <w:rPr>
          <w:rFonts w:ascii="Arial" w:cs="Arial" w:eastAsia="Arial" w:hAnsi="Arial"/>
          <w:sz w:val="16"/>
          <w:szCs w:val="16"/>
          <w:color w:val="auto"/>
        </w:rPr>
      </w:pPr>
    </w:p>
    <w:p>
      <w:pPr>
        <w:ind w:left="1520" w:hanging="353"/>
        <w:spacing w:after="0"/>
        <w:tabs>
          <w:tab w:leader="none" w:pos="152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the effects of any Bail-in Action on any such liability, including, if applicable:</w:t>
      </w:r>
    </w:p>
    <w:p>
      <w:pPr>
        <w:spacing w:after="0" w:line="157" w:lineRule="exact"/>
        <w:rPr>
          <w:rFonts w:ascii="Arial" w:cs="Arial" w:eastAsia="Arial" w:hAnsi="Arial"/>
          <w:sz w:val="16"/>
          <w:szCs w:val="16"/>
          <w:color w:val="auto"/>
        </w:rPr>
      </w:pPr>
    </w:p>
    <w:p>
      <w:pPr>
        <w:ind w:left="2660" w:hanging="324"/>
        <w:spacing w:after="0"/>
        <w:tabs>
          <w:tab w:leader="none" w:pos="2660" w:val="left"/>
        </w:tabs>
        <w:numPr>
          <w:ilvl w:val="2"/>
          <w:numId w:val="271"/>
        </w:numPr>
        <w:rPr>
          <w:rFonts w:ascii="Arial" w:cs="Arial" w:eastAsia="Arial" w:hAnsi="Arial"/>
          <w:sz w:val="16"/>
          <w:szCs w:val="16"/>
          <w:color w:val="auto"/>
        </w:rPr>
      </w:pPr>
      <w:r>
        <w:rPr>
          <w:rFonts w:ascii="Arial" w:cs="Arial" w:eastAsia="Arial" w:hAnsi="Arial"/>
          <w:sz w:val="16"/>
          <w:szCs w:val="16"/>
          <w:color w:val="auto"/>
        </w:rPr>
        <w:t>a reduction in full or in part or cancellation of any such liability;</w:t>
      </w:r>
    </w:p>
    <w:p>
      <w:pPr>
        <w:spacing w:after="0" w:line="157" w:lineRule="exact"/>
        <w:rPr>
          <w:rFonts w:ascii="Arial" w:cs="Arial" w:eastAsia="Arial" w:hAnsi="Arial"/>
          <w:sz w:val="16"/>
          <w:szCs w:val="16"/>
          <w:color w:val="auto"/>
        </w:rPr>
      </w:pPr>
    </w:p>
    <w:p>
      <w:pPr>
        <w:ind w:right="40" w:firstLine="2336"/>
        <w:spacing w:after="0" w:line="268" w:lineRule="auto"/>
        <w:tabs>
          <w:tab w:leader="none" w:pos="2699" w:val="left"/>
        </w:tabs>
        <w:numPr>
          <w:ilvl w:val="2"/>
          <w:numId w:val="271"/>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14" w:lineRule="exact"/>
        <w:rPr>
          <w:rFonts w:ascii="Arial" w:cs="Arial" w:eastAsia="Arial" w:hAnsi="Arial"/>
          <w:sz w:val="16"/>
          <w:szCs w:val="16"/>
          <w:color w:val="auto"/>
        </w:rPr>
      </w:pPr>
    </w:p>
    <w:p>
      <w:pPr>
        <w:ind w:left="2740" w:hanging="404"/>
        <w:spacing w:after="0"/>
        <w:tabs>
          <w:tab w:leader="none" w:pos="2740" w:val="left"/>
        </w:tabs>
        <w:numPr>
          <w:ilvl w:val="2"/>
          <w:numId w:val="271"/>
        </w:numPr>
        <w:rPr>
          <w:rFonts w:ascii="Arial" w:cs="Arial" w:eastAsia="Arial" w:hAnsi="Arial"/>
          <w:sz w:val="15"/>
          <w:szCs w:val="15"/>
          <w:color w:val="auto"/>
        </w:rPr>
      </w:pPr>
      <w:r>
        <w:rPr>
          <w:rFonts w:ascii="Arial" w:cs="Arial" w:eastAsia="Arial" w:hAnsi="Arial"/>
          <w:sz w:val="15"/>
          <w:szCs w:val="15"/>
          <w:color w:val="auto"/>
        </w:rPr>
        <w:t>the variation of the terms of such liability in connection with the exercise of the write-down and conversion powers of any EEA</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Resolution Authority.</w:t>
      </w:r>
    </w:p>
    <w:p>
      <w:pPr>
        <w:spacing w:after="0" w:line="141" w:lineRule="exact"/>
        <w:rPr>
          <w:rFonts w:ascii="Arial" w:cs="Arial" w:eastAsia="Arial" w:hAnsi="Arial"/>
          <w:sz w:val="15"/>
          <w:szCs w:val="15"/>
          <w:color w:val="auto"/>
        </w:rPr>
      </w:pPr>
    </w:p>
    <w:p>
      <w:pPr>
        <w:ind w:left="940" w:hanging="358"/>
        <w:spacing w:after="0"/>
        <w:tabs>
          <w:tab w:leader="none" w:pos="940" w:val="left"/>
        </w:tabs>
        <w:numPr>
          <w:ilvl w:val="0"/>
          <w:numId w:val="2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APPOINTMENT OF AGENT</w:t>
      </w:r>
    </w:p>
    <w:p>
      <w:pPr>
        <w:spacing w:after="0" w:line="157" w:lineRule="exact"/>
        <w:rPr>
          <w:sz w:val="20"/>
          <w:szCs w:val="20"/>
          <w:color w:val="auto"/>
        </w:rPr>
      </w:pPr>
    </w:p>
    <w:p>
      <w:pPr>
        <w:jc w:val="both"/>
        <w:ind w:firstLine="585"/>
        <w:spacing w:after="0" w:line="294" w:lineRule="auto"/>
        <w:rPr>
          <w:sz w:val="20"/>
          <w:szCs w:val="20"/>
          <w:color w:val="auto"/>
        </w:rPr>
      </w:pPr>
      <w:r>
        <w:rPr>
          <w:rFonts w:ascii="Arial" w:cs="Arial" w:eastAsia="Arial" w:hAnsi="Arial"/>
          <w:sz w:val="14"/>
          <w:szCs w:val="14"/>
          <w:b w:val="1"/>
          <w:bCs w:val="1"/>
          <w:color w:val="auto"/>
        </w:rPr>
        <w:t>13.1 Appointment and Authorization of Agent</w:t>
      </w:r>
      <w:r>
        <w:rPr>
          <w:rFonts w:ascii="Arial" w:cs="Arial" w:eastAsia="Arial" w:hAnsi="Arial"/>
          <w:sz w:val="14"/>
          <w:szCs w:val="14"/>
          <w:color w:val="auto"/>
        </w:rPr>
        <w:t>. Each Lender hereby designates and appoints CIBC to act as administrative agent and collateral agent on its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behalf under this Agreement and the other Loan Documents and each Lender hereby irrevocably authorizes Agent to execute and deliver each of the other Loan Documents on its behalf, hold the security interest for its ratable benefit to secure the Obligations,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administrative agent and collateral agent for and on behalf of Lenders on the terms and conditions contained in this </w:t>
      </w:r>
      <w:r>
        <w:rPr>
          <w:rFonts w:ascii="Arial" w:cs="Arial" w:eastAsia="Arial" w:hAnsi="Arial"/>
          <w:sz w:val="14"/>
          <w:szCs w:val="14"/>
          <w:u w:val="single" w:color="auto"/>
          <w:color w:val="auto"/>
        </w:rPr>
        <w:t>Section 13.</w:t>
      </w:r>
      <w:r>
        <w:rPr>
          <w:rFonts w:ascii="Arial" w:cs="Arial" w:eastAsia="Arial" w:hAnsi="Arial"/>
          <w:sz w:val="14"/>
          <w:szCs w:val="14"/>
          <w:color w:val="auto"/>
        </w:rPr>
        <w:t xml:space="preserve"> Agent shall not have any duties or responsibilities, except those expressly set forth herein or in the other Loan Documents, nor shall Agent have or be deemed to have any fiduciary relationship with any Lender,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296" w:right="339" w:bottom="1440" w:gutter="0" w:footer="0" w:header="0"/>
        </w:sectPr>
      </w:pPr>
    </w:p>
    <w:bookmarkStart w:id="376" w:name="page377"/>
    <w:bookmarkEnd w:id="376"/>
    <w:p>
      <w:pPr>
        <w:jc w:val="both"/>
        <w:spacing w:after="0" w:line="307" w:lineRule="auto"/>
        <w:rPr>
          <w:sz w:val="20"/>
          <w:szCs w:val="20"/>
          <w:color w:val="auto"/>
        </w:rPr>
      </w:pPr>
      <w:r>
        <w:rPr>
          <w:rFonts w:ascii="Arial" w:cs="Arial" w:eastAsia="Arial" w:hAnsi="Arial"/>
          <w:sz w:val="14"/>
          <w:szCs w:val="14"/>
          <w:color w:val="auto"/>
        </w:rPr>
        <w:t>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Secured Parties with respect to any Loan Party or its Subsidiaries, the Obligations, the Collateral, or otherwise related to any of same as provided in the Loan Documents, and (g) incur and pay such Secured Party Expenses as Agent may deem necessary or appropriate for the performance and fulfillment of its functions and powers pursuant to the Loan Documents.</w:t>
      </w:r>
    </w:p>
    <w:p>
      <w:pPr>
        <w:spacing w:after="0" w:line="87"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b w:val="1"/>
          <w:bCs w:val="1"/>
          <w:color w:val="auto"/>
        </w:rPr>
        <w:t>13.2 Delegation of Duties</w:t>
      </w:r>
      <w:r>
        <w:rPr>
          <w:rFonts w:ascii="Arial" w:cs="Arial" w:eastAsia="Arial" w:hAnsi="Arial"/>
          <w:sz w:val="16"/>
          <w:szCs w:val="16"/>
          <w:color w:val="auto"/>
        </w:rPr>
        <w:t>. Agent may execute any of its duties under this Agreement or any other Loan Document by or through agents, employees or attorneys</w:t>
      </w:r>
      <w:r>
        <w:rPr>
          <w:rFonts w:ascii="Arial" w:cs="Arial" w:eastAsia="Arial" w:hAnsi="Arial"/>
          <w:sz w:val="16"/>
          <w:szCs w:val="16"/>
          <w:b w:val="1"/>
          <w:bCs w:val="1"/>
          <w:color w:val="auto"/>
        </w:rPr>
        <w:t xml:space="preserve"> </w:t>
      </w:r>
      <w:r>
        <w:rPr>
          <w:rFonts w:ascii="Arial" w:cs="Arial" w:eastAsia="Arial" w:hAnsi="Arial"/>
          <w:sz w:val="16"/>
          <w:szCs w:val="16"/>
          <w:color w:val="auto"/>
        </w:rPr>
        <w:t>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spacing w:after="0" w:line="107" w:lineRule="exact"/>
        <w:rPr>
          <w:sz w:val="20"/>
          <w:szCs w:val="20"/>
          <w:color w:val="auto"/>
        </w:rPr>
      </w:pPr>
    </w:p>
    <w:p>
      <w:pPr>
        <w:jc w:val="both"/>
        <w:ind w:firstLine="585"/>
        <w:spacing w:after="0" w:line="276" w:lineRule="auto"/>
        <w:rPr>
          <w:sz w:val="20"/>
          <w:szCs w:val="20"/>
          <w:color w:val="auto"/>
        </w:rPr>
      </w:pPr>
      <w:r>
        <w:rPr>
          <w:rFonts w:ascii="Arial" w:cs="Arial" w:eastAsia="Arial" w:hAnsi="Arial"/>
          <w:sz w:val="15"/>
          <w:szCs w:val="15"/>
          <w:b w:val="1"/>
          <w:bCs w:val="1"/>
          <w:color w:val="auto"/>
        </w:rPr>
        <w:t>13.3 Liability of Agent</w:t>
      </w:r>
      <w:r>
        <w:rPr>
          <w:rFonts w:ascii="Arial" w:cs="Arial" w:eastAsia="Arial" w:hAnsi="Arial"/>
          <w:sz w:val="15"/>
          <w:szCs w:val="15"/>
          <w:color w:val="auto"/>
        </w:rPr>
        <w:t>. None of the Agent-Related Persons shall (a) be liable for any action taken or omitted to be taken by any of them under or in connection</w:t>
      </w:r>
      <w:r>
        <w:rPr>
          <w:rFonts w:ascii="Arial" w:cs="Arial" w:eastAsia="Arial" w:hAnsi="Arial"/>
          <w:sz w:val="15"/>
          <w:szCs w:val="15"/>
          <w:b w:val="1"/>
          <w:bCs w:val="1"/>
          <w:color w:val="auto"/>
        </w:rPr>
        <w:t xml:space="preserve"> </w:t>
      </w:r>
      <w:r>
        <w:rPr>
          <w:rFonts w:ascii="Arial" w:cs="Arial" w:eastAsia="Arial" w:hAnsi="Arial"/>
          <w:sz w:val="15"/>
          <w:szCs w:val="15"/>
          <w:color w:val="auto"/>
        </w:rPr>
        <w:t>with this Agreement or any other Loan Document or the transactions contemplated hereby (except for its own gross negligence or willful misconduct), or (b) be responsible in any manner to any of the Lenders for any recital, statement, representation or warranty made by any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to ascertain or to inquire as to the observance or performance of any of the agreements contained in, or conditions of, this Agreement or any other Loan Document, or to inspect the books and records or properties of any Loan Party or its Subsidiaries. No Agent-Related Person shall have any liability to any Lender, and Loan Party or any of their respective Affiliates if any request for a Loan, Letter of Credit or other extension of credit was not authorized by the applicable Borrower. Agent shall not be required to take any action that, in its opinion or in the opinion of its counsel, may expose it to liability or that is contrary to any Loan Document or applicable law or regulation.</w:t>
      </w:r>
    </w:p>
    <w:p>
      <w:pPr>
        <w:spacing w:after="0" w:line="108"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5"/>
          <w:szCs w:val="15"/>
          <w:b w:val="1"/>
          <w:bCs w:val="1"/>
          <w:color w:val="auto"/>
        </w:rPr>
        <w:t>13.4 Reliance by Agent</w:t>
      </w:r>
      <w:r>
        <w:rPr>
          <w:rFonts w:ascii="Arial" w:cs="Arial" w:eastAsia="Arial" w:hAnsi="Arial"/>
          <w:sz w:val="15"/>
          <w:szCs w:val="15"/>
          <w:color w:val="auto"/>
        </w:rPr>
        <w:t>. Agent shall be entitled to rely, and shall be fully protected in relying, upon any writing, resolution, notice, consent, certificate, affidavit,</w:t>
      </w:r>
      <w:r>
        <w:rPr>
          <w:rFonts w:ascii="Arial" w:cs="Arial" w:eastAsia="Arial" w:hAnsi="Arial"/>
          <w:sz w:val="15"/>
          <w:szCs w:val="15"/>
          <w:b w:val="1"/>
          <w:bCs w:val="1"/>
          <w:color w:val="auto"/>
        </w:rPr>
        <w:t xml:space="preserve"> </w:t>
      </w:r>
      <w:r>
        <w:rPr>
          <w:rFonts w:ascii="Arial" w:cs="Arial" w:eastAsia="Arial" w:hAnsi="Arial"/>
          <w:sz w:val="15"/>
          <w:szCs w:val="15"/>
          <w:color w:val="auto"/>
        </w:rPr>
        <w:t>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w:t>
      </w:r>
    </w:p>
    <w:p>
      <w:pPr>
        <w:spacing w:after="0" w:line="108" w:lineRule="exact"/>
        <w:rPr>
          <w:sz w:val="20"/>
          <w:szCs w:val="20"/>
          <w:color w:val="auto"/>
        </w:rPr>
      </w:pPr>
    </w:p>
    <w:p>
      <w:pPr>
        <w:jc w:val="both"/>
        <w:ind w:firstLine="585"/>
        <w:spacing w:after="0" w:line="305" w:lineRule="auto"/>
        <w:rPr>
          <w:sz w:val="20"/>
          <w:szCs w:val="20"/>
          <w:color w:val="auto"/>
        </w:rPr>
      </w:pPr>
      <w:r>
        <w:rPr>
          <w:rFonts w:ascii="Arial" w:cs="Arial" w:eastAsia="Arial" w:hAnsi="Arial"/>
          <w:sz w:val="14"/>
          <w:szCs w:val="14"/>
          <w:b w:val="1"/>
          <w:bCs w:val="1"/>
          <w:color w:val="auto"/>
        </w:rPr>
        <w:t>13.5 Notice of Default or Event of Default</w:t>
      </w:r>
      <w:r>
        <w:rPr>
          <w:rFonts w:ascii="Arial" w:cs="Arial" w:eastAsia="Arial" w:hAnsi="Arial"/>
          <w:sz w:val="14"/>
          <w:szCs w:val="14"/>
          <w:color w:val="auto"/>
        </w:rPr>
        <w:t>. Agent shall not be deemed to have knowledge or notice of the occurrence of any Default or Event of Default, except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Arial" w:cs="Arial" w:eastAsia="Arial" w:hAnsi="Arial"/>
          <w:sz w:val="14"/>
          <w:szCs w:val="14"/>
          <w:u w:val="single" w:color="auto"/>
          <w:color w:val="auto"/>
        </w:rPr>
        <w:t>Section 13.4</w:t>
      </w:r>
      <w:r>
        <w:rPr>
          <w:rFonts w:ascii="Arial" w:cs="Arial" w:eastAsia="Arial" w:hAnsi="Arial"/>
          <w:sz w:val="14"/>
          <w:szCs w:val="14"/>
          <w:color w:val="auto"/>
        </w:rPr>
        <w:t>, Agent shall take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95" w:right="339" w:bottom="1440" w:gutter="0" w:footer="0" w:header="0"/>
        </w:sectPr>
      </w:pPr>
    </w:p>
    <w:bookmarkStart w:id="377" w:name="page378"/>
    <w:bookmarkEnd w:id="377"/>
    <w:p>
      <w:pPr>
        <w:jc w:val="both"/>
        <w:spacing w:after="0" w:line="268" w:lineRule="auto"/>
        <w:rPr>
          <w:sz w:val="20"/>
          <w:szCs w:val="20"/>
          <w:color w:val="auto"/>
        </w:rPr>
      </w:pPr>
      <w:r>
        <w:rPr>
          <w:rFonts w:ascii="Arial" w:cs="Arial" w:eastAsia="Arial" w:hAnsi="Arial"/>
          <w:sz w:val="16"/>
          <w:szCs w:val="16"/>
          <w:color w:val="auto"/>
        </w:rPr>
        <w:t xml:space="preserve">action with respect to such Default or Event of Default as may be requested by the Required Lenders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and until Agent has received any such request, Agent may (but shall not be obligated to) take such action, or refrain from taking such action, with respect to such Default or Event of Default as it shall deem advisable.</w:t>
      </w:r>
    </w:p>
    <w:p>
      <w:pPr>
        <w:spacing w:after="0" w:line="110" w:lineRule="exact"/>
        <w:rPr>
          <w:sz w:val="20"/>
          <w:szCs w:val="20"/>
          <w:color w:val="auto"/>
        </w:rPr>
      </w:pPr>
    </w:p>
    <w:p>
      <w:pPr>
        <w:jc w:val="both"/>
        <w:ind w:right="20" w:firstLine="585"/>
        <w:spacing w:after="0" w:line="274" w:lineRule="auto"/>
        <w:rPr>
          <w:sz w:val="20"/>
          <w:szCs w:val="20"/>
          <w:color w:val="auto"/>
        </w:rPr>
      </w:pPr>
      <w:r>
        <w:rPr>
          <w:rFonts w:ascii="Arial" w:cs="Arial" w:eastAsia="Arial" w:hAnsi="Arial"/>
          <w:sz w:val="15"/>
          <w:szCs w:val="15"/>
          <w:b w:val="1"/>
          <w:bCs w:val="1"/>
          <w:color w:val="auto"/>
        </w:rPr>
        <w:t>13.6 Credit Decision</w:t>
      </w:r>
      <w:r>
        <w:rPr>
          <w:rFonts w:ascii="Arial" w:cs="Arial" w:eastAsia="Arial" w:hAnsi="Arial"/>
          <w:sz w:val="15"/>
          <w:szCs w:val="15"/>
          <w:color w:val="auto"/>
        </w:rPr>
        <w:t>. Each Lender acknowledges that none of the Agent-Related Persons has made any representation or warranty to it, and that no act by Agent</w:t>
      </w:r>
      <w:r>
        <w:rPr>
          <w:rFonts w:ascii="Arial" w:cs="Arial" w:eastAsia="Arial" w:hAnsi="Arial"/>
          <w:sz w:val="15"/>
          <w:szCs w:val="15"/>
          <w:b w:val="1"/>
          <w:bCs w:val="1"/>
          <w:color w:val="auto"/>
        </w:rPr>
        <w:t xml:space="preserve"> </w:t>
      </w:r>
      <w:r>
        <w:rPr>
          <w:rFonts w:ascii="Arial" w:cs="Arial" w:eastAsia="Arial" w:hAnsi="Arial"/>
          <w:sz w:val="15"/>
          <w:szCs w:val="15"/>
          <w:color w:val="auto"/>
        </w:rPr>
        <w:t>hereinafter taken, including any review of the affairs of any Loan Party and its Subsidiaries or Affiliates, shall be deemed to constitute any representation or warranty by any Agent-Related Person to any Lender. Each Lender represents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Agent shall not have any duty or responsibility to provide any Lender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that Agent does not have any duty or responsibility, either initially or on a continuing basis (except to the extent, if any, that is expressly specified herein) to provide such Lender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w:t>
      </w:r>
    </w:p>
    <w:p>
      <w:pPr>
        <w:spacing w:after="0" w:line="113" w:lineRule="exact"/>
        <w:rPr>
          <w:sz w:val="20"/>
          <w:szCs w:val="20"/>
          <w:color w:val="auto"/>
        </w:rPr>
      </w:pPr>
    </w:p>
    <w:p>
      <w:pPr>
        <w:jc w:val="both"/>
        <w:ind w:firstLine="585"/>
        <w:spacing w:after="0" w:line="274" w:lineRule="auto"/>
        <w:rPr>
          <w:sz w:val="20"/>
          <w:szCs w:val="20"/>
          <w:color w:val="auto"/>
        </w:rPr>
      </w:pPr>
      <w:r>
        <w:rPr>
          <w:rFonts w:ascii="Arial" w:cs="Arial" w:eastAsia="Arial" w:hAnsi="Arial"/>
          <w:sz w:val="15"/>
          <w:szCs w:val="15"/>
          <w:b w:val="1"/>
          <w:bCs w:val="1"/>
          <w:color w:val="auto"/>
        </w:rPr>
        <w:t>13.7 Costs and Expenses; Indemnification</w:t>
      </w:r>
      <w:r>
        <w:rPr>
          <w:rFonts w:ascii="Arial" w:cs="Arial" w:eastAsia="Arial" w:hAnsi="Arial"/>
          <w:sz w:val="15"/>
          <w:szCs w:val="15"/>
          <w:color w:val="auto"/>
        </w:rPr>
        <w:t>. Agent may incur and pay Lender Group Expenses to the extent Agent reasonably deems necessary or appropriate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In the event Agent is not reimbursed for such costs and expenses by the Loan Parties and their Subsidiaries, each Lender hereby agrees that it is and shall be obligated to pay to Agent such Lender’s ratable thereof. Whether or not the transactions contemplated hereby are consummated,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Arial" w:cs="Arial" w:eastAsia="Arial" w:hAnsi="Arial"/>
          <w:sz w:val="15"/>
          <w:szCs w:val="15"/>
          <w:u w:val="single" w:color="auto"/>
          <w:color w:val="auto"/>
        </w:rPr>
        <w:t>provided</w:t>
      </w:r>
      <w:r>
        <w:rPr>
          <w:rFonts w:ascii="Arial" w:cs="Arial" w:eastAsia="Arial" w:hAnsi="Arial"/>
          <w:sz w:val="15"/>
          <w:szCs w:val="15"/>
          <w:color w:val="auto"/>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60"/>
          </w:cols>
          <w:pgMar w:left="320" w:top="1296" w:right="319" w:bottom="1440" w:gutter="0" w:footer="0" w:header="0"/>
        </w:sectPr>
      </w:pPr>
    </w:p>
    <w:bookmarkStart w:id="378" w:name="page379"/>
    <w:bookmarkEnd w:id="378"/>
    <w:p>
      <w:pPr>
        <w:jc w:val="both"/>
        <w:ind w:right="20" w:firstLine="585"/>
        <w:spacing w:after="0" w:line="259" w:lineRule="auto"/>
        <w:rPr>
          <w:sz w:val="20"/>
          <w:szCs w:val="20"/>
          <w:color w:val="auto"/>
        </w:rPr>
      </w:pPr>
      <w:r>
        <w:rPr>
          <w:rFonts w:ascii="Arial" w:cs="Arial" w:eastAsia="Arial" w:hAnsi="Arial"/>
          <w:sz w:val="16"/>
          <w:szCs w:val="16"/>
          <w:b w:val="1"/>
          <w:bCs w:val="1"/>
          <w:color w:val="auto"/>
        </w:rPr>
        <w:t>13.8 Agent in Individual Capacity</w:t>
      </w:r>
      <w:r>
        <w:rPr>
          <w:rFonts w:ascii="Arial" w:cs="Arial" w:eastAsia="Arial" w:hAnsi="Arial"/>
          <w:sz w:val="16"/>
          <w:szCs w:val="16"/>
          <w:color w:val="auto"/>
        </w:rPr>
        <w:t>. CIBC and its Affiliates may make loans to, issue letters of credit for the account of, accept deposits from, provide Bank</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acquire Equity Interests in, and generally engage in any kind of banking, trust, financial advisory, underwriting, or other business with any Loan Party and its Subsidiaries and Affiliates and any other Person party to any Loan Document as though CIBC were not Agent hereunder, and, in each case, without notice to or consent of any other Lender. Each of the Lenders acknowledge that, pursuant to such activities, CIBC or its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CIBC in its individual capacity.</w:t>
      </w:r>
    </w:p>
    <w:p>
      <w:pPr>
        <w:spacing w:after="0" w:line="117" w:lineRule="exact"/>
        <w:rPr>
          <w:sz w:val="20"/>
          <w:szCs w:val="20"/>
          <w:color w:val="auto"/>
        </w:rPr>
      </w:pPr>
    </w:p>
    <w:p>
      <w:pPr>
        <w:jc w:val="both"/>
        <w:ind w:firstLine="585"/>
        <w:spacing w:after="0" w:line="275" w:lineRule="auto"/>
        <w:rPr>
          <w:sz w:val="20"/>
          <w:szCs w:val="20"/>
          <w:color w:val="auto"/>
        </w:rPr>
      </w:pPr>
      <w:r>
        <w:rPr>
          <w:rFonts w:ascii="Arial" w:cs="Arial" w:eastAsia="Arial" w:hAnsi="Arial"/>
          <w:sz w:val="15"/>
          <w:szCs w:val="15"/>
          <w:b w:val="1"/>
          <w:bCs w:val="1"/>
          <w:color w:val="auto"/>
        </w:rPr>
        <w:t>13.9 Successor Agent</w:t>
      </w:r>
      <w:r>
        <w:rPr>
          <w:rFonts w:ascii="Arial" w:cs="Arial" w:eastAsia="Arial" w:hAnsi="Arial"/>
          <w:sz w:val="15"/>
          <w:szCs w:val="15"/>
          <w:color w:val="auto"/>
        </w:rPr>
        <w:t>. Agent may resign as Agent upon 30 days (ten days if an Event of Default has occurred and is continuing) prior written notice to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Lenders (unless such notice is waived by the Required Lenders) and Borrowers (unless such notice is waived by Borrowers or a Default or Event of Default has occurred and is continuing).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If no successor Agent is appointed prior to the effective date of the 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Arial" w:cs="Arial" w:eastAsia="Arial" w:hAnsi="Arial"/>
          <w:sz w:val="15"/>
          <w:szCs w:val="15"/>
          <w:u w:val="single" w:color="auto"/>
          <w:color w:val="auto"/>
        </w:rPr>
        <w:t>Section 13.9</w:t>
      </w:r>
      <w:r>
        <w:rPr>
          <w:rFonts w:ascii="Arial" w:cs="Arial" w:eastAsia="Arial" w:hAnsi="Arial"/>
          <w:sz w:val="15"/>
          <w:szCs w:val="15"/>
          <w:color w:val="auto"/>
        </w:rPr>
        <w:t xml:space="preserve">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110" w:lineRule="exact"/>
        <w:rPr>
          <w:sz w:val="20"/>
          <w:szCs w:val="20"/>
          <w:color w:val="auto"/>
        </w:rPr>
      </w:pPr>
    </w:p>
    <w:p>
      <w:pPr>
        <w:jc w:val="both"/>
        <w:ind w:right="20" w:firstLine="585"/>
        <w:spacing w:after="0" w:line="302" w:lineRule="auto"/>
        <w:rPr>
          <w:sz w:val="20"/>
          <w:szCs w:val="20"/>
          <w:color w:val="auto"/>
        </w:rPr>
      </w:pPr>
      <w:r>
        <w:rPr>
          <w:rFonts w:ascii="Arial" w:cs="Arial" w:eastAsia="Arial" w:hAnsi="Arial"/>
          <w:sz w:val="14"/>
          <w:szCs w:val="14"/>
          <w:b w:val="1"/>
          <w:bCs w:val="1"/>
          <w:color w:val="auto"/>
        </w:rPr>
        <w:t>13.10 Lender in Individual Capacity</w:t>
      </w:r>
      <w:r>
        <w:rPr>
          <w:rFonts w:ascii="Arial" w:cs="Arial" w:eastAsia="Arial" w:hAnsi="Arial"/>
          <w:sz w:val="14"/>
          <w:szCs w:val="14"/>
          <w:color w:val="auto"/>
        </w:rPr>
        <w:t>. Any Lender and its respective Affiliates may make loans to, issue letters of credit for the account of, accept deposits from,</w:t>
      </w:r>
      <w:r>
        <w:rPr>
          <w:rFonts w:ascii="Arial" w:cs="Arial" w:eastAsia="Arial" w:hAnsi="Arial"/>
          <w:sz w:val="14"/>
          <w:szCs w:val="14"/>
          <w:b w:val="1"/>
          <w:bCs w:val="1"/>
          <w:color w:val="auto"/>
        </w:rPr>
        <w:t xml:space="preserve"> </w:t>
      </w:r>
      <w:r>
        <w:rPr>
          <w:rFonts w:ascii="Arial" w:cs="Arial" w:eastAsia="Arial" w:hAnsi="Arial"/>
          <w:sz w:val="14"/>
          <w:szCs w:val="14"/>
          <w:color w:val="auto"/>
        </w:rPr>
        <w:t>provide Bank Services to,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any other Lender. Each other Lender acknowledge that, pursuant to such activities, such Lender and its respective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92"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6"/>
          <w:szCs w:val="16"/>
          <w:b w:val="1"/>
          <w:bCs w:val="1"/>
          <w:color w:val="auto"/>
        </w:rPr>
        <w:t>13.11</w:t>
      </w:r>
      <w:r>
        <w:rPr>
          <w:sz w:val="20"/>
          <w:szCs w:val="20"/>
          <w:color w:val="auto"/>
        </w:rPr>
        <w:tab/>
      </w:r>
      <w:r>
        <w:rPr>
          <w:rFonts w:ascii="Arial" w:cs="Arial" w:eastAsia="Arial" w:hAnsi="Arial"/>
          <w:sz w:val="15"/>
          <w:szCs w:val="15"/>
          <w:b w:val="1"/>
          <w:bCs w:val="1"/>
          <w:color w:val="auto"/>
        </w:rPr>
        <w:t>Collateral Matters</w:t>
      </w:r>
      <w:r>
        <w:rPr>
          <w:rFonts w:ascii="Arial" w:cs="Arial" w:eastAsia="Arial" w:hAnsi="Arial"/>
          <w:sz w:val="15"/>
          <w:szCs w:val="15"/>
          <w:color w:val="auto"/>
        </w:rPr>
        <w:t>.</w:t>
      </w:r>
    </w:p>
    <w:p>
      <w:pPr>
        <w:spacing w:after="0" w:line="161" w:lineRule="exact"/>
        <w:rPr>
          <w:sz w:val="20"/>
          <w:szCs w:val="20"/>
          <w:color w:val="auto"/>
        </w:rPr>
      </w:pPr>
    </w:p>
    <w:p>
      <w:pPr>
        <w:jc w:val="both"/>
        <w:ind w:firstLine="1167"/>
        <w:spacing w:after="0" w:line="280" w:lineRule="auto"/>
        <w:tabs>
          <w:tab w:leader="none" w:pos="1514" w:val="left"/>
        </w:tabs>
        <w:numPr>
          <w:ilvl w:val="0"/>
          <w:numId w:val="273"/>
        </w:numPr>
        <w:rPr>
          <w:rFonts w:ascii="Arial" w:cs="Arial" w:eastAsia="Arial" w:hAnsi="Arial"/>
          <w:sz w:val="15"/>
          <w:szCs w:val="15"/>
          <w:color w:val="auto"/>
        </w:rPr>
      </w:pPr>
      <w:r>
        <w:rPr>
          <w:rFonts w:ascii="Arial" w:cs="Arial" w:eastAsia="Arial" w:hAnsi="Arial"/>
          <w:sz w:val="15"/>
          <w:szCs w:val="15"/>
          <w:color w:val="auto"/>
        </w:rPr>
        <w:t xml:space="preserve">The Lenders hereby irrevocably authorize Agent to release any Lien on any Collateral (i) upon the termination of the Commitments and payment and satisfaction in full by the Loan Parties and their Subsidiaries of all of the Obligations, (ii) constituting property being sold or disposed of if a release is required or desirable in connection therewith and if Borrowers certify to Agent that the sale or disposition is permitted under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(and Agent may rely conclusively on any such certificate, without further inquiry), (iii) constituting property in which no Loan Party or any of its Subsidiaries owned any interest at the time Agent’s Lien was granted nor at any time thereafter, (iv) constituting property leased or licensed to a Loan Party or its Subsidiaries under a lease or license that has expired or is terminated in a transaction permitted under this Agreement, or (v) in connection with a credit bid or purchase authorized under this </w:t>
      </w:r>
      <w:r>
        <w:rPr>
          <w:rFonts w:ascii="Arial" w:cs="Arial" w:eastAsia="Arial" w:hAnsi="Arial"/>
          <w:sz w:val="15"/>
          <w:szCs w:val="15"/>
          <w:u w:val="single" w:color="auto"/>
          <w:color w:val="auto"/>
        </w:rPr>
        <w:t>Section 13.11</w:t>
      </w:r>
      <w:r>
        <w:rPr>
          <w:rFonts w:ascii="Arial" w:cs="Arial" w:eastAsia="Arial" w:hAnsi="Arial"/>
          <w:sz w:val="15"/>
          <w:szCs w:val="15"/>
          <w:color w:val="auto"/>
        </w:rPr>
        <w:t>. The Loan Parties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60"/>
          </w:cols>
          <w:pgMar w:left="320" w:top="1292" w:right="319" w:bottom="1440" w:gutter="0" w:footer="0" w:header="0"/>
        </w:sectPr>
      </w:pPr>
    </w:p>
    <w:bookmarkStart w:id="379" w:name="page380"/>
    <w:bookmarkEnd w:id="379"/>
    <w:p>
      <w:pPr>
        <w:jc w:val="both"/>
        <w:ind w:right="20"/>
        <w:spacing w:after="0" w:line="277" w:lineRule="auto"/>
        <w:rPr>
          <w:sz w:val="20"/>
          <w:szCs w:val="20"/>
          <w:color w:val="auto"/>
        </w:rPr>
      </w:pPr>
      <w:r>
        <w:rPr>
          <w:rFonts w:ascii="Arial" w:cs="Arial" w:eastAsia="Arial" w:hAnsi="Arial"/>
          <w:sz w:val="15"/>
          <w:szCs w:val="15"/>
          <w:color w:val="auto"/>
        </w:rPr>
        <w:t>hereby irrevocably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Agent, based upon the instruction of the Required Lenders, may accept non-cash consideration, including debt and equity securities issued by any entities used to consummate such credit bid or purchase and in connection therewith Agent may reduce the Obligations owed to Lenders based upon the value of such non-cash consideration.</w:t>
      </w:r>
    </w:p>
    <w:p>
      <w:pPr>
        <w:spacing w:after="0" w:line="112" w:lineRule="exact"/>
        <w:rPr>
          <w:sz w:val="20"/>
          <w:szCs w:val="20"/>
          <w:color w:val="auto"/>
        </w:rPr>
      </w:pPr>
    </w:p>
    <w:p>
      <w:pPr>
        <w:jc w:val="both"/>
        <w:ind w:right="20" w:firstLine="1167"/>
        <w:spacing w:after="0" w:line="277" w:lineRule="auto"/>
        <w:tabs>
          <w:tab w:leader="none" w:pos="1515" w:val="left"/>
        </w:tabs>
        <w:numPr>
          <w:ilvl w:val="0"/>
          <w:numId w:val="274"/>
        </w:numPr>
        <w:rPr>
          <w:rFonts w:ascii="Arial" w:cs="Arial" w:eastAsia="Arial" w:hAnsi="Arial"/>
          <w:sz w:val="15"/>
          <w:szCs w:val="15"/>
          <w:color w:val="auto"/>
        </w:rPr>
      </w:pPr>
      <w:r>
        <w:rPr>
          <w:rFonts w:ascii="Arial" w:cs="Arial" w:eastAsia="Arial" w:hAnsi="Arial"/>
          <w:sz w:val="15"/>
          <w:szCs w:val="15"/>
          <w:color w:val="auto"/>
        </w:rPr>
        <w:t>Agent shall have no obligation whatsoever to any of the Lenders (i) to verify or assure that the Collateral exists or is owned by a Loan Party or any of its Subsidiaries or is cared for, protected, or insured or has been encumbered, (ii) to verify or assure that Agent’s Liens have been properly or sufficiently or lawfully created, perfected, protected, or enforced or are entitled to any particular priority, (iii) to impose, maintain, increase, reduce, implement, or eliminate any particular reserve hereunder or to determine whether the amount of any reserve is appropriate or not, or (iv)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as to any of the foregoing, except as otherwise expressly provided herein.</w:t>
      </w:r>
    </w:p>
    <w:p>
      <w:pPr>
        <w:spacing w:after="0" w:line="108"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6"/>
          <w:szCs w:val="16"/>
          <w:b w:val="1"/>
          <w:bCs w:val="1"/>
          <w:color w:val="auto"/>
        </w:rPr>
        <w:t>13.12</w:t>
      </w:r>
      <w:r>
        <w:rPr>
          <w:sz w:val="20"/>
          <w:szCs w:val="20"/>
          <w:color w:val="auto"/>
        </w:rPr>
        <w:tab/>
      </w:r>
      <w:r>
        <w:rPr>
          <w:rFonts w:ascii="Arial" w:cs="Arial" w:eastAsia="Arial" w:hAnsi="Arial"/>
          <w:sz w:val="14"/>
          <w:szCs w:val="14"/>
          <w:b w:val="1"/>
          <w:bCs w:val="1"/>
          <w:color w:val="auto"/>
        </w:rPr>
        <w:t>Restrictions on Actions by Lenders; Sharing of Payments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83" w:lineRule="auto"/>
        <w:tabs>
          <w:tab w:leader="none" w:pos="1515" w:val="left"/>
        </w:tabs>
        <w:numPr>
          <w:ilvl w:val="0"/>
          <w:numId w:val="275"/>
        </w:numPr>
        <w:rPr>
          <w:rFonts w:ascii="Arial" w:cs="Arial" w:eastAsia="Arial" w:hAnsi="Arial"/>
          <w:sz w:val="15"/>
          <w:szCs w:val="15"/>
          <w:color w:val="auto"/>
        </w:rPr>
      </w:pPr>
      <w:r>
        <w:rPr>
          <w:rFonts w:ascii="Arial" w:cs="Arial" w:eastAsia="Arial" w:hAnsi="Arial"/>
          <w:sz w:val="15"/>
          <w:szCs w:val="15"/>
          <w:color w:val="auto"/>
        </w:rPr>
        <w:t>Each of the Lenders agrees that it shall not, without the express written consent of Agent, and that it shall, to the extent it is lawfully entitled to do so, upon the written request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03" w:lineRule="exact"/>
        <w:rPr>
          <w:rFonts w:ascii="Arial" w:cs="Arial" w:eastAsia="Arial" w:hAnsi="Arial"/>
          <w:sz w:val="15"/>
          <w:szCs w:val="15"/>
          <w:color w:val="auto"/>
        </w:rPr>
      </w:pPr>
    </w:p>
    <w:p>
      <w:pPr>
        <w:jc w:val="both"/>
        <w:ind w:firstLine="1167"/>
        <w:spacing w:after="0" w:line="277" w:lineRule="auto"/>
        <w:tabs>
          <w:tab w:leader="none" w:pos="1556" w:val="left"/>
        </w:tabs>
        <w:numPr>
          <w:ilvl w:val="0"/>
          <w:numId w:val="275"/>
        </w:numPr>
        <w:rPr>
          <w:rFonts w:ascii="Arial" w:cs="Arial" w:eastAsia="Arial" w:hAnsi="Arial"/>
          <w:sz w:val="15"/>
          <w:szCs w:val="15"/>
          <w:color w:val="auto"/>
        </w:rPr>
      </w:pPr>
      <w:r>
        <w:rPr>
          <w:rFonts w:ascii="Arial" w:cs="Arial" w:eastAsia="Arial" w:hAnsi="Arial"/>
          <w:sz w:val="15"/>
          <w:szCs w:val="15"/>
          <w:color w:val="auto"/>
        </w:rPr>
        <w:t xml:space="preserve">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Arial" w:cs="Arial" w:eastAsia="Arial" w:hAnsi="Arial"/>
          <w:sz w:val="15"/>
          <w:szCs w:val="15"/>
          <w:u w:val="single" w:color="auto"/>
          <w:color w:val="auto"/>
        </w:rPr>
        <w:t>provided</w:t>
      </w:r>
      <w:r>
        <w:rPr>
          <w:rFonts w:ascii="Arial" w:cs="Arial" w:eastAsia="Arial" w:hAnsi="Arial"/>
          <w:sz w:val="15"/>
          <w:szCs w:val="15"/>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04"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13.13 Agency for Perfection</w:t>
      </w:r>
      <w:r>
        <w:rPr>
          <w:rFonts w:ascii="Arial" w:cs="Arial" w:eastAsia="Arial" w:hAnsi="Arial"/>
          <w:sz w:val="16"/>
          <w:szCs w:val="16"/>
          <w:color w:val="auto"/>
        </w:rPr>
        <w:t>. Agent hereby appoints each other Lender as its agent (and each Lender hereby accepts such appointment)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perfecting Agent’s Liens in assets which, in accordance with Article 8 or Article 9, as applicable, of the Code can be perfected by possession or control. Should any Lender obtain possession or control of any such Collateral, such Lender shall notify Agent thereof, and, promptly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60"/>
          </w:cols>
          <w:pgMar w:left="320" w:top="1296" w:right="319" w:bottom="1440" w:gutter="0" w:footer="0" w:header="0"/>
        </w:sectPr>
      </w:pPr>
    </w:p>
    <w:bookmarkStart w:id="380" w:name="page381"/>
    <w:bookmarkEnd w:id="380"/>
    <w:p>
      <w:pPr>
        <w:spacing w:after="0"/>
        <w:rPr>
          <w:sz w:val="20"/>
          <w:szCs w:val="20"/>
          <w:color w:val="auto"/>
        </w:rPr>
      </w:pPr>
      <w:r>
        <w:rPr>
          <w:rFonts w:ascii="Arial" w:cs="Arial" w:eastAsia="Arial" w:hAnsi="Arial"/>
          <w:sz w:val="16"/>
          <w:szCs w:val="16"/>
          <w:color w:val="auto"/>
        </w:rPr>
        <w:t>Agent’s request therefor shall deliver possession or control of such Collateral to Agent or in accordance with Agent’s instructions.</w:t>
      </w:r>
    </w:p>
    <w:p>
      <w:pPr>
        <w:spacing w:after="0" w:line="153"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13.14 Payments by Agent to the Lenders</w:t>
      </w:r>
      <w:r>
        <w:rPr>
          <w:rFonts w:ascii="Arial" w:cs="Arial" w:eastAsia="Arial" w:hAnsi="Arial"/>
          <w:sz w:val="16"/>
          <w:szCs w:val="16"/>
          <w:color w:val="auto"/>
        </w:rPr>
        <w:t>. All payments to be made by Agent to the Lenders shall be made by bank wire transfer of immediately available funds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107" w:lineRule="exact"/>
        <w:rPr>
          <w:sz w:val="20"/>
          <w:szCs w:val="20"/>
          <w:color w:val="auto"/>
        </w:rPr>
      </w:pPr>
    </w:p>
    <w:p>
      <w:pPr>
        <w:jc w:val="both"/>
        <w:ind w:firstLine="585"/>
        <w:spacing w:after="0" w:line="327" w:lineRule="auto"/>
        <w:rPr>
          <w:sz w:val="20"/>
          <w:szCs w:val="20"/>
          <w:color w:val="auto"/>
        </w:rPr>
      </w:pPr>
      <w:r>
        <w:rPr>
          <w:rFonts w:ascii="Arial" w:cs="Arial" w:eastAsia="Arial" w:hAnsi="Arial"/>
          <w:sz w:val="14"/>
          <w:szCs w:val="14"/>
          <w:b w:val="1"/>
          <w:bCs w:val="1"/>
          <w:color w:val="auto"/>
        </w:rPr>
        <w:t>13.15 Concerning the Collateral and Related Loan Documents</w:t>
      </w:r>
      <w:r>
        <w:rPr>
          <w:rFonts w:ascii="Arial" w:cs="Arial" w:eastAsia="Arial" w:hAnsi="Arial"/>
          <w:sz w:val="14"/>
          <w:szCs w:val="14"/>
          <w:color w:val="auto"/>
        </w:rPr>
        <w:t>. Each of the Lenders authorizes and directs Agent to enter into this Agreement and the other</w:t>
      </w:r>
      <w:r>
        <w:rPr>
          <w:rFonts w:ascii="Arial" w:cs="Arial" w:eastAsia="Arial" w:hAnsi="Arial"/>
          <w:sz w:val="14"/>
          <w:szCs w:val="14"/>
          <w:b w:val="1"/>
          <w:bCs w:val="1"/>
          <w:color w:val="auto"/>
        </w:rPr>
        <w:t xml:space="preserve"> </w:t>
      </w:r>
      <w:r>
        <w:rPr>
          <w:rFonts w:ascii="Arial" w:cs="Arial" w:eastAsia="Arial" w:hAnsi="Arial"/>
          <w:sz w:val="14"/>
          <w:szCs w:val="14"/>
          <w:color w:val="auto"/>
        </w:rPr>
        <w:t>Loan Documents. Each Lender agrees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each Lender.</w:t>
      </w:r>
    </w:p>
    <w:p>
      <w:pPr>
        <w:spacing w:after="0" w:line="73" w:lineRule="exact"/>
        <w:rPr>
          <w:sz w:val="20"/>
          <w:szCs w:val="20"/>
          <w:color w:val="auto"/>
        </w:rPr>
      </w:pPr>
    </w:p>
    <w:p>
      <w:pPr>
        <w:ind w:left="940" w:hanging="358"/>
        <w:spacing w:after="0"/>
        <w:tabs>
          <w:tab w:leader="none" w:pos="940" w:val="left"/>
        </w:tabs>
        <w:numPr>
          <w:ilvl w:val="0"/>
          <w:numId w:val="2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TAXES.</w:t>
      </w:r>
    </w:p>
    <w:p>
      <w:pPr>
        <w:spacing w:after="0" w:line="157" w:lineRule="exact"/>
        <w:rPr>
          <w:sz w:val="20"/>
          <w:szCs w:val="20"/>
          <w:color w:val="auto"/>
        </w:rPr>
      </w:pPr>
    </w:p>
    <w:p>
      <w:pPr>
        <w:jc w:val="both"/>
        <w:ind w:right="20" w:firstLine="585"/>
        <w:spacing w:after="0" w:line="274" w:lineRule="auto"/>
        <w:rPr>
          <w:sz w:val="20"/>
          <w:szCs w:val="20"/>
          <w:color w:val="auto"/>
        </w:rPr>
      </w:pPr>
      <w:r>
        <w:rPr>
          <w:rFonts w:ascii="Arial" w:cs="Arial" w:eastAsia="Arial" w:hAnsi="Arial"/>
          <w:sz w:val="15"/>
          <w:szCs w:val="15"/>
          <w:b w:val="1"/>
          <w:bCs w:val="1"/>
          <w:color w:val="auto"/>
        </w:rPr>
        <w:t>14.1 Payments</w:t>
      </w:r>
      <w:r>
        <w:rPr>
          <w:rFonts w:ascii="Arial" w:cs="Arial" w:eastAsia="Arial" w:hAnsi="Arial"/>
          <w:sz w:val="15"/>
          <w:szCs w:val="15"/>
          <w:color w:val="auto"/>
        </w:rPr>
        <w:t>. All payments made by any Loan Party under any Loan Document will be made free and clear of, and without deduction or withholding for,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Taxes, except as otherwise required by applicable law, and in the event any deduction or withholding of Taxes is required, the applicable Loan Party shall make the requisite withholding, promptly pay over to the applicable Governmental Authority the withheld tax, and furnish to Agent as promptly as possible after the date the payment of any such Tax is due pursuant to applicable law, certified copies of tax receipts evidencing such payment by the Loan Parties. Furthermore, if any such Tax is an Indemnified Taxes or an Indemnified Tax is so levied or imposed, the Loan Parties agree to pay the full amount of such Indemnified Taxes and such additional amounts as may be necessary so that every payment of all amounts due under this Agreement, any note, or Loan Document, including any amount paid pursuant to this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after withholding or deduction for or on account of any Indemnified Taxes, will not be less than the amount provided for herein. The Loan Parties will promptly pay any Other Taxes or reimburse Agent for such Other Taxes upon Agent’s demand. The Loan Parties shall jointly and severally indemnify each Indemnified Person (collectively a “</w:t>
      </w:r>
      <w:r>
        <w:rPr>
          <w:rFonts w:ascii="Arial" w:cs="Arial" w:eastAsia="Arial" w:hAnsi="Arial"/>
          <w:sz w:val="15"/>
          <w:szCs w:val="15"/>
          <w:u w:val="single" w:color="auto"/>
          <w:color w:val="auto"/>
        </w:rPr>
        <w:t>Tax</w:t>
      </w:r>
      <w:r>
        <w:rPr>
          <w:rFonts w:ascii="Arial" w:cs="Arial" w:eastAsia="Arial" w:hAnsi="Arial"/>
          <w:sz w:val="15"/>
          <w:szCs w:val="15"/>
          <w:color w:val="auto"/>
        </w:rPr>
        <w:t xml:space="preserve"> </w:t>
      </w:r>
      <w:r>
        <w:rPr>
          <w:rFonts w:ascii="Arial" w:cs="Arial" w:eastAsia="Arial" w:hAnsi="Arial"/>
          <w:sz w:val="15"/>
          <w:szCs w:val="15"/>
          <w:u w:val="single" w:color="auto"/>
          <w:color w:val="auto"/>
        </w:rPr>
        <w:t>Indemnitee</w:t>
      </w:r>
      <w:r>
        <w:rPr>
          <w:rFonts w:ascii="Arial" w:cs="Arial" w:eastAsia="Arial" w:hAnsi="Arial"/>
          <w:sz w:val="15"/>
          <w:szCs w:val="15"/>
          <w:color w:val="auto"/>
        </w:rPr>
        <w:t xml:space="preserve">”) for the full amount of Indemnified Taxes arising in connection with this Agreement or any other Loan Document or breach thereof by any Loan Party (including, without limitation, any Indemnified Taxes imposed or asserted on, or attributable to, amounts payable under this </w:t>
      </w:r>
      <w:r>
        <w:rPr>
          <w:rFonts w:ascii="Arial" w:cs="Arial" w:eastAsia="Arial" w:hAnsi="Arial"/>
          <w:sz w:val="15"/>
          <w:szCs w:val="15"/>
          <w:u w:val="single" w:color="auto"/>
          <w:color w:val="auto"/>
        </w:rPr>
        <w:t>Section 14</w:t>
      </w:r>
      <w:r>
        <w:rPr>
          <w:rFonts w:ascii="Arial" w:cs="Arial" w:eastAsia="Arial" w:hAnsi="Arial"/>
          <w:sz w:val="15"/>
          <w:szCs w:val="15"/>
          <w:color w:val="auto"/>
        </w:rPr>
        <w:t xml:space="preserve">)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(other than Indemnified Taxes and additional amounts that a court of competent jurisdiction finally determines to have resulted from the gross negligence or willful misconduct of such Tax Indemnitee). The obligations of the Loan Parties under this </w:t>
      </w:r>
      <w:r>
        <w:rPr>
          <w:rFonts w:ascii="Arial" w:cs="Arial" w:eastAsia="Arial" w:hAnsi="Arial"/>
          <w:sz w:val="15"/>
          <w:szCs w:val="15"/>
          <w:u w:val="single" w:color="auto"/>
          <w:color w:val="auto"/>
        </w:rPr>
        <w:t>Section 14</w:t>
      </w:r>
      <w:r>
        <w:rPr>
          <w:rFonts w:ascii="Arial" w:cs="Arial" w:eastAsia="Arial" w:hAnsi="Arial"/>
          <w:sz w:val="15"/>
          <w:szCs w:val="15"/>
          <w:color w:val="auto"/>
        </w:rPr>
        <w:t xml:space="preserve"> shall survive the termination of this Agreement, the resignation and replacement of the Agent, and the repayment of the Obligations.</w:t>
      </w:r>
    </w:p>
    <w:p>
      <w:pPr>
        <w:spacing w:after="0" w:line="115"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14.2</w:t>
      </w:r>
      <w:r>
        <w:rPr>
          <w:sz w:val="20"/>
          <w:szCs w:val="20"/>
          <w:color w:val="auto"/>
        </w:rPr>
        <w:tab/>
      </w:r>
      <w:r>
        <w:rPr>
          <w:rFonts w:ascii="Arial" w:cs="Arial" w:eastAsia="Arial" w:hAnsi="Arial"/>
          <w:sz w:val="14"/>
          <w:szCs w:val="14"/>
          <w:b w:val="1"/>
          <w:bCs w:val="1"/>
          <w:color w:val="auto"/>
        </w:rPr>
        <w:t>Exemptions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68" w:lineRule="auto"/>
        <w:tabs>
          <w:tab w:leader="none" w:pos="153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If a Lender or Participant is entitled to claim an exemption or reduction from United States withholding tax, such Lender or Participant agrees with and in favor of Agent, to deliver to Agent (or, in the case of a Participant, to the Lender granting the participation only) and the Borrower Representative on behalf of all Borrowers one of the following before receiving its first payment under this Agreement:</w:t>
      </w:r>
    </w:p>
    <w:p>
      <w:pPr>
        <w:spacing w:after="0" w:line="114" w:lineRule="exact"/>
        <w:rPr>
          <w:rFonts w:ascii="Arial" w:cs="Arial" w:eastAsia="Arial" w:hAnsi="Arial"/>
          <w:sz w:val="16"/>
          <w:szCs w:val="16"/>
          <w:color w:val="auto"/>
        </w:rPr>
      </w:pPr>
    </w:p>
    <w:p>
      <w:pPr>
        <w:ind w:right="60" w:firstLine="2336"/>
        <w:spacing w:after="0" w:line="261" w:lineRule="auto"/>
        <w:tabs>
          <w:tab w:leader="none" w:pos="2654" w:val="left"/>
        </w:tabs>
        <w:numPr>
          <w:ilvl w:val="1"/>
          <w:numId w:val="277"/>
        </w:numPr>
        <w:rPr>
          <w:rFonts w:ascii="Arial" w:cs="Arial" w:eastAsia="Arial" w:hAnsi="Arial"/>
          <w:sz w:val="16"/>
          <w:szCs w:val="16"/>
          <w:color w:val="auto"/>
        </w:rPr>
      </w:pPr>
      <w:r>
        <w:rPr>
          <w:rFonts w:ascii="Arial" w:cs="Arial" w:eastAsia="Arial" w:hAnsi="Arial"/>
          <w:sz w:val="16"/>
          <w:szCs w:val="16"/>
          <w:color w:val="auto"/>
        </w:rPr>
        <w:t>if such Lender or Participant is entitled to claim an exemption from United States withholding tax pursuant to the portfolio interest exception, (A) a statement of the Lender or Participant, signed under penalty of perjury, that it is not a (I) a “bank” as described in Section 881(c)(3)(A) of the IRC, (II) a 10% shareholder of Borrower Representative (within the meaning of Section 871(h)(3)(B) of the IRC), or (III) a controlled foreign corporation related to Borrowers within the meaning of Section 864(d)(4) of the IRC, and (B) a properly completed and executed IRS Form W-8BEN, Form W-8BEN-E or Form W-8IMY (with proper attachments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60"/>
          </w:cols>
          <w:pgMar w:left="320" w:top="1296" w:right="319" w:bottom="1440" w:gutter="0" w:footer="0" w:header="0"/>
        </w:sectPr>
      </w:pPr>
    </w:p>
    <w:bookmarkStart w:id="381" w:name="page382"/>
    <w:bookmarkEnd w:id="381"/>
    <w:p>
      <w:pPr>
        <w:ind w:right="260" w:firstLine="2336"/>
        <w:spacing w:after="0" w:line="283" w:lineRule="auto"/>
        <w:tabs>
          <w:tab w:leader="none" w:pos="2699"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if such Lender or Participant is entitled to claim an exemption from, or a reduction of, withholding tax under a United States tax treaty, a properly completed and executed copy of IRS Form W-8BEN or Form W-8BEN-E, as applicable;</w:t>
      </w:r>
    </w:p>
    <w:p>
      <w:pPr>
        <w:spacing w:after="0" w:line="101" w:lineRule="exact"/>
        <w:rPr>
          <w:rFonts w:ascii="Arial" w:cs="Arial" w:eastAsia="Arial" w:hAnsi="Arial"/>
          <w:sz w:val="16"/>
          <w:szCs w:val="16"/>
          <w:color w:val="auto"/>
        </w:rPr>
      </w:pPr>
    </w:p>
    <w:p>
      <w:pPr>
        <w:ind w:right="80" w:firstLine="2336"/>
        <w:spacing w:after="0" w:line="318" w:lineRule="auto"/>
        <w:tabs>
          <w:tab w:leader="none" w:pos="2744" w:val="left"/>
        </w:tabs>
        <w:numPr>
          <w:ilvl w:val="1"/>
          <w:numId w:val="278"/>
        </w:numPr>
        <w:rPr>
          <w:rFonts w:ascii="Arial" w:cs="Arial" w:eastAsia="Arial" w:hAnsi="Arial"/>
          <w:sz w:val="15"/>
          <w:szCs w:val="15"/>
          <w:color w:val="auto"/>
        </w:rPr>
      </w:pPr>
      <w:r>
        <w:rPr>
          <w:rFonts w:ascii="Arial" w:cs="Arial" w:eastAsia="Arial" w:hAnsi="Arial"/>
          <w:sz w:val="15"/>
          <w:szCs w:val="15"/>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spacing w:after="0" w:line="78" w:lineRule="exact"/>
        <w:rPr>
          <w:rFonts w:ascii="Arial" w:cs="Arial" w:eastAsia="Arial" w:hAnsi="Arial"/>
          <w:sz w:val="15"/>
          <w:szCs w:val="15"/>
          <w:color w:val="auto"/>
        </w:rPr>
      </w:pPr>
    </w:p>
    <w:p>
      <w:pPr>
        <w:ind w:right="100" w:firstLine="2336"/>
        <w:spacing w:after="0" w:line="264" w:lineRule="auto"/>
        <w:tabs>
          <w:tab w:leader="none" w:pos="2735"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if such Lender or Participant is entitled to claim that interest paid under this Agreement is exempt from United States withholding tax because such Lender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spacing w:after="0" w:line="116" w:lineRule="exact"/>
        <w:rPr>
          <w:rFonts w:ascii="Arial" w:cs="Arial" w:eastAsia="Arial" w:hAnsi="Arial"/>
          <w:sz w:val="16"/>
          <w:szCs w:val="16"/>
          <w:color w:val="auto"/>
        </w:rPr>
      </w:pPr>
    </w:p>
    <w:p>
      <w:pPr>
        <w:ind w:right="20" w:firstLine="2336"/>
        <w:spacing w:after="0" w:line="283" w:lineRule="auto"/>
        <w:tabs>
          <w:tab w:leader="none" w:pos="269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spacing w:after="0" w:line="101" w:lineRule="exact"/>
        <w:rPr>
          <w:rFonts w:ascii="Arial" w:cs="Arial" w:eastAsia="Arial" w:hAnsi="Arial"/>
          <w:sz w:val="16"/>
          <w:szCs w:val="16"/>
          <w:color w:val="auto"/>
        </w:rPr>
      </w:pPr>
    </w:p>
    <w:p>
      <w:pPr>
        <w:jc w:val="both"/>
        <w:ind w:right="20" w:firstLine="1167"/>
        <w:spacing w:after="0" w:line="268" w:lineRule="auto"/>
        <w:tabs>
          <w:tab w:leader="none" w:pos="153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Each Lender or Participant shall provide new forms (or successor forms) upon the expiration or obsolescence of any previously delivered forms and to promptly notify Agent and Borrower Representative (or, in the case of a Participant, to the Lender granting the participation only) of any change in circumstances which would modify or render invalid any claimed exemption or reduction.</w:t>
      </w:r>
    </w:p>
    <w:p>
      <w:pPr>
        <w:spacing w:after="0" w:line="114" w:lineRule="exact"/>
        <w:rPr>
          <w:rFonts w:ascii="Arial" w:cs="Arial" w:eastAsia="Arial" w:hAnsi="Arial"/>
          <w:sz w:val="16"/>
          <w:szCs w:val="16"/>
          <w:color w:val="auto"/>
        </w:rPr>
      </w:pPr>
    </w:p>
    <w:p>
      <w:pPr>
        <w:jc w:val="both"/>
        <w:ind w:right="20" w:firstLine="1167"/>
        <w:spacing w:after="0" w:line="277" w:lineRule="auto"/>
        <w:tabs>
          <w:tab w:leader="none" w:pos="1550" w:val="left"/>
        </w:tabs>
        <w:numPr>
          <w:ilvl w:val="0"/>
          <w:numId w:val="279"/>
        </w:numPr>
        <w:rPr>
          <w:rFonts w:ascii="Arial" w:cs="Arial" w:eastAsia="Arial" w:hAnsi="Arial"/>
          <w:sz w:val="15"/>
          <w:szCs w:val="15"/>
          <w:color w:val="auto"/>
        </w:rPr>
      </w:pPr>
      <w:r>
        <w:rPr>
          <w:rFonts w:ascii="Arial" w:cs="Arial" w:eastAsia="Arial" w:hAnsi="Arial"/>
          <w:sz w:val="15"/>
          <w:szCs w:val="15"/>
          <w:color w:val="auto"/>
        </w:rPr>
        <w:t xml:space="preserve">If a Lender or Participant claims an exemption from withholding tax in a jurisdiction other than the United States, such Lender or such Participant agrees with and in favor of Agent and Borrowers, to deliver to Agent and Borrower Representative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or the providing of or delivery of such forms in the Lender’s reasonable judgment would not subject such Lender to any material unreimbursed cost or expense or materially prejudice the legal or commercial position of such Lender (or its Affiliates);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14.2(c)</w:t>
      </w:r>
      <w:r>
        <w:rPr>
          <w:rFonts w:ascii="Arial" w:cs="Arial" w:eastAsia="Arial" w:hAnsi="Arial"/>
          <w:sz w:val="15"/>
          <w:szCs w:val="15"/>
          <w:color w:val="auto"/>
        </w:rPr>
        <w:t xml:space="preserve"> shall require a Lender or Participant to disclose any information that it deems to be confidential (including without limitation, its tax returns). Each Lender and each Participant shall provide new forms (or successor forms) upon the expiration or obsolescence of any previously delivered forms and to promptly notify Agent and Borrower Representative (or, in the case of a Participant, to the Lender granting the participation only) of any change in circumstances which would modify or render invalid any claimed exemption or reduction.</w:t>
      </w:r>
    </w:p>
    <w:p>
      <w:pPr>
        <w:spacing w:after="0" w:line="108" w:lineRule="exact"/>
        <w:rPr>
          <w:rFonts w:ascii="Arial" w:cs="Arial" w:eastAsia="Arial" w:hAnsi="Arial"/>
          <w:sz w:val="15"/>
          <w:szCs w:val="15"/>
          <w:color w:val="auto"/>
        </w:rPr>
      </w:pPr>
    </w:p>
    <w:p>
      <w:pPr>
        <w:jc w:val="both"/>
        <w:ind w:firstLine="1167"/>
        <w:spacing w:after="0" w:line="258" w:lineRule="auto"/>
        <w:tabs>
          <w:tab w:leader="none" w:pos="1525"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Borrower Representative (or, in the case of a sale of a participation interest, to the Lender granting the participation only) of the percentage amount in which it is no longer the beneficial owner of Obligations of Borrowers to such Lender or Participant. To the extent of such percentage amount, Agent and Borrower Representative will treat such Lender’s or such Participant’s documentation provided pursuant to </w:t>
      </w:r>
      <w:r>
        <w:rPr>
          <w:rFonts w:ascii="Arial" w:cs="Arial" w:eastAsia="Arial" w:hAnsi="Arial"/>
          <w:sz w:val="16"/>
          <w:szCs w:val="16"/>
          <w:u w:val="single" w:color="auto"/>
          <w:color w:val="auto"/>
        </w:rPr>
        <w:t>Section 14.2(a)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14.2(c)</w:t>
      </w:r>
      <w:r>
        <w:rPr>
          <w:rFonts w:ascii="Arial" w:cs="Arial" w:eastAsia="Arial" w:hAnsi="Arial"/>
          <w:sz w:val="16"/>
          <w:szCs w:val="16"/>
          <w:color w:val="auto"/>
        </w:rPr>
        <w:t xml:space="preserve"> as no longer valid. With respect to such percentage amount, such Participant or Assignee may provide new documentation, pursuant to </w:t>
      </w:r>
      <w:r>
        <w:rPr>
          <w:rFonts w:ascii="Arial" w:cs="Arial" w:eastAsia="Arial" w:hAnsi="Arial"/>
          <w:sz w:val="16"/>
          <w:szCs w:val="16"/>
          <w:u w:val="single" w:color="auto"/>
          <w:color w:val="auto"/>
        </w:rPr>
        <w:t>Section 14.2(a)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14.2(c)</w:t>
      </w:r>
      <w:r>
        <w:rPr>
          <w:rFonts w:ascii="Arial" w:cs="Arial" w:eastAsia="Arial" w:hAnsi="Arial"/>
          <w:sz w:val="16"/>
          <w:szCs w:val="16"/>
          <w:color w:val="auto"/>
        </w:rPr>
        <w:t xml:space="preserve">, if applicable. Borrowers agree that each Participant shall be entitled to the benefits of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with respect to its participation in any portion of the Commitments and the Obligations so long as such Participant complies with the obligations set forth in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with respect thereto.</w:t>
      </w:r>
    </w:p>
    <w:p>
      <w:pPr>
        <w:spacing w:after="0" w:line="122" w:lineRule="exact"/>
        <w:rPr>
          <w:rFonts w:ascii="Arial" w:cs="Arial" w:eastAsia="Arial" w:hAnsi="Arial"/>
          <w:sz w:val="16"/>
          <w:szCs w:val="16"/>
          <w:color w:val="auto"/>
        </w:rPr>
      </w:pPr>
    </w:p>
    <w:p>
      <w:pPr>
        <w:jc w:val="both"/>
        <w:ind w:right="20" w:firstLine="1167"/>
        <w:spacing w:after="0" w:line="264" w:lineRule="auto"/>
        <w:tabs>
          <w:tab w:leader="none" w:pos="152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due diligence and reporting requirements of FATCA (including those contained in Section 1471(b) or 1472(b) of the IRC, as applicable), such Lender shall deliver to Agent (or, in the case of a Participant, to the Lender granting the participation only) at the time or times prescribed by law and at such time or times reasonably requested by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60"/>
          </w:cols>
          <w:pgMar w:left="320" w:top="1296" w:right="319" w:bottom="1440" w:gutter="0" w:footer="0" w:header="0"/>
        </w:sectPr>
      </w:pPr>
    </w:p>
    <w:bookmarkStart w:id="382" w:name="page383"/>
    <w:bookmarkEnd w:id="382"/>
    <w:p>
      <w:pPr>
        <w:jc w:val="both"/>
        <w:ind w:right="20"/>
        <w:spacing w:after="0" w:line="261" w:lineRule="auto"/>
        <w:rPr>
          <w:sz w:val="20"/>
          <w:szCs w:val="20"/>
          <w:color w:val="auto"/>
        </w:rPr>
      </w:pPr>
      <w:r>
        <w:rPr>
          <w:rFonts w:ascii="Arial" w:cs="Arial" w:eastAsia="Arial" w:hAnsi="Arial"/>
          <w:sz w:val="16"/>
          <w:szCs w:val="16"/>
          <w:color w:val="auto"/>
        </w:rPr>
        <w:t>(or,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1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14.3</w:t>
      </w:r>
      <w:r>
        <w:rPr>
          <w:sz w:val="20"/>
          <w:szCs w:val="20"/>
          <w:color w:val="auto"/>
        </w:rPr>
        <w:tab/>
      </w:r>
      <w:r>
        <w:rPr>
          <w:rFonts w:ascii="Arial" w:cs="Arial" w:eastAsia="Arial" w:hAnsi="Arial"/>
          <w:sz w:val="14"/>
          <w:szCs w:val="14"/>
          <w:b w:val="1"/>
          <w:bCs w:val="1"/>
          <w:color w:val="auto"/>
        </w:rPr>
        <w:t>Reductions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61" w:lineRule="auto"/>
        <w:tabs>
          <w:tab w:leader="none" w:pos="1537"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Arial" w:cs="Arial" w:eastAsia="Arial" w:hAnsi="Arial"/>
          <w:sz w:val="16"/>
          <w:szCs w:val="16"/>
          <w:u w:val="single" w:color="auto"/>
          <w:color w:val="auto"/>
        </w:rPr>
        <w:t>Section 14.2(a)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14.2(c)</w:t>
      </w:r>
      <w:r>
        <w:rPr>
          <w:rFonts w:ascii="Arial" w:cs="Arial" w:eastAsia="Arial" w:hAnsi="Arial"/>
          <w:sz w:val="16"/>
          <w:szCs w:val="16"/>
          <w:color w:val="auto"/>
        </w:rPr>
        <w:t xml:space="preserve"> 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spacing w:after="0" w:line="120" w:lineRule="exact"/>
        <w:rPr>
          <w:rFonts w:ascii="Arial" w:cs="Arial" w:eastAsia="Arial" w:hAnsi="Arial"/>
          <w:sz w:val="16"/>
          <w:szCs w:val="16"/>
          <w:color w:val="auto"/>
        </w:rPr>
      </w:pPr>
    </w:p>
    <w:p>
      <w:pPr>
        <w:jc w:val="both"/>
        <w:ind w:right="20" w:firstLine="1167"/>
        <w:spacing w:after="0" w:line="277" w:lineRule="auto"/>
        <w:tabs>
          <w:tab w:leader="none" w:pos="1524" w:val="left"/>
        </w:tabs>
        <w:numPr>
          <w:ilvl w:val="0"/>
          <w:numId w:val="280"/>
        </w:numPr>
        <w:rPr>
          <w:rFonts w:ascii="Arial" w:cs="Arial" w:eastAsia="Arial" w:hAnsi="Arial"/>
          <w:sz w:val="15"/>
          <w:szCs w:val="15"/>
          <w:color w:val="auto"/>
        </w:rPr>
      </w:pPr>
      <w:r>
        <w:rPr>
          <w:rFonts w:ascii="Arial" w:cs="Arial" w:eastAsia="Arial" w:hAnsi="Arial"/>
          <w:sz w:val="15"/>
          <w:szCs w:val="15"/>
          <w:color w:val="auto"/>
        </w:rPr>
        <w:t xml:space="preserve">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Arial" w:cs="Arial" w:eastAsia="Arial" w:hAnsi="Arial"/>
          <w:sz w:val="15"/>
          <w:szCs w:val="15"/>
          <w:u w:val="single" w:color="auto"/>
          <w:color w:val="auto"/>
        </w:rPr>
        <w:t>Section 14</w:t>
      </w:r>
      <w:r>
        <w:rPr>
          <w:rFonts w:ascii="Arial" w:cs="Arial" w:eastAsia="Arial" w:hAnsi="Arial"/>
          <w:sz w:val="15"/>
          <w:szCs w:val="15"/>
          <w:color w:val="auto"/>
        </w:rPr>
        <w:t>, together with all costs and expenses (including attorneys’ fees and expenses). The obligation of the Lenders and the Participants under this subsection shall survive the payment of all Obligations and the resignation or replacement of Agent.</w:t>
      </w:r>
    </w:p>
    <w:p>
      <w:pPr>
        <w:spacing w:after="0" w:line="108" w:lineRule="exact"/>
        <w:rPr>
          <w:sz w:val="20"/>
          <w:szCs w:val="20"/>
          <w:color w:val="auto"/>
        </w:rPr>
      </w:pPr>
    </w:p>
    <w:p>
      <w:pPr>
        <w:jc w:val="both"/>
        <w:ind w:firstLine="582"/>
        <w:spacing w:after="0" w:line="296" w:lineRule="auto"/>
        <w:tabs>
          <w:tab w:leader="none" w:pos="678" w:val="left"/>
        </w:tabs>
        <w:numPr>
          <w:ilvl w:val="0"/>
          <w:numId w:val="281"/>
        </w:numPr>
        <w:rPr>
          <w:rFonts w:ascii="Arial" w:cs="Arial" w:eastAsia="Arial" w:hAnsi="Arial"/>
          <w:sz w:val="14"/>
          <w:szCs w:val="14"/>
          <w:color w:val="auto"/>
        </w:rPr>
      </w:pPr>
      <w:r>
        <w:rPr>
          <w:rFonts w:ascii="Arial" w:cs="Arial" w:eastAsia="Arial" w:hAnsi="Arial"/>
          <w:sz w:val="14"/>
          <w:szCs w:val="14"/>
          <w:color w:val="auto"/>
        </w:rPr>
        <w:t xml:space="preserve">If Agent or a Lender determines, in its sole discretion, that it has received a refund of any Indemnified Taxes to which the Loan Parties have paid additional amounts pursuant to this </w:t>
      </w:r>
      <w:r>
        <w:rPr>
          <w:rFonts w:ascii="Arial" w:cs="Arial" w:eastAsia="Arial" w:hAnsi="Arial"/>
          <w:sz w:val="14"/>
          <w:szCs w:val="14"/>
          <w:u w:val="single" w:color="auto"/>
          <w:color w:val="auto"/>
        </w:rPr>
        <w:t>Section 14</w:t>
      </w:r>
      <w:r>
        <w:rPr>
          <w:rFonts w:ascii="Arial" w:cs="Arial" w:eastAsia="Arial" w:hAnsi="Arial"/>
          <w:sz w:val="14"/>
          <w:szCs w:val="14"/>
          <w:color w:val="auto"/>
        </w:rPr>
        <w:t xml:space="preserve">, so long as no Default or Event of Default has occurred and is continuing, it shall pay over such refund to the Borrower Representative on behalf of the Loan Parties (but only to the extent of payments made, or additional amounts paid, by the Loan Parties under this </w:t>
      </w:r>
      <w:r>
        <w:rPr>
          <w:rFonts w:ascii="Arial" w:cs="Arial" w:eastAsia="Arial" w:hAnsi="Arial"/>
          <w:sz w:val="14"/>
          <w:szCs w:val="14"/>
          <w:u w:val="single" w:color="auto"/>
          <w:color w:val="auto"/>
        </w:rPr>
        <w:t>Section 14</w:t>
      </w:r>
      <w:r>
        <w:rPr>
          <w:rFonts w:ascii="Arial" w:cs="Arial" w:eastAsia="Arial" w:hAnsi="Arial"/>
          <w:sz w:val="14"/>
          <w:szCs w:val="14"/>
          <w:color w:val="auto"/>
        </w:rPr>
        <w:t xml:space="preserve"> with respect to Indemnified Taxes giving rise to such a refund), net of all out-of-pocket expenses of Agent or such Lender and without interest (other than any interest paid by the applicable Governmental Authority with respect to such a refund);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Loan Parties, upon the request of Agent or such Lender, agrees to repay the amount paid over to the Loan Parties (plus any penalties, interest or other charges, imposed by the applicable Governmental Authority, other than such penalties, interest or other charges imposed as a result of the willful misconduct or gross negligence of Agent or 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Arial" w:cs="Arial" w:eastAsia="Arial" w:hAnsi="Arial"/>
          <w:sz w:val="14"/>
          <w:szCs w:val="14"/>
          <w:u w:val="single" w:color="auto"/>
          <w:color w:val="auto"/>
        </w:rPr>
        <w:t>Section 14</w:t>
      </w:r>
      <w:r>
        <w:rPr>
          <w:rFonts w:ascii="Arial" w:cs="Arial" w:eastAsia="Arial" w:hAnsi="Arial"/>
          <w:sz w:val="14"/>
          <w:szCs w:val="14"/>
          <w:color w:val="auto"/>
        </w:rPr>
        <w:t xml:space="preserve"> shall not be construed to require Agent or any Lender to make available its tax returns (or any other information which it deems confidential) to Loan Parties or any other Person or require Agent or any Lender to pay any amount to an indemnifying party pursuant to </w:t>
      </w:r>
      <w:r>
        <w:rPr>
          <w:rFonts w:ascii="Arial" w:cs="Arial" w:eastAsia="Arial" w:hAnsi="Arial"/>
          <w:sz w:val="14"/>
          <w:szCs w:val="14"/>
          <w:u w:val="single" w:color="auto"/>
          <w:color w:val="auto"/>
        </w:rPr>
        <w:t>Section 14.4</w:t>
      </w:r>
      <w:r>
        <w:rPr>
          <w:rFonts w:ascii="Arial" w:cs="Arial" w:eastAsia="Arial" w:hAnsi="Arial"/>
          <w:sz w:val="14"/>
          <w:szCs w:val="14"/>
          <w:color w:val="auto"/>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60"/>
          </w:cols>
          <w:pgMar w:left="320" w:top="1296" w:right="319" w:bottom="1440" w:gutter="0" w:footer="0" w:header="0"/>
        </w:sectPr>
      </w:pPr>
    </w:p>
    <w:bookmarkStart w:id="383" w:name="page384"/>
    <w:bookmarkEnd w:id="383"/>
    <w:p>
      <w:pPr>
        <w:ind w:right="2360" w:firstLine="1764"/>
        <w:spacing w:after="0" w:line="499" w:lineRule="auto"/>
        <w:rPr>
          <w:sz w:val="20"/>
          <w:szCs w:val="20"/>
          <w:color w:val="auto"/>
        </w:rPr>
      </w:pPr>
      <w:r>
        <w:rPr>
          <w:rFonts w:ascii="Arial" w:cs="Arial" w:eastAsia="Arial" w:hAnsi="Arial"/>
          <w:sz w:val="15"/>
          <w:szCs w:val="15"/>
          <w:color w:val="auto"/>
        </w:rPr>
        <w:t>[SIGNATURE PAGE TO AMENDED AND RESTATED LOAN AND SECURITY AGREEMENT] IN WITNESS WHEREOF, the parties hereto have caused this Agreement to be executed as of the Effective Date.</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BORROWER</w:t>
      </w:r>
    </w:p>
    <w:p>
      <w:pPr>
        <w:spacing w:after="0" w:line="254"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EXPENSIFY, INC.</w:t>
      </w:r>
    </w:p>
    <w:p>
      <w:pPr>
        <w:spacing w:after="0" w:line="267" w:lineRule="exact"/>
        <w:rPr>
          <w:sz w:val="20"/>
          <w:szCs w:val="20"/>
          <w:color w:val="auto"/>
        </w:rPr>
      </w:pPr>
    </w:p>
    <w:tbl>
      <w:tblPr>
        <w:tblLayout w:type="fixed"/>
        <w:tblInd w:w="49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Barrett</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David Barrett</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0680"/>
          </w:cols>
          <w:pgMar w:left="900" w:top="1295" w:right="319" w:bottom="1440" w:gutter="0" w:footer="0" w:header="0"/>
        </w:sectPr>
      </w:pPr>
    </w:p>
    <w:bookmarkStart w:id="384" w:name="page385"/>
    <w:bookmarkEnd w:id="384"/>
    <w:p>
      <w:pPr>
        <w:ind w:right="2360" w:firstLine="1764"/>
        <w:spacing w:after="0" w:line="499" w:lineRule="auto"/>
        <w:rPr>
          <w:sz w:val="20"/>
          <w:szCs w:val="20"/>
          <w:color w:val="auto"/>
        </w:rPr>
      </w:pPr>
      <w:r>
        <w:rPr>
          <w:rFonts w:ascii="Arial" w:cs="Arial" w:eastAsia="Arial" w:hAnsi="Arial"/>
          <w:sz w:val="15"/>
          <w:szCs w:val="15"/>
          <w:color w:val="auto"/>
        </w:rPr>
        <w:t>[SIGNATURE PAGE TO AMENDED AND RESTATED LOAN AND SECURITY AGREEMENT] IN WITNESS WHEREOF, the parties hereto have caused this Agreement to be executed as of the Effective Date.</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AGENT:</w:t>
      </w:r>
    </w:p>
    <w:p>
      <w:pPr>
        <w:spacing w:after="0" w:line="254"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CANADIAN IMPERIAL BANK OF COMMERCE</w:t>
      </w:r>
    </w:p>
    <w:p>
      <w:pPr>
        <w:spacing w:after="0" w:line="267" w:lineRule="exact"/>
        <w:rPr>
          <w:sz w:val="20"/>
          <w:szCs w:val="20"/>
          <w:color w:val="auto"/>
        </w:rPr>
      </w:pPr>
    </w:p>
    <w:tbl>
      <w:tblPr>
        <w:tblLayout w:type="fixed"/>
        <w:tblInd w:w="49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McKinlay</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Paul McKinlay</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Managing Director, Authorized Signatory</w:t>
            </w:r>
          </w:p>
        </w:tc>
      </w:tr>
      <w:tr>
        <w:trPr>
          <w:trHeight w:val="199"/>
        </w:trPr>
        <w:tc>
          <w:tcPr>
            <w:tcW w:w="760" w:type="dxa"/>
            <w:vAlign w:val="bottom"/>
          </w:tcPr>
          <w:p>
            <w:pPr>
              <w:spacing w:after="0"/>
              <w:rPr>
                <w:sz w:val="17"/>
                <w:szCs w:val="17"/>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CIBC Innovation Banking</w:t>
            </w:r>
          </w:p>
        </w:tc>
      </w:tr>
      <w:tr>
        <w:trPr>
          <w:trHeight w:val="418"/>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Imran Premji</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Imran Premji</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Executive Director, Authorized Signatory</w:t>
            </w:r>
          </w:p>
        </w:tc>
      </w:tr>
      <w:tr>
        <w:trPr>
          <w:trHeight w:val="199"/>
        </w:trPr>
        <w:tc>
          <w:tcPr>
            <w:tcW w:w="760" w:type="dxa"/>
            <w:vAlign w:val="bottom"/>
          </w:tcPr>
          <w:p>
            <w:pPr>
              <w:spacing w:after="0"/>
              <w:rPr>
                <w:sz w:val="17"/>
                <w:szCs w:val="17"/>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CIBC Innovation Banking</w:t>
            </w:r>
          </w:p>
        </w:tc>
      </w:tr>
      <w:tr>
        <w:trPr>
          <w:trHeight w:val="418"/>
        </w:trPr>
        <w:tc>
          <w:tcPr>
            <w:tcW w:w="760" w:type="dxa"/>
            <w:vAlign w:val="bottom"/>
          </w:tcPr>
          <w:p>
            <w:pPr>
              <w:spacing w:after="0"/>
              <w:rPr>
                <w:sz w:val="20"/>
                <w:szCs w:val="20"/>
                <w:color w:val="auto"/>
              </w:rPr>
            </w:pPr>
            <w:r>
              <w:rPr>
                <w:rFonts w:ascii="Arial" w:cs="Arial" w:eastAsia="Arial" w:hAnsi="Arial"/>
                <w:sz w:val="16"/>
                <w:szCs w:val="16"/>
                <w:color w:val="auto"/>
              </w:rPr>
              <w:t>LENDER</w:t>
            </w:r>
          </w:p>
        </w:tc>
        <w:tc>
          <w:tcPr>
            <w:tcW w:w="4960" w:type="dxa"/>
            <w:vAlign w:val="bottom"/>
          </w:tcPr>
          <w:p>
            <w:pPr>
              <w:spacing w:after="0"/>
              <w:rPr>
                <w:sz w:val="24"/>
                <w:szCs w:val="24"/>
                <w:color w:val="auto"/>
              </w:rPr>
            </w:pPr>
          </w:p>
        </w:tc>
      </w:tr>
      <w:tr>
        <w:trPr>
          <w:trHeight w:val="438"/>
        </w:trPr>
        <w:tc>
          <w:tcPr>
            <w:tcW w:w="5720" w:type="dxa"/>
            <w:vAlign w:val="bottom"/>
            <w:gridSpan w:val="2"/>
          </w:tcPr>
          <w:p>
            <w:pPr>
              <w:spacing w:after="0"/>
              <w:rPr>
                <w:sz w:val="20"/>
                <w:szCs w:val="20"/>
                <w:color w:val="auto"/>
              </w:rPr>
            </w:pPr>
            <w:r>
              <w:rPr>
                <w:rFonts w:ascii="Arial" w:cs="Arial" w:eastAsia="Arial" w:hAnsi="Arial"/>
                <w:sz w:val="16"/>
                <w:szCs w:val="16"/>
                <w:color w:val="auto"/>
              </w:rPr>
              <w:t>CANADIAN IMPERIAL BANK OF COMMERCE</w:t>
            </w:r>
          </w:p>
        </w:tc>
      </w:tr>
      <w:tr>
        <w:trPr>
          <w:trHeight w:val="439"/>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McKinlay</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Paul McKinlay</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Managing Director, Authorized Signatory</w:t>
            </w:r>
          </w:p>
        </w:tc>
      </w:tr>
      <w:tr>
        <w:trPr>
          <w:trHeight w:val="199"/>
        </w:trPr>
        <w:tc>
          <w:tcPr>
            <w:tcW w:w="760" w:type="dxa"/>
            <w:vAlign w:val="bottom"/>
          </w:tcPr>
          <w:p>
            <w:pPr>
              <w:spacing w:after="0"/>
              <w:rPr>
                <w:sz w:val="17"/>
                <w:szCs w:val="17"/>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CIBC Innovation Banking</w:t>
            </w:r>
          </w:p>
        </w:tc>
      </w:tr>
      <w:tr>
        <w:trPr>
          <w:trHeight w:val="418"/>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Imran Premji</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Imran Premji</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Executive Director, Authorized Signatory</w:t>
            </w:r>
          </w:p>
        </w:tc>
      </w:tr>
      <w:tr>
        <w:trPr>
          <w:trHeight w:val="199"/>
        </w:trPr>
        <w:tc>
          <w:tcPr>
            <w:tcW w:w="760" w:type="dxa"/>
            <w:vAlign w:val="bottom"/>
          </w:tcPr>
          <w:p>
            <w:pPr>
              <w:spacing w:after="0"/>
              <w:rPr>
                <w:sz w:val="17"/>
                <w:szCs w:val="17"/>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CIBC Innovation Banking</w:t>
            </w:r>
          </w:p>
        </w:tc>
      </w:tr>
    </w:tbl>
    <w:p>
      <w:pPr>
        <w:sectPr>
          <w:pgSz w:w="11900" w:h="16838" w:orient="portrait"/>
          <w:cols w:equalWidth="0" w:num="1">
            <w:col w:w="10680"/>
          </w:cols>
          <w:pgMar w:left="900" w:top="1295" w:right="319" w:bottom="1440" w:gutter="0" w:footer="0" w:header="0"/>
        </w:sectPr>
      </w:pPr>
    </w:p>
    <w:bookmarkStart w:id="385" w:name="page386"/>
    <w:bookmarkEnd w:id="385"/>
    <w:p>
      <w:pPr>
        <w:ind w:left="5200"/>
        <w:spacing w:after="0"/>
        <w:rPr>
          <w:sz w:val="20"/>
          <w:szCs w:val="20"/>
          <w:color w:val="auto"/>
        </w:rPr>
      </w:pPr>
      <w:r>
        <w:rPr>
          <w:rFonts w:ascii="Arial" w:cs="Arial" w:eastAsia="Arial" w:hAnsi="Arial"/>
          <w:sz w:val="16"/>
          <w:szCs w:val="16"/>
          <w:b w:val="1"/>
          <w:bCs w:val="1"/>
          <w:u w:val="single" w:color="auto"/>
          <w:color w:val="auto"/>
        </w:rPr>
        <w:t>EXHIBIT A</w:t>
      </w:r>
    </w:p>
    <w:p>
      <w:pPr>
        <w:spacing w:after="0" w:line="157" w:lineRule="exact"/>
        <w:rPr>
          <w:sz w:val="20"/>
          <w:szCs w:val="20"/>
          <w:color w:val="auto"/>
        </w:rPr>
      </w:pPr>
    </w:p>
    <w:p>
      <w:pPr>
        <w:ind w:left="5080"/>
        <w:spacing w:after="0"/>
        <w:rPr>
          <w:sz w:val="20"/>
          <w:szCs w:val="20"/>
          <w:color w:val="auto"/>
        </w:rPr>
      </w:pPr>
      <w:r>
        <w:rPr>
          <w:rFonts w:ascii="Arial" w:cs="Arial" w:eastAsia="Arial" w:hAnsi="Arial"/>
          <w:sz w:val="16"/>
          <w:szCs w:val="16"/>
          <w:b w:val="1"/>
          <w:bCs w:val="1"/>
          <w:u w:val="single" w:color="auto"/>
          <w:color w:val="auto"/>
        </w:rPr>
        <w:t>DEFINITIONS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used in this Agreement, the following capitalized terms have the following meanings:</w:t>
      </w:r>
    </w:p>
    <w:p>
      <w:pPr>
        <w:spacing w:after="0" w:line="153"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w:t>
      </w:r>
      <w:r>
        <w:rPr>
          <w:rFonts w:ascii="Arial" w:cs="Arial" w:eastAsia="Arial" w:hAnsi="Arial"/>
          <w:sz w:val="16"/>
          <w:szCs w:val="16"/>
          <w:color w:val="auto"/>
        </w:rPr>
        <w:t>” means any “account” as defined in the Code with such additions to such term as may hereafter be made, and includes, without limitation, all accounts receivable and other sums owing to a Borrower.</w:t>
      </w:r>
    </w:p>
    <w:p>
      <w:pPr>
        <w:spacing w:after="0" w:line="94" w:lineRule="exact"/>
        <w:rPr>
          <w:sz w:val="20"/>
          <w:szCs w:val="20"/>
          <w:color w:val="auto"/>
        </w:rPr>
      </w:pPr>
    </w:p>
    <w:p>
      <w:pPr>
        <w:jc w:val="both"/>
        <w:ind w:firstLine="585"/>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Account Control Agreement</w:t>
      </w:r>
      <w:r>
        <w:rPr>
          <w:rFonts w:ascii="Arial" w:cs="Arial" w:eastAsia="Arial" w:hAnsi="Arial"/>
          <w:sz w:val="15"/>
          <w:szCs w:val="15"/>
          <w:color w:val="auto"/>
        </w:rPr>
        <w:t>” means any control agreement entered into among the depository institution at which a Loan Party maintains a Deposit Account or the securities intermediary or commodity intermediary at which a Borrower or any other Loan Party maintains a Securities Account or a Commodity Account, a Loan Party, and Lender pursuant to which Lender obtains control (within the meaning of the Code) over such Deposit Account, Securities Account, or Commodity Account.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 Debtor</w:t>
      </w:r>
      <w:r>
        <w:rPr>
          <w:rFonts w:ascii="Arial" w:cs="Arial" w:eastAsia="Arial" w:hAnsi="Arial"/>
          <w:sz w:val="16"/>
          <w:szCs w:val="16"/>
          <w:color w:val="auto"/>
        </w:rPr>
        <w:t>” means any “account debtor” as defined in the Code with such additions to such term as may hereafter be made.</w:t>
      </w:r>
    </w:p>
    <w:p>
      <w:pPr>
        <w:spacing w:after="0" w:line="157"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w:t>
      </w:r>
      <w:r>
        <w:rPr>
          <w:rFonts w:ascii="Arial" w:cs="Arial" w:eastAsia="Arial" w:hAnsi="Arial"/>
          <w:sz w:val="16"/>
          <w:szCs w:val="16"/>
          <w:color w:val="auto"/>
        </w:rPr>
        <w:t>” has the meaning set forth in the preamble hereto.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Agent-Related Persons</w:t>
      </w:r>
      <w:r>
        <w:rPr>
          <w:rFonts w:ascii="Arial" w:cs="Arial" w:eastAsia="Arial" w:hAnsi="Arial"/>
          <w:sz w:val="16"/>
          <w:szCs w:val="16"/>
          <w:color w:val="auto"/>
        </w:rPr>
        <w:t>” means Agent, together with its Affiliates, officers, directors, employees, attorneys, and agents.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has the meaning set forth in the preamble of this Agreement.</w:t>
      </w:r>
    </w:p>
    <w:p>
      <w:pPr>
        <w:spacing w:after="0" w:line="157" w:lineRule="exact"/>
        <w:rPr>
          <w:sz w:val="20"/>
          <w:szCs w:val="20"/>
          <w:color w:val="auto"/>
        </w:rPr>
      </w:pPr>
    </w:p>
    <w:p>
      <w:pPr>
        <w:jc w:val="both"/>
        <w:ind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Anti-Corruption Laws</w:t>
      </w:r>
      <w:r>
        <w:rPr>
          <w:rFonts w:ascii="Arial" w:cs="Arial" w:eastAsia="Arial" w:hAnsi="Arial"/>
          <w:sz w:val="15"/>
          <w:szCs w:val="15"/>
          <w:color w:val="auto"/>
        </w:rPr>
        <w:t>” 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5.11(c)</w:t>
      </w:r>
      <w:r>
        <w:rPr>
          <w:rFonts w:ascii="Arial" w:cs="Arial" w:eastAsia="Arial" w:hAnsi="Arial"/>
          <w:sz w:val="16"/>
          <w:szCs w:val="16"/>
          <w:color w:val="auto"/>
        </w:rPr>
        <w:t>.</w:t>
      </w:r>
    </w:p>
    <w:p>
      <w:pPr>
        <w:spacing w:after="0" w:line="15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Anti-Terrorism Order</w:t>
      </w:r>
      <w:r>
        <w:rPr>
          <w:rFonts w:ascii="Arial" w:cs="Arial" w:eastAsia="Arial" w:hAnsi="Arial"/>
          <w:sz w:val="16"/>
          <w:szCs w:val="16"/>
          <w:color w:val="auto"/>
        </w:rPr>
        <w:t>” means Executive Order No. 13,224 as of September 24, 2001, Blocking Property and Prohibiting Transactions with Persons Who Commit, Threaten to Commit or Support Terrorism, 66 U.S. Fed. Reg. 49,079 (2001), as amended.</w:t>
      </w:r>
    </w:p>
    <w:p>
      <w:pPr>
        <w:spacing w:after="0" w:line="9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Interest Rate</w:t>
      </w:r>
      <w:r>
        <w:rPr>
          <w:rFonts w:ascii="Arial" w:cs="Arial" w:eastAsia="Arial" w:hAnsi="Arial"/>
          <w:sz w:val="16"/>
          <w:szCs w:val="16"/>
          <w:color w:val="auto"/>
        </w:rPr>
        <w:t>” means (i) with respect to the Revolving Loans, a floating annual rate of the Prime Rate plus 1.00%, and (ii) with respect to the Term Loans, a floating annual rate of the Prime Rate plus 2.25%.</w:t>
      </w:r>
    </w:p>
    <w:p>
      <w:pPr>
        <w:spacing w:after="0" w:line="9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Applicable Percentage</w:t>
      </w:r>
      <w:r>
        <w:rPr>
          <w:rFonts w:ascii="Arial" w:cs="Arial" w:eastAsia="Arial" w:hAnsi="Arial"/>
          <w:sz w:val="15"/>
          <w:szCs w:val="15"/>
          <w:color w:val="auto"/>
        </w:rPr>
        <w:t>” means, as of any date of determination, with respect to each Lender, the percentage which such Lender’s Revolving Loan Commitment or Term Loan Commitment, as applicable then constitutes of the Total Revolving Loan Commitment or Total Term Loan Commitment, or at any time after the Revolving Loan Commitments or Term Loan Commitments shall have expired or terminated, the percentage which the aggregate principal amount of such Lender’s Revolving Loans or Term Loans then outstanding constitutes of the aggregate principal amount of all Revolving Loans or Term Loans then outstanding, as applicable.</w:t>
      </w:r>
    </w:p>
    <w:p>
      <w:pPr>
        <w:spacing w:after="0" w:line="98"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Application Event</w:t>
      </w:r>
      <w:r>
        <w:rPr>
          <w:rFonts w:ascii="Arial" w:cs="Arial" w:eastAsia="Arial" w:hAnsi="Arial"/>
          <w:sz w:val="16"/>
          <w:szCs w:val="16"/>
          <w:color w:val="auto"/>
        </w:rPr>
        <w:t xml:space="preserve">” means the date that an Event of Default has occurred and Agent or Required Lenders have required that payments or proceeds of Collateral be applied pursuant to </w:t>
      </w:r>
      <w:r>
        <w:rPr>
          <w:rFonts w:ascii="Arial" w:cs="Arial" w:eastAsia="Arial" w:hAnsi="Arial"/>
          <w:sz w:val="16"/>
          <w:szCs w:val="16"/>
          <w:u w:val="single" w:color="auto"/>
          <w:color w:val="auto"/>
        </w:rPr>
        <w:t>Section 2.7(f).</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 and Acceptance</w:t>
      </w:r>
      <w:r>
        <w:rPr>
          <w:rFonts w:ascii="Arial" w:cs="Arial" w:eastAsia="Arial" w:hAnsi="Arial"/>
          <w:sz w:val="16"/>
          <w:szCs w:val="16"/>
          <w:color w:val="auto"/>
        </w:rPr>
        <w:t xml:space="preserve">” means an Assignment and Acceptance Agreement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240"/>
          </w:cols>
          <w:pgMar w:left="320" w:top="1292" w:right="339" w:bottom="1440" w:gutter="0" w:footer="0" w:header="0"/>
        </w:sectPr>
      </w:pPr>
    </w:p>
    <w:bookmarkStart w:id="386" w:name="page387"/>
    <w:bookmarkEnd w:id="386"/>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Average Unused Revolving Loan Amount</w:t>
      </w:r>
      <w:r>
        <w:rPr>
          <w:rFonts w:ascii="Arial" w:cs="Arial" w:eastAsia="Arial" w:hAnsi="Arial"/>
          <w:sz w:val="15"/>
          <w:szCs w:val="15"/>
          <w:color w:val="auto"/>
        </w:rPr>
        <w:t>” means, for each quarter measurement period, the Total Revolving Loan Commitments, less the average Bank Services Utilization Amount for such period, less the average closing balance of the Revolving Loans outstanding for each day in such period, as determined by Agent.</w:t>
      </w:r>
    </w:p>
    <w:p>
      <w:pPr>
        <w:spacing w:after="0" w:line="70"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Bail-In Action</w:t>
      </w:r>
      <w:r>
        <w:rPr>
          <w:rFonts w:ascii="Arial" w:cs="Arial" w:eastAsia="Arial" w:hAnsi="Arial"/>
          <w:sz w:val="16"/>
          <w:szCs w:val="16"/>
          <w:color w:val="auto"/>
        </w:rPr>
        <w:t>” means the exercise of any Write-Down and Conversion Powers by the applicable EEA Resolution Authority in respect of any liability of an EEA Financial Institution.</w:t>
      </w:r>
    </w:p>
    <w:p>
      <w:pPr>
        <w:spacing w:after="0" w:line="94" w:lineRule="exact"/>
        <w:rPr>
          <w:sz w:val="20"/>
          <w:szCs w:val="20"/>
          <w:color w:val="auto"/>
        </w:rPr>
      </w:pPr>
    </w:p>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Bail-In Legislation</w:t>
      </w:r>
      <w:r>
        <w:rPr>
          <w:rFonts w:ascii="Arial" w:cs="Arial" w:eastAsia="Arial" w:hAnsi="Arial"/>
          <w:sz w:val="15"/>
          <w:szCs w:val="15"/>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70"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means, any products, credit services, and/or financial accommodations provided to a Borrower or any of its Subsidiaries at the request of Borrower Representative,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various bank services agreements related thereto.</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Bank Services Provider</w:t>
      </w:r>
      <w:r>
        <w:rPr>
          <w:rFonts w:ascii="Arial" w:cs="Arial" w:eastAsia="Arial" w:hAnsi="Arial"/>
          <w:sz w:val="15"/>
          <w:szCs w:val="15"/>
          <w:color w:val="auto"/>
        </w:rPr>
        <w:t>” means CIBC, or such other Revolving Lender as agreed from time to time among Agent, CIBC and Borrower Representative.</w:t>
      </w:r>
    </w:p>
    <w:p>
      <w:pPr>
        <w:spacing w:after="0" w:line="169" w:lineRule="exact"/>
        <w:rPr>
          <w:sz w:val="20"/>
          <w:szCs w:val="20"/>
          <w:color w:val="auto"/>
        </w:rPr>
      </w:pPr>
    </w:p>
    <w:p>
      <w:pPr>
        <w:jc w:val="both"/>
        <w:ind w:right="20" w:firstLine="585"/>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Bank Services Utilization Amount</w:t>
      </w:r>
      <w:r>
        <w:rPr>
          <w:rFonts w:ascii="Arial" w:cs="Arial" w:eastAsia="Arial" w:hAnsi="Arial"/>
          <w:sz w:val="15"/>
          <w:szCs w:val="15"/>
          <w:color w:val="auto"/>
        </w:rPr>
        <w:t>” means, as of any date of determination, the sum of (i) the committed amount of any cash management services (including, without limitation, merchant services, direct deposit of payroll, business credit cards, and check cashing services) made available under the Revolving Loan Facility and any associated reserves, and (ii) the aggregate face amount of outstanding Letters of Credit (including drawn but unreimbursed amounts).</w:t>
      </w:r>
    </w:p>
    <w:p>
      <w:pPr>
        <w:spacing w:after="0" w:line="90"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with respect to any Person, the board of directors, board of managers, managers or other similar bodies or authorities performing similar governing functions for such Person.</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and “</w:t>
      </w:r>
      <w:r>
        <w:rPr>
          <w:rFonts w:ascii="Arial" w:cs="Arial" w:eastAsia="Arial" w:hAnsi="Arial"/>
          <w:sz w:val="16"/>
          <w:szCs w:val="16"/>
          <w:b w:val="1"/>
          <w:bCs w:val="1"/>
          <w:color w:val="auto"/>
        </w:rPr>
        <w:t>Borrowers</w:t>
      </w:r>
      <w:r>
        <w:rPr>
          <w:rFonts w:ascii="Arial" w:cs="Arial" w:eastAsia="Arial" w:hAnsi="Arial"/>
          <w:sz w:val="16"/>
          <w:szCs w:val="16"/>
          <w:color w:val="auto"/>
        </w:rPr>
        <w:t>” has the meaning set forth in the preamble hereof.</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Representative</w:t>
      </w:r>
      <w:r>
        <w:rPr>
          <w:rFonts w:ascii="Arial" w:cs="Arial" w:eastAsia="Arial" w:hAnsi="Arial"/>
          <w:sz w:val="16"/>
          <w:szCs w:val="16"/>
          <w:color w:val="auto"/>
        </w:rPr>
        <w:t>” has the meaning set forth in the preamble hereof.</w:t>
      </w:r>
    </w:p>
    <w:p>
      <w:pPr>
        <w:spacing w:after="0" w:line="157" w:lineRule="exact"/>
        <w:rPr>
          <w:sz w:val="20"/>
          <w:szCs w:val="20"/>
          <w:color w:val="auto"/>
        </w:rPr>
      </w:pPr>
    </w:p>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Borrowers’ Books</w:t>
      </w:r>
      <w:r>
        <w:rPr>
          <w:rFonts w:ascii="Arial" w:cs="Arial" w:eastAsia="Arial" w:hAnsi="Arial"/>
          <w:sz w:val="15"/>
          <w:szCs w:val="15"/>
          <w:color w:val="auto"/>
        </w:rPr>
        <w:t>” are all of each Borrower’s books and records including ledgers, federal and state tax returns, records regarding such Borrower’s assets or liabilities, the Collateral, business operations or financial condition, and all computer programs or storage or any equipment containing such information.</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any day that is not a Saturday, Sunday or a day on which commercial banks in the State of California are required or permitted to be closed.</w:t>
      </w:r>
    </w:p>
    <w:p>
      <w:pPr>
        <w:spacing w:after="0" w:line="180"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xml:space="preserve">”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issued by any bank with assets of at least $500,000,000 maturing no more than one year from the date of investment therein; and (d) money market funds at least ninety-five percent (95%) of the assets of which constitute Cash Equivalents of the kinds described in </w:t>
      </w:r>
      <w:r>
        <w:rPr>
          <w:rFonts w:ascii="Arial" w:cs="Arial" w:eastAsia="Arial" w:hAnsi="Arial"/>
          <w:sz w:val="16"/>
          <w:szCs w:val="16"/>
          <w:u w:val="single" w:color="auto"/>
          <w:color w:val="auto"/>
        </w:rPr>
        <w:t>clauses (a) through (c)</w:t>
      </w:r>
      <w:r>
        <w:rPr>
          <w:rFonts w:ascii="Arial" w:cs="Arial" w:eastAsia="Arial" w:hAnsi="Arial"/>
          <w:sz w:val="16"/>
          <w:szCs w:val="16"/>
          <w:color w:val="auto"/>
        </w:rPr>
        <w:t xml:space="preserve"> of this definition.</w:t>
      </w:r>
    </w:p>
    <w:p>
      <w:pPr>
        <w:spacing w:after="0" w:line="116" w:lineRule="exact"/>
        <w:rPr>
          <w:sz w:val="20"/>
          <w:szCs w:val="20"/>
          <w:color w:val="auto"/>
        </w:rPr>
      </w:pPr>
    </w:p>
    <w:p>
      <w:pPr>
        <w:jc w:val="both"/>
        <w:ind w:right="20" w:firstLine="585"/>
        <w:spacing w:after="0" w:line="30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means any of the following (or any combination of the following) whether arising from any single transaction event or series of related transactions or events that, individually or in the aggregate, result in: (a) the holders of Borrower Representative’s Equity Interests who were holders of Equity Interest as of the Closing Date, ceasing to own at least fifty-one percent (51%) of the Voting Stock of Borrower Representative; (b) any “person” or “group” (within the meaning of Section 13(d) and 14(d)(2) of the Securities Exchange Act of 1934) becoming the “beneficial owner” (as defined in Rule 13d-3 under the Securities Exchange Act of 1934), directly or indirectly, of a sufficient number of Equity Interests of Borrower Representative ordinarily entitled to vote in the election of directors, empowering such “person” or “group” to elect a majority of the members of the Board of Borrower Representative, who did not have such power before such transaction; or (c) the Transfer of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260"/>
          </w:cols>
          <w:pgMar w:left="320" w:top="1291" w:right="319" w:bottom="1440" w:gutter="0" w:footer="0" w:header="0"/>
        </w:sectPr>
      </w:pPr>
    </w:p>
    <w:bookmarkStart w:id="387" w:name="page388"/>
    <w:bookmarkEnd w:id="387"/>
    <w:p>
      <w:pPr>
        <w:jc w:val="both"/>
        <w:spacing w:after="0" w:line="264" w:lineRule="auto"/>
        <w:rPr>
          <w:sz w:val="20"/>
          <w:szCs w:val="20"/>
          <w:color w:val="auto"/>
        </w:rPr>
      </w:pPr>
      <w:r>
        <w:rPr>
          <w:rFonts w:ascii="Arial" w:cs="Arial" w:eastAsia="Arial" w:hAnsi="Arial"/>
          <w:sz w:val="16"/>
          <w:szCs w:val="16"/>
          <w:color w:val="auto"/>
        </w:rPr>
        <w:t>substantially all assets of Borrowers or of a material business line of Borrowers; or (d) Borrower Representative ceasing to own and control, (other than in connection with the dissolution of a Subsidiary of Borrower Representative pursuant to which all assets of such Subsidiary are transferred to a Borrower), free and clear of any Liens (other than Permitted Liens), directly or indirectly, all of the Equity Interests in each of its Subsidiaries or failing to have the power to direct or cause the direction of the management and policies of each such Subsidiary.</w:t>
      </w:r>
    </w:p>
    <w:p>
      <w:pPr>
        <w:spacing w:after="0" w:line="112" w:lineRule="exact"/>
        <w:rPr>
          <w:sz w:val="20"/>
          <w:szCs w:val="20"/>
          <w:color w:val="auto"/>
        </w:rPr>
      </w:pPr>
    </w:p>
    <w:p>
      <w:pPr>
        <w:jc w:val="both"/>
        <w:ind w:firstLine="585"/>
        <w:spacing w:after="0" w:line="27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in Law</w:t>
      </w:r>
      <w:r>
        <w:rPr>
          <w:rFonts w:ascii="Arial" w:cs="Arial" w:eastAsia="Arial" w:hAnsi="Arial"/>
          <w:sz w:val="15"/>
          <w:szCs w:val="15"/>
          <w:color w:val="auto"/>
        </w:rPr>
        <w:t xml:space="preserve">” means the occurrence after the date of this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or (c) the making or issuance by any Governmental Authority of any request, rule, guideline or directive, whether or not having the force of law; </w:t>
      </w:r>
      <w:r>
        <w:rPr>
          <w:rFonts w:ascii="Arial" w:cs="Arial" w:eastAsia="Arial" w:hAnsi="Arial"/>
          <w:sz w:val="15"/>
          <w:szCs w:val="15"/>
          <w:u w:val="single" w:color="auto"/>
          <w:color w:val="auto"/>
        </w:rPr>
        <w:t>provided</w:t>
      </w:r>
      <w:r>
        <w:rPr>
          <w:rFonts w:ascii="Arial" w:cs="Arial" w:eastAsia="Arial" w:hAnsi="Arial"/>
          <w:sz w:val="15"/>
          <w:szCs w:val="15"/>
          <w:color w:val="auto"/>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w:t>
      </w:r>
      <w:r>
        <w:rPr>
          <w:rFonts w:ascii="Arial" w:cs="Arial" w:eastAsia="Arial" w:hAnsi="Arial"/>
          <w:sz w:val="15"/>
          <w:szCs w:val="15"/>
          <w:b w:val="1"/>
          <w:bCs w:val="1"/>
          <w:color w:val="auto"/>
        </w:rPr>
        <w:t>Change in Law</w:t>
      </w:r>
      <w:r>
        <w:rPr>
          <w:rFonts w:ascii="Arial" w:cs="Arial" w:eastAsia="Arial" w:hAnsi="Arial"/>
          <w:sz w:val="15"/>
          <w:szCs w:val="15"/>
          <w:color w:val="auto"/>
        </w:rPr>
        <w:t>,” regardless of the date enacted, adopted or issued.</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CIBC</w:t>
      </w:r>
      <w:r>
        <w:rPr>
          <w:rFonts w:ascii="Arial" w:cs="Arial" w:eastAsia="Arial" w:hAnsi="Arial"/>
          <w:sz w:val="16"/>
          <w:szCs w:val="16"/>
          <w:color w:val="auto"/>
        </w:rPr>
        <w:t>” has the meaning set forth in the preamble hereto.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CIBC USA</w:t>
      </w:r>
      <w:r>
        <w:rPr>
          <w:rFonts w:ascii="Arial" w:cs="Arial" w:eastAsia="Arial" w:hAnsi="Arial"/>
          <w:sz w:val="16"/>
          <w:szCs w:val="16"/>
          <w:color w:val="auto"/>
        </w:rPr>
        <w:t>” means CIBC Bank USA.</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Claims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12.3</w:t>
      </w:r>
      <w:r>
        <w:rPr>
          <w:rFonts w:ascii="Arial" w:cs="Arial" w:eastAsia="Arial" w:hAnsi="Arial"/>
          <w:sz w:val="16"/>
          <w:szCs w:val="16"/>
          <w:color w:val="auto"/>
        </w:rPr>
        <w: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May 24, 2018.</w:t>
      </w:r>
    </w:p>
    <w:p>
      <w:pPr>
        <w:spacing w:after="0" w:line="157" w:lineRule="exact"/>
        <w:rPr>
          <w:sz w:val="20"/>
          <w:szCs w:val="20"/>
          <w:color w:val="auto"/>
        </w:rPr>
      </w:pPr>
    </w:p>
    <w:p>
      <w:pPr>
        <w:jc w:val="both"/>
        <w:ind w:firstLine="585"/>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Agent’s Lien on any Collateral is governed by the Uniform Commercial Code in effect in a jurisdiction other than the State of California, the term “</w:t>
      </w:r>
      <w:r>
        <w:rPr>
          <w:rFonts w:ascii="Arial" w:cs="Arial" w:eastAsia="Arial" w:hAnsi="Arial"/>
          <w:sz w:val="15"/>
          <w:szCs w:val="15"/>
          <w:b w:val="1"/>
          <w:bCs w:val="1"/>
          <w:color w:val="auto"/>
        </w:rPr>
        <w:t>Code</w:t>
      </w:r>
      <w:r>
        <w:rPr>
          <w:rFonts w:ascii="Arial" w:cs="Arial" w:eastAsia="Arial" w:hAnsi="Arial"/>
          <w:sz w:val="15"/>
          <w:szCs w:val="15"/>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0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w:t>
      </w:r>
      <w:r>
        <w:rPr>
          <w:rFonts w:ascii="Arial" w:cs="Arial" w:eastAsia="Arial" w:hAnsi="Arial"/>
          <w:sz w:val="16"/>
          <w:szCs w:val="16"/>
          <w:color w:val="auto"/>
        </w:rPr>
        <w:t xml:space="preserve">” means any and all properties, rights and assets of Borrower described on </w:t>
      </w:r>
      <w:r>
        <w:rPr>
          <w:rFonts w:ascii="Arial" w:cs="Arial" w:eastAsia="Arial" w:hAnsi="Arial"/>
          <w:sz w:val="16"/>
          <w:szCs w:val="16"/>
          <w:u w:val="single" w:color="auto"/>
          <w:color w:val="auto"/>
        </w:rPr>
        <w:t>Exhibit B</w:t>
      </w:r>
      <w:r>
        <w:rPr>
          <w:rFonts w:ascii="Arial" w:cs="Arial" w:eastAsia="Arial" w:hAnsi="Arial"/>
          <w:sz w:val="16"/>
          <w:szCs w:val="16"/>
          <w:color w:val="auto"/>
        </w:rPr>
        <w:t>, and any collateral securing the Obligations pursuant to any guaranty or pursuant to any other Loan Document.</w:t>
      </w:r>
    </w:p>
    <w:p>
      <w:pPr>
        <w:spacing w:after="0" w:line="9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Access Agreement</w:t>
      </w:r>
      <w:r>
        <w:rPr>
          <w:rFonts w:ascii="Arial" w:cs="Arial" w:eastAsia="Arial" w:hAnsi="Arial"/>
          <w:sz w:val="16"/>
          <w:szCs w:val="16"/>
          <w:color w:val="auto"/>
        </w:rPr>
        <w:t>” means an agreement with respect to a Loan Party’s leased location or bailee location, in each case in form and substance reasonably satisfactory to Agent.</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Account</w:t>
      </w:r>
      <w:r>
        <w:rPr>
          <w:rFonts w:ascii="Arial" w:cs="Arial" w:eastAsia="Arial" w:hAnsi="Arial"/>
          <w:sz w:val="16"/>
          <w:szCs w:val="16"/>
          <w:color w:val="auto"/>
        </w:rPr>
        <w:t>” means any Deposit Account, Securities Account, or Commodity Account of a Loan Party.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Commitments</w:t>
      </w:r>
      <w:r>
        <w:rPr>
          <w:rFonts w:ascii="Arial" w:cs="Arial" w:eastAsia="Arial" w:hAnsi="Arial"/>
          <w:sz w:val="15"/>
          <w:szCs w:val="15"/>
          <w:color w:val="auto"/>
        </w:rPr>
        <w:t>” means, collectively, the Revolving Loan Commitments and the Term Loan Commitments, and “</w:t>
      </w:r>
      <w:r>
        <w:rPr>
          <w:rFonts w:ascii="Arial" w:cs="Arial" w:eastAsia="Arial" w:hAnsi="Arial"/>
          <w:sz w:val="15"/>
          <w:szCs w:val="15"/>
          <w:b w:val="1"/>
          <w:bCs w:val="1"/>
          <w:color w:val="auto"/>
        </w:rPr>
        <w:t>Commitment</w:t>
      </w:r>
      <w:r>
        <w:rPr>
          <w:rFonts w:ascii="Arial" w:cs="Arial" w:eastAsia="Arial" w:hAnsi="Arial"/>
          <w:sz w:val="15"/>
          <w:szCs w:val="15"/>
          <w:color w:val="auto"/>
        </w:rPr>
        <w:t>” shall mean each of them.</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Account</w:t>
      </w:r>
      <w:r>
        <w:rPr>
          <w:rFonts w:ascii="Arial" w:cs="Arial" w:eastAsia="Arial" w:hAnsi="Arial"/>
          <w:sz w:val="16"/>
          <w:szCs w:val="16"/>
          <w:color w:val="auto"/>
        </w:rPr>
        <w:t>” means any “commodity account” as defined in the Code with such additions to such term as may hereafter be made.</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Compliance Certificate</w:t>
      </w:r>
      <w:r>
        <w:rPr>
          <w:rFonts w:ascii="Arial" w:cs="Arial" w:eastAsia="Arial" w:hAnsi="Arial"/>
          <w:sz w:val="16"/>
          <w:szCs w:val="16"/>
          <w:color w:val="auto"/>
        </w:rPr>
        <w:t xml:space="preserve">” means that certain certificate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57"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240"/>
          </w:cols>
          <w:pgMar w:left="320" w:top="1296" w:right="339" w:bottom="1440" w:gutter="0" w:footer="0" w:header="0"/>
        </w:sectPr>
      </w:pPr>
    </w:p>
    <w:bookmarkStart w:id="388" w:name="page389"/>
    <w:bookmarkEnd w:id="388"/>
    <w:p>
      <w:pPr>
        <w:jc w:val="both"/>
        <w:ind w:right="20"/>
        <w:spacing w:after="0" w:line="286" w:lineRule="auto"/>
        <w:rPr>
          <w:sz w:val="20"/>
          <w:szCs w:val="20"/>
          <w:color w:val="auto"/>
        </w:rPr>
      </w:pPr>
      <w:r>
        <w:rPr>
          <w:rFonts w:ascii="Arial" w:cs="Arial" w:eastAsia="Arial" w:hAnsi="Arial"/>
          <w:sz w:val="15"/>
          <w:szCs w:val="15"/>
          <w:color w:val="auto"/>
        </w:rPr>
        <w:t>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99"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Copyrights</w:t>
      </w:r>
      <w:r>
        <w:rPr>
          <w:rFonts w:ascii="Arial" w:cs="Arial" w:eastAsia="Arial" w:hAnsi="Arial"/>
          <w:sz w:val="16"/>
          <w:szCs w:val="16"/>
          <w:color w:val="auto"/>
        </w:rPr>
        <w:t>” means any and all copyright rights, copyright applications, copyright registrations and like protections of a Person in each work of authorship and derivative work thereof, whether published or unpublished and whether or not the same also constitutes a trade secret.</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Authorization</w:t>
      </w:r>
      <w:r>
        <w:rPr>
          <w:rFonts w:ascii="Arial" w:cs="Arial" w:eastAsia="Arial" w:hAnsi="Arial"/>
          <w:sz w:val="16"/>
          <w:szCs w:val="16"/>
          <w:color w:val="auto"/>
        </w:rPr>
        <w:t xml:space="preserve">” means an authorization to credit a Collateral Account of a Borrower with CIBC USA in the form attached hereto as </w:t>
      </w:r>
      <w:r>
        <w:rPr>
          <w:rFonts w:ascii="Arial" w:cs="Arial" w:eastAsia="Arial" w:hAnsi="Arial"/>
          <w:sz w:val="16"/>
          <w:szCs w:val="16"/>
          <w:u w:val="single" w:color="auto"/>
          <w:color w:val="auto"/>
        </w:rPr>
        <w:t>Exhibit E-2</w:t>
      </w:r>
      <w:r>
        <w:rPr>
          <w:rFonts w:ascii="Arial" w:cs="Arial" w:eastAsia="Arial" w:hAnsi="Arial"/>
          <w:sz w:val="16"/>
          <w:szCs w:val="16"/>
          <w:color w:val="auto"/>
        </w:rPr>
        <w: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Extension</w:t>
      </w:r>
      <w:r>
        <w:rPr>
          <w:rFonts w:ascii="Arial" w:cs="Arial" w:eastAsia="Arial" w:hAnsi="Arial"/>
          <w:sz w:val="16"/>
          <w:szCs w:val="16"/>
          <w:color w:val="auto"/>
        </w:rPr>
        <w:t>” means the Revolving Loans, the Term Loans or any other extension of credit hereunder for Borrowers’ benefit.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Debit Authorization</w:t>
      </w:r>
      <w:r>
        <w:rPr>
          <w:rFonts w:ascii="Arial" w:cs="Arial" w:eastAsia="Arial" w:hAnsi="Arial"/>
          <w:sz w:val="16"/>
          <w:szCs w:val="16"/>
          <w:color w:val="auto"/>
        </w:rPr>
        <w:t xml:space="preserve">” means an authorization to debit a Collateral Account of a Borrower with CIBC USA in the form attached hereto as </w:t>
      </w:r>
      <w:r>
        <w:rPr>
          <w:rFonts w:ascii="Arial" w:cs="Arial" w:eastAsia="Arial" w:hAnsi="Arial"/>
          <w:sz w:val="16"/>
          <w:szCs w:val="16"/>
          <w:u w:val="single" w:color="auto"/>
          <w:color w:val="auto"/>
        </w:rPr>
        <w:t>Exhibit E-1</w:t>
      </w:r>
    </w:p>
    <w:p>
      <w:pPr>
        <w:spacing w:after="0" w:line="15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w:t>
      </w:r>
      <w:r>
        <w:rPr>
          <w:rFonts w:ascii="Arial" w:cs="Arial" w:eastAsia="Arial" w:hAnsi="Arial"/>
          <w:sz w:val="16"/>
          <w:szCs w:val="16"/>
          <w:color w:val="auto"/>
        </w:rPr>
        <w:t>” means any circumstance, event or condition that constitutes an Event of Default or that, with the giving of any notice, the passage of time, or both, would be an Event of Default.</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 Rate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2.5(b)</w:t>
      </w:r>
      <w:r>
        <w:rPr>
          <w:rFonts w:ascii="Arial" w:cs="Arial" w:eastAsia="Arial" w:hAnsi="Arial"/>
          <w:sz w:val="16"/>
          <w:szCs w:val="16"/>
          <w:color w:val="auto"/>
        </w:rPr>
        <w:t>.</w:t>
      </w:r>
    </w:p>
    <w:p>
      <w:pPr>
        <w:spacing w:after="0" w:line="157" w:lineRule="exact"/>
        <w:rPr>
          <w:sz w:val="20"/>
          <w:szCs w:val="20"/>
          <w:color w:val="auto"/>
        </w:rPr>
      </w:pPr>
    </w:p>
    <w:p>
      <w:pPr>
        <w:jc w:val="both"/>
        <w:ind w:right="20" w:firstLine="585"/>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Defaulting Lender</w:t>
      </w:r>
      <w:r>
        <w:rPr>
          <w:rFonts w:ascii="Arial" w:cs="Arial" w:eastAsia="Arial" w:hAnsi="Arial"/>
          <w:sz w:val="15"/>
          <w:szCs w:val="15"/>
          <w:color w:val="auto"/>
        </w:rPr>
        <w:t>” means any Lender that (a) has failed to (i) fund all or any portion of its Loans within two (2) Business Days of the date such Loans were required to be funded hereunder unless such Lender notifies Agent and Borrower Representative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Agent or any other Lender any other amount required to be paid by it hereunder within two (2) Business Days of the date when due, (b) has notified Borrower Representative or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Agent or Borrower Representative, to confirm in writing to Agent and Borrower Representative that it will comply with its prospective funding obligations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Lender shall cease to be a Defaulting Lender pursuant to this clause (c) upon receipt of such written confirmation by Agent and Borrower Representative), or (d) has, or has a direct or indirect parent company that has, (i) become the subject of a under any applicable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5"/>
          <w:szCs w:val="15"/>
          <w:u w:val="single" w:color="auto"/>
          <w:color w:val="auto"/>
        </w:rPr>
        <w:t>Section 2.8</w:t>
      </w:r>
      <w:r>
        <w:rPr>
          <w:rFonts w:ascii="Arial" w:cs="Arial" w:eastAsia="Arial" w:hAnsi="Arial"/>
          <w:sz w:val="15"/>
          <w:szCs w:val="15"/>
          <w:color w:val="auto"/>
        </w:rPr>
        <w:t>) upon delivery of written notice of such determination to Borrower Representative and each Lender.</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Delayed Draw Term Loan</w:t>
      </w:r>
      <w:r>
        <w:rPr>
          <w:rFonts w:ascii="Arial" w:cs="Arial" w:eastAsia="Arial" w:hAnsi="Arial"/>
          <w:sz w:val="16"/>
          <w:szCs w:val="16"/>
          <w:color w:val="auto"/>
        </w:rPr>
        <w:t>” means any Term Loan funded pursuant to the Delayed Draw Term Loan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ectPr>
          <w:pgSz w:w="11900" w:h="16838" w:orient="portrait"/>
          <w:cols w:equalWidth="0" w:num="1">
            <w:col w:w="11260"/>
          </w:cols>
          <w:pgMar w:left="320" w:top="1296" w:right="319" w:bottom="1440" w:gutter="0" w:footer="0" w:header="0"/>
        </w:sectPr>
      </w:pPr>
    </w:p>
    <w:bookmarkStart w:id="389" w:name="page390"/>
    <w:bookmarkEnd w:id="389"/>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Delayed Draw Term Loan Commitment</w:t>
      </w:r>
      <w:r>
        <w:rPr>
          <w:rFonts w:ascii="Arial" w:cs="Arial" w:eastAsia="Arial" w:hAnsi="Arial"/>
          <w:sz w:val="16"/>
          <w:szCs w:val="16"/>
          <w:color w:val="auto"/>
        </w:rPr>
        <w:t xml:space="preserve">” means, with respect to each Term Loan Lender, such Term Loan Lender’s commitment, to make Delayed Draw Term Loans in an aggregate principal amount not to exceed the amount set forth under the heading “Delayed Draw Term Loan Commitment” opposite such Lender’s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w:t>
      </w:r>
    </w:p>
    <w:p>
      <w:pPr>
        <w:spacing w:after="0" w:line="10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Delayed Draw Term Loan Commitment Period</w:t>
      </w:r>
      <w:r>
        <w:rPr>
          <w:rFonts w:ascii="Arial" w:cs="Arial" w:eastAsia="Arial" w:hAnsi="Arial"/>
          <w:sz w:val="16"/>
          <w:szCs w:val="16"/>
          <w:color w:val="auto"/>
        </w:rPr>
        <w:t>” means the period commencing on the Effective Date through and including the 18 month anniversary of the Effective Date.</w:t>
      </w:r>
    </w:p>
    <w:p>
      <w:pPr>
        <w:spacing w:after="0" w:line="94"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 Account</w:t>
      </w:r>
      <w:r>
        <w:rPr>
          <w:rFonts w:ascii="Arial" w:cs="Arial" w:eastAsia="Arial" w:hAnsi="Arial"/>
          <w:sz w:val="16"/>
          <w:szCs w:val="16"/>
          <w:color w:val="auto"/>
        </w:rPr>
        <w:t>” means any “deposit account” as defined in the Code with such additions to such term as may hereafter be made, and includes any checking account, savings account or certificate of deposit.</w:t>
      </w:r>
    </w:p>
    <w:p>
      <w:pPr>
        <w:spacing w:after="0" w:line="9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Dollars</w:t>
      </w:r>
      <w:r>
        <w:rPr>
          <w:rFonts w:ascii="Arial" w:cs="Arial" w:eastAsia="Arial" w:hAnsi="Arial"/>
          <w:sz w:val="16"/>
          <w:szCs w:val="16"/>
          <w:i w:val="1"/>
          <w:iCs w:val="1"/>
          <w:color w:val="auto"/>
        </w:rPr>
        <w:t>,</w:t>
      </w:r>
      <w:r>
        <w:rPr>
          <w:rFonts w:ascii="Arial" w:cs="Arial" w:eastAsia="Arial" w:hAnsi="Arial"/>
          <w:sz w:val="16"/>
          <w:szCs w:val="16"/>
          <w:color w:val="auto"/>
        </w:rPr>
        <w:t>” “</w:t>
      </w:r>
      <w:r>
        <w:rPr>
          <w:rFonts w:ascii="Arial" w:cs="Arial" w:eastAsia="Arial" w:hAnsi="Arial"/>
          <w:sz w:val="16"/>
          <w:szCs w:val="16"/>
          <w:b w:val="1"/>
          <w:bCs w:val="1"/>
          <w:color w:val="auto"/>
        </w:rPr>
        <w:t>dollars</w:t>
      </w:r>
      <w:r>
        <w:rPr>
          <w:rFonts w:ascii="Arial" w:cs="Arial" w:eastAsia="Arial" w:hAnsi="Arial"/>
          <w:sz w:val="16"/>
          <w:szCs w:val="16"/>
          <w:color w:val="auto"/>
        </w:rPr>
        <w:t>” or use of the sign “</w:t>
      </w:r>
      <w:r>
        <w:rPr>
          <w:rFonts w:ascii="Arial" w:cs="Arial" w:eastAsia="Arial" w:hAnsi="Arial"/>
          <w:sz w:val="16"/>
          <w:szCs w:val="16"/>
          <w:b w:val="1"/>
          <w:bCs w:val="1"/>
          <w:color w:val="auto"/>
        </w:rPr>
        <w:t>$</w:t>
      </w:r>
      <w:r>
        <w:rPr>
          <w:rFonts w:ascii="Arial" w:cs="Arial" w:eastAsia="Arial" w:hAnsi="Arial"/>
          <w:sz w:val="16"/>
          <w:szCs w:val="16"/>
          <w:color w:val="auto"/>
        </w:rPr>
        <w:t>” means only lawful money of the United States and not any other currency, regardless of whether that currency uses the “$” sign to denote its currency or may be readily converted into lawful money of the United States.</w:t>
      </w:r>
    </w:p>
    <w:p>
      <w:pPr>
        <w:spacing w:after="0" w:line="94" w:lineRule="exact"/>
        <w:rPr>
          <w:sz w:val="20"/>
          <w:szCs w:val="20"/>
          <w:color w:val="auto"/>
        </w:rPr>
      </w:pPr>
    </w:p>
    <w:p>
      <w:pPr>
        <w:jc w:val="both"/>
        <w:ind w:right="20" w:firstLine="585"/>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EBITDA</w:t>
      </w:r>
      <w:r>
        <w:rPr>
          <w:rFonts w:ascii="Arial" w:cs="Arial" w:eastAsia="Arial" w:hAnsi="Arial"/>
          <w:sz w:val="14"/>
          <w:szCs w:val="14"/>
          <w:color w:val="auto"/>
        </w:rPr>
        <w:t>” means, with respect to any period, (a) Net Income for such period, plus (b) (i) Interest Expense for such period, (ii) to the extent deducted in the calculation of Net Income, depreciation expense and amortization expense for such period, (iii) income tax expense for such period, and (iv) any non-cash expenses incurred pursuant to any management equity plan or stock option plan or any other management or employee benefit plan or agreement, minus (c) (i) interest income for such period, (ii) income tax credits for such period, (iii) capitalized software development costs for such period, and (iv) any other non-cash items increasing Net Income for such period.</w:t>
      </w:r>
    </w:p>
    <w:p>
      <w:pPr>
        <w:spacing w:after="0" w:line="80"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Member Country</w:t>
      </w:r>
      <w:r>
        <w:rPr>
          <w:rFonts w:ascii="Arial" w:cs="Arial" w:eastAsia="Arial" w:hAnsi="Arial"/>
          <w:sz w:val="16"/>
          <w:szCs w:val="16"/>
          <w:color w:val="auto"/>
        </w:rPr>
        <w:t>” means any of the member states of the European Union, Iceland, Liechtenstein, and Norway.</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Resolution Authority</w:t>
      </w:r>
      <w:r>
        <w:rPr>
          <w:rFonts w:ascii="Arial" w:cs="Arial" w:eastAsia="Arial" w:hAnsi="Arial"/>
          <w:sz w:val="16"/>
          <w:szCs w:val="16"/>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in the preamble hereto.</w:t>
      </w:r>
    </w:p>
    <w:p>
      <w:pPr>
        <w:spacing w:after="0" w:line="157" w:lineRule="exact"/>
        <w:rPr>
          <w:sz w:val="20"/>
          <w:szCs w:val="20"/>
          <w:color w:val="auto"/>
        </w:rPr>
      </w:pPr>
    </w:p>
    <w:p>
      <w:pPr>
        <w:jc w:val="both"/>
        <w:ind w:firstLine="585"/>
        <w:spacing w:after="0" w:line="30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Eligible Transferee</w:t>
      </w:r>
      <w:r>
        <w:rPr>
          <w:rFonts w:ascii="Arial" w:cs="Arial" w:eastAsia="Arial" w:hAnsi="Arial"/>
          <w:sz w:val="14"/>
          <w:szCs w:val="14"/>
          <w:color w:val="auto"/>
        </w:rPr>
        <w:t>” means (a) any Lender (other than a Defaulting Lender), any Affiliate of any Lender and any Related Fund of any Lender; and (b) (i) a commercial bank organized under the laws of the United States or any state thereof, and having total assets in excess of $500,000,000; (ii) a savings and loan association or savings bank organized under the laws of the United States or any state thereof, and having total assets in excess of $500,000,000; (iii) a commercial bank organized under the laws of any other country or a political subdivision thereof; provided that (A) (x) such bank is acting through a branch or agency located in the United States or (y) such bank is organized under the laws of a country that is a member of the Organization for Economic Cooperation and Development or a political subdivision of such country, and (B) such bank has total assets in excess of $500,000,000; (c) any other entity (other than a natural person) that is an “accredited investor” (as defined in Regulation D under the Securities Act) that extends credit or buys loans as one of its businesses including insurance companies, investment or mutual funds and lease financing companies, and having total assets in excess of $500,000,000; and (d) during the continuation of an Event of Default, any other Person approved by Agent.</w:t>
      </w:r>
    </w:p>
    <w:p>
      <w:pPr>
        <w:spacing w:after="0" w:line="90"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Equipment</w:t>
      </w:r>
      <w:r>
        <w:rPr>
          <w:rFonts w:ascii="Arial" w:cs="Arial" w:eastAsia="Arial" w:hAnsi="Arial"/>
          <w:sz w:val="16"/>
          <w:szCs w:val="16"/>
          <w:color w:val="auto"/>
        </w:rPr>
        <w:t>” means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ectPr>
          <w:pgSz w:w="11900" w:h="16838" w:orient="portrait"/>
          <w:cols w:equalWidth="0" w:num="1">
            <w:col w:w="11260"/>
          </w:cols>
          <w:pgMar w:left="320" w:top="1291" w:right="319" w:bottom="1440" w:gutter="0" w:footer="0" w:header="0"/>
        </w:sectPr>
      </w:pPr>
    </w:p>
    <w:bookmarkStart w:id="390" w:name="page391"/>
    <w:bookmarkEnd w:id="390"/>
    <w:p>
      <w:pPr>
        <w:jc w:val="both"/>
        <w:ind w:firstLine="585"/>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with respect to any Person, any of the shares of capital stock of (or other ownership, membership or profit interests in) such Person, any of the warrants, options or other rights for the purchase or acquisition from such Person of shares of capital stock of (or other ownership, membership or profit interests in) such Person, any of the securities convertible into or exchangeable for shares of capital stock of (or other ownership, membership or profit interests in) such Person or warrants, rights or options for the purchase or acquisition from such Person of such shares (or such other interests), and any of the other ownership, membership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 and its regulations.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Default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Excess Cash Flow</w:t>
      </w:r>
      <w:r>
        <w:rPr>
          <w:rFonts w:ascii="Arial" w:cs="Arial" w:eastAsia="Arial" w:hAnsi="Arial"/>
          <w:sz w:val="16"/>
          <w:szCs w:val="16"/>
          <w:color w:val="auto"/>
        </w:rPr>
        <w:t>” means with respect to Borrower Representative and its Subsidiaries, on a consolidated basis, in any applicable fiscal year,</w:t>
      </w:r>
    </w:p>
    <w:p>
      <w:pPr>
        <w:spacing w:after="0" w:line="161" w:lineRule="exact"/>
        <w:rPr>
          <w:sz w:val="20"/>
          <w:szCs w:val="20"/>
          <w:color w:val="auto"/>
        </w:rPr>
      </w:pPr>
    </w:p>
    <w:p>
      <w:pPr>
        <w:ind w:left="900" w:hanging="318"/>
        <w:spacing w:after="0"/>
        <w:tabs>
          <w:tab w:leader="none" w:pos="90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EBITDA for such fiscal year, </w:t>
      </w:r>
      <w:r>
        <w:rPr>
          <w:rFonts w:ascii="Arial" w:cs="Arial" w:eastAsia="Arial" w:hAnsi="Arial"/>
          <w:sz w:val="16"/>
          <w:szCs w:val="16"/>
          <w:u w:val="single" w:color="auto"/>
          <w:color w:val="auto"/>
        </w:rPr>
        <w:t>less</w:t>
      </w:r>
    </w:p>
    <w:p>
      <w:pPr>
        <w:spacing w:after="0" w:line="157" w:lineRule="exact"/>
        <w:rPr>
          <w:rFonts w:ascii="Arial" w:cs="Arial" w:eastAsia="Arial" w:hAnsi="Arial"/>
          <w:sz w:val="16"/>
          <w:szCs w:val="16"/>
          <w:color w:val="auto"/>
        </w:rPr>
      </w:pPr>
    </w:p>
    <w:p>
      <w:pPr>
        <w:ind w:left="1160" w:hanging="578"/>
        <w:spacing w:after="0" w:line="283" w:lineRule="auto"/>
        <w:tabs>
          <w:tab w:leader="none" w:pos="963"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sum of the following, in each case, for such fiscal year (without duplication and only to the extent added back in the determination of EBITDA for such fiscal year):</w:t>
      </w:r>
    </w:p>
    <w:p>
      <w:pPr>
        <w:spacing w:after="0" w:line="101" w:lineRule="exact"/>
        <w:rPr>
          <w:rFonts w:ascii="Arial" w:cs="Arial" w:eastAsia="Arial" w:hAnsi="Arial"/>
          <w:sz w:val="16"/>
          <w:szCs w:val="16"/>
          <w:color w:val="auto"/>
        </w:rPr>
      </w:pPr>
    </w:p>
    <w:p>
      <w:pPr>
        <w:ind w:left="1560" w:hanging="393"/>
        <w:spacing w:after="0"/>
        <w:tabs>
          <w:tab w:leader="none" w:pos="156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Interest Expense, to the extent paid in cash;</w:t>
      </w:r>
    </w:p>
    <w:p>
      <w:pPr>
        <w:spacing w:after="0" w:line="157" w:lineRule="exact"/>
        <w:rPr>
          <w:rFonts w:ascii="Arial" w:cs="Arial" w:eastAsia="Arial" w:hAnsi="Arial"/>
          <w:sz w:val="16"/>
          <w:szCs w:val="16"/>
          <w:color w:val="auto"/>
        </w:rPr>
      </w:pPr>
    </w:p>
    <w:p>
      <w:pPr>
        <w:ind w:left="1540" w:hanging="373"/>
        <w:spacing w:after="0"/>
        <w:tabs>
          <w:tab w:leader="none" w:pos="154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taxes based on income, profits, or capital, to the extent paid in cash;</w:t>
      </w:r>
    </w:p>
    <w:p>
      <w:pPr>
        <w:spacing w:after="0" w:line="157" w:lineRule="exact"/>
        <w:rPr>
          <w:rFonts w:ascii="Arial" w:cs="Arial" w:eastAsia="Arial" w:hAnsi="Arial"/>
          <w:sz w:val="16"/>
          <w:szCs w:val="16"/>
          <w:color w:val="auto"/>
        </w:rPr>
      </w:pPr>
    </w:p>
    <w:p>
      <w:pPr>
        <w:ind w:left="1540" w:hanging="373"/>
        <w:spacing w:after="0"/>
        <w:tabs>
          <w:tab w:leader="none" w:pos="154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amortization payments in respect of Indebtedness, to the extent paid in cash;</w:t>
      </w:r>
    </w:p>
    <w:p>
      <w:pPr>
        <w:spacing w:after="0" w:line="157" w:lineRule="exact"/>
        <w:rPr>
          <w:rFonts w:ascii="Arial" w:cs="Arial" w:eastAsia="Arial" w:hAnsi="Arial"/>
          <w:sz w:val="16"/>
          <w:szCs w:val="16"/>
          <w:color w:val="auto"/>
        </w:rPr>
      </w:pPr>
    </w:p>
    <w:p>
      <w:pPr>
        <w:ind w:left="1560" w:hanging="393"/>
        <w:spacing w:after="0"/>
        <w:tabs>
          <w:tab w:leader="none" w:pos="156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capital expenditures (excluding the principal amount of Indebtedness incurred to finance such capital expenditures); and</w:t>
      </w:r>
    </w:p>
    <w:p>
      <w:pPr>
        <w:spacing w:after="0" w:line="157" w:lineRule="exact"/>
        <w:rPr>
          <w:rFonts w:ascii="Arial" w:cs="Arial" w:eastAsia="Arial" w:hAnsi="Arial"/>
          <w:sz w:val="16"/>
          <w:szCs w:val="16"/>
          <w:color w:val="auto"/>
        </w:rPr>
      </w:pPr>
    </w:p>
    <w:p>
      <w:pPr>
        <w:ind w:left="1540" w:hanging="373"/>
        <w:spacing w:after="0"/>
        <w:tabs>
          <w:tab w:leader="none" w:pos="154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the sum of any other cash add-backs to EBITDA.</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w:t>
      </w:r>
    </w:p>
    <w:p>
      <w:pPr>
        <w:spacing w:after="0" w:line="157"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Locations</w:t>
      </w:r>
      <w:r>
        <w:rPr>
          <w:rFonts w:ascii="Arial" w:cs="Arial" w:eastAsia="Arial" w:hAnsi="Arial"/>
          <w:sz w:val="16"/>
          <w:szCs w:val="16"/>
          <w:color w:val="auto"/>
        </w:rPr>
        <w:t>” means the following locations where Collateral may be located from time to time: (a) locations where mobile office equipment (e.g. laptops, mobile phones and the like) may be located with employees in the Ordinary Course of Business, and (b) other locations where, in the aggregate for all such locations, less than Fifty Thousand Dollars ($50,000) of Collateral is located.</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means:</w:t>
      </w:r>
    </w:p>
    <w:p>
      <w:pPr>
        <w:spacing w:after="0" w:line="161" w:lineRule="exact"/>
        <w:rPr>
          <w:sz w:val="20"/>
          <w:szCs w:val="20"/>
          <w:color w:val="auto"/>
        </w:rPr>
      </w:pPr>
    </w:p>
    <w:p>
      <w:pPr>
        <w:ind w:left="920" w:hanging="338"/>
        <w:spacing w:after="0"/>
        <w:tabs>
          <w:tab w:leader="none" w:pos="92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any MSB Subsidiary,</w:t>
      </w:r>
    </w:p>
    <w:p>
      <w:pPr>
        <w:spacing w:after="0" w:line="157" w:lineRule="exact"/>
        <w:rPr>
          <w:rFonts w:ascii="Arial" w:cs="Arial" w:eastAsia="Arial" w:hAnsi="Arial"/>
          <w:sz w:val="16"/>
          <w:szCs w:val="16"/>
          <w:color w:val="auto"/>
        </w:rPr>
      </w:pPr>
    </w:p>
    <w:p>
      <w:pPr>
        <w:ind w:firstLine="582"/>
        <w:spacing w:after="0" w:line="283" w:lineRule="auto"/>
        <w:tabs>
          <w:tab w:leader="none" w:pos="957" w:val="left"/>
        </w:tabs>
        <w:numPr>
          <w:ilvl w:val="0"/>
          <w:numId w:val="283"/>
        </w:numPr>
        <w:rPr>
          <w:rFonts w:ascii="Arial" w:cs="Arial" w:eastAsia="Arial" w:hAnsi="Arial"/>
          <w:sz w:val="16"/>
          <w:szCs w:val="16"/>
          <w:color w:val="auto"/>
        </w:rPr>
      </w:pPr>
      <w:r>
        <w:rPr>
          <w:rFonts w:ascii="Arial" w:cs="Arial" w:eastAsia="Arial" w:hAnsi="Arial"/>
          <w:sz w:val="16"/>
          <w:szCs w:val="16"/>
          <w:color w:val="auto"/>
        </w:rPr>
        <w:t>Real Estate SPV, as long as such Subsidiary has no material assets other than the real estate the real estate financed pursuant to the Real Estate Loan Facility and other assets contemplated to be owned by Real Estate SPV pursuant to the terms of the Real Estate Loan Facility;</w:t>
      </w:r>
    </w:p>
    <w:p>
      <w:pPr>
        <w:spacing w:after="0" w:line="101" w:lineRule="exact"/>
        <w:rPr>
          <w:rFonts w:ascii="Arial" w:cs="Arial" w:eastAsia="Arial" w:hAnsi="Arial"/>
          <w:sz w:val="16"/>
          <w:szCs w:val="16"/>
          <w:color w:val="auto"/>
        </w:rPr>
      </w:pPr>
    </w:p>
    <w:p>
      <w:pPr>
        <w:ind w:firstLine="582"/>
        <w:spacing w:after="0" w:line="283" w:lineRule="auto"/>
        <w:tabs>
          <w:tab w:leader="none" w:pos="941"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any other Subsidiary that is not a Loan Party and designated as an Excluded Subsidiary by Borrower Representative by written notice to Agent, provided that with respect to all Subsidiaries so designated in accordance with this </w:t>
      </w:r>
      <w:r>
        <w:rPr>
          <w:rFonts w:ascii="Arial" w:cs="Arial" w:eastAsia="Arial" w:hAnsi="Arial"/>
          <w:sz w:val="16"/>
          <w:szCs w:val="16"/>
          <w:u w:val="single" w:color="auto"/>
          <w:color w:val="auto"/>
        </w:rPr>
        <w:t>clause (c)</w:t>
      </w:r>
      <w:r>
        <w:rPr>
          <w:rFonts w:ascii="Arial" w:cs="Arial" w:eastAsia="Arial" w:hAnsi="Arial"/>
          <w:sz w:val="16"/>
          <w:szCs w:val="16"/>
          <w:color w:val="auto"/>
        </w:rPr>
        <w:t>, each of the following conditions shall be true:</w:t>
      </w:r>
    </w:p>
    <w:p>
      <w:pPr>
        <w:spacing w:after="0" w:line="102" w:lineRule="exact"/>
        <w:rPr>
          <w:sz w:val="20"/>
          <w:szCs w:val="20"/>
          <w:color w:val="auto"/>
        </w:rPr>
      </w:pPr>
    </w:p>
    <w:p>
      <w:pPr>
        <w:ind w:left="1160" w:hanging="578"/>
        <w:spacing w:after="0" w:line="286" w:lineRule="auto"/>
        <w:tabs>
          <w:tab w:leader="none" w:pos="922" w:val="left"/>
        </w:tabs>
        <w:numPr>
          <w:ilvl w:val="0"/>
          <w:numId w:val="284"/>
        </w:numPr>
        <w:rPr>
          <w:rFonts w:ascii="Arial" w:cs="Arial" w:eastAsia="Arial" w:hAnsi="Arial"/>
          <w:sz w:val="15"/>
          <w:szCs w:val="15"/>
          <w:color w:val="auto"/>
        </w:rPr>
      </w:pPr>
      <w:r>
        <w:rPr>
          <w:rFonts w:ascii="Arial" w:cs="Arial" w:eastAsia="Arial" w:hAnsi="Arial"/>
          <w:sz w:val="15"/>
          <w:szCs w:val="15"/>
          <w:color w:val="auto"/>
        </w:rPr>
        <w:t>all such Subsidiaries, taken together, maintain cash and other assets having an aggregate value not in excess of ten percent (10.0%) of consolidated assets of Borrower Representative, and its Subsidiaries, on a consolidated basis, and each such Subsidiary, individually, maintains cash and other assets having an aggregate value not in excess of five percent (5.0%) of consolidated assets of Borrower Representative, in each case, tested as of the last day of each fiscal quarter, provided that for purposes of this clause (i) assets of Real Estate SPV shall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A-6</w:t>
      </w:r>
    </w:p>
    <w:p>
      <w:pPr>
        <w:sectPr>
          <w:pgSz w:w="11900" w:h="16838" w:orient="portrait"/>
          <w:cols w:equalWidth="0" w:num="1">
            <w:col w:w="11240"/>
          </w:cols>
          <w:pgMar w:left="320" w:top="1292" w:right="339" w:bottom="1440" w:gutter="0" w:footer="0" w:header="0"/>
        </w:sectPr>
      </w:pPr>
    </w:p>
    <w:bookmarkStart w:id="391" w:name="page392"/>
    <w:bookmarkEnd w:id="391"/>
    <w:p>
      <w:pPr>
        <w:ind w:left="1160" w:hanging="578"/>
        <w:spacing w:after="0" w:line="264" w:lineRule="auto"/>
        <w:tabs>
          <w:tab w:leader="none" w:pos="94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all such Subsidiaries, taken together, do not contribute more than ten percent (10.0%) to consolidated revenue of Borrower Representative and its Subsidiaries consolidated revenue or EBITDA, and each such Subsidiary, individually, does not contribute more than five percent (5.0%) to consolidated revenue of Borrower Representative and its Subsidiaries consolidated revenue or EBITDA, in each case, tested on a quarterly basis for the then-most recent quarter, and</w:t>
      </w:r>
    </w:p>
    <w:p>
      <w:pPr>
        <w:spacing w:after="0" w:line="116" w:lineRule="exact"/>
        <w:rPr>
          <w:rFonts w:ascii="Arial" w:cs="Arial" w:eastAsia="Arial" w:hAnsi="Arial"/>
          <w:sz w:val="16"/>
          <w:szCs w:val="16"/>
          <w:color w:val="auto"/>
        </w:rPr>
      </w:pPr>
    </w:p>
    <w:p>
      <w:pPr>
        <w:ind w:left="980" w:hanging="398"/>
        <w:spacing w:after="0"/>
        <w:tabs>
          <w:tab w:leader="none" w:pos="98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no such Subsidiary owns any Intellectual Property that is material to the business of Borrower Representative and its Subsidiaries as a whole.</w:t>
      </w:r>
    </w:p>
    <w:p>
      <w:pPr>
        <w:spacing w:after="0" w:line="153" w:lineRule="exact"/>
        <w:rPr>
          <w:sz w:val="20"/>
          <w:szCs w:val="20"/>
          <w:color w:val="auto"/>
        </w:rPr>
      </w:pPr>
    </w:p>
    <w:p>
      <w:pPr>
        <w:jc w:val="both"/>
        <w:ind w:firstLine="585"/>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Taxes</w:t>
      </w:r>
      <w:r>
        <w:rPr>
          <w:rFonts w:ascii="Arial" w:cs="Arial" w:eastAsia="Arial" w:hAnsi="Arial"/>
          <w:sz w:val="15"/>
          <w:szCs w:val="15"/>
          <w:color w:val="auto"/>
        </w:rPr>
        <w:t xml:space="preserve">” means (i) any tax imposed on the net income or net profits of any Lender or any Participant (including any branch profits taxes), in each case imposed by the jurisdiction (or by any political subdivision or taxing authority thereof) in which such Lender or such Participant is organized or the jurisdiction (or by any political subdivision or taxing authority thereof) in which such Lender’s or such Participant’s principal office is located in or as a result of a present or former connection between such Lender or such Participant and the jurisdiction or taxing authority imposing the tax (other than any such connection arising solely from such Lender or such Participant having executed, delivered or performed its obligations or received payment under, or enforced its rights or remedies under this Agreement or any other Loan Document), (ii) United States federal withholding taxes that would not have been imposed but for a Lender’s or a Participant’s failure to comply with the requirements of </w:t>
      </w:r>
      <w:r>
        <w:rPr>
          <w:rFonts w:ascii="Arial" w:cs="Arial" w:eastAsia="Arial" w:hAnsi="Arial"/>
          <w:sz w:val="15"/>
          <w:szCs w:val="15"/>
          <w:u w:val="single" w:color="auto"/>
          <w:color w:val="auto"/>
        </w:rPr>
        <w:t>Section 14.2</w:t>
      </w:r>
      <w:r>
        <w:rPr>
          <w:rFonts w:ascii="Arial" w:cs="Arial" w:eastAsia="Arial" w:hAnsi="Arial"/>
          <w:sz w:val="15"/>
          <w:szCs w:val="15"/>
          <w:color w:val="auto"/>
        </w:rPr>
        <w:t xml:space="preserve"> of this Agreement, (iii) any United States federal withholding taxes that would be imposed on amounts payable to a Foreign Lender based upon the applicable withholding rate in effect at the time such Foreign Lender becomes a party to this Agreement (or designates a new lending office, other than a designation made at the request of a Loan Party), </w:t>
      </w:r>
      <w:r>
        <w:rPr>
          <w:rFonts w:ascii="Arial" w:cs="Arial" w:eastAsia="Arial" w:hAnsi="Arial"/>
          <w:sz w:val="15"/>
          <w:szCs w:val="15"/>
          <w:u w:val="single" w:color="auto"/>
          <w:color w:val="auto"/>
        </w:rPr>
        <w:t>except</w:t>
      </w:r>
      <w:r>
        <w:rPr>
          <w:rFonts w:ascii="Arial" w:cs="Arial" w:eastAsia="Arial" w:hAnsi="Arial"/>
          <w:sz w:val="15"/>
          <w:szCs w:val="15"/>
          <w:color w:val="auto"/>
        </w:rPr>
        <w:t xml:space="preserve"> that Excluded Taxes shall not include (A) any amount that such Foreign Lender (or its assignor, if any) was previously entitled to receive pursuant to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of this Agreement, if any, with respect to such withholding tax at the time 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 treaty, order or other decision or other Change in Law with respect to any of the foregoing by any Governmental Authority, and (iv) any United States federal withholding taxes imposed under FATCA.</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Loan Agreement</w:t>
      </w:r>
      <w:r>
        <w:rPr>
          <w:rFonts w:ascii="Arial" w:cs="Arial" w:eastAsia="Arial" w:hAnsi="Arial"/>
          <w:sz w:val="16"/>
          <w:szCs w:val="16"/>
          <w:color w:val="auto"/>
        </w:rPr>
        <w:t>” has the meaning set forth in the preamble hereto.</w:t>
      </w:r>
    </w:p>
    <w:p>
      <w:pPr>
        <w:spacing w:after="0" w:line="157"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FCPA</w:t>
      </w:r>
      <w:r>
        <w:rPr>
          <w:rFonts w:ascii="Arial" w:cs="Arial" w:eastAsia="Arial" w:hAnsi="Arial"/>
          <w:sz w:val="16"/>
          <w:szCs w:val="16"/>
          <w:color w:val="auto"/>
        </w:rPr>
        <w:t>” means United States Foreign Corrupt Practices Act of 1977, as amended.</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Reserve Board</w:t>
      </w:r>
      <w:r>
        <w:rPr>
          <w:rFonts w:ascii="Arial" w:cs="Arial" w:eastAsia="Arial" w:hAnsi="Arial"/>
          <w:sz w:val="16"/>
          <w:szCs w:val="16"/>
          <w:color w:val="auto"/>
        </w:rPr>
        <w:t>” means the Board of Governors of the Federal Reserve System, or any successor thereto.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Fixed Charge Coverage Ratio</w:t>
      </w:r>
      <w:r>
        <w:rPr>
          <w:rFonts w:ascii="Arial" w:cs="Arial" w:eastAsia="Arial" w:hAnsi="Arial"/>
          <w:sz w:val="16"/>
          <w:szCs w:val="16"/>
          <w:color w:val="auto"/>
        </w:rPr>
        <w:t>” means, as of any date of determination, the ratio of</w:t>
      </w:r>
    </w:p>
    <w:p>
      <w:pPr>
        <w:spacing w:after="0" w:line="161" w:lineRule="exact"/>
        <w:rPr>
          <w:sz w:val="20"/>
          <w:szCs w:val="20"/>
          <w:color w:val="auto"/>
        </w:rPr>
      </w:pPr>
    </w:p>
    <w:p>
      <w:pPr>
        <w:ind w:left="580" w:right="20" w:firstLine="587"/>
        <w:spacing w:after="0" w:line="283" w:lineRule="auto"/>
        <w:tabs>
          <w:tab w:leader="none" w:pos="155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EBITDA for the consecutive twelve month period then ended, less the following, without duplication and to the extent deducted in determining EBITDA for such period:</w:t>
      </w:r>
    </w:p>
    <w:p>
      <w:pPr>
        <w:spacing w:after="0" w:line="101" w:lineRule="exact"/>
        <w:rPr>
          <w:rFonts w:ascii="Arial" w:cs="Arial" w:eastAsia="Arial" w:hAnsi="Arial"/>
          <w:sz w:val="16"/>
          <w:szCs w:val="16"/>
          <w:color w:val="auto"/>
        </w:rPr>
      </w:pPr>
    </w:p>
    <w:p>
      <w:pPr>
        <w:ind w:left="2140" w:hanging="389"/>
        <w:spacing w:after="0"/>
        <w:tabs>
          <w:tab w:leader="none" w:pos="214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taxes based on income, profits, or capital, to the extent paid in cash;</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distributions in cash permitted pursuant to </w:t>
      </w:r>
      <w:r>
        <w:rPr>
          <w:rFonts w:ascii="Arial" w:cs="Arial" w:eastAsia="Arial" w:hAnsi="Arial"/>
          <w:sz w:val="16"/>
          <w:szCs w:val="16"/>
          <w:u w:val="single" w:color="auto"/>
          <w:color w:val="auto"/>
        </w:rPr>
        <w:t>Section 7.7</w:t>
      </w:r>
      <w:r>
        <w:rPr>
          <w:rFonts w:ascii="Arial" w:cs="Arial" w:eastAsia="Arial" w:hAnsi="Arial"/>
          <w:sz w:val="16"/>
          <w:szCs w:val="16"/>
          <w:color w:val="auto"/>
        </w:rPr>
        <w:t>, and</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capital expenditures (excluding the principal amount of Indebtedness incurred to finance such capital expenditures); to</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sum of cash interest expense, mandatory scheduled principal repayments and capital lease payments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A-7</w:t>
      </w:r>
    </w:p>
    <w:p>
      <w:pPr>
        <w:sectPr>
          <w:pgSz w:w="11900" w:h="16838" w:orient="portrait"/>
          <w:cols w:equalWidth="0" w:num="1">
            <w:col w:w="11260"/>
          </w:cols>
          <w:pgMar w:left="320" w:top="1296" w:right="319" w:bottom="1440" w:gutter="0" w:footer="0" w:header="0"/>
        </w:sectPr>
      </w:pPr>
    </w:p>
    <w:bookmarkStart w:id="392" w:name="page393"/>
    <w:bookmarkEnd w:id="392"/>
    <w:p>
      <w:pPr>
        <w:jc w:val="both"/>
        <w:ind w:right="20" w:firstLine="585"/>
        <w:spacing w:after="0" w:line="318" w:lineRule="auto"/>
        <w:rPr>
          <w:sz w:val="20"/>
          <w:szCs w:val="20"/>
          <w:color w:val="auto"/>
        </w:rPr>
      </w:pPr>
      <w:r>
        <w:rPr>
          <w:rFonts w:ascii="Arial" w:cs="Arial" w:eastAsia="Arial" w:hAnsi="Arial"/>
          <w:sz w:val="15"/>
          <w:szCs w:val="15"/>
          <w:color w:val="auto"/>
        </w:rPr>
        <w:t>provided that taxes, distributions, capital expenditures, interest expenses and principal payments or lease payments shall be annualized for the first three fiscal quarters following the Effective Date, by multiplying the consecutive 3-, 6-, and 9-month period following the Effective Date by a factor of 4, 2 and 1.333, as applicable.</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Lender</w:t>
      </w:r>
      <w:r>
        <w:rPr>
          <w:rFonts w:ascii="Arial" w:cs="Arial" w:eastAsia="Arial" w:hAnsi="Arial"/>
          <w:sz w:val="16"/>
          <w:szCs w:val="16"/>
          <w:color w:val="auto"/>
        </w:rPr>
        <w:t>” means any Lender or Participant that is not a United States person within the meaning of IRC section 7701(a)(30).</w:t>
      </w:r>
    </w:p>
    <w:p>
      <w:pPr>
        <w:spacing w:after="0" w:line="157"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Free Cash Flow</w:t>
      </w:r>
      <w:r>
        <w:rPr>
          <w:rFonts w:ascii="Arial" w:cs="Arial" w:eastAsia="Arial" w:hAnsi="Arial"/>
          <w:sz w:val="16"/>
          <w:szCs w:val="16"/>
          <w:color w:val="auto"/>
        </w:rPr>
        <w:t>” means, for any period, an amount equal to the sum of (a) the amount of “cash flows from operating activities” for such period, provided that for purposes of the foregoing, cash flows attributable to receipt or disbursement of customer funds held by Borrower Representative or any of its Subsidiaries (including any MSB Subsidiary) shall be disregarded, less (b) “cash flows from investing activities” for such period, in each case, as set forth in the line items so identified in the consolidated cash flow statements of Borrower Representative, which cash flow statements shall be prepared in a format and using accounting practices consistent with cash flow statements provided by Borrower Representative as of the Closing Date.</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Funding Date</w:t>
      </w:r>
      <w:r>
        <w:rPr>
          <w:rFonts w:ascii="Arial" w:cs="Arial" w:eastAsia="Arial" w:hAnsi="Arial"/>
          <w:sz w:val="16"/>
          <w:szCs w:val="16"/>
          <w:color w:val="auto"/>
        </w:rPr>
        <w:t>” means any date on which a Credit Extension is made to or for the account of a Borrower which shall be a Business Day.</w:t>
      </w:r>
    </w:p>
    <w:p>
      <w:pPr>
        <w:spacing w:after="0" w:line="157" w:lineRule="exact"/>
        <w:rPr>
          <w:sz w:val="20"/>
          <w:szCs w:val="20"/>
          <w:color w:val="auto"/>
        </w:rPr>
      </w:pPr>
    </w:p>
    <w:p>
      <w:pPr>
        <w:jc w:val="both"/>
        <w:ind w:right="20" w:firstLine="585"/>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GAAP</w:t>
      </w:r>
      <w:r>
        <w:rPr>
          <w:rFonts w:ascii="Arial" w:cs="Arial" w:eastAsia="Arial" w:hAnsi="Arial"/>
          <w:sz w:val="14"/>
          <w:szCs w:val="14"/>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provided, however, that if there occurs after the Closing Date any change in GAAP that affects in any respect the calculation of any covenant or threshold in this Agreement, Required Lenders and Borrowers shall negotiate in good faith amendments to the provisions of this Agreement that relate to the calculation of such covenant or threshold with the intent of having the respective positions of Lenders and Borrowers after such change in GAAP conform as nearly as possible to their respective positions as of the Closing Date, and, until any such amendments have been agreed upon, such covenants and thresholds shall be calculated as if no such change in GAAP has occurred.</w:t>
      </w:r>
    </w:p>
    <w:p>
      <w:pPr>
        <w:spacing w:after="0" w:line="92"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General Intangibles</w:t>
      </w:r>
      <w:r>
        <w:rPr>
          <w:rFonts w:ascii="Arial" w:cs="Arial" w:eastAsia="Arial" w:hAnsi="Arial"/>
          <w:sz w:val="15"/>
          <w:szCs w:val="15"/>
          <w:color w:val="auto"/>
        </w:rPr>
        <w:t>” means all “general intangibles” as defined in the Code in effect on the Closing Date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98"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Approval</w:t>
      </w:r>
      <w:r>
        <w:rPr>
          <w:rFonts w:ascii="Arial" w:cs="Arial" w:eastAsia="Arial" w:hAnsi="Arial"/>
          <w:sz w:val="16"/>
          <w:szCs w:val="16"/>
          <w:color w:val="auto"/>
        </w:rPr>
        <w:t>” means any consent, authorization, approval, order, license, franchise, permit, certificate, accreditation, registration, filing or notice, of, issued by, from or to, or other act by or in respect of, any Governmental Authority.</w:t>
      </w:r>
    </w:p>
    <w:p>
      <w:pPr>
        <w:spacing w:after="0" w:line="94"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0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w:t>
      </w:r>
      <w:r>
        <w:rPr>
          <w:rFonts w:ascii="Arial" w:cs="Arial" w:eastAsia="Arial" w:hAnsi="Arial"/>
          <w:sz w:val="16"/>
          <w:szCs w:val="16"/>
          <w:color w:val="auto"/>
        </w:rPr>
        <w:t>” means any Person providing a Guaranty in favor of Secured Parties or providing collateral, security or other credit support for all or any portion of the Obligations.</w:t>
      </w:r>
    </w:p>
    <w:p>
      <w:pPr>
        <w:spacing w:after="0" w:line="94"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means any guarantee of all or any part of the Obligations, as the same may from time to time be amended, restated, modified or otherwise supplemented.</w:t>
      </w:r>
    </w:p>
    <w:p>
      <w:pPr>
        <w:spacing w:after="0" w:line="94" w:lineRule="exact"/>
        <w:rPr>
          <w:sz w:val="20"/>
          <w:szCs w:val="20"/>
          <w:color w:val="auto"/>
        </w:rPr>
      </w:pPr>
    </w:p>
    <w:p>
      <w:pPr>
        <w:jc w:val="both"/>
        <w:ind w:right="20" w:firstLine="58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Indebtedness</w:t>
      </w:r>
      <w:r>
        <w:rPr>
          <w:rFonts w:ascii="Arial" w:cs="Arial" w:eastAsia="Arial" w:hAnsi="Arial"/>
          <w:sz w:val="14"/>
          <w:szCs w:val="14"/>
          <w:color w:val="auto"/>
        </w:rPr>
        <w:t>” means (a) indebtedness for borrowed money or the deferred price of property or services, (b) any reimbursement and other obligations for surety bonds and letters of credit, (c) obligations evidenced by notes, bonds, debentures or similar instruments, (d) capital lease obligations, and (e) Contingent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A-8</w:t>
      </w:r>
    </w:p>
    <w:p>
      <w:pPr>
        <w:sectPr>
          <w:pgSz w:w="11900" w:h="16838" w:orient="portrait"/>
          <w:cols w:equalWidth="0" w:num="1">
            <w:col w:w="11260"/>
          </w:cols>
          <w:pgMar w:left="320" w:top="1296" w:right="319" w:bottom="1440" w:gutter="0" w:footer="0" w:header="0"/>
        </w:sectPr>
      </w:pPr>
    </w:p>
    <w:bookmarkStart w:id="393" w:name="page394"/>
    <w:bookmarkEnd w:id="393"/>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12.3</w:t>
      </w:r>
      <w:r>
        <w:rPr>
          <w:rFonts w:ascii="Arial" w:cs="Arial" w:eastAsia="Arial" w:hAnsi="Arial"/>
          <w:sz w:val="16"/>
          <w:szCs w:val="16"/>
          <w:color w:val="auto"/>
        </w:rPr>
        <w:t>.</w:t>
      </w:r>
    </w:p>
    <w:p>
      <w:pPr>
        <w:spacing w:after="0" w:line="157"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Loan</w:t>
      </w:r>
      <w:r>
        <w:rPr>
          <w:rFonts w:ascii="Arial" w:cs="Arial" w:eastAsia="Arial" w:hAnsi="Arial"/>
          <w:sz w:val="16"/>
          <w:szCs w:val="16"/>
          <w:color w:val="auto"/>
        </w:rPr>
        <w:t>” means the Term Loans funded on or about the Effective Date pursuant to the Initial Term Loan Commitment.</w:t>
      </w:r>
    </w:p>
    <w:p>
      <w:pPr>
        <w:spacing w:after="0" w:line="157" w:lineRule="exact"/>
        <w:rPr>
          <w:sz w:val="20"/>
          <w:szCs w:val="20"/>
          <w:color w:val="auto"/>
        </w:rPr>
      </w:pPr>
    </w:p>
    <w:p>
      <w:pPr>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Initial Term Loan Commitment</w:t>
      </w:r>
      <w:r>
        <w:rPr>
          <w:rFonts w:ascii="Arial" w:cs="Arial" w:eastAsia="Arial" w:hAnsi="Arial"/>
          <w:sz w:val="15"/>
          <w:szCs w:val="15"/>
          <w:color w:val="auto"/>
        </w:rPr>
        <w:t xml:space="preserve">” means, with respect to each Term Loan Lender, such Term Loan Lender’s commitment, to make Initial Term Loans in an aggregate principal amount not to exceed the amount set forth under the heading “Initial Term Loan Commitment” opposite such Lender’s name on </w:t>
      </w:r>
      <w:r>
        <w:rPr>
          <w:rFonts w:ascii="Arial" w:cs="Arial" w:eastAsia="Arial" w:hAnsi="Arial"/>
          <w:sz w:val="15"/>
          <w:szCs w:val="15"/>
          <w:u w:val="single" w:color="auto"/>
          <w:color w:val="auto"/>
        </w:rPr>
        <w:t>Schedule 1</w:t>
      </w:r>
      <w:r>
        <w:rPr>
          <w:rFonts w:ascii="Arial" w:cs="Arial" w:eastAsia="Arial" w:hAnsi="Arial"/>
          <w:sz w:val="15"/>
          <w:szCs w:val="15"/>
          <w:color w:val="auto"/>
        </w:rPr>
        <w:t>.</w:t>
      </w:r>
    </w:p>
    <w:p>
      <w:pPr>
        <w:spacing w:after="0" w:line="70" w:lineRule="exact"/>
        <w:rPr>
          <w:sz w:val="20"/>
          <w:szCs w:val="20"/>
          <w:color w:val="auto"/>
        </w:rPr>
      </w:pPr>
    </w:p>
    <w:p>
      <w:pPr>
        <w:ind w:right="20" w:firstLine="58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Insolvency Proceeding</w:t>
      </w:r>
      <w:r>
        <w:rPr>
          <w:rFonts w:ascii="Arial" w:cs="Arial" w:eastAsia="Arial" w:hAnsi="Arial"/>
          <w:sz w:val="14"/>
          <w:szCs w:val="14"/>
          <w:color w:val="auto"/>
        </w:rPr>
        <w:t>”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48"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with respect to any Loan Party (or, as applicable, any of its Subsidiaries), all of such Loan Party’s or Subsidiary’s right, title, and interest in and to the following:</w:t>
      </w:r>
    </w:p>
    <w:p>
      <w:pPr>
        <w:spacing w:after="0" w:line="98" w:lineRule="exact"/>
        <w:rPr>
          <w:sz w:val="20"/>
          <w:szCs w:val="20"/>
          <w:color w:val="auto"/>
        </w:rPr>
      </w:pPr>
    </w:p>
    <w:p>
      <w:pPr>
        <w:ind w:left="1500" w:hanging="333"/>
        <w:spacing w:after="0"/>
        <w:tabs>
          <w:tab w:leader="none" w:pos="150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its Copyrights, Trademarks and Patents;</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any and all trade secrets and trade secret rights, including, without limitation, any rights to unpatented inventions, know-how, operating manuals;</w:t>
      </w:r>
    </w:p>
    <w:p>
      <w:pPr>
        <w:spacing w:after="0" w:line="168" w:lineRule="exact"/>
        <w:rPr>
          <w:rFonts w:ascii="Arial" w:cs="Arial" w:eastAsia="Arial" w:hAnsi="Arial"/>
          <w:sz w:val="15"/>
          <w:szCs w:val="15"/>
          <w:color w:val="auto"/>
        </w:rPr>
      </w:pPr>
    </w:p>
    <w:p>
      <w:pPr>
        <w:ind w:left="1500" w:hanging="333"/>
        <w:spacing w:after="0"/>
        <w:tabs>
          <w:tab w:leader="none" w:pos="150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any and all source code;</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any and all design rights which may be available to such Person;</w:t>
      </w:r>
    </w:p>
    <w:p>
      <w:pPr>
        <w:spacing w:after="0" w:line="157" w:lineRule="exact"/>
        <w:rPr>
          <w:rFonts w:ascii="Arial" w:cs="Arial" w:eastAsia="Arial" w:hAnsi="Arial"/>
          <w:sz w:val="16"/>
          <w:szCs w:val="16"/>
          <w:color w:val="auto"/>
        </w:rPr>
      </w:pPr>
    </w:p>
    <w:p>
      <w:pPr>
        <w:ind w:left="580" w:right="20" w:firstLine="587"/>
        <w:spacing w:after="0" w:line="283" w:lineRule="auto"/>
        <w:tabs>
          <w:tab w:leader="none" w:pos="1529"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01" w:lineRule="exact"/>
        <w:rPr>
          <w:rFonts w:ascii="Arial" w:cs="Arial" w:eastAsia="Arial" w:hAnsi="Arial"/>
          <w:sz w:val="16"/>
          <w:szCs w:val="16"/>
          <w:color w:val="auto"/>
        </w:rPr>
      </w:pPr>
    </w:p>
    <w:p>
      <w:pPr>
        <w:ind w:left="1500" w:hanging="333"/>
        <w:spacing w:after="0"/>
        <w:tabs>
          <w:tab w:leader="none" w:pos="150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all amendments, renewals and extensions of any of the Copyrights, Trademarks or Patents.</w:t>
      </w:r>
    </w:p>
    <w:p>
      <w:pPr>
        <w:spacing w:after="0" w:line="153"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Expense</w:t>
      </w:r>
      <w:r>
        <w:rPr>
          <w:rFonts w:ascii="Arial" w:cs="Arial" w:eastAsia="Arial" w:hAnsi="Arial"/>
          <w:sz w:val="16"/>
          <w:szCs w:val="16"/>
          <w:color w:val="auto"/>
        </w:rPr>
        <w:t>” means for any fiscal period, interest expense (whether cash or non-cash) of Borrowers and each of its Subsidiaries, determined on a consolidated basis and in accordance with GAAP for the relevant period ending on such date, including, in any event, interest expense with respect to any Credit Extension and other Indebtedness of such Borrower or Subsidiary,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Inventory</w:t>
      </w:r>
      <w:r>
        <w:rPr>
          <w:rFonts w:ascii="Arial" w:cs="Arial" w:eastAsia="Arial" w:hAnsi="Arial"/>
          <w:sz w:val="16"/>
          <w:szCs w:val="16"/>
          <w:color w:val="auto"/>
        </w:rPr>
        <w:t>” means all “inventory” as defined in the Code in effect on the Closing Date with such additions to such term as may hereafter be made.</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any beneficial ownership interest in any Person (including stock, partnership interest or other securities or Equity Interests), and any loan, advance or capital contribution to any Person, or the acquisition of all or substantially all of the assets or properties of another Person.</w:t>
      </w:r>
    </w:p>
    <w:p>
      <w:pPr>
        <w:spacing w:after="0" w:line="94"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Security Agreement</w:t>
      </w:r>
      <w:r>
        <w:rPr>
          <w:rFonts w:ascii="Arial" w:cs="Arial" w:eastAsia="Arial" w:hAnsi="Arial"/>
          <w:sz w:val="16"/>
          <w:szCs w:val="16"/>
          <w:color w:val="auto"/>
        </w:rPr>
        <w:t>” means that certain intellectual property security agreement entered into by each Loan Party which is the owner of Intellectual Property registered with the United States Patent and Trademark Office or United States Copyright Office, as of the Closing Date, as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A-9</w:t>
      </w:r>
    </w:p>
    <w:p>
      <w:pPr>
        <w:sectPr>
          <w:pgSz w:w="11900" w:h="16838" w:orient="portrait"/>
          <w:cols w:equalWidth="0" w:num="1">
            <w:col w:w="11260"/>
          </w:cols>
          <w:pgMar w:left="320" w:top="1291" w:right="319" w:bottom="1440" w:gutter="0" w:footer="0" w:header="0"/>
        </w:sectPr>
      </w:pPr>
    </w:p>
    <w:bookmarkStart w:id="394" w:name="page395"/>
    <w:bookmarkEnd w:id="394"/>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Key Person</w:t>
      </w:r>
      <w:r>
        <w:rPr>
          <w:rFonts w:ascii="Arial" w:cs="Arial" w:eastAsia="Arial" w:hAnsi="Arial"/>
          <w:sz w:val="16"/>
          <w:szCs w:val="16"/>
          <w:color w:val="auto"/>
        </w:rPr>
        <w:t>” means the Chief Executive Officer, President and Chief Financial Officer of Borrower Representative.</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has the meaning set forth in the preamble hereof.</w:t>
      </w:r>
    </w:p>
    <w:p>
      <w:pPr>
        <w:spacing w:after="0" w:line="157" w:lineRule="exact"/>
        <w:rPr>
          <w:sz w:val="20"/>
          <w:szCs w:val="20"/>
          <w:color w:val="auto"/>
        </w:rPr>
      </w:pPr>
    </w:p>
    <w:p>
      <w:pPr>
        <w:jc w:val="both"/>
        <w:ind w:left="3"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a claim, mortgage, deed of trust, levy, charge, pledge, security interest or other encumbrance of any kind, whether voluntarily incurred or arising by operation of law or otherwise against any property.</w:t>
      </w:r>
    </w:p>
    <w:p>
      <w:pPr>
        <w:spacing w:after="0" w:line="94" w:lineRule="exact"/>
        <w:rPr>
          <w:sz w:val="20"/>
          <w:szCs w:val="20"/>
          <w:color w:val="auto"/>
        </w:rPr>
      </w:pPr>
    </w:p>
    <w:p>
      <w:pPr>
        <w:jc w:val="both"/>
        <w:ind w:left="3"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Liquidity</w:t>
      </w:r>
      <w:r>
        <w:rPr>
          <w:rFonts w:ascii="Arial" w:cs="Arial" w:eastAsia="Arial" w:hAnsi="Arial"/>
          <w:sz w:val="16"/>
          <w:szCs w:val="16"/>
          <w:color w:val="auto"/>
        </w:rPr>
        <w:t>” means, as of any date of determination, the sum of (i) Qualified Cash, and (ii) unused availability under the Revolving Commitments, in each case, as determined as of such date.</w:t>
      </w:r>
    </w:p>
    <w:p>
      <w:pPr>
        <w:spacing w:after="0" w:line="94" w:lineRule="exact"/>
        <w:rPr>
          <w:sz w:val="20"/>
          <w:szCs w:val="20"/>
          <w:color w:val="auto"/>
        </w:rPr>
      </w:pPr>
    </w:p>
    <w:p>
      <w:pPr>
        <w:jc w:val="both"/>
        <w:ind w:left="3"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means, collectively, this Agreement and any schedules, exhibits, certificates, notices, and any other documents related to this Agreement, an IP Security Agreement, the Account Control Agreements, the collateral access agreements, any Subordination Agreement, any note, or notes or guaranties executed by a Loan Party, and any other present or future agreement by a Loan Party with or for the benefit of Agent or any Secured Party in connection with this Agreement, all as amended, modified, supplemented, extended or restated from time to time.</w:t>
      </w:r>
    </w:p>
    <w:p>
      <w:pPr>
        <w:spacing w:after="0" w:line="113"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Party</w:t>
      </w:r>
      <w:r>
        <w:rPr>
          <w:rFonts w:ascii="Arial" w:cs="Arial" w:eastAsia="Arial" w:hAnsi="Arial"/>
          <w:sz w:val="16"/>
          <w:szCs w:val="16"/>
          <w:color w:val="auto"/>
        </w:rPr>
        <w:t>” or “</w:t>
      </w:r>
      <w:r>
        <w:rPr>
          <w:rFonts w:ascii="Arial" w:cs="Arial" w:eastAsia="Arial" w:hAnsi="Arial"/>
          <w:sz w:val="16"/>
          <w:szCs w:val="16"/>
          <w:b w:val="1"/>
          <w:bCs w:val="1"/>
          <w:color w:val="auto"/>
        </w:rPr>
        <w:t>Loan Parties</w:t>
      </w:r>
      <w:r>
        <w:rPr>
          <w:rFonts w:ascii="Arial" w:cs="Arial" w:eastAsia="Arial" w:hAnsi="Arial"/>
          <w:sz w:val="16"/>
          <w:szCs w:val="16"/>
          <w:color w:val="auto"/>
        </w:rPr>
        <w:t>” means, each Borrower and each Guarantor, if any, from time to time party hereto.</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Request</w:t>
      </w:r>
      <w:r>
        <w:rPr>
          <w:rFonts w:ascii="Arial" w:cs="Arial" w:eastAsia="Arial" w:hAnsi="Arial"/>
          <w:sz w:val="16"/>
          <w:szCs w:val="16"/>
          <w:color w:val="auto"/>
        </w:rPr>
        <w:t xml:space="preserve">” means a request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Loans</w:t>
      </w:r>
      <w:r>
        <w:rPr>
          <w:rFonts w:ascii="Arial" w:cs="Arial" w:eastAsia="Arial" w:hAnsi="Arial"/>
          <w:sz w:val="16"/>
          <w:szCs w:val="16"/>
          <w:color w:val="auto"/>
        </w:rPr>
        <w:t>” means, collectively, the Revolving Loans and the Term Loans, and a “</w:t>
      </w:r>
      <w:r>
        <w:rPr>
          <w:rFonts w:ascii="Arial" w:cs="Arial" w:eastAsia="Arial" w:hAnsi="Arial"/>
          <w:sz w:val="16"/>
          <w:szCs w:val="16"/>
          <w:b w:val="1"/>
          <w:bCs w:val="1"/>
          <w:color w:val="auto"/>
        </w:rPr>
        <w:t>Loan</w:t>
      </w:r>
      <w:r>
        <w:rPr>
          <w:rFonts w:ascii="Arial" w:cs="Arial" w:eastAsia="Arial" w:hAnsi="Arial"/>
          <w:sz w:val="16"/>
          <w:szCs w:val="16"/>
          <w:color w:val="auto"/>
        </w:rPr>
        <w:t>”, shall mean any one of them.</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Margin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5.11(b)</w:t>
      </w:r>
      <w:r>
        <w:rPr>
          <w:rFonts w:ascii="Arial" w:cs="Arial" w:eastAsia="Arial" w:hAnsi="Arial"/>
          <w:sz w:val="16"/>
          <w:szCs w:val="16"/>
          <w:color w:val="auto"/>
        </w:rPr>
        <w:t>.</w:t>
      </w:r>
    </w:p>
    <w:p>
      <w:pPr>
        <w:spacing w:after="0" w:line="157" w:lineRule="exact"/>
        <w:rPr>
          <w:sz w:val="20"/>
          <w:szCs w:val="20"/>
          <w:color w:val="auto"/>
        </w:rPr>
      </w:pPr>
    </w:p>
    <w:p>
      <w:pPr>
        <w:jc w:val="both"/>
        <w:ind w:left="3" w:firstLine="585"/>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Material Adverse Effect</w:t>
      </w:r>
      <w:r>
        <w:rPr>
          <w:rFonts w:ascii="Arial" w:cs="Arial" w:eastAsia="Arial" w:hAnsi="Arial"/>
          <w:sz w:val="14"/>
          <w:szCs w:val="14"/>
          <w:color w:val="auto"/>
        </w:rPr>
        <w:t>” means (a) a material impairment in the perfection or priority of Agent’s Lien in the Collateral or in the value of the Collateral; or (b) a material adverse effect upon: (i) the business, operations, properties, assets or condition (financial or otherwise) of the Loan Parties and their Subsidiaries, taken as a whole;</w:t>
      </w:r>
    </w:p>
    <w:p>
      <w:pPr>
        <w:ind w:left="3" w:right="20" w:hanging="3"/>
        <w:spacing w:after="0" w:line="268" w:lineRule="auto"/>
        <w:tabs>
          <w:tab w:leader="none" w:pos="243"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prospect of repayment of any part of the Obligations as they become due and payable; or (iii) the ability of Agent to enforce any of its rights or remedies with respect to any Obligations.</w:t>
      </w:r>
    </w:p>
    <w:p>
      <w:pPr>
        <w:spacing w:after="0" w:line="109"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Rate</w:t>
      </w:r>
      <w:r>
        <w:rPr>
          <w:rFonts w:ascii="Arial" w:cs="Arial" w:eastAsia="Arial" w:hAnsi="Arial"/>
          <w:sz w:val="16"/>
          <w:szCs w:val="16"/>
          <w:color w:val="auto"/>
        </w:rPr>
        <w:t>” has the meaning set forth in Section 2.3(d) hereof.</w:t>
      </w:r>
    </w:p>
    <w:p>
      <w:pPr>
        <w:spacing w:after="0" w:line="157"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MSB Subsidiary</w:t>
      </w:r>
      <w:r>
        <w:rPr>
          <w:rFonts w:ascii="Arial" w:cs="Arial" w:eastAsia="Arial" w:hAnsi="Arial"/>
          <w:sz w:val="16"/>
          <w:szCs w:val="16"/>
          <w:color w:val="auto"/>
        </w:rPr>
        <w:t>” means (i) Expensify Payments LLC and (ii) any Person that engages in a “money services business” as defined in 31 CFR 1010.100(ff) (without regard to any activity threshold amounts), and includes without limitation the following: currency dealer or exchanger; check cashing; issuer of traveler’s checks, money orders or stored value; seller or redeemer of traveler’s checks, money orders or stored value; and money transmitter.</w:t>
      </w:r>
    </w:p>
    <w:p>
      <w:pPr>
        <w:spacing w:after="0" w:line="107"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Income</w:t>
      </w:r>
      <w:r>
        <w:rPr>
          <w:rFonts w:ascii="Arial" w:cs="Arial" w:eastAsia="Arial" w:hAnsi="Arial"/>
          <w:sz w:val="16"/>
          <w:szCs w:val="16"/>
          <w:color w:val="auto"/>
        </w:rPr>
        <w:t>” means the net profit (or loss), after provision for taxes, of Borrowers and each of its Subsidiaries, on a consolidated basis, for any period as at any date of determination, for such period taken as a single accounting period. For the avoidance of doubt, for each period, expenses incurred during such period in connection with actual or threatened litigation shall be included in the calculation of Net Income for such period.</w:t>
      </w:r>
    </w:p>
    <w:p>
      <w:pPr>
        <w:spacing w:after="0" w:line="107"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of Borrowers’ and each other Loan Party’s obligations to pay the Credit Extensions when due any debts, principal, interest, fees, Secured Party Expenses, the Prepayment Fee, and any other amounts any Loan Party owes to any Secured Party under this Agreement, or any other Loan Document, including, without limitation, interest accruing after Insolvency Proceedings begin (whether or not allowed).</w:t>
      </w:r>
    </w:p>
    <w:p>
      <w:pPr>
        <w:spacing w:after="0" w:line="10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OFAC</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5.11(c)</w:t>
      </w:r>
      <w:r>
        <w:rPr>
          <w:rFonts w:ascii="Arial" w:cs="Arial" w:eastAsia="Arial" w:hAnsi="Arial"/>
          <w:sz w:val="16"/>
          <w:szCs w:val="16"/>
          <w:color w:val="auto"/>
        </w:rPr>
        <w:t>.</w:t>
      </w:r>
    </w:p>
    <w:p>
      <w:pPr>
        <w:spacing w:after="0" w:line="157" w:lineRule="exact"/>
        <w:rPr>
          <w:sz w:val="20"/>
          <w:szCs w:val="20"/>
          <w:color w:val="auto"/>
        </w:rPr>
      </w:pPr>
    </w:p>
    <w:p>
      <w:pPr>
        <w:jc w:val="both"/>
        <w:ind w:left="3" w:right="20" w:firstLine="58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Operating Documents</w:t>
      </w:r>
      <w:r>
        <w:rPr>
          <w:rFonts w:ascii="Arial" w:cs="Arial" w:eastAsia="Arial" w:hAnsi="Arial"/>
          <w:sz w:val="14"/>
          <w:szCs w:val="14"/>
          <w:color w:val="auto"/>
        </w:rPr>
        <w:t>” means, for any Person, such Person’s formation documents, as certified by the Secretary of State (or equivalent agency) of such Person’s jurisdiction of formation, organization or incorporation on a date that is no earlier than thirty (30) days prior to the Effective Date and, (a) if such Person is a corporation,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A-10</w:t>
      </w:r>
    </w:p>
    <w:p>
      <w:pPr>
        <w:sectPr>
          <w:pgSz w:w="11900" w:h="16838" w:orient="portrait"/>
          <w:cols w:equalWidth="0" w:num="1">
            <w:col w:w="11263"/>
          </w:cols>
          <w:pgMar w:left="317" w:top="1291" w:right="319" w:bottom="1440" w:gutter="0" w:footer="0" w:header="0"/>
        </w:sectPr>
      </w:pPr>
    </w:p>
    <w:bookmarkStart w:id="395" w:name="page396"/>
    <w:bookmarkEnd w:id="395"/>
    <w:p>
      <w:pPr>
        <w:jc w:val="both"/>
        <w:ind w:right="20"/>
        <w:spacing w:after="0" w:line="358" w:lineRule="auto"/>
        <w:rPr>
          <w:sz w:val="20"/>
          <w:szCs w:val="20"/>
          <w:color w:val="auto"/>
        </w:rPr>
      </w:pPr>
      <w:r>
        <w:rPr>
          <w:rFonts w:ascii="Arial" w:cs="Arial" w:eastAsia="Arial" w:hAnsi="Arial"/>
          <w:sz w:val="14"/>
          <w:szCs w:val="14"/>
          <w:color w:val="auto"/>
        </w:rPr>
        <w:t>bylaws in current form, (b) if such Person is a limited liability company, its limited liability company agreement or operating agreement (or similar agreement), and (c) if such Person is a partnership, its partnership agreement (or similar agreement), each of the foregoing with all current amendments, restatements and modifications thereto.</w:t>
      </w:r>
    </w:p>
    <w:p>
      <w:pPr>
        <w:spacing w:after="0" w:line="52" w:lineRule="exact"/>
        <w:rPr>
          <w:sz w:val="20"/>
          <w:szCs w:val="20"/>
          <w:color w:val="auto"/>
        </w:rPr>
      </w:pPr>
    </w:p>
    <w:p>
      <w:pPr>
        <w:jc w:val="both"/>
        <w:ind w:right="20" w:firstLine="585"/>
        <w:spacing w:after="0" w:line="32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Ordinary Course of Business</w:t>
      </w:r>
      <w:r>
        <w:rPr>
          <w:rFonts w:ascii="Arial" w:cs="Arial" w:eastAsia="Arial" w:hAnsi="Arial"/>
          <w:sz w:val="14"/>
          <w:szCs w:val="14"/>
          <w:color w:val="auto"/>
        </w:rPr>
        <w:t>” means, in respect of any transaction involving any Person, the ordinary course of such Person’s business as conducted by any such Person in accordance with (a) the usual and customary customs and practices in the kind of business in which such Person is engaged, and (b) the past practice and operations of such Person, and in each case, undertaken by such Person in good faith and not for purposes of evading any covenant or restriction in any Loan Document.</w:t>
      </w:r>
    </w:p>
    <w:p>
      <w:pPr>
        <w:spacing w:after="0" w:line="73"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excise, value added,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10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means all patents, patent applications and like protections of a Person including without limitation improvements, divisions, continuations, renewals, reissues, extensions and continuations-in-part of the same and all rights therein provided by international treaties or conventions.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Payment Date</w:t>
      </w:r>
      <w:r>
        <w:rPr>
          <w:rFonts w:ascii="Arial" w:cs="Arial" w:eastAsia="Arial" w:hAnsi="Arial"/>
          <w:sz w:val="16"/>
          <w:szCs w:val="16"/>
          <w:color w:val="auto"/>
        </w:rPr>
        <w:t>” means the first day of calendar quarter.</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Perfection Certificate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57" w:lineRule="exact"/>
        <w:rPr>
          <w:sz w:val="20"/>
          <w:szCs w:val="20"/>
          <w:color w:val="auto"/>
        </w:rPr>
      </w:pPr>
    </w:p>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Cash Collateral</w:t>
      </w:r>
      <w:r>
        <w:rPr>
          <w:rFonts w:ascii="Arial" w:cs="Arial" w:eastAsia="Arial" w:hAnsi="Arial"/>
          <w:sz w:val="15"/>
          <w:szCs w:val="15"/>
          <w:color w:val="auto"/>
        </w:rPr>
        <w:t>” means cash collateral in an aggregate amount not to exceed $675,000 securing Indebtedness described in clauses (g) and (h) of the defined term “Permitted Indebtedness” and maintained in a Deposit Account identified to Agent on the Perfection Certificate or from time to time thereafter in writing.</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w:t>
      </w:r>
    </w:p>
    <w:p>
      <w:pPr>
        <w:spacing w:after="0" w:line="161" w:lineRule="exact"/>
        <w:rPr>
          <w:sz w:val="20"/>
          <w:szCs w:val="20"/>
          <w:color w:val="auto"/>
        </w:rPr>
      </w:pPr>
    </w:p>
    <w:p>
      <w:pPr>
        <w:ind w:left="1500" w:hanging="333"/>
        <w:spacing w:after="0"/>
        <w:tabs>
          <w:tab w:leader="none" w:pos="15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each Loan Party’s Indebtedness under this Agreement and the other Loan Documents;</w:t>
      </w:r>
    </w:p>
    <w:p>
      <w:pPr>
        <w:spacing w:after="0" w:line="157" w:lineRule="exact"/>
        <w:rPr>
          <w:rFonts w:ascii="Arial" w:cs="Arial" w:eastAsia="Arial" w:hAnsi="Arial"/>
          <w:sz w:val="16"/>
          <w:szCs w:val="16"/>
          <w:color w:val="auto"/>
        </w:rPr>
      </w:pPr>
    </w:p>
    <w:p>
      <w:pPr>
        <w:jc w:val="both"/>
        <w:ind w:left="580" w:right="20" w:firstLine="587"/>
        <w:spacing w:after="0" w:line="268" w:lineRule="auto"/>
        <w:tabs>
          <w:tab w:leader="none" w:pos="160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Indebtedness existing on the Effective Date and shown on the Perfection Certificate (except for Indebtedness indicated as being repaid on the Effective Date), provided that to the extent the amount of such Indebtedness is limited pursuant to a clause of this defined term, amounts existing on the Effective Date or any permitted refinancing thereof shall count towards such limit;</w:t>
      </w:r>
    </w:p>
    <w:p>
      <w:pPr>
        <w:spacing w:after="0" w:line="114" w:lineRule="exact"/>
        <w:rPr>
          <w:rFonts w:ascii="Arial" w:cs="Arial" w:eastAsia="Arial" w:hAnsi="Arial"/>
          <w:sz w:val="16"/>
          <w:szCs w:val="16"/>
          <w:color w:val="auto"/>
        </w:rPr>
      </w:pPr>
    </w:p>
    <w:p>
      <w:pPr>
        <w:ind w:left="1500" w:hanging="333"/>
        <w:spacing w:after="0"/>
        <w:tabs>
          <w:tab w:leader="none" w:pos="15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Subordinated Debt;</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unsecured Indebtedness to trade creditors incurred in the Ordinary Course of Business;</w:t>
      </w:r>
    </w:p>
    <w:p>
      <w:pPr>
        <w:spacing w:after="0" w:line="157" w:lineRule="exact"/>
        <w:rPr>
          <w:rFonts w:ascii="Arial" w:cs="Arial" w:eastAsia="Arial" w:hAnsi="Arial"/>
          <w:sz w:val="16"/>
          <w:szCs w:val="16"/>
          <w:color w:val="auto"/>
        </w:rPr>
      </w:pPr>
    </w:p>
    <w:p>
      <w:pPr>
        <w:ind w:left="1500" w:hanging="333"/>
        <w:spacing w:after="0"/>
        <w:tabs>
          <w:tab w:leader="none" w:pos="15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Indebtedness incurred as a result of endorsing negotiable instruments received in the Ordinary Course of Business;</w:t>
      </w:r>
    </w:p>
    <w:p>
      <w:pPr>
        <w:spacing w:after="0" w:line="157" w:lineRule="exact"/>
        <w:rPr>
          <w:rFonts w:ascii="Arial" w:cs="Arial" w:eastAsia="Arial" w:hAnsi="Arial"/>
          <w:sz w:val="16"/>
          <w:szCs w:val="16"/>
          <w:color w:val="auto"/>
        </w:rPr>
      </w:pPr>
    </w:p>
    <w:p>
      <w:pPr>
        <w:ind w:left="1500" w:hanging="333"/>
        <w:spacing w:after="0"/>
        <w:tabs>
          <w:tab w:leader="none" w:pos="15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Indebtedness secured by Liens permitted under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the definition of “Permitted Liens” hereunder;</w:t>
      </w:r>
    </w:p>
    <w:p>
      <w:pPr>
        <w:spacing w:after="0" w:line="157" w:lineRule="exact"/>
        <w:rPr>
          <w:rFonts w:ascii="Arial" w:cs="Arial" w:eastAsia="Arial" w:hAnsi="Arial"/>
          <w:sz w:val="16"/>
          <w:szCs w:val="16"/>
          <w:color w:val="auto"/>
        </w:rPr>
      </w:pPr>
    </w:p>
    <w:p>
      <w:pPr>
        <w:ind w:left="580" w:right="20" w:firstLine="587"/>
        <w:spacing w:after="0" w:line="283" w:lineRule="auto"/>
        <w:tabs>
          <w:tab w:leader="none" w:pos="1587" w:val="left"/>
        </w:tabs>
        <w:numPr>
          <w:ilvl w:val="0"/>
          <w:numId w:val="289"/>
        </w:numPr>
        <w:rPr>
          <w:rFonts w:ascii="Arial" w:cs="Arial" w:eastAsia="Arial" w:hAnsi="Arial"/>
          <w:sz w:val="16"/>
          <w:szCs w:val="16"/>
          <w:color w:val="auto"/>
        </w:rPr>
      </w:pPr>
      <w:r>
        <w:rPr>
          <w:rFonts w:ascii="Arial" w:cs="Arial" w:eastAsia="Arial" w:hAnsi="Arial"/>
          <w:sz w:val="16"/>
          <w:szCs w:val="16"/>
          <w:color w:val="auto"/>
        </w:rPr>
        <w:t>reimbursement obligations with respect to letters of credit entered into in the ordinary course of business in an aggregate amount not to exceed $100,000 at any time and the letter of credit existing as of the Effective Date set forth on the Perfection Certificate;</w:t>
      </w:r>
    </w:p>
    <w:p>
      <w:pPr>
        <w:spacing w:after="0" w:line="101" w:lineRule="exact"/>
        <w:rPr>
          <w:rFonts w:ascii="Arial" w:cs="Arial" w:eastAsia="Arial" w:hAnsi="Arial"/>
          <w:sz w:val="16"/>
          <w:szCs w:val="16"/>
          <w:color w:val="auto"/>
        </w:rPr>
      </w:pPr>
    </w:p>
    <w:p>
      <w:pPr>
        <w:ind w:left="1520" w:hanging="353"/>
        <w:spacing w:after="0"/>
        <w:tabs>
          <w:tab w:leader="none" w:pos="15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Indebtedness pursuant to credit cards in the Ordinary Course of Business in an aggregate amount not to exceed $250,000;</w:t>
      </w:r>
    </w:p>
    <w:p>
      <w:pPr>
        <w:spacing w:after="0" w:line="157" w:lineRule="exact"/>
        <w:rPr>
          <w:rFonts w:ascii="Arial" w:cs="Arial" w:eastAsia="Arial" w:hAnsi="Arial"/>
          <w:sz w:val="16"/>
          <w:szCs w:val="16"/>
          <w:color w:val="auto"/>
        </w:rPr>
      </w:pPr>
    </w:p>
    <w:p>
      <w:pPr>
        <w:ind w:left="1480" w:hanging="313"/>
        <w:spacing w:after="0"/>
        <w:tabs>
          <w:tab w:leader="none" w:pos="14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Indebtedness pursuant to the Real Estate Loan Facility; and</w:t>
      </w:r>
    </w:p>
    <w:p>
      <w:pPr>
        <w:spacing w:after="0" w:line="157" w:lineRule="exact"/>
        <w:rPr>
          <w:rFonts w:ascii="Arial" w:cs="Arial" w:eastAsia="Arial" w:hAnsi="Arial"/>
          <w:sz w:val="16"/>
          <w:szCs w:val="16"/>
          <w:color w:val="auto"/>
        </w:rPr>
      </w:pPr>
    </w:p>
    <w:p>
      <w:pPr>
        <w:ind w:left="580" w:right="20" w:firstLine="587"/>
        <w:spacing w:after="0" w:line="283" w:lineRule="auto"/>
        <w:tabs>
          <w:tab w:leader="none" w:pos="1483"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extensions, refinancings, modifications, amendments and restatements of any items of Permitted Indebtedness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provided that the principal amount thereof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A-11</w:t>
      </w:r>
    </w:p>
    <w:p>
      <w:pPr>
        <w:sectPr>
          <w:pgSz w:w="11900" w:h="16838" w:orient="portrait"/>
          <w:cols w:equalWidth="0" w:num="1">
            <w:col w:w="11260"/>
          </w:cols>
          <w:pgMar w:left="320" w:top="1296" w:right="319" w:bottom="1440" w:gutter="0" w:footer="0" w:header="0"/>
        </w:sectPr>
      </w:pPr>
    </w:p>
    <w:bookmarkStart w:id="396" w:name="page397"/>
    <w:bookmarkEnd w:id="396"/>
    <w:p>
      <w:pPr>
        <w:spacing w:after="0"/>
        <w:rPr>
          <w:sz w:val="20"/>
          <w:szCs w:val="20"/>
          <w:color w:val="auto"/>
        </w:rPr>
      </w:pPr>
      <w:r>
        <w:rPr>
          <w:rFonts w:ascii="Arial" w:cs="Arial" w:eastAsia="Arial" w:hAnsi="Arial"/>
          <w:sz w:val="16"/>
          <w:szCs w:val="16"/>
          <w:color w:val="auto"/>
        </w:rPr>
        <w:t>increased or the terms thereof are not modified to impose more burdensome terms upon a Borrower or any of its Subsidiaries, as the case may be.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Investments</w:t>
      </w:r>
      <w:r>
        <w:rPr>
          <w:rFonts w:ascii="Arial" w:cs="Arial" w:eastAsia="Arial" w:hAnsi="Arial"/>
          <w:sz w:val="16"/>
          <w:szCs w:val="16"/>
          <w:color w:val="auto"/>
        </w:rPr>
        <w:t>” means:</w:t>
      </w:r>
    </w:p>
    <w:p>
      <w:pPr>
        <w:spacing w:after="0" w:line="161" w:lineRule="exact"/>
        <w:rPr>
          <w:sz w:val="20"/>
          <w:szCs w:val="20"/>
          <w:color w:val="auto"/>
        </w:rPr>
      </w:pPr>
    </w:p>
    <w:p>
      <w:pPr>
        <w:ind w:left="920" w:hanging="333"/>
        <w:spacing w:after="0"/>
        <w:tabs>
          <w:tab w:leader="none" w:pos="92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Investments (including, without limitation, Subsidiaries) existing on the Effective Date and shown on the Perfection Certificate;</w:t>
      </w:r>
    </w:p>
    <w:p>
      <w:pPr>
        <w:spacing w:after="0" w:line="157" w:lineRule="exact"/>
        <w:rPr>
          <w:rFonts w:ascii="Arial" w:cs="Arial" w:eastAsia="Arial" w:hAnsi="Arial"/>
          <w:sz w:val="16"/>
          <w:szCs w:val="16"/>
          <w:color w:val="auto"/>
        </w:rPr>
      </w:pPr>
    </w:p>
    <w:p>
      <w:pPr>
        <w:ind w:firstLine="587"/>
        <w:spacing w:after="0" w:line="318" w:lineRule="auto"/>
        <w:tabs>
          <w:tab w:leader="none" w:pos="938" w:val="left"/>
        </w:tabs>
        <w:numPr>
          <w:ilvl w:val="0"/>
          <w:numId w:val="290"/>
        </w:numPr>
        <w:rPr>
          <w:rFonts w:ascii="Arial" w:cs="Arial" w:eastAsia="Arial" w:hAnsi="Arial"/>
          <w:sz w:val="15"/>
          <w:szCs w:val="15"/>
          <w:color w:val="auto"/>
        </w:rPr>
      </w:pPr>
      <w:r>
        <w:rPr>
          <w:rFonts w:ascii="Arial" w:cs="Arial" w:eastAsia="Arial" w:hAnsi="Arial"/>
          <w:sz w:val="15"/>
          <w:szCs w:val="15"/>
          <w:color w:val="auto"/>
        </w:rPr>
        <w:t>(i) Investments consisting of Cash Equivalents, and (ii) any Investments permitted by Borrower Representative’s investment policy, as amended from time to time, provided that such investment policy (and any such amendment thereto) has been approved in writing by Required Lenders;</w:t>
      </w:r>
    </w:p>
    <w:p>
      <w:pPr>
        <w:spacing w:after="0" w:line="78" w:lineRule="exact"/>
        <w:rPr>
          <w:rFonts w:ascii="Arial" w:cs="Arial" w:eastAsia="Arial" w:hAnsi="Arial"/>
          <w:sz w:val="15"/>
          <w:szCs w:val="15"/>
          <w:color w:val="auto"/>
        </w:rPr>
      </w:pPr>
    </w:p>
    <w:p>
      <w:pPr>
        <w:ind w:firstLine="587"/>
        <w:spacing w:after="0" w:line="283" w:lineRule="auto"/>
        <w:tabs>
          <w:tab w:leader="none" w:pos="1005"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Investments consisting of repurchases of Borrower Representative’s Equity Interests from former employees, officers and directors of Borrower Representative to the extent permitted under </w:t>
      </w:r>
      <w:r>
        <w:rPr>
          <w:rFonts w:ascii="Arial" w:cs="Arial" w:eastAsia="Arial" w:hAnsi="Arial"/>
          <w:sz w:val="16"/>
          <w:szCs w:val="16"/>
          <w:u w:val="single" w:color="auto"/>
          <w:color w:val="auto"/>
        </w:rPr>
        <w:t>Section 7.7</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jc w:val="both"/>
        <w:ind w:firstLine="587"/>
        <w:spacing w:after="0" w:line="294" w:lineRule="auto"/>
        <w:tabs>
          <w:tab w:leader="none" w:pos="952" w:val="left"/>
        </w:tabs>
        <w:numPr>
          <w:ilvl w:val="0"/>
          <w:numId w:val="290"/>
        </w:numPr>
        <w:rPr>
          <w:rFonts w:ascii="Arial" w:cs="Arial" w:eastAsia="Arial" w:hAnsi="Arial"/>
          <w:sz w:val="15"/>
          <w:szCs w:val="15"/>
          <w:color w:val="auto"/>
        </w:rPr>
      </w:pPr>
      <w:r>
        <w:rPr>
          <w:rFonts w:ascii="Arial" w:cs="Arial" w:eastAsia="Arial" w:hAnsi="Arial"/>
          <w:sz w:val="15"/>
          <w:szCs w:val="15"/>
          <w:color w:val="auto"/>
        </w:rPr>
        <w:t>Investments (w) among Loan Parties, (x) in Subsidiaries which are not Loan Parties (including MSB Subsidiaries), (y) in trust accounts of Borrower Representative maintained with The Bancorp Bank to cover failed ACH transactions and next-day reimbursements and (z) in the Collateral Account of Borrower Representative maintained with Sutton Bank to cover five (5) days of transaction volume on Expensify Cards, subject to the following conditions</w:t>
      </w:r>
    </w:p>
    <w:p>
      <w:pPr>
        <w:spacing w:after="0" w:line="96" w:lineRule="exact"/>
        <w:rPr>
          <w:rFonts w:ascii="Arial" w:cs="Arial" w:eastAsia="Arial" w:hAnsi="Arial"/>
          <w:sz w:val="15"/>
          <w:szCs w:val="15"/>
          <w:color w:val="auto"/>
        </w:rPr>
      </w:pPr>
    </w:p>
    <w:p>
      <w:pPr>
        <w:ind w:left="1180" w:hanging="9"/>
        <w:spacing w:after="0" w:line="283" w:lineRule="auto"/>
        <w:tabs>
          <w:tab w:leader="none" w:pos="1497" w:val="left"/>
        </w:tabs>
        <w:numPr>
          <w:ilvl w:val="1"/>
          <w:numId w:val="290"/>
        </w:numPr>
        <w:rPr>
          <w:rFonts w:ascii="Arial" w:cs="Arial" w:eastAsia="Arial" w:hAnsi="Arial"/>
          <w:sz w:val="16"/>
          <w:szCs w:val="16"/>
          <w:color w:val="auto"/>
        </w:rPr>
      </w:pPr>
      <w:r>
        <w:rPr>
          <w:rFonts w:ascii="Arial" w:cs="Arial" w:eastAsia="Arial" w:hAnsi="Arial"/>
          <w:sz w:val="16"/>
          <w:szCs w:val="16"/>
          <w:color w:val="auto"/>
        </w:rPr>
        <w:t>with respect to Investments described in clause (x), such Investments are made pursuant to cost plus arrangements, in the Ordinary Course of Business, provided that the margin shall not exceed 6% except if approved by Required Lenders, or</w:t>
      </w:r>
    </w:p>
    <w:p>
      <w:pPr>
        <w:spacing w:after="0" w:line="101" w:lineRule="exact"/>
        <w:rPr>
          <w:rFonts w:ascii="Arial" w:cs="Arial" w:eastAsia="Arial" w:hAnsi="Arial"/>
          <w:sz w:val="16"/>
          <w:szCs w:val="16"/>
          <w:color w:val="auto"/>
        </w:rPr>
      </w:pPr>
    </w:p>
    <w:p>
      <w:pPr>
        <w:ind w:left="1180" w:hanging="9"/>
        <w:spacing w:after="0" w:line="283" w:lineRule="auto"/>
        <w:tabs>
          <w:tab w:leader="none" w:pos="1586" w:val="left"/>
        </w:tabs>
        <w:numPr>
          <w:ilvl w:val="1"/>
          <w:numId w:val="290"/>
        </w:numPr>
        <w:rPr>
          <w:rFonts w:ascii="Arial" w:cs="Arial" w:eastAsia="Arial" w:hAnsi="Arial"/>
          <w:sz w:val="16"/>
          <w:szCs w:val="16"/>
          <w:color w:val="auto"/>
        </w:rPr>
      </w:pPr>
      <w:r>
        <w:rPr>
          <w:rFonts w:ascii="Arial" w:cs="Arial" w:eastAsia="Arial" w:hAnsi="Arial"/>
          <w:sz w:val="16"/>
          <w:szCs w:val="16"/>
          <w:color w:val="auto"/>
        </w:rPr>
        <w:t>with respect to Investments described in clauses (x), (y) or (z), in an aggregate amount, for all such Investments in any fiscal year not to exceed 20% of Free Cash Flow for the twelve month period then ended;</w:t>
      </w:r>
    </w:p>
    <w:p>
      <w:pPr>
        <w:spacing w:after="0" w:line="101" w:lineRule="exact"/>
        <w:rPr>
          <w:rFonts w:ascii="Arial" w:cs="Arial" w:eastAsia="Arial" w:hAnsi="Arial"/>
          <w:sz w:val="16"/>
          <w:szCs w:val="16"/>
          <w:color w:val="auto"/>
        </w:rPr>
      </w:pPr>
    </w:p>
    <w:p>
      <w:pPr>
        <w:jc w:val="both"/>
        <w:ind w:firstLine="587"/>
        <w:spacing w:after="0" w:line="264" w:lineRule="auto"/>
        <w:tabs>
          <w:tab w:leader="none" w:pos="935"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Investments not to exceed Two Hundred Fifty Thousand Dollars ($250,000) outstanding in the aggregate at any time consisting of (i) travel advances and employee relocation loans and other employee loans and advances in the Ordinary Course of Business, and (ii) loans not involving the net transfer of cash proceeds to employees, officers or directors relating to the purchase of Equity Interests of Borrower Representative pursuant to employee stock purchase plans or other similar agreements approved by Borrower Representative’s Board;</w:t>
      </w:r>
    </w:p>
    <w:p>
      <w:pPr>
        <w:spacing w:after="0" w:line="116" w:lineRule="exact"/>
        <w:rPr>
          <w:rFonts w:ascii="Arial" w:cs="Arial" w:eastAsia="Arial" w:hAnsi="Arial"/>
          <w:sz w:val="16"/>
          <w:szCs w:val="16"/>
          <w:color w:val="auto"/>
        </w:rPr>
      </w:pPr>
    </w:p>
    <w:p>
      <w:pPr>
        <w:ind w:firstLine="587"/>
        <w:spacing w:after="0" w:line="283" w:lineRule="auto"/>
        <w:tabs>
          <w:tab w:leader="none" w:pos="93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01" w:lineRule="exact"/>
        <w:rPr>
          <w:rFonts w:ascii="Arial" w:cs="Arial" w:eastAsia="Arial" w:hAnsi="Arial"/>
          <w:sz w:val="16"/>
          <w:szCs w:val="16"/>
          <w:color w:val="auto"/>
        </w:rPr>
      </w:pPr>
    </w:p>
    <w:p>
      <w:pPr>
        <w:ind w:left="940" w:hanging="353"/>
        <w:spacing w:after="0"/>
        <w:tabs>
          <w:tab w:leader="none" w:pos="94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Investments consisting of Deposit Accounts in which Agent has a perfected security interest; and</w:t>
      </w:r>
    </w:p>
    <w:p>
      <w:pPr>
        <w:spacing w:after="0" w:line="157" w:lineRule="exact"/>
        <w:rPr>
          <w:rFonts w:ascii="Arial" w:cs="Arial" w:eastAsia="Arial" w:hAnsi="Arial"/>
          <w:sz w:val="16"/>
          <w:szCs w:val="16"/>
          <w:color w:val="auto"/>
        </w:rPr>
      </w:pPr>
    </w:p>
    <w:p>
      <w:pPr>
        <w:ind w:firstLine="587"/>
        <w:spacing w:after="0" w:line="283" w:lineRule="auto"/>
        <w:tabs>
          <w:tab w:leader="none" w:pos="961"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Investments consisting of accounts receivable of, or prepaid royalties and other credit extensions, to customers and suppliers who are not Affiliates, in the Ordinary Course of Business; provided that this paragraph (j) shall not apply to Investments of a Loan Party in any Subsidiary.</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w:t>
      </w:r>
    </w:p>
    <w:p>
      <w:pPr>
        <w:spacing w:after="0" w:line="161" w:lineRule="exact"/>
        <w:rPr>
          <w:sz w:val="20"/>
          <w:szCs w:val="20"/>
          <w:color w:val="auto"/>
        </w:rPr>
      </w:pPr>
    </w:p>
    <w:p>
      <w:pPr>
        <w:ind w:left="920" w:hanging="333"/>
        <w:spacing w:after="0"/>
        <w:tabs>
          <w:tab w:leader="none" w:pos="9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Liens arising under this Agreement and the other Loan Documents;</w:t>
      </w:r>
    </w:p>
    <w:p>
      <w:pPr>
        <w:spacing w:after="0" w:line="157" w:lineRule="exact"/>
        <w:rPr>
          <w:rFonts w:ascii="Arial" w:cs="Arial" w:eastAsia="Arial" w:hAnsi="Arial"/>
          <w:sz w:val="16"/>
          <w:szCs w:val="16"/>
          <w:color w:val="auto"/>
        </w:rPr>
      </w:pPr>
    </w:p>
    <w:p>
      <w:pPr>
        <w:jc w:val="both"/>
        <w:ind w:firstLine="587"/>
        <w:spacing w:after="0" w:line="268" w:lineRule="auto"/>
        <w:tabs>
          <w:tab w:leader="none" w:pos="987" w:val="left"/>
        </w:tabs>
        <w:numPr>
          <w:ilvl w:val="0"/>
          <w:numId w:val="291"/>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(except for Liens indicated as being released on the Effective Date), provided that to the extent the amount of Indebtedness secured by such Lien is limited pursuant to a clause of this defined term, amounts existing on the Effective Date or any permitted refinancing thereof shall count towards such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A-12</w:t>
      </w:r>
    </w:p>
    <w:p>
      <w:pPr>
        <w:sectPr>
          <w:pgSz w:w="11900" w:h="16838" w:orient="portrait"/>
          <w:cols w:equalWidth="0" w:num="1">
            <w:col w:w="10660"/>
          </w:cols>
          <w:pgMar w:left="900" w:top="1295" w:right="339" w:bottom="1440" w:gutter="0" w:footer="0" w:header="0"/>
        </w:sectPr>
      </w:pPr>
    </w:p>
    <w:bookmarkStart w:id="397" w:name="page398"/>
    <w:bookmarkEnd w:id="397"/>
    <w:p>
      <w:pPr>
        <w:jc w:val="both"/>
        <w:ind w:left="580" w:firstLine="587"/>
        <w:spacing w:after="0" w:line="268" w:lineRule="auto"/>
        <w:tabs>
          <w:tab w:leader="none" w:pos="161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purchase money Liens (i) on Equipment acquired or held by a Loan Party or Subsidiary thereof incurred for financing the acquisition of the Equipment, or (ii) existing on Equipment when acquired, if the Lien is confined to the property and improvements and the proceeds of the Equipment, in each case, securing no more than One Million Six Hundred Fifty Thousand Dollars ($1,650,000) in the aggregate amount outstanding;</w:t>
      </w:r>
    </w:p>
    <w:p>
      <w:pPr>
        <w:spacing w:after="0" w:line="114" w:lineRule="exact"/>
        <w:rPr>
          <w:rFonts w:ascii="Arial" w:cs="Arial" w:eastAsia="Arial" w:hAnsi="Arial"/>
          <w:sz w:val="16"/>
          <w:szCs w:val="16"/>
          <w:color w:val="auto"/>
        </w:rPr>
      </w:pPr>
    </w:p>
    <w:p>
      <w:pPr>
        <w:ind w:left="1520" w:hanging="353"/>
        <w:spacing w:after="0"/>
        <w:tabs>
          <w:tab w:leader="none" w:pos="15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Liens on Permitted Cash Collateral;</w:t>
      </w:r>
    </w:p>
    <w:p>
      <w:pPr>
        <w:spacing w:after="0" w:line="157" w:lineRule="exact"/>
        <w:rPr>
          <w:rFonts w:ascii="Arial" w:cs="Arial" w:eastAsia="Arial" w:hAnsi="Arial"/>
          <w:sz w:val="16"/>
          <w:szCs w:val="16"/>
          <w:color w:val="auto"/>
        </w:rPr>
      </w:pPr>
    </w:p>
    <w:p>
      <w:pPr>
        <w:ind w:left="580" w:firstLine="587"/>
        <w:spacing w:after="0" w:line="283" w:lineRule="auto"/>
        <w:tabs>
          <w:tab w:leader="none" w:pos="155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Liens for taxes, fees, assessments or other government charges or levies, either (i) not yet delinquent or (ii) being contested in good faith and for which such Loan Party or Subsidiary maintains adequate reserves on its books;</w:t>
      </w:r>
    </w:p>
    <w:p>
      <w:pPr>
        <w:spacing w:after="0" w:line="101" w:lineRule="exact"/>
        <w:rPr>
          <w:rFonts w:ascii="Arial" w:cs="Arial" w:eastAsia="Arial" w:hAnsi="Arial"/>
          <w:sz w:val="16"/>
          <w:szCs w:val="16"/>
          <w:color w:val="auto"/>
        </w:rPr>
      </w:pPr>
    </w:p>
    <w:p>
      <w:pPr>
        <w:ind w:left="580" w:firstLine="587"/>
        <w:spacing w:after="0" w:line="283" w:lineRule="auto"/>
        <w:tabs>
          <w:tab w:leader="none" w:pos="156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Business of such Person, and leases, subleases, non-exclusive licenses or sublicenses of personal property (other than Intellectual Property) granted in the Ordinary Course of Business of such Person;</w:t>
      </w:r>
    </w:p>
    <w:p>
      <w:pPr>
        <w:spacing w:after="0" w:line="101" w:lineRule="exact"/>
        <w:rPr>
          <w:rFonts w:ascii="Arial" w:cs="Arial" w:eastAsia="Arial" w:hAnsi="Arial"/>
          <w:sz w:val="16"/>
          <w:szCs w:val="16"/>
          <w:color w:val="auto"/>
        </w:rPr>
      </w:pPr>
    </w:p>
    <w:p>
      <w:pPr>
        <w:jc w:val="both"/>
        <w:ind w:left="580" w:firstLine="587"/>
        <w:spacing w:after="0" w:line="264" w:lineRule="auto"/>
        <w:tabs>
          <w:tab w:leader="none" w:pos="152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16" w:lineRule="exact"/>
        <w:rPr>
          <w:rFonts w:ascii="Arial" w:cs="Arial" w:eastAsia="Arial" w:hAnsi="Arial"/>
          <w:sz w:val="16"/>
          <w:szCs w:val="16"/>
          <w:color w:val="auto"/>
        </w:rPr>
      </w:pPr>
    </w:p>
    <w:p>
      <w:pPr>
        <w:ind w:left="580" w:firstLine="587"/>
        <w:spacing w:after="0" w:line="283" w:lineRule="auto"/>
        <w:tabs>
          <w:tab w:leader="none" w:pos="1556" w:val="left"/>
        </w:tabs>
        <w:numPr>
          <w:ilvl w:val="0"/>
          <w:numId w:val="292"/>
        </w:numPr>
        <w:rPr>
          <w:rFonts w:ascii="Arial" w:cs="Arial" w:eastAsia="Arial" w:hAnsi="Arial"/>
          <w:sz w:val="16"/>
          <w:szCs w:val="16"/>
          <w:color w:val="auto"/>
        </w:rPr>
      </w:pPr>
      <w:r>
        <w:rPr>
          <w:rFonts w:ascii="Arial" w:cs="Arial" w:eastAsia="Arial" w:hAnsi="Arial"/>
          <w:sz w:val="16"/>
          <w:szCs w:val="16"/>
          <w:color w:val="auto"/>
        </w:rPr>
        <w:t>Liens to secure payment of workers’ compensation, employment insurance, old-age pensions, social security and other like obligations incurred in the Ordinary Course of Business (other than Liens imposed by ERISA);</w:t>
      </w:r>
    </w:p>
    <w:p>
      <w:pPr>
        <w:spacing w:after="0" w:line="101" w:lineRule="exact"/>
        <w:rPr>
          <w:rFonts w:ascii="Arial" w:cs="Arial" w:eastAsia="Arial" w:hAnsi="Arial"/>
          <w:sz w:val="16"/>
          <w:szCs w:val="16"/>
          <w:color w:val="auto"/>
        </w:rPr>
      </w:pPr>
    </w:p>
    <w:p>
      <w:pPr>
        <w:ind w:left="580" w:firstLine="587"/>
        <w:spacing w:after="0" w:line="358" w:lineRule="auto"/>
        <w:tabs>
          <w:tab w:leader="none" w:pos="1527" w:val="left"/>
        </w:tabs>
        <w:numPr>
          <w:ilvl w:val="0"/>
          <w:numId w:val="292"/>
        </w:numPr>
        <w:rPr>
          <w:rFonts w:ascii="Arial" w:cs="Arial" w:eastAsia="Arial" w:hAnsi="Arial"/>
          <w:sz w:val="14"/>
          <w:szCs w:val="14"/>
          <w:color w:val="auto"/>
        </w:rPr>
      </w:pPr>
      <w:r>
        <w:rPr>
          <w:rFonts w:ascii="Arial" w:cs="Arial" w:eastAsia="Arial" w:hAnsi="Arial"/>
          <w:sz w:val="14"/>
          <w:szCs w:val="14"/>
          <w:color w:val="auto"/>
        </w:rPr>
        <w:t>deposits or pledges of cash to secure bids, tenders, contracts (other than contracts for the payment of money), leases, surety and appeal bonds and other obligations of a like nature arising in the Ordinary Course of Business, in an aggregate amount not exceeding One Million Dollars ($1,000,000) at any time;</w:t>
      </w:r>
    </w:p>
    <w:p>
      <w:pPr>
        <w:spacing w:after="0" w:line="55" w:lineRule="exact"/>
        <w:rPr>
          <w:rFonts w:ascii="Arial" w:cs="Arial" w:eastAsia="Arial" w:hAnsi="Arial"/>
          <w:sz w:val="14"/>
          <w:szCs w:val="14"/>
          <w:color w:val="auto"/>
        </w:rPr>
      </w:pPr>
    </w:p>
    <w:p>
      <w:pPr>
        <w:jc w:val="both"/>
        <w:ind w:left="580" w:firstLine="587"/>
        <w:spacing w:after="0" w:line="294" w:lineRule="auto"/>
        <w:tabs>
          <w:tab w:leader="none" w:pos="1487" w:val="left"/>
        </w:tabs>
        <w:numPr>
          <w:ilvl w:val="0"/>
          <w:numId w:val="292"/>
        </w:numPr>
        <w:rPr>
          <w:rFonts w:ascii="Arial" w:cs="Arial" w:eastAsia="Arial" w:hAnsi="Arial"/>
          <w:sz w:val="15"/>
          <w:szCs w:val="15"/>
          <w:color w:val="auto"/>
        </w:rPr>
      </w:pPr>
      <w:r>
        <w:rPr>
          <w:rFonts w:ascii="Arial" w:cs="Arial" w:eastAsia="Arial" w:hAnsi="Arial"/>
          <w:sz w:val="15"/>
          <w:szCs w:val="15"/>
          <w:color w:val="auto"/>
        </w:rPr>
        <w:t xml:space="preserve">Liens in favor of other financial institutions arising in connection with a Deposit Account or Securities Account of a Loan Party or Subsidiary thereof held at such institutions, provided that Agent has a perfected security interest in such Deposit Account, or the security interests maintained therein and Agent has received an Account Control Agreement with respect thereto to the extent required pursuant to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of this Agreement;</w:t>
      </w:r>
    </w:p>
    <w:p>
      <w:pPr>
        <w:spacing w:after="0" w:line="96" w:lineRule="exact"/>
        <w:rPr>
          <w:rFonts w:ascii="Arial" w:cs="Arial" w:eastAsia="Arial" w:hAnsi="Arial"/>
          <w:sz w:val="15"/>
          <w:szCs w:val="15"/>
          <w:color w:val="auto"/>
        </w:rPr>
      </w:pPr>
    </w:p>
    <w:p>
      <w:pPr>
        <w:ind w:left="1520" w:hanging="353"/>
        <w:spacing w:after="0"/>
        <w:tabs>
          <w:tab w:leader="none" w:pos="15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licenses of Intellectual Property which constitute a Permitted Transfer;</w:t>
      </w:r>
    </w:p>
    <w:p>
      <w:pPr>
        <w:spacing w:after="0" w:line="157" w:lineRule="exact"/>
        <w:rPr>
          <w:rFonts w:ascii="Arial" w:cs="Arial" w:eastAsia="Arial" w:hAnsi="Arial"/>
          <w:sz w:val="16"/>
          <w:szCs w:val="16"/>
          <w:color w:val="auto"/>
        </w:rPr>
      </w:pPr>
    </w:p>
    <w:p>
      <w:pPr>
        <w:ind w:left="1480" w:hanging="313"/>
        <w:spacing w:after="0"/>
        <w:tabs>
          <w:tab w:leader="none" w:pos="14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Liens securing the Real Estate Loan Facility; or</w:t>
      </w:r>
    </w:p>
    <w:p>
      <w:pPr>
        <w:spacing w:after="0" w:line="157" w:lineRule="exact"/>
        <w:rPr>
          <w:rFonts w:ascii="Arial" w:cs="Arial" w:eastAsia="Arial" w:hAnsi="Arial"/>
          <w:sz w:val="16"/>
          <w:szCs w:val="16"/>
          <w:color w:val="auto"/>
        </w:rPr>
      </w:pPr>
    </w:p>
    <w:p>
      <w:pPr>
        <w:ind w:left="580" w:firstLine="587"/>
        <w:spacing w:after="0" w:line="318" w:lineRule="auto"/>
        <w:tabs>
          <w:tab w:leader="none" w:pos="1591" w:val="left"/>
        </w:tabs>
        <w:numPr>
          <w:ilvl w:val="0"/>
          <w:numId w:val="292"/>
        </w:numPr>
        <w:rPr>
          <w:rFonts w:ascii="Arial" w:cs="Arial" w:eastAsia="Arial" w:hAnsi="Arial"/>
          <w:sz w:val="15"/>
          <w:szCs w:val="15"/>
          <w:color w:val="auto"/>
        </w:rPr>
      </w:pPr>
      <w:r>
        <w:rPr>
          <w:rFonts w:ascii="Arial" w:cs="Arial" w:eastAsia="Arial" w:hAnsi="Arial"/>
          <w:sz w:val="15"/>
          <w:szCs w:val="15"/>
          <w:color w:val="auto"/>
        </w:rPr>
        <w:t xml:space="preserve">Liens incurred in the extension, renewal or refinancing of the indebtedness secured by Liens described in </w:t>
      </w:r>
      <w:r>
        <w:rPr>
          <w:rFonts w:ascii="Arial" w:cs="Arial" w:eastAsia="Arial" w:hAnsi="Arial"/>
          <w:sz w:val="15"/>
          <w:szCs w:val="15"/>
          <w:u w:val="single" w:color="auto"/>
          <w:color w:val="auto"/>
        </w:rPr>
        <w:t>clause (a)</w:t>
      </w:r>
      <w:r>
        <w:rPr>
          <w:rFonts w:ascii="Arial" w:cs="Arial" w:eastAsia="Arial" w:hAnsi="Arial"/>
          <w:sz w:val="15"/>
          <w:szCs w:val="15"/>
          <w:color w:val="auto"/>
        </w:rPr>
        <w:t>, but any extension, renewal or replacement Lien must be limited to the property encumbered by the existing Lien and the principal amount of the indebtedness may not increase.</w:t>
      </w:r>
    </w:p>
    <w:p>
      <w:pPr>
        <w:spacing w:after="0" w:line="75"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Locations</w:t>
      </w:r>
      <w:r>
        <w:rPr>
          <w:rFonts w:ascii="Arial" w:cs="Arial" w:eastAsia="Arial" w:hAnsi="Arial"/>
          <w:sz w:val="16"/>
          <w:szCs w:val="16"/>
          <w:color w:val="auto"/>
        </w:rPr>
        <w:t xml:space="preserve">” means, collectively, the following locations where Collateral may be located from time to time: (a) locations identified in the Perfection Certificate, (b) locations previously disclosed in a written notice to Agent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and (c) the Excluded Locations.</w:t>
      </w:r>
    </w:p>
    <w:p>
      <w:pPr>
        <w:spacing w:after="0" w:line="94"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Repurchase Amount</w:t>
      </w:r>
      <w:r>
        <w:rPr>
          <w:rFonts w:ascii="Arial" w:cs="Arial" w:eastAsia="Arial" w:hAnsi="Arial"/>
          <w:sz w:val="16"/>
          <w:szCs w:val="16"/>
          <w:color w:val="auto"/>
        </w:rPr>
        <w:t xml:space="preserve">” means, as of any date of determination, an amount equal to twenty percent (20%) of Free Cash Flow for the twelve month period ending as of the last day of the month with respect to which quarterly financial statements are required to have been delivered (and have so been delivered) in accordance with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as of such date of determination, less the aggregate purchase price paid in respect of repurchases of Equity Interests of Borrower Representative during the twelve month period ending as of such date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A-13</w:t>
      </w:r>
    </w:p>
    <w:p>
      <w:pPr>
        <w:sectPr>
          <w:pgSz w:w="11900" w:h="16838" w:orient="portrait"/>
          <w:cols w:equalWidth="0" w:num="1">
            <w:col w:w="11240"/>
          </w:cols>
          <w:pgMar w:left="320" w:top="1296" w:right="339" w:bottom="1440" w:gutter="0" w:footer="0" w:header="0"/>
        </w:sectPr>
      </w:pPr>
    </w:p>
    <w:bookmarkStart w:id="398" w:name="page399"/>
    <w:bookmarkEnd w:id="398"/>
    <w:p>
      <w:pPr>
        <w:jc w:val="both"/>
        <w:ind w:firstLine="585"/>
        <w:spacing w:after="0" w:line="27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Transfers</w:t>
      </w:r>
      <w:r>
        <w:rPr>
          <w:rFonts w:ascii="Arial" w:cs="Arial" w:eastAsia="Arial" w:hAnsi="Arial"/>
          <w:sz w:val="15"/>
          <w:szCs w:val="15"/>
          <w:color w:val="auto"/>
        </w:rPr>
        <w:t>” means (i) sales of Inventory by a Loan Party or any of its Subsidiaries in the Ordinary Course of Business, (ii) non-exclusive licenses and similar arrangements for the use of Intellectual Property of a Loan Party or any of its Subsidiaries in the Ordinary Course of Business, (iii) dispositions of worn-out, obsolete or surplus Equipment in the Ordinary Course of Business that is, in the reasonable judgment of such Loan Party or Subsidiary, no longer economically practicable to maintain or useful, (iv) Transfers consisting of the granting of Permitted Liens and the making of Permitted Investments, (v) the use or transfer of money or Cash Equivalents in the Ordinary Course of Business for the payment of ordinary course business expenses in a manner that is not prohibited by the Loan Documents, (vi) Transfers consisting of donations to Expensify.Org in an amount not to exceed for any fiscal year, 10% of interchange revenue for such year, and (vii) other Transfers of assets having a fair market value of not more than Two Hundred Fifty Thousand Dollars ($250,000) per fiscal year of Borrower Representative.</w:t>
      </w:r>
    </w:p>
    <w:p>
      <w:pPr>
        <w:spacing w:after="0" w:line="10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Fee</w:t>
      </w:r>
      <w:r>
        <w:rPr>
          <w:rFonts w:ascii="Arial" w:cs="Arial" w:eastAsia="Arial" w:hAnsi="Arial"/>
          <w:sz w:val="16"/>
          <w:szCs w:val="16"/>
          <w:color w:val="auto"/>
        </w:rPr>
        <w:t>” means, with respect to any prepayment of the Term Loans,</w:t>
      </w:r>
    </w:p>
    <w:p>
      <w:pPr>
        <w:spacing w:after="0" w:line="161" w:lineRule="exact"/>
        <w:rPr>
          <w:sz w:val="20"/>
          <w:szCs w:val="20"/>
          <w:color w:val="auto"/>
        </w:rPr>
      </w:pPr>
    </w:p>
    <w:p>
      <w:pPr>
        <w:ind w:left="1160" w:right="20" w:hanging="578"/>
        <w:spacing w:after="0" w:line="283" w:lineRule="auto"/>
        <w:tabs>
          <w:tab w:leader="none" w:pos="891"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if the prepayment occurs on or prior to the one year anniversary of the Effective Date, an amount equal to the principal amount of the Term Loan being prepaid multiplied by 1.0%, and</w:t>
      </w:r>
    </w:p>
    <w:p>
      <w:pPr>
        <w:spacing w:after="0" w:line="101" w:lineRule="exact"/>
        <w:rPr>
          <w:rFonts w:ascii="Arial" w:cs="Arial" w:eastAsia="Arial" w:hAnsi="Arial"/>
          <w:sz w:val="16"/>
          <w:szCs w:val="16"/>
          <w:color w:val="auto"/>
        </w:rPr>
      </w:pPr>
    </w:p>
    <w:p>
      <w:pPr>
        <w:ind w:left="940" w:hanging="358"/>
        <w:spacing w:after="0"/>
        <w:tabs>
          <w:tab w:leader="none" w:pos="94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if the prepayment occurs after the one year anniversary of the Effective Date, $0.</w:t>
      </w:r>
    </w:p>
    <w:p>
      <w:pPr>
        <w:spacing w:after="0" w:line="153" w:lineRule="exact"/>
        <w:rPr>
          <w:sz w:val="20"/>
          <w:szCs w:val="20"/>
          <w:color w:val="auto"/>
        </w:rPr>
      </w:pPr>
    </w:p>
    <w:p>
      <w:pPr>
        <w:jc w:val="both"/>
        <w:ind w:right="20" w:firstLine="585"/>
        <w:spacing w:after="0" w:line="32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Prime Rate</w:t>
      </w:r>
      <w:r>
        <w:rPr>
          <w:rFonts w:ascii="Arial" w:cs="Arial" w:eastAsia="Arial" w:hAnsi="Arial"/>
          <w:sz w:val="14"/>
          <w:szCs w:val="14"/>
          <w:color w:val="auto"/>
        </w:rPr>
        <w:t>” means the prime rate as published in the Money Rates Section of The Wall Street Journal; provided that, if such rate is, at any time during the term of this Agreement, no longer so published, the term “Prime Rate” shall mean the average of the prime interest rates which are announced, from time to time, by the three largest banks (by assets) headquartered in the United States which publish a prime, base or reference rate, provided that the Prime Rate shall not be less than 3.25%.</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rata share</w:t>
      </w:r>
      <w:r>
        <w:rPr>
          <w:rFonts w:ascii="Arial" w:cs="Arial" w:eastAsia="Arial" w:hAnsi="Arial"/>
          <w:sz w:val="16"/>
          <w:szCs w:val="16"/>
          <w:color w:val="auto"/>
        </w:rPr>
        <w:t>” or “</w:t>
      </w:r>
      <w:r>
        <w:rPr>
          <w:rFonts w:ascii="Arial" w:cs="Arial" w:eastAsia="Arial" w:hAnsi="Arial"/>
          <w:sz w:val="16"/>
          <w:szCs w:val="16"/>
          <w:b w:val="1"/>
          <w:bCs w:val="1"/>
          <w:color w:val="auto"/>
        </w:rPr>
        <w:t>ratable</w:t>
      </w:r>
      <w:r>
        <w:rPr>
          <w:rFonts w:ascii="Arial" w:cs="Arial" w:eastAsia="Arial" w:hAnsi="Arial"/>
          <w:sz w:val="16"/>
          <w:szCs w:val="16"/>
          <w:color w:val="auto"/>
        </w:rPr>
        <w:t>” means, as of any date of determination:</w:t>
      </w:r>
    </w:p>
    <w:p>
      <w:pPr>
        <w:spacing w:after="0" w:line="161" w:lineRule="exact"/>
        <w:rPr>
          <w:sz w:val="20"/>
          <w:szCs w:val="20"/>
          <w:color w:val="auto"/>
        </w:rPr>
      </w:pPr>
    </w:p>
    <w:p>
      <w:pPr>
        <w:jc w:val="both"/>
        <w:ind w:right="20" w:firstLine="1167"/>
        <w:spacing w:after="0" w:line="294" w:lineRule="auto"/>
        <w:tabs>
          <w:tab w:leader="none" w:pos="1564" w:val="left"/>
        </w:tabs>
        <w:numPr>
          <w:ilvl w:val="0"/>
          <w:numId w:val="294"/>
        </w:numPr>
        <w:rPr>
          <w:rFonts w:ascii="Arial" w:cs="Arial" w:eastAsia="Arial" w:hAnsi="Arial"/>
          <w:sz w:val="15"/>
          <w:szCs w:val="15"/>
          <w:color w:val="auto"/>
        </w:rPr>
      </w:pPr>
      <w:r>
        <w:rPr>
          <w:rFonts w:ascii="Arial" w:cs="Arial" w:eastAsia="Arial" w:hAnsi="Arial"/>
          <w:sz w:val="15"/>
          <w:szCs w:val="15"/>
          <w:color w:val="auto"/>
        </w:rPr>
        <w:t>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spacing w:after="0" w:line="96" w:lineRule="exact"/>
        <w:rPr>
          <w:rFonts w:ascii="Arial" w:cs="Arial" w:eastAsia="Arial" w:hAnsi="Arial"/>
          <w:sz w:val="15"/>
          <w:szCs w:val="15"/>
          <w:color w:val="auto"/>
        </w:rPr>
      </w:pPr>
    </w:p>
    <w:p>
      <w:pPr>
        <w:jc w:val="both"/>
        <w:ind w:right="20" w:firstLine="1167"/>
        <w:spacing w:after="0" w:line="294" w:lineRule="auto"/>
        <w:tabs>
          <w:tab w:leader="none" w:pos="1548" w:val="left"/>
        </w:tabs>
        <w:numPr>
          <w:ilvl w:val="0"/>
          <w:numId w:val="294"/>
        </w:numPr>
        <w:rPr>
          <w:rFonts w:ascii="Arial" w:cs="Arial" w:eastAsia="Arial" w:hAnsi="Arial"/>
          <w:sz w:val="15"/>
          <w:szCs w:val="15"/>
          <w:color w:val="auto"/>
        </w:rPr>
      </w:pPr>
      <w:r>
        <w:rPr>
          <w:rFonts w:ascii="Arial" w:cs="Arial" w:eastAsia="Arial" w:hAnsi="Arial"/>
          <w:sz w:val="15"/>
          <w:szCs w:val="15"/>
          <w:color w:val="auto"/>
        </w:rPr>
        <w:t>with respect to a Lender’s obligation to make all or a portion of the Term Loan, with respect to such Lender’s right to receive payments of interest, fees, and principal with respect to the Term Loan, and with respect to all other computations and other matters related to the Term Loan Commitments or the Term Loan, the percentage obtained by dividing (i) the Term Loan Exposure of such Lender, by (ii) the aggregate Term Loan Exposure of all Lenders, and</w:t>
      </w:r>
    </w:p>
    <w:p>
      <w:pPr>
        <w:spacing w:after="0" w:line="96" w:lineRule="exact"/>
        <w:rPr>
          <w:rFonts w:ascii="Arial" w:cs="Arial" w:eastAsia="Arial" w:hAnsi="Arial"/>
          <w:sz w:val="15"/>
          <w:szCs w:val="15"/>
          <w:color w:val="auto"/>
        </w:rPr>
      </w:pPr>
    </w:p>
    <w:p>
      <w:pPr>
        <w:jc w:val="both"/>
        <w:ind w:right="20" w:firstLine="1167"/>
        <w:spacing w:after="0" w:line="264" w:lineRule="auto"/>
        <w:tabs>
          <w:tab w:leader="none" w:pos="1638" w:val="left"/>
        </w:tabs>
        <w:numPr>
          <w:ilvl w:val="0"/>
          <w:numId w:val="294"/>
        </w:numPr>
        <w:rPr>
          <w:rFonts w:ascii="Arial" w:cs="Arial" w:eastAsia="Arial" w:hAnsi="Arial"/>
          <w:sz w:val="16"/>
          <w:szCs w:val="16"/>
          <w:color w:val="auto"/>
        </w:rPr>
      </w:pPr>
      <w:r>
        <w:rPr>
          <w:rFonts w:ascii="Arial" w:cs="Arial" w:eastAsia="Arial" w:hAnsi="Arial"/>
          <w:sz w:val="16"/>
          <w:szCs w:val="16"/>
          <w:color w:val="auto"/>
        </w:rPr>
        <w:t xml:space="preserve">with respect to all other matters and for all other matters as to a particular Lender (including the indemnification obligations arising under </w:t>
      </w:r>
      <w:r>
        <w:rPr>
          <w:rFonts w:ascii="Arial" w:cs="Arial" w:eastAsia="Arial" w:hAnsi="Arial"/>
          <w:sz w:val="16"/>
          <w:szCs w:val="16"/>
          <w:u w:val="single" w:color="auto"/>
          <w:color w:val="auto"/>
        </w:rPr>
        <w:t>Section 13.7</w:t>
      </w:r>
      <w:r>
        <w:rPr>
          <w:rFonts w:ascii="Arial" w:cs="Arial" w:eastAsia="Arial" w:hAnsi="Arial"/>
          <w:sz w:val="16"/>
          <w:szCs w:val="16"/>
          <w:color w:val="auto"/>
        </w:rPr>
        <w:t xml:space="preserve"> of this Agreement), the percentage obtained by dividing (i) the Revolving Loan Exposure and Term Loan Exposure of such Lender, by (ii) the aggregate Revolving Loan Exposure and Term Loan Exposure of all Lenders, in any such case as the applicable percentage may be adjusted by assignments permitted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w:t>
      </w:r>
    </w:p>
    <w:p>
      <w:pPr>
        <w:spacing w:after="0" w:line="112"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Cash</w:t>
      </w:r>
      <w:r>
        <w:rPr>
          <w:rFonts w:ascii="Arial" w:cs="Arial" w:eastAsia="Arial" w:hAnsi="Arial"/>
          <w:sz w:val="16"/>
          <w:szCs w:val="16"/>
          <w:color w:val="auto"/>
        </w:rPr>
        <w:t>” means, as of any date of determination, the aggregate amount of all unrestricted cash maintained by a Loan Party with CIBC or CIBC USA subject to a an Account Control Agreement in favor of Agent.</w:t>
      </w:r>
    </w:p>
    <w:p>
      <w:pPr>
        <w:spacing w:after="0" w:line="94"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Estate Loan Facility</w:t>
      </w:r>
      <w:r>
        <w:rPr>
          <w:rFonts w:ascii="Arial" w:cs="Arial" w:eastAsia="Arial" w:hAnsi="Arial"/>
          <w:sz w:val="16"/>
          <w:szCs w:val="16"/>
          <w:color w:val="auto"/>
        </w:rPr>
        <w:t>” means the loan facility pursuant to that certain Loan Agreement by and between Real Estate SPV, Borrower Representative and CIBC, as amended, restated, supplemented or otherwise modified from time to time.</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Estate SPV</w:t>
      </w:r>
      <w:r>
        <w:rPr>
          <w:rFonts w:ascii="Arial" w:cs="Arial" w:eastAsia="Arial" w:hAnsi="Arial"/>
          <w:sz w:val="16"/>
          <w:szCs w:val="16"/>
          <w:color w:val="auto"/>
        </w:rPr>
        <w:t>” means 401 SW 5th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A-14</w:t>
      </w:r>
    </w:p>
    <w:p>
      <w:pPr>
        <w:sectPr>
          <w:pgSz w:w="11900" w:h="16838" w:orient="portrait"/>
          <w:cols w:equalWidth="0" w:num="1">
            <w:col w:w="11260"/>
          </w:cols>
          <w:pgMar w:left="320" w:top="1292" w:right="319" w:bottom="1440" w:gutter="0" w:footer="0" w:header="0"/>
        </w:sectPr>
      </w:pPr>
    </w:p>
    <w:bookmarkStart w:id="399" w:name="page400"/>
    <w:bookmarkEnd w:id="399"/>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Recurring Revenue</w:t>
      </w:r>
      <w:r>
        <w:rPr>
          <w:rFonts w:ascii="Arial" w:cs="Arial" w:eastAsia="Arial" w:hAnsi="Arial"/>
          <w:sz w:val="16"/>
          <w:szCs w:val="16"/>
          <w:color w:val="auto"/>
        </w:rPr>
        <w:t>” means, with respect to any period, revenue of Borrower Representative and each of its Subsidiaries on a consolidated basis, generated during such period from recurring subscription-based sales and recurring support sales made pursuant to a customer service agreement with Borrower Representative or such Subsidiary.</w:t>
      </w:r>
    </w:p>
    <w:p>
      <w:pPr>
        <w:spacing w:after="0" w:line="10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means any “registered organization” as defined in the Code with such additions to such term as may hereafter be made.</w:t>
      </w:r>
    </w:p>
    <w:p>
      <w:pPr>
        <w:spacing w:after="0" w:line="157"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107" w:lineRule="exact"/>
        <w:rPr>
          <w:sz w:val="20"/>
          <w:szCs w:val="20"/>
          <w:color w:val="auto"/>
        </w:rPr>
      </w:pPr>
    </w:p>
    <w:p>
      <w:pPr>
        <w:ind w:left="583"/>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Required Lenders</w:t>
      </w:r>
      <w:r>
        <w:rPr>
          <w:rFonts w:ascii="Arial" w:cs="Arial" w:eastAsia="Arial" w:hAnsi="Arial"/>
          <w:sz w:val="14"/>
          <w:szCs w:val="14"/>
          <w:color w:val="auto"/>
        </w:rPr>
        <w:t>” means, at any time, Lenders having or holding more than 50% of the sum of (a) the aggregate Revolving Loan Exposure of all Lenders, plus</w:t>
      </w:r>
    </w:p>
    <w:p>
      <w:pPr>
        <w:spacing w:after="0" w:line="50" w:lineRule="exact"/>
        <w:rPr>
          <w:sz w:val="20"/>
          <w:szCs w:val="20"/>
          <w:color w:val="auto"/>
        </w:rPr>
      </w:pPr>
    </w:p>
    <w:p>
      <w:pPr>
        <w:ind w:left="3" w:right="20" w:hanging="3"/>
        <w:spacing w:after="0" w:line="268" w:lineRule="auto"/>
        <w:tabs>
          <w:tab w:leader="none" w:pos="261"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the aggregate Term Loan Exposure of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Revolving Loan Exposure and Term Loan Exposure of any Defaulting Lender shall be disregarded in the determination of the Required Lenders.</w:t>
      </w:r>
    </w:p>
    <w:p>
      <w:pPr>
        <w:spacing w:after="0" w:line="109"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Requirement of Law</w:t>
      </w:r>
      <w:r>
        <w:rPr>
          <w:rFonts w:ascii="Arial" w:cs="Arial" w:eastAsia="Arial" w:hAnsi="Arial"/>
          <w:sz w:val="16"/>
          <w:szCs w:val="16"/>
          <w:color w:val="auto"/>
        </w:rPr>
        <w:t>” means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07" w:lineRule="exact"/>
        <w:rPr>
          <w:sz w:val="20"/>
          <w:szCs w:val="20"/>
          <w:color w:val="auto"/>
        </w:rPr>
      </w:pPr>
    </w:p>
    <w:p>
      <w:pPr>
        <w:jc w:val="both"/>
        <w:ind w:left="3"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w:t>
      </w:r>
      <w:r>
        <w:rPr>
          <w:rFonts w:ascii="Arial" w:cs="Arial" w:eastAsia="Arial" w:hAnsi="Arial"/>
          <w:sz w:val="15"/>
          <w:szCs w:val="15"/>
          <w:color w:val="auto"/>
        </w:rPr>
        <w:t>” means with respect to any Person, any of the Chief Executive Officer, President or Chief Financial Officer of such Person. Unless the context otherwise requires, each reference to a Responsible Officer herein shall be a reference to a Responsible Officer of Borrower Representative.</w:t>
      </w:r>
    </w:p>
    <w:p>
      <w:pPr>
        <w:spacing w:after="0" w:line="70" w:lineRule="exact"/>
        <w:rPr>
          <w:sz w:val="20"/>
          <w:szCs w:val="20"/>
          <w:color w:val="auto"/>
        </w:rPr>
      </w:pPr>
    </w:p>
    <w:p>
      <w:pPr>
        <w:jc w:val="both"/>
        <w:ind w:left="3" w:right="20" w:firstLine="585"/>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License</w:t>
      </w:r>
      <w:r>
        <w:rPr>
          <w:rFonts w:ascii="Arial" w:cs="Arial" w:eastAsia="Arial" w:hAnsi="Arial"/>
          <w:sz w:val="16"/>
          <w:szCs w:val="16"/>
          <w:color w:val="auto"/>
        </w:rPr>
        <w:t>” means any material license or other material agreement (other than ordinary course customer contracts, off the shelf software licenses, licenses that are commercially available to the public, and open source licenses) with respect to which a Loan Party or any of its Subsidiaries is the licensee (a) that prohibits or otherwise restricts such Loan Party or Subsidiary from granting a security interest in such Loan Party or Subsidiary’s interest in such license or agreement or any other property, or (b) for which a default under, or termination of which, could reasonably be expected to interfere with the Agent’s ability to exercise secured party remedies with respect to any Collateral.</w:t>
      </w:r>
    </w:p>
    <w:p>
      <w:pPr>
        <w:spacing w:after="0" w:line="116"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Lender</w:t>
      </w:r>
      <w:r>
        <w:rPr>
          <w:rFonts w:ascii="Arial" w:cs="Arial" w:eastAsia="Arial" w:hAnsi="Arial"/>
          <w:sz w:val="16"/>
          <w:szCs w:val="16"/>
          <w:color w:val="auto"/>
        </w:rPr>
        <w:t>” means each Lender that has a Revolving Loan Commitment or that holds Revolving Loans.</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w:t>
      </w:r>
      <w:r>
        <w:rPr>
          <w:rFonts w:ascii="Arial" w:cs="Arial" w:eastAsia="Arial" w:hAnsi="Arial"/>
          <w:sz w:val="16"/>
          <w:szCs w:val="16"/>
          <w:color w:val="auto"/>
        </w:rPr>
        <w:t xml:space="preserve">” means an advance under the Revolving Loan Facility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57" w:lineRule="exact"/>
        <w:rPr>
          <w:sz w:val="20"/>
          <w:szCs w:val="20"/>
          <w:color w:val="auto"/>
        </w:rPr>
      </w:pPr>
    </w:p>
    <w:p>
      <w:pPr>
        <w:jc w:val="both"/>
        <w:ind w:left="3"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Revolving Loan Commitment</w:t>
      </w:r>
      <w:r>
        <w:rPr>
          <w:rFonts w:ascii="Arial" w:cs="Arial" w:eastAsia="Arial" w:hAnsi="Arial"/>
          <w:sz w:val="15"/>
          <w:szCs w:val="15"/>
          <w:color w:val="auto"/>
        </w:rPr>
        <w:t xml:space="preserve">” means, with respect to each Revolving Lender, such Revolving Lender’s commitment, to make Revolving Loans in an aggregate principal amount not to exceed the amount set forth under the heading “Revolving Loan Commitment” opposite such Lender’s name on </w:t>
      </w:r>
      <w:r>
        <w:rPr>
          <w:rFonts w:ascii="Arial" w:cs="Arial" w:eastAsia="Arial" w:hAnsi="Arial"/>
          <w:sz w:val="15"/>
          <w:szCs w:val="15"/>
          <w:u w:val="single" w:color="auto"/>
          <w:color w:val="auto"/>
        </w:rPr>
        <w:t>Schedule 1</w:t>
      </w:r>
      <w:r>
        <w:rPr>
          <w:rFonts w:ascii="Arial" w:cs="Arial" w:eastAsia="Arial" w:hAnsi="Arial"/>
          <w:sz w:val="15"/>
          <w:szCs w:val="15"/>
          <w:color w:val="auto"/>
        </w:rPr>
        <w:t>.</w:t>
      </w:r>
    </w:p>
    <w:p>
      <w:pPr>
        <w:spacing w:after="0" w:line="70"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 Exposure</w:t>
      </w:r>
      <w:r>
        <w:rPr>
          <w:rFonts w:ascii="Arial" w:cs="Arial" w:eastAsia="Arial" w:hAnsi="Arial"/>
          <w:sz w:val="16"/>
          <w:szCs w:val="16"/>
          <w:color w:val="auto"/>
        </w:rPr>
        <w:t>” means, with respect to any Revolving Lender, as of any date of determination (a) prior to the termination of the Revolving Loan Commitments, the amount of such Lender’s Revolving Loan Commitment, and (b) after the termination of the Revolving Loan Commitments, the aggregate outstanding principal amount of the Revolving Loans of such Lender.</w:t>
      </w:r>
    </w:p>
    <w:p>
      <w:pPr>
        <w:spacing w:after="0" w:line="10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 Facility</w:t>
      </w:r>
      <w:r>
        <w:rPr>
          <w:rFonts w:ascii="Arial" w:cs="Arial" w:eastAsia="Arial" w:hAnsi="Arial"/>
          <w:sz w:val="16"/>
          <w:szCs w:val="16"/>
          <w:color w:val="auto"/>
        </w:rPr>
        <w:t xml:space="preserve">” means the Revolving Commitments and the extensions of credit made thereunder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 Maturity Date</w:t>
      </w:r>
      <w:r>
        <w:rPr>
          <w:rFonts w:ascii="Arial" w:cs="Arial" w:eastAsia="Arial" w:hAnsi="Arial"/>
          <w:sz w:val="16"/>
          <w:szCs w:val="16"/>
          <w:color w:val="auto"/>
        </w:rPr>
        <w:t>” means September 21, 2024.</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5.11(c)</w:t>
      </w:r>
      <w:r>
        <w:rPr>
          <w:rFonts w:ascii="Arial" w:cs="Arial" w:eastAsia="Arial" w:hAnsi="Arial"/>
          <w:sz w:val="16"/>
          <w:szCs w:val="16"/>
          <w:color w:val="auto"/>
        </w:rPr>
        <w:t>.</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Parties</w:t>
      </w:r>
      <w:r>
        <w:rPr>
          <w:rFonts w:ascii="Arial" w:cs="Arial" w:eastAsia="Arial" w:hAnsi="Arial"/>
          <w:sz w:val="16"/>
          <w:szCs w:val="16"/>
          <w:color w:val="auto"/>
        </w:rPr>
        <w:t>” means, collectively, Agent and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A-15</w:t>
      </w:r>
    </w:p>
    <w:p>
      <w:pPr>
        <w:sectPr>
          <w:pgSz w:w="11900" w:h="16838" w:orient="portrait"/>
          <w:cols w:equalWidth="0" w:num="1">
            <w:col w:w="11263"/>
          </w:cols>
          <w:pgMar w:left="317" w:top="1291" w:right="319" w:bottom="1440" w:gutter="0" w:footer="0" w:header="0"/>
        </w:sectPr>
      </w:pPr>
    </w:p>
    <w:bookmarkStart w:id="400" w:name="page401"/>
    <w:bookmarkEnd w:id="400"/>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Party Entities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12.10</w:t>
      </w:r>
      <w:r>
        <w:rPr>
          <w:rFonts w:ascii="Arial" w:cs="Arial" w:eastAsia="Arial" w:hAnsi="Arial"/>
          <w:sz w:val="16"/>
          <w:szCs w:val="16"/>
          <w:color w:val="auto"/>
        </w:rPr>
        <w:t>.</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Account</w:t>
      </w:r>
      <w:r>
        <w:rPr>
          <w:rFonts w:ascii="Arial" w:cs="Arial" w:eastAsia="Arial" w:hAnsi="Arial"/>
          <w:sz w:val="16"/>
          <w:szCs w:val="16"/>
          <w:color w:val="auto"/>
        </w:rPr>
        <w:t>” means any “securities account” as defined in the Code with such additions to such term as may hereafter be made.</w:t>
      </w:r>
    </w:p>
    <w:p>
      <w:pPr>
        <w:spacing w:after="0" w:line="157" w:lineRule="exact"/>
        <w:rPr>
          <w:sz w:val="20"/>
          <w:szCs w:val="20"/>
          <w:color w:val="auto"/>
        </w:rPr>
      </w:pPr>
    </w:p>
    <w:p>
      <w:pPr>
        <w:jc w:val="both"/>
        <w:ind w:left="3" w:firstLine="585"/>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Secured Party Expenses</w:t>
      </w:r>
      <w:r>
        <w:rPr>
          <w:rFonts w:ascii="Arial" w:cs="Arial" w:eastAsia="Arial" w:hAnsi="Arial"/>
          <w:sz w:val="14"/>
          <w:szCs w:val="14"/>
          <w:color w:val="auto"/>
        </w:rPr>
        <w:t>” means all (a) costs or expenses (including taxes and insurance premiums) required to be paid by any Loan Party or its Subsidiaries under any of the Loan Documents that are paid, advanced, or incurred by Lenders, (b) documented out-of-pocket fees or charges paid or incurred by Agent in connection with the transactions contemplated by this Agreement and the Loan Documents, (c) reasonable, documented out-of-pocket costs and expenses paid or incurred by Secured Parties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w:t>
      </w:r>
    </w:p>
    <w:p>
      <w:pPr>
        <w:spacing w:after="0" w:line="1" w:lineRule="exact"/>
        <w:rPr>
          <w:sz w:val="20"/>
          <w:szCs w:val="20"/>
          <w:color w:val="auto"/>
        </w:rPr>
      </w:pPr>
    </w:p>
    <w:p>
      <w:pPr>
        <w:jc w:val="both"/>
        <w:ind w:left="3" w:hanging="3"/>
        <w:spacing w:after="0" w:line="274" w:lineRule="auto"/>
        <w:tabs>
          <w:tab w:leader="none" w:pos="245" w:val="left"/>
        </w:tabs>
        <w:numPr>
          <w:ilvl w:val="0"/>
          <w:numId w:val="296"/>
        </w:numPr>
        <w:rPr>
          <w:rFonts w:ascii="Arial" w:cs="Arial" w:eastAsia="Arial" w:hAnsi="Arial"/>
          <w:sz w:val="15"/>
          <w:szCs w:val="15"/>
          <w:color w:val="auto"/>
        </w:rPr>
      </w:pPr>
      <w:r>
        <w:rPr>
          <w:rFonts w:ascii="Arial" w:cs="Arial" w:eastAsia="Arial" w:hAnsi="Arial"/>
          <w:sz w:val="15"/>
          <w:szCs w:val="15"/>
          <w:color w:val="auto"/>
        </w:rPr>
        <w:t>financial examination, appraisal, and valuation fees and expenses of Agent related to any financial examinations, appraisals, or valuation to the extent of the fees and charges, (e) Agent’s and Lenders’ reasonable, documented costs and expenses (including reasonable and documented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Secured Parties’ relationship with any Loan Party or any of its Subsidiaries, (f) Agent’s reasonable and documented costs and expenses (including reasonable and documented attorneys’ fees and due diligence expenses) incurred in advising, structuring, drafting, reviewing, administering, syndicating or other communication costs incurred in connection with a syndication of the loan facilities, or amending, waiving, or modifying the Loan Documents, and (g) Agent’s and each Lender’s reasonable and documented costs and expenses (including reasonable and documented attorneys, accountants, consultants, and other advisors fees and expenses) incurred in terminating, enforcing (including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108" w:lineRule="exact"/>
        <w:rPr>
          <w:sz w:val="20"/>
          <w:szCs w:val="20"/>
          <w:color w:val="auto"/>
        </w:rPr>
      </w:pPr>
    </w:p>
    <w:p>
      <w:pPr>
        <w:jc w:val="both"/>
        <w:ind w:left="3" w:right="20" w:firstLine="58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Security Instrument</w:t>
      </w:r>
      <w:r>
        <w:rPr>
          <w:rFonts w:ascii="Arial" w:cs="Arial" w:eastAsia="Arial" w:hAnsi="Arial"/>
          <w:sz w:val="14"/>
          <w:szCs w:val="14"/>
          <w:color w:val="auto"/>
        </w:rPr>
        <w:t>” means any security agreement, assignment, pledge agreement, financing or other similar statement or notice, continuation statement, other agreement or instrument, or any amendment or supplement to any thereof, creating, governing or providing for, evidencing or perfecting any security interest or Lien.</w:t>
      </w:r>
    </w:p>
    <w:p>
      <w:pPr>
        <w:spacing w:after="0" w:line="48" w:lineRule="exact"/>
        <w:rPr>
          <w:sz w:val="20"/>
          <w:szCs w:val="20"/>
          <w:color w:val="auto"/>
        </w:rPr>
      </w:pPr>
    </w:p>
    <w:p>
      <w:pPr>
        <w:ind w:left="58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Shares</w:t>
      </w:r>
      <w:r>
        <w:rPr>
          <w:rFonts w:ascii="Arial" w:cs="Arial" w:eastAsia="Arial" w:hAnsi="Arial"/>
          <w:sz w:val="15"/>
          <w:szCs w:val="15"/>
          <w:color w:val="auto"/>
        </w:rPr>
        <w:t>” means all of the issued and outstanding Equity Interests owned or held of record by a Loan Party or other Loan Party in each of its Subsidiaries.</w:t>
      </w:r>
    </w:p>
    <w:p>
      <w:pPr>
        <w:spacing w:after="0" w:line="169" w:lineRule="exact"/>
        <w:rPr>
          <w:sz w:val="20"/>
          <w:szCs w:val="20"/>
          <w:color w:val="auto"/>
        </w:rPr>
      </w:pPr>
    </w:p>
    <w:p>
      <w:pPr>
        <w:jc w:val="both"/>
        <w:ind w:left="3"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Indebtedness incurred by a Loan Party that is subordinated in writing to all of the Obligations, pursuant to a Subordination Agreement, on terms acceptable to Required Lenders, including, without limitation, lien and payment subordination.</w:t>
      </w:r>
    </w:p>
    <w:p>
      <w:pPr>
        <w:spacing w:after="0" w:line="94" w:lineRule="exact"/>
        <w:rPr>
          <w:sz w:val="20"/>
          <w:szCs w:val="20"/>
          <w:color w:val="auto"/>
        </w:rPr>
      </w:pPr>
    </w:p>
    <w:p>
      <w:pPr>
        <w:jc w:val="both"/>
        <w:ind w:left="3"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Subordination Agreement</w:t>
      </w:r>
      <w:r>
        <w:rPr>
          <w:rFonts w:ascii="Arial" w:cs="Arial" w:eastAsia="Arial" w:hAnsi="Arial"/>
          <w:sz w:val="16"/>
          <w:szCs w:val="16"/>
          <w:color w:val="auto"/>
        </w:rPr>
        <w:t>” means any subordination or intercreditor agreement, providing for the subordination of Indebtedness to the Obligations, on terms and conditions satisfactory to Agent, in its reasonable discretion.</w:t>
      </w:r>
    </w:p>
    <w:p>
      <w:pPr>
        <w:spacing w:after="0" w:line="94" w:lineRule="exact"/>
        <w:rPr>
          <w:sz w:val="20"/>
          <w:szCs w:val="20"/>
          <w:color w:val="auto"/>
        </w:rPr>
      </w:pPr>
    </w:p>
    <w:p>
      <w:pPr>
        <w:jc w:val="both"/>
        <w:ind w:left="3" w:right="20" w:firstLine="58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Subsidiary</w:t>
      </w:r>
      <w:r>
        <w:rPr>
          <w:rFonts w:ascii="Arial" w:cs="Arial" w:eastAsia="Arial" w:hAnsi="Arial"/>
          <w:sz w:val="15"/>
          <w:szCs w:val="15"/>
          <w:color w:val="auto"/>
        </w:rPr>
        <w:t>” means, with respect to any Person, any corporation, partnership, limited liability company or joint venture in which (i) any general partnership interest or (ii) more than fifty percent (50%) of the stock, limited liability company interest, joint venture interest or other Equity Interest of which by the terms thereof has the ordinary voting power to elect the Board of that Person, at the time as of which any determination is being made, is owned or controlled by such Person, either directly or through an Affiliate. Unless the context otherwise requires, each reference to a Subsidiary herein shall be a reference to a Subsidiary of a Borrower. For the avoidance of doubt, Expensify.Org shall not be deemed a Subsidiary of Borrower Representative as long as it constitutes a tax exempt charitable organization.</w:t>
      </w:r>
    </w:p>
    <w:p>
      <w:pPr>
        <w:spacing w:after="0" w:line="100"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 Fee Letter</w:t>
      </w:r>
      <w:r>
        <w:rPr>
          <w:rFonts w:ascii="Arial" w:cs="Arial" w:eastAsia="Arial" w:hAnsi="Arial"/>
          <w:sz w:val="16"/>
          <w:szCs w:val="16"/>
          <w:color w:val="auto"/>
        </w:rPr>
        <w:t>” means that certain Success Fee Agreement, dated as of the Closing Date, by and between Borrower Representative and CIBC.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A-16</w:t>
      </w:r>
    </w:p>
    <w:p>
      <w:pPr>
        <w:sectPr>
          <w:pgSz w:w="11900" w:h="16838" w:orient="portrait"/>
          <w:cols w:equalWidth="0" w:num="1">
            <w:col w:w="11263"/>
          </w:cols>
          <w:pgMar w:left="317" w:top="1292" w:right="319" w:bottom="1440" w:gutter="0" w:footer="0" w:header="0"/>
        </w:sectPr>
      </w:pPr>
    </w:p>
    <w:bookmarkStart w:id="401" w:name="page402"/>
    <w:bookmarkEnd w:id="401"/>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w:t>
      </w:r>
      <w:r>
        <w:rPr>
          <w:rFonts w:ascii="Arial" w:cs="Arial" w:eastAsia="Arial" w:hAnsi="Arial"/>
          <w:sz w:val="16"/>
          <w:szCs w:val="16"/>
          <w:color w:val="auto"/>
        </w:rPr>
        <w:t xml:space="preserve">” means a borrowing under the Term Loan Facility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w:t>
      </w:r>
      <w:r>
        <w:rPr>
          <w:rFonts w:ascii="Arial" w:cs="Arial" w:eastAsia="Arial" w:hAnsi="Arial"/>
          <w:sz w:val="16"/>
          <w:szCs w:val="16"/>
          <w:color w:val="auto"/>
        </w:rPr>
        <w:t xml:space="preserve">” means, with respect to each Term Loan Lender, such Term Loan Lender’s commitment, to make Term Loans in an aggregate principal amount not to exceed the amount set forth under the heading “Term Loan Commitment” opposite such Lender’s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w:t>
      </w:r>
    </w:p>
    <w:p>
      <w:pPr>
        <w:spacing w:after="0" w:line="94" w:lineRule="exact"/>
        <w:rPr>
          <w:sz w:val="20"/>
          <w:szCs w:val="20"/>
          <w:color w:val="auto"/>
        </w:rPr>
      </w:pPr>
    </w:p>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Loan Exposure</w:t>
      </w:r>
      <w:r>
        <w:rPr>
          <w:rFonts w:ascii="Arial" w:cs="Arial" w:eastAsia="Arial" w:hAnsi="Arial"/>
          <w:sz w:val="15"/>
          <w:szCs w:val="15"/>
          <w:color w:val="auto"/>
        </w:rPr>
        <w:t>” means, with respect to any Term Loan Lender, as of any date of determination (a) prior to the funding of the Term Loan, the amount of such Lender’s Term Loan Commitment, and (b) after the funding of the Term Loan, the outstanding principal amount of the Term Loan held by such Lender.</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Facility</w:t>
      </w:r>
      <w:r>
        <w:rPr>
          <w:rFonts w:ascii="Arial" w:cs="Arial" w:eastAsia="Arial" w:hAnsi="Arial"/>
          <w:sz w:val="16"/>
          <w:szCs w:val="16"/>
          <w:color w:val="auto"/>
        </w:rPr>
        <w:t xml:space="preserve">” means the Term Loan Commitments and the extensions of credit made thereunder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Lender</w:t>
      </w:r>
      <w:r>
        <w:rPr>
          <w:rFonts w:ascii="Arial" w:cs="Arial" w:eastAsia="Arial" w:hAnsi="Arial"/>
          <w:sz w:val="16"/>
          <w:szCs w:val="16"/>
          <w:color w:val="auto"/>
        </w:rPr>
        <w:t>” means each Lender that has a Term Loan Commitment or that holds Term Loans.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Maturity Date</w:t>
      </w:r>
      <w:r>
        <w:rPr>
          <w:rFonts w:ascii="Arial" w:cs="Arial" w:eastAsia="Arial" w:hAnsi="Arial"/>
          <w:sz w:val="16"/>
          <w:szCs w:val="16"/>
          <w:color w:val="auto"/>
        </w:rPr>
        <w:t>” means the five year anniversary of the Effective Date.</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ARR Leverage Ratio</w:t>
      </w:r>
      <w:r>
        <w:rPr>
          <w:rFonts w:ascii="Arial" w:cs="Arial" w:eastAsia="Arial" w:hAnsi="Arial"/>
          <w:sz w:val="16"/>
          <w:szCs w:val="16"/>
          <w:color w:val="auto"/>
        </w:rPr>
        <w:t>” means, as of any date of determination, the ratio of (i) Total Funded Debt, as of such date, to (ii) Recurring Revenue for the most recent calendar quarter then ended, multiplied by 4.0, provided that for purposes of this ratio.</w:t>
      </w:r>
    </w:p>
    <w:p>
      <w:pPr>
        <w:spacing w:after="0" w:line="94"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EBITDA Net Leverage Ratio</w:t>
      </w:r>
      <w:r>
        <w:rPr>
          <w:rFonts w:ascii="Arial" w:cs="Arial" w:eastAsia="Arial" w:hAnsi="Arial"/>
          <w:sz w:val="16"/>
          <w:szCs w:val="16"/>
          <w:color w:val="auto"/>
        </w:rPr>
        <w:t>” means, as of any date of determination, the ratio of (i) an amount equal to (A) Total Funded Debt, as of such date, less (B) the lesser of (x) Qualified Cash, in each case, and (y) $10,000,000, to (ii) EBITDA for the consecutive twelve month period then ended.</w:t>
      </w:r>
    </w:p>
    <w:p>
      <w:pPr>
        <w:spacing w:after="0" w:line="94"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Funded Debt</w:t>
      </w:r>
      <w:r>
        <w:rPr>
          <w:rFonts w:ascii="Arial" w:cs="Arial" w:eastAsia="Arial" w:hAnsi="Arial"/>
          <w:sz w:val="16"/>
          <w:szCs w:val="16"/>
          <w:color w:val="auto"/>
        </w:rPr>
        <w:t>” means, as of any date of determination, the total outstanding Obligations and any other Indebtedness, regardless of whether such Indebtedness ranks senior to, pari passu or junior to the Obligations.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Revolving Loan Commitment</w:t>
      </w:r>
      <w:r>
        <w:rPr>
          <w:rFonts w:ascii="Arial" w:cs="Arial" w:eastAsia="Arial" w:hAnsi="Arial"/>
          <w:sz w:val="16"/>
          <w:szCs w:val="16"/>
          <w:color w:val="auto"/>
        </w:rPr>
        <w:t xml:space="preserve">” means the aggregate amount of all Revolving Loan Commitments hereunder, as set forth on </w:t>
      </w:r>
      <w:r>
        <w:rPr>
          <w:rFonts w:ascii="Arial" w:cs="Arial" w:eastAsia="Arial" w:hAnsi="Arial"/>
          <w:sz w:val="16"/>
          <w:szCs w:val="16"/>
          <w:u w:val="single" w:color="auto"/>
          <w:color w:val="auto"/>
        </w:rPr>
        <w:t>Schedule 1.</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Term Loan Commitment</w:t>
      </w:r>
      <w:r>
        <w:rPr>
          <w:rFonts w:ascii="Arial" w:cs="Arial" w:eastAsia="Arial" w:hAnsi="Arial"/>
          <w:sz w:val="16"/>
          <w:szCs w:val="16"/>
          <w:color w:val="auto"/>
        </w:rPr>
        <w:t xml:space="preserve">” means the aggregate amount of all Term Loan Commitments hereunder, as set forth on </w:t>
      </w:r>
      <w:r>
        <w:rPr>
          <w:rFonts w:ascii="Arial" w:cs="Arial" w:eastAsia="Arial" w:hAnsi="Arial"/>
          <w:sz w:val="16"/>
          <w:szCs w:val="16"/>
          <w:u w:val="single" w:color="auto"/>
          <w:color w:val="auto"/>
        </w:rPr>
        <w:t>Schedule 1.</w:t>
      </w:r>
    </w:p>
    <w:p>
      <w:pPr>
        <w:spacing w:after="0" w:line="15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any trademark and servicemark rights of a Person, whether registered or not, applications to register and registrations of the same and like protections, and the entire goodwill of the business connected with and symbolized by such trademarks.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means defined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157"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means, with respect to any Person, all classes of Equity Interests issued by such Person the holders of which are ordinarily, in the absence of contingencies, entitled to vote for the election of directors or managers (or Persons performing similar functions) of such Person, even though the right so to vote has been suspended by the happening of such a contingency.</w:t>
      </w:r>
    </w:p>
    <w:p>
      <w:pPr>
        <w:spacing w:after="0" w:line="107"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Write-Down and Conversion Powers</w:t>
      </w:r>
      <w:r>
        <w:rPr>
          <w:rFonts w:ascii="Arial" w:cs="Arial" w:eastAsia="Arial" w:hAnsi="Arial"/>
          <w:sz w:val="16"/>
          <w:szCs w:val="16"/>
          <w:color w:val="auto"/>
        </w:rPr>
        <w:t>”: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A-17</w:t>
      </w:r>
    </w:p>
    <w:p>
      <w:pPr>
        <w:sectPr>
          <w:pgSz w:w="11900" w:h="16838" w:orient="portrait"/>
          <w:cols w:equalWidth="0" w:num="1">
            <w:col w:w="11260"/>
          </w:cols>
          <w:pgMar w:left="320" w:top="1292" w:right="319" w:bottom="1440" w:gutter="0" w:footer="0" w:header="0"/>
        </w:sectPr>
      </w:pPr>
    </w:p>
    <w:bookmarkStart w:id="402" w:name="page403"/>
    <w:bookmarkEnd w:id="402"/>
    <w:p>
      <w:pPr>
        <w:jc w:val="center"/>
        <w:spacing w:after="0"/>
        <w:rPr>
          <w:sz w:val="20"/>
          <w:szCs w:val="20"/>
          <w:color w:val="auto"/>
        </w:rPr>
      </w:pPr>
      <w:r>
        <w:rPr>
          <w:rFonts w:ascii="Arial" w:cs="Arial" w:eastAsia="Arial" w:hAnsi="Arial"/>
          <w:sz w:val="16"/>
          <w:szCs w:val="16"/>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COLLATERAL DESCRIPTION</w:t>
      </w:r>
    </w:p>
    <w:p>
      <w:pPr>
        <w:spacing w:after="0" w:line="145" w:lineRule="exact"/>
        <w:rPr>
          <w:sz w:val="20"/>
          <w:szCs w:val="20"/>
          <w:color w:val="auto"/>
        </w:rPr>
      </w:pPr>
    </w:p>
    <w:p>
      <w:pPr>
        <w:jc w:val="both"/>
        <w:ind w:firstLine="585"/>
        <w:spacing w:after="0" w:line="283" w:lineRule="auto"/>
        <w:rPr>
          <w:sz w:val="20"/>
          <w:szCs w:val="20"/>
          <w:color w:val="auto"/>
        </w:rPr>
      </w:pPr>
      <w:r>
        <w:rPr>
          <w:rFonts w:ascii="Arial" w:cs="Arial" w:eastAsia="Arial" w:hAnsi="Arial"/>
          <w:sz w:val="16"/>
          <w:szCs w:val="16"/>
          <w:color w:val="auto"/>
        </w:rPr>
        <w:t>The Collateral consists of all of each Borrower’s right, title and interest in and to the following personal property wherever located, whether now owned or existing or hereafter acquired, created or arising:</w:t>
      </w:r>
    </w:p>
    <w:p>
      <w:pPr>
        <w:spacing w:after="0" w:line="102" w:lineRule="exact"/>
        <w:rPr>
          <w:sz w:val="20"/>
          <w:szCs w:val="20"/>
          <w:color w:val="auto"/>
        </w:rPr>
      </w:pPr>
    </w:p>
    <w:p>
      <w:pPr>
        <w:jc w:val="both"/>
        <w:ind w:firstLine="585"/>
        <w:spacing w:after="0" w:line="280" w:lineRule="auto"/>
        <w:rPr>
          <w:sz w:val="20"/>
          <w:szCs w:val="20"/>
          <w:color w:val="auto"/>
        </w:rPr>
      </w:pPr>
      <w:r>
        <w:rPr>
          <w:rFonts w:ascii="Arial" w:cs="Arial" w:eastAsia="Arial" w:hAnsi="Arial"/>
          <w:sz w:val="15"/>
          <w:szCs w:val="15"/>
          <w:color w:val="auto"/>
        </w:rPr>
        <w:t>All goods, Accounts (including health-care receivables), Equipment, Inventory, contract rights or rights to payment of money, leases, license agreements, franchise agreements, General Intangibles,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 all such Borrower’s Books relating to the foregoing, and any and all claims, rights and interests in any of the above and all substitutions for, additions, attachments, accessories, accessions and improvements to and replacements, products, proceeds (both cash and non-cash) and insurance proceeds of any or all of the foregoing.</w:t>
      </w:r>
    </w:p>
    <w:p>
      <w:pPr>
        <w:sectPr>
          <w:pgSz w:w="11900" w:h="16838" w:orient="portrait"/>
          <w:cols w:equalWidth="0" w:num="1">
            <w:col w:w="11240"/>
          </w:cols>
          <w:pgMar w:left="320" w:top="1292" w:right="339" w:bottom="1440" w:gutter="0" w:footer="0" w:header="0"/>
        </w:sectPr>
      </w:pPr>
    </w:p>
    <w:bookmarkStart w:id="403" w:name="page404"/>
    <w:bookmarkEnd w:id="403"/>
    <w:p>
      <w:pPr>
        <w:jc w:val="center"/>
        <w:ind w:right="19"/>
        <w:spacing w:after="0"/>
        <w:rPr>
          <w:sz w:val="20"/>
          <w:szCs w:val="20"/>
          <w:color w:val="auto"/>
        </w:rPr>
      </w:pPr>
      <w:r>
        <w:rPr>
          <w:rFonts w:ascii="Arial" w:cs="Arial" w:eastAsia="Arial" w:hAnsi="Arial"/>
          <w:sz w:val="16"/>
          <w:szCs w:val="16"/>
          <w:b w:val="1"/>
          <w:bCs w:val="1"/>
          <w:color w:val="auto"/>
        </w:rPr>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COMPLIANCE CERTIFICATE</w:t>
      </w:r>
    </w:p>
    <w:p>
      <w:pPr>
        <w:sectPr>
          <w:pgSz w:w="11900" w:h="16838" w:orient="portrait"/>
          <w:cols w:equalWidth="0" w:num="1">
            <w:col w:w="9019"/>
          </w:cols>
          <w:pgMar w:left="1440" w:top="1292" w:right="1440" w:bottom="1440" w:gutter="0" w:footer="0" w:header="0"/>
        </w:sectPr>
      </w:pPr>
    </w:p>
    <w:bookmarkStart w:id="404" w:name="page405"/>
    <w:bookmarkEnd w:id="404"/>
    <w:p>
      <w:pPr>
        <w:jc w:val="center"/>
        <w:ind w:right="19"/>
        <w:spacing w:after="0"/>
        <w:rPr>
          <w:sz w:val="20"/>
          <w:szCs w:val="20"/>
          <w:color w:val="auto"/>
        </w:rPr>
      </w:pPr>
      <w:r>
        <w:rPr>
          <w:rFonts w:ascii="Arial" w:cs="Arial" w:eastAsia="Arial" w:hAnsi="Arial"/>
          <w:sz w:val="16"/>
          <w:szCs w:val="16"/>
          <w:b w:val="1"/>
          <w:bCs w:val="1"/>
          <w:color w:val="auto"/>
        </w:rPr>
        <w:t>EXHIBIT 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REQUIREMENTS FOR INSURANCE DOCUMENTATION</w:t>
      </w:r>
    </w:p>
    <w:p>
      <w:pPr>
        <w:sectPr>
          <w:pgSz w:w="11900" w:h="16838" w:orient="portrait"/>
          <w:cols w:equalWidth="0" w:num="1">
            <w:col w:w="9019"/>
          </w:cols>
          <w:pgMar w:left="1440" w:top="1292" w:right="1440" w:bottom="1440" w:gutter="0" w:footer="0" w:header="0"/>
        </w:sectPr>
      </w:pPr>
    </w:p>
    <w:bookmarkStart w:id="405" w:name="page406"/>
    <w:bookmarkEnd w:id="405"/>
    <w:p>
      <w:pPr>
        <w:jc w:val="center"/>
        <w:ind w:right="19"/>
        <w:spacing w:after="0"/>
        <w:rPr>
          <w:sz w:val="20"/>
          <w:szCs w:val="20"/>
          <w:color w:val="auto"/>
        </w:rPr>
      </w:pPr>
      <w:r>
        <w:rPr>
          <w:rFonts w:ascii="Arial" w:cs="Arial" w:eastAsia="Arial" w:hAnsi="Arial"/>
          <w:sz w:val="16"/>
          <w:szCs w:val="16"/>
          <w:b w:val="1"/>
          <w:bCs w:val="1"/>
          <w:color w:val="auto"/>
        </w:rPr>
        <w:t>EXHIBIT 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LOAN REQUEST</w:t>
      </w:r>
    </w:p>
    <w:p>
      <w:pPr>
        <w:sectPr>
          <w:pgSz w:w="11900" w:h="16838" w:orient="portrait"/>
          <w:cols w:equalWidth="0" w:num="1">
            <w:col w:w="9019"/>
          </w:cols>
          <w:pgMar w:left="1440" w:top="1292" w:right="1440" w:bottom="1440" w:gutter="0" w:footer="0" w:header="0"/>
        </w:sectPr>
      </w:pPr>
    </w:p>
    <w:bookmarkStart w:id="406" w:name="page407"/>
    <w:bookmarkEnd w:id="406"/>
    <w:p>
      <w:pPr>
        <w:jc w:val="center"/>
        <w:ind w:right="19"/>
        <w:spacing w:after="0"/>
        <w:rPr>
          <w:sz w:val="20"/>
          <w:szCs w:val="20"/>
          <w:color w:val="auto"/>
        </w:rPr>
      </w:pPr>
      <w:r>
        <w:rPr>
          <w:rFonts w:ascii="Arial" w:cs="Arial" w:eastAsia="Arial" w:hAnsi="Arial"/>
          <w:sz w:val="16"/>
          <w:szCs w:val="16"/>
          <w:color w:val="auto"/>
        </w:rPr>
        <w:t>EXHIBIT F</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FORM OF ASSIGNMENT AND ACCEPTANCE AGREEMENT</w:t>
      </w:r>
    </w:p>
    <w:p>
      <w:pPr>
        <w:sectPr>
          <w:pgSz w:w="11900" w:h="16838" w:orient="portrait"/>
          <w:cols w:equalWidth="0" w:num="1">
            <w:col w:w="9019"/>
          </w:cols>
          <w:pgMar w:left="1440" w:top="1295" w:right="1440" w:bottom="1440" w:gutter="0" w:footer="0" w:header="0"/>
        </w:sectPr>
      </w:pPr>
    </w:p>
    <w:bookmarkStart w:id="407" w:name="page408"/>
    <w:bookmarkEnd w:id="407"/>
    <w:p>
      <w:pPr>
        <w:jc w:val="center"/>
        <w:spacing w:after="0"/>
        <w:rPr>
          <w:sz w:val="20"/>
          <w:szCs w:val="20"/>
          <w:color w:val="auto"/>
        </w:rPr>
      </w:pPr>
      <w:r>
        <w:rPr>
          <w:rFonts w:ascii="Arial" w:cs="Arial" w:eastAsia="Arial" w:hAnsi="Arial"/>
          <w:sz w:val="16"/>
          <w:szCs w:val="16"/>
          <w:color w:val="auto"/>
        </w:rPr>
        <w:t>SCHEDULE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COMMITMENTS</w:t>
      </w:r>
    </w:p>
    <w:p>
      <w:pPr>
        <w:sectPr>
          <w:pgSz w:w="11900" w:h="16838" w:orient="portrait"/>
          <w:cols w:equalWidth="0" w:num="1">
            <w:col w:w="9019"/>
          </w:cols>
          <w:pgMar w:left="1440" w:top="1296" w:right="1440" w:bottom="1440" w:gutter="0" w:footer="0" w:header="0"/>
        </w:sectPr>
      </w:pPr>
    </w:p>
    <w:bookmarkStart w:id="408" w:name="page409"/>
    <w:bookmarkEnd w:id="408"/>
    <w:p>
      <w:pPr>
        <w:jc w:val="center"/>
        <w:spacing w:after="0"/>
        <w:rPr>
          <w:sz w:val="20"/>
          <w:szCs w:val="20"/>
          <w:color w:val="auto"/>
        </w:rPr>
      </w:pPr>
      <w:r>
        <w:rPr>
          <w:rFonts w:ascii="Arial" w:cs="Arial" w:eastAsia="Arial" w:hAnsi="Arial"/>
          <w:sz w:val="16"/>
          <w:szCs w:val="16"/>
          <w:color w:val="auto"/>
        </w:rPr>
        <w:t>SCHEDULE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CLOSING CONDITIONS</w:t>
      </w:r>
    </w:p>
    <w:p>
      <w:pPr>
        <w:sectPr>
          <w:pgSz w:w="11900" w:h="16838" w:orient="portrait"/>
          <w:cols w:equalWidth="0" w:num="1">
            <w:col w:w="9019"/>
          </w:cols>
          <w:pgMar w:left="1440" w:top="1296" w:right="1440" w:bottom="1440" w:gutter="0" w:footer="0" w:header="0"/>
        </w:sectPr>
      </w:pPr>
    </w:p>
    <w:bookmarkStart w:id="409" w:name="page410"/>
    <w:bookmarkEnd w:id="409"/>
    <w:p>
      <w:pPr>
        <w:jc w:val="center"/>
        <w:ind w:right="19"/>
        <w:spacing w:after="0"/>
        <w:rPr>
          <w:sz w:val="20"/>
          <w:szCs w:val="20"/>
          <w:color w:val="auto"/>
        </w:rPr>
      </w:pPr>
      <w:r>
        <w:rPr>
          <w:rFonts w:ascii="Arial" w:cs="Arial" w:eastAsia="Arial" w:hAnsi="Arial"/>
          <w:sz w:val="16"/>
          <w:szCs w:val="16"/>
          <w:color w:val="auto"/>
        </w:rPr>
        <w:t>SCHEDULE 3</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POST-CLOSING DELIVERIES</w:t>
      </w:r>
    </w:p>
    <w:p>
      <w:pPr>
        <w:sectPr>
          <w:pgSz w:w="11900" w:h="16838" w:orient="portrait"/>
          <w:cols w:equalWidth="0" w:num="1">
            <w:col w:w="9019"/>
          </w:cols>
          <w:pgMar w:left="1440" w:top="1295" w:right="1440" w:bottom="1440" w:gutter="0" w:footer="0" w:header="0"/>
        </w:sectPr>
      </w:pPr>
    </w:p>
    <w:bookmarkStart w:id="410" w:name="page411"/>
    <w:bookmarkEnd w:id="410"/>
    <w:p>
      <w:pPr>
        <w:jc w:val="center"/>
        <w:spacing w:after="0"/>
        <w:rPr>
          <w:sz w:val="20"/>
          <w:szCs w:val="20"/>
          <w:color w:val="auto"/>
        </w:rPr>
      </w:pPr>
      <w:r>
        <w:rPr>
          <w:rFonts w:ascii="Arial" w:cs="Arial" w:eastAsia="Arial" w:hAnsi="Arial"/>
          <w:sz w:val="16"/>
          <w:szCs w:val="16"/>
          <w:color w:val="auto"/>
        </w:rPr>
        <w:t>SCHEDULE 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STATEMENT OF AMOUNTS REFINANCED</w:t>
      </w:r>
    </w:p>
    <w:p>
      <w:pPr>
        <w:sectPr>
          <w:pgSz w:w="11900" w:h="16838" w:orient="portrait"/>
          <w:cols w:equalWidth="0" w:num="1">
            <w:col w:w="9019"/>
          </w:cols>
          <w:pgMar w:left="1440" w:top="1296" w:right="1440" w:bottom="1440" w:gutter="0" w:footer="0" w:header="0"/>
        </w:sectPr>
      </w:pPr>
    </w:p>
    <w:bookmarkStart w:id="411" w:name="page412"/>
    <w:bookmarkEnd w:id="411"/>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560"/>
        <w:spacing w:after="0"/>
        <w:rPr>
          <w:sz w:val="20"/>
          <w:szCs w:val="20"/>
          <w:color w:val="auto"/>
        </w:rPr>
      </w:pPr>
      <w:r>
        <w:rPr>
          <w:rFonts w:ascii="Arial" w:cs="Arial" w:eastAsia="Arial" w:hAnsi="Arial"/>
          <w:sz w:val="19"/>
          <w:szCs w:val="19"/>
          <w:b w:val="1"/>
          <w:bCs w:val="1"/>
          <w:color w:val="auto"/>
        </w:rPr>
        <w:t>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9"/>
          <w:szCs w:val="19"/>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401 SW 5TH LLC, A DELAWARE LIMITED LIABILITY COMPANY (“BORROWER”);</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 A DELAWARE CORPORATION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60"/>
        <w:spacing w:after="0"/>
        <w:rPr>
          <w:sz w:val="20"/>
          <w:szCs w:val="20"/>
          <w:color w:val="auto"/>
        </w:rPr>
      </w:pPr>
      <w:r>
        <w:rPr>
          <w:rFonts w:ascii="Arial" w:cs="Arial" w:eastAsia="Arial" w:hAnsi="Arial"/>
          <w:sz w:val="19"/>
          <w:szCs w:val="19"/>
          <w:b w:val="1"/>
          <w:bCs w:val="1"/>
          <w:color w:val="auto"/>
        </w:rPr>
        <w:t>CANADIAN IMPERIAL BANK OF COMMERCE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40"/>
        <w:spacing w:after="0"/>
        <w:rPr>
          <w:sz w:val="20"/>
          <w:szCs w:val="20"/>
          <w:color w:val="auto"/>
        </w:rPr>
      </w:pPr>
      <w:r>
        <w:rPr>
          <w:rFonts w:ascii="Arial" w:cs="Arial" w:eastAsia="Arial" w:hAnsi="Arial"/>
          <w:sz w:val="19"/>
          <w:szCs w:val="19"/>
          <w:b w:val="1"/>
          <w:bCs w:val="1"/>
          <w:color w:val="auto"/>
        </w:rPr>
        <w:t>$8,250,000.00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140"/>
          </w:cols>
          <w:pgMar w:left="1440" w:top="123" w:right="31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9"/>
          <w:szCs w:val="19"/>
          <w:b w:val="1"/>
          <w:bCs w:val="1"/>
          <w:color w:val="auto"/>
        </w:rPr>
        <w:t>LOAN AGREEMENT</w:t>
      </w:r>
    </w:p>
    <w:p>
      <w:pPr>
        <w:spacing w:after="0" w:line="165"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THIS LOAN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made this 22nd day of August, 2019, by and between 401 SW 5TH LLC, a Delaware limited liability company (the “</w:t>
      </w:r>
      <w:r>
        <w:rPr>
          <w:rFonts w:ascii="Arial" w:cs="Arial" w:eastAsia="Arial" w:hAnsi="Arial"/>
          <w:sz w:val="19"/>
          <w:szCs w:val="19"/>
          <w:b w:val="1"/>
          <w:bCs w:val="1"/>
          <w:i w:val="1"/>
          <w:iCs w:val="1"/>
          <w:color w:val="auto"/>
        </w:rPr>
        <w:t>Borrower</w:t>
      </w:r>
      <w:r>
        <w:rPr>
          <w:rFonts w:ascii="Arial" w:cs="Arial" w:eastAsia="Arial" w:hAnsi="Arial"/>
          <w:sz w:val="19"/>
          <w:szCs w:val="19"/>
          <w:color w:val="auto"/>
        </w:rPr>
        <w:t>”), EXPENSIFY, INC., a Delaware corporation (the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and CANADIAN IMPERIAL BANK OF COMMERCE (the “</w:t>
      </w:r>
      <w:r>
        <w:rPr>
          <w:rFonts w:ascii="Arial" w:cs="Arial" w:eastAsia="Arial" w:hAnsi="Arial"/>
          <w:sz w:val="19"/>
          <w:szCs w:val="19"/>
          <w:b w:val="1"/>
          <w:bCs w:val="1"/>
          <w:i w:val="1"/>
          <w:iCs w:val="1"/>
          <w:color w:val="auto"/>
        </w:rPr>
        <w:t>Lender</w:t>
      </w:r>
      <w:r>
        <w:rPr>
          <w:rFonts w:ascii="Arial" w:cs="Arial" w:eastAsia="Arial" w:hAnsi="Arial"/>
          <w:sz w:val="19"/>
          <w:szCs w:val="19"/>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165" w:lineRule="exact"/>
        <w:rPr>
          <w:sz w:val="20"/>
          <w:szCs w:val="20"/>
          <w:color w:val="auto"/>
        </w:rPr>
      </w:pPr>
    </w:p>
    <w:p>
      <w:pPr>
        <w:jc w:val="both"/>
        <w:ind w:right="20" w:firstLine="582"/>
        <w:spacing w:after="0" w:line="258" w:lineRule="auto"/>
        <w:tabs>
          <w:tab w:leader="none" w:pos="985" w:val="left"/>
        </w:tabs>
        <w:numPr>
          <w:ilvl w:val="0"/>
          <w:numId w:val="297"/>
        </w:numPr>
        <w:rPr>
          <w:rFonts w:ascii="Arial" w:cs="Arial" w:eastAsia="Arial" w:hAnsi="Arial"/>
          <w:sz w:val="19"/>
          <w:szCs w:val="19"/>
          <w:color w:val="auto"/>
        </w:rPr>
      </w:pPr>
      <w:r>
        <w:rPr>
          <w:rFonts w:ascii="Arial" w:cs="Arial" w:eastAsia="Arial" w:hAnsi="Arial"/>
          <w:sz w:val="19"/>
          <w:szCs w:val="19"/>
          <w:color w:val="auto"/>
        </w:rPr>
        <w:t>The Borrower has applied to the Lender for a loan (the “</w:t>
      </w:r>
      <w:r>
        <w:rPr>
          <w:rFonts w:ascii="Arial" w:cs="Arial" w:eastAsia="Arial" w:hAnsi="Arial"/>
          <w:sz w:val="19"/>
          <w:szCs w:val="19"/>
          <w:b w:val="1"/>
          <w:bCs w:val="1"/>
          <w:i w:val="1"/>
          <w:iCs w:val="1"/>
          <w:color w:val="auto"/>
        </w:rPr>
        <w:t>Loan</w:t>
      </w:r>
      <w:r>
        <w:rPr>
          <w:rFonts w:ascii="Arial" w:cs="Arial" w:eastAsia="Arial" w:hAnsi="Arial"/>
          <w:sz w:val="19"/>
          <w:szCs w:val="19"/>
          <w:color w:val="auto"/>
        </w:rPr>
        <w:t>”) in the principal amount of up to Eight Million Two Hundred Fifty Thousand and No/100 Dollars ($8,250,000.00) to (i) acquire fee simple title in certain real property legally described as Lots 1 and 2, Block 175, City of Portland, Multnomah County, Oregon, with a street address of 401 SW Fifth Avenue in Portland, Oregon (the “</w:t>
      </w:r>
      <w:r>
        <w:rPr>
          <w:rFonts w:ascii="Arial" w:cs="Arial" w:eastAsia="Arial" w:hAnsi="Arial"/>
          <w:sz w:val="19"/>
          <w:szCs w:val="19"/>
          <w:b w:val="1"/>
          <w:bCs w:val="1"/>
          <w:i w:val="1"/>
          <w:iCs w:val="1"/>
          <w:color w:val="auto"/>
        </w:rPr>
        <w:t>Land</w:t>
      </w:r>
      <w:r>
        <w:rPr>
          <w:rFonts w:ascii="Arial" w:cs="Arial" w:eastAsia="Arial" w:hAnsi="Arial"/>
          <w:sz w:val="19"/>
          <w:szCs w:val="19"/>
          <w:color w:val="auto"/>
        </w:rPr>
        <w:t>”), together with (i) all improvements and fixtures located on the Land (“</w:t>
      </w:r>
      <w:r>
        <w:rPr>
          <w:rFonts w:ascii="Arial" w:cs="Arial" w:eastAsia="Arial" w:hAnsi="Arial"/>
          <w:sz w:val="19"/>
          <w:szCs w:val="19"/>
          <w:b w:val="1"/>
          <w:bCs w:val="1"/>
          <w:i w:val="1"/>
          <w:iCs w:val="1"/>
          <w:color w:val="auto"/>
        </w:rPr>
        <w:t>Improvements</w:t>
      </w:r>
      <w:r>
        <w:rPr>
          <w:rFonts w:ascii="Arial" w:cs="Arial" w:eastAsia="Arial" w:hAnsi="Arial"/>
          <w:sz w:val="19"/>
          <w:szCs w:val="19"/>
          <w:color w:val="auto"/>
        </w:rPr>
        <w:t>”, together with the Land, and as each are more particularly described in the Deed of Trust, the “</w:t>
      </w:r>
      <w:r>
        <w:rPr>
          <w:rFonts w:ascii="Arial" w:cs="Arial" w:eastAsia="Arial" w:hAnsi="Arial"/>
          <w:sz w:val="19"/>
          <w:szCs w:val="19"/>
          <w:b w:val="1"/>
          <w:bCs w:val="1"/>
          <w:i w:val="1"/>
          <w:iCs w:val="1"/>
          <w:color w:val="auto"/>
        </w:rPr>
        <w:t>Real Property</w:t>
      </w:r>
      <w:r>
        <w:rPr>
          <w:rFonts w:ascii="Arial" w:cs="Arial" w:eastAsia="Arial" w:hAnsi="Arial"/>
          <w:sz w:val="19"/>
          <w:szCs w:val="19"/>
          <w:color w:val="auto"/>
        </w:rPr>
        <w:t>”), (ii) all personal property now or hereafter owned by Borrower or Guarantor and located thereon (as more particularly described in the Deed of Trust, the “</w:t>
      </w:r>
      <w:r>
        <w:rPr>
          <w:rFonts w:ascii="Arial" w:cs="Arial" w:eastAsia="Arial" w:hAnsi="Arial"/>
          <w:sz w:val="19"/>
          <w:szCs w:val="19"/>
          <w:b w:val="1"/>
          <w:bCs w:val="1"/>
          <w:i w:val="1"/>
          <w:iCs w:val="1"/>
          <w:color w:val="auto"/>
        </w:rPr>
        <w:t>Personalty</w:t>
      </w:r>
      <w:r>
        <w:rPr>
          <w:rFonts w:ascii="Arial" w:cs="Arial" w:eastAsia="Arial" w:hAnsi="Arial"/>
          <w:sz w:val="19"/>
          <w:szCs w:val="19"/>
          <w:color w:val="auto"/>
        </w:rPr>
        <w:t>”, and together with the Real Property, collectively, the “</w:t>
      </w:r>
      <w:r>
        <w:rPr>
          <w:rFonts w:ascii="Arial" w:cs="Arial" w:eastAsia="Arial" w:hAnsi="Arial"/>
          <w:sz w:val="19"/>
          <w:szCs w:val="19"/>
          <w:b w:val="1"/>
          <w:bCs w:val="1"/>
          <w:i w:val="1"/>
          <w:iCs w:val="1"/>
          <w:color w:val="auto"/>
        </w:rPr>
        <w:t>Property</w:t>
      </w:r>
      <w:r>
        <w:rPr>
          <w:rFonts w:ascii="Arial" w:cs="Arial" w:eastAsia="Arial" w:hAnsi="Arial"/>
          <w:sz w:val="19"/>
          <w:szCs w:val="19"/>
          <w:color w:val="auto"/>
        </w:rPr>
        <w:t>”). The Loan is to be evidenced by, among other things, a Secured Promissory Note of even date herewith made by the Borrower to the order of the Lender in the aforesaid principal amount (including any amendments, extensions, renewals, substitutions, restatements or other modifications, the “</w:t>
      </w:r>
      <w:r>
        <w:rPr>
          <w:rFonts w:ascii="Arial" w:cs="Arial" w:eastAsia="Arial" w:hAnsi="Arial"/>
          <w:sz w:val="19"/>
          <w:szCs w:val="19"/>
          <w:b w:val="1"/>
          <w:bCs w:val="1"/>
          <w:i w:val="1"/>
          <w:iCs w:val="1"/>
          <w:color w:val="auto"/>
        </w:rPr>
        <w:t>Note</w:t>
      </w:r>
      <w:r>
        <w:rPr>
          <w:rFonts w:ascii="Arial" w:cs="Arial" w:eastAsia="Arial" w:hAnsi="Arial"/>
          <w:sz w:val="19"/>
          <w:szCs w:val="19"/>
          <w:color w:val="auto"/>
        </w:rPr>
        <w:t>”).</w:t>
      </w:r>
    </w:p>
    <w:p>
      <w:pPr>
        <w:spacing w:after="0" w:line="114" w:lineRule="exact"/>
        <w:rPr>
          <w:rFonts w:ascii="Arial" w:cs="Arial" w:eastAsia="Arial" w:hAnsi="Arial"/>
          <w:sz w:val="19"/>
          <w:szCs w:val="19"/>
          <w:color w:val="auto"/>
        </w:rPr>
      </w:pPr>
    </w:p>
    <w:p>
      <w:pPr>
        <w:jc w:val="both"/>
        <w:ind w:right="20" w:firstLine="582"/>
        <w:spacing w:after="0" w:line="264" w:lineRule="auto"/>
        <w:tabs>
          <w:tab w:leader="none" w:pos="959" w:val="left"/>
        </w:tabs>
        <w:numPr>
          <w:ilvl w:val="0"/>
          <w:numId w:val="297"/>
        </w:numPr>
        <w:rPr>
          <w:rFonts w:ascii="Arial" w:cs="Arial" w:eastAsia="Arial" w:hAnsi="Arial"/>
          <w:sz w:val="19"/>
          <w:szCs w:val="19"/>
          <w:color w:val="auto"/>
        </w:rPr>
      </w:pPr>
      <w:r>
        <w:rPr>
          <w:rFonts w:ascii="Arial" w:cs="Arial" w:eastAsia="Arial" w:hAnsi="Arial"/>
          <w:sz w:val="19"/>
          <w:szCs w:val="19"/>
          <w:color w:val="auto"/>
        </w:rPr>
        <w:t>The Note is to be secured by, among other things, a first priority Deed of Trust, Assignment, Security Agreement and Fixture Filing of even date herewith (including any amendments, extensions, renewals, substitutions, restatements or other modifications, the “</w:t>
      </w:r>
      <w:r>
        <w:rPr>
          <w:rFonts w:ascii="Arial" w:cs="Arial" w:eastAsia="Arial" w:hAnsi="Arial"/>
          <w:sz w:val="19"/>
          <w:szCs w:val="19"/>
          <w:b w:val="1"/>
          <w:bCs w:val="1"/>
          <w:i w:val="1"/>
          <w:iCs w:val="1"/>
          <w:color w:val="auto"/>
        </w:rPr>
        <w:t>Deed of</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Trust</w:t>
      </w:r>
      <w:r>
        <w:rPr>
          <w:rFonts w:ascii="Arial" w:cs="Arial" w:eastAsia="Arial" w:hAnsi="Arial"/>
          <w:sz w:val="19"/>
          <w:szCs w:val="19"/>
          <w:color w:val="auto"/>
        </w:rPr>
        <w:t>”) from the Borrower to the trustee named therein for the benefit of the Lender covering the Borrower’s interest in the Property and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 real and personal property as more particularly set forth therein.</w:t>
      </w:r>
    </w:p>
    <w:p>
      <w:pPr>
        <w:spacing w:after="0" w:line="110" w:lineRule="exact"/>
        <w:rPr>
          <w:rFonts w:ascii="Arial" w:cs="Arial" w:eastAsia="Arial" w:hAnsi="Arial"/>
          <w:sz w:val="19"/>
          <w:szCs w:val="19"/>
          <w:color w:val="auto"/>
        </w:rPr>
      </w:pPr>
    </w:p>
    <w:p>
      <w:pPr>
        <w:ind w:firstLine="582"/>
        <w:spacing w:after="0" w:line="286" w:lineRule="auto"/>
        <w:tabs>
          <w:tab w:leader="none" w:pos="955" w:val="left"/>
        </w:tabs>
        <w:numPr>
          <w:ilvl w:val="0"/>
          <w:numId w:val="297"/>
        </w:numPr>
        <w:rPr>
          <w:rFonts w:ascii="Arial" w:cs="Arial" w:eastAsia="Arial" w:hAnsi="Arial"/>
          <w:sz w:val="19"/>
          <w:szCs w:val="19"/>
          <w:color w:val="auto"/>
        </w:rPr>
      </w:pPr>
      <w:r>
        <w:rPr>
          <w:rFonts w:ascii="Arial" w:cs="Arial" w:eastAsia="Arial" w:hAnsi="Arial"/>
          <w:sz w:val="19"/>
          <w:szCs w:val="19"/>
          <w:color w:val="auto"/>
        </w:rPr>
        <w:t>The Lender has agreed to make the Loan upon the condition that this Agreement be executed and delivered to assure the application of the net proceeds of the Loan to the acquisition of the Property.</w:t>
      </w:r>
    </w:p>
    <w:p>
      <w:pPr>
        <w:spacing w:after="0" w:line="88"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NOW, THEREFORE, and in consideration of these presents, and in further consideration of the mutual covenants and agreements herein set forth and of the sum of Ten Dollars ($10.00) lawful money of the United States of America by each of the parties to the other paid, receipt of which is hereby acknowledged, the parties hereto do hereby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1295" w:right="319" w:bottom="1440" w:gutter="0" w:footer="0" w:header="0"/>
        </w:sectPr>
      </w:pPr>
    </w:p>
    <w:bookmarkStart w:id="413" w:name="page414"/>
    <w:bookmarkEnd w:id="413"/>
    <w:p>
      <w:pPr>
        <w:jc w:val="center"/>
        <w:spacing w:after="0"/>
        <w:rPr>
          <w:sz w:val="20"/>
          <w:szCs w:val="20"/>
          <w:color w:val="auto"/>
        </w:rPr>
      </w:pPr>
      <w:r>
        <w:rPr>
          <w:rFonts w:ascii="Arial" w:cs="Arial" w:eastAsia="Arial" w:hAnsi="Arial"/>
          <w:sz w:val="19"/>
          <w:szCs w:val="19"/>
          <w:color w:val="auto"/>
        </w:rPr>
        <w:t>ARTICLE 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DEFINITIONS; RULES OF CONSTRUCTION</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1.1</w:t>
      </w:r>
      <w:r>
        <w:rPr>
          <w:sz w:val="20"/>
          <w:szCs w:val="20"/>
          <w:color w:val="auto"/>
        </w:rPr>
        <w:tab/>
      </w:r>
      <w:r>
        <w:rPr>
          <w:rFonts w:ascii="Arial" w:cs="Arial" w:eastAsia="Arial" w:hAnsi="Arial"/>
          <w:sz w:val="18"/>
          <w:szCs w:val="18"/>
          <w:u w:val="single" w:color="auto"/>
          <w:color w:val="auto"/>
        </w:rPr>
        <w:t>Definitions.</w:t>
      </w:r>
    </w:p>
    <w:p>
      <w:pPr>
        <w:spacing w:after="0" w:line="159" w:lineRule="exact"/>
        <w:rPr>
          <w:sz w:val="20"/>
          <w:szCs w:val="20"/>
          <w:color w:val="auto"/>
        </w:rPr>
      </w:pPr>
    </w:p>
    <w:p>
      <w:pPr>
        <w:ind w:right="20" w:firstLine="585"/>
        <w:spacing w:after="0" w:line="315" w:lineRule="auto"/>
        <w:rPr>
          <w:sz w:val="20"/>
          <w:szCs w:val="20"/>
          <w:color w:val="auto"/>
        </w:rPr>
      </w:pPr>
      <w:r>
        <w:rPr>
          <w:rFonts w:ascii="Arial" w:cs="Arial" w:eastAsia="Arial" w:hAnsi="Arial"/>
          <w:sz w:val="18"/>
          <w:szCs w:val="18"/>
          <w:color w:val="auto"/>
        </w:rPr>
        <w:t>The Borrower and the Lender hereby agree that, unless the context otherwise specifies or requires, the following terms shall have the meanings herein specified, such definitions to be applicable equally to the singular and the plural forms of such terms and to all genders:</w:t>
      </w:r>
    </w:p>
    <w:p>
      <w:pPr>
        <w:spacing w:after="0" w:line="66" w:lineRule="exact"/>
        <w:rPr>
          <w:sz w:val="20"/>
          <w:szCs w:val="20"/>
          <w:color w:val="auto"/>
        </w:rPr>
      </w:pPr>
    </w:p>
    <w:p>
      <w:pPr>
        <w:ind w:right="20" w:firstLine="1167"/>
        <w:spacing w:after="0" w:line="286" w:lineRule="auto"/>
        <w:tabs>
          <w:tab w:leader="none" w:pos="1629"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means any “account” as defined in the Code with such additions to such term as may hereafter be made, and includes, without limitation, all accounts receivable and other sums owing to Borrower.</w:t>
      </w:r>
    </w:p>
    <w:p>
      <w:pPr>
        <w:spacing w:after="0" w:line="88" w:lineRule="exact"/>
        <w:rPr>
          <w:rFonts w:ascii="Arial" w:cs="Arial" w:eastAsia="Arial" w:hAnsi="Arial"/>
          <w:sz w:val="19"/>
          <w:szCs w:val="19"/>
          <w:color w:val="auto"/>
        </w:rPr>
      </w:pPr>
    </w:p>
    <w:p>
      <w:pPr>
        <w:jc w:val="both"/>
        <w:ind w:right="20" w:firstLine="1167"/>
        <w:spacing w:after="0" w:line="264" w:lineRule="auto"/>
        <w:tabs>
          <w:tab w:leader="none" w:pos="1591"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shall mean, as to any Person, any other Person that (i) directly or indirectly, owns twenty percent (20%) or more of legal, beneficial or economic interests in such Person, (ii) is in Control of, is Controlled by or is under common ownership or Control with such Person, (iii) is a director or officer of such Person or of an Affiliate of such Person and/or (iv) is the spouse, issue or parent of such Person or of an Affiliate of such Person.</w:t>
      </w:r>
    </w:p>
    <w:p>
      <w:pPr>
        <w:spacing w:after="0" w:line="110" w:lineRule="exact"/>
        <w:rPr>
          <w:rFonts w:ascii="Arial" w:cs="Arial" w:eastAsia="Arial" w:hAnsi="Arial"/>
          <w:sz w:val="19"/>
          <w:szCs w:val="19"/>
          <w:color w:val="auto"/>
        </w:rPr>
      </w:pPr>
    </w:p>
    <w:p>
      <w:pPr>
        <w:ind w:left="1580" w:hanging="413"/>
        <w:spacing w:after="0"/>
        <w:tabs>
          <w:tab w:leader="none" w:pos="158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Banking Day</w:t>
      </w:r>
      <w:r>
        <w:rPr>
          <w:rFonts w:ascii="Arial" w:cs="Arial" w:eastAsia="Arial" w:hAnsi="Arial"/>
          <w:sz w:val="19"/>
          <w:szCs w:val="19"/>
          <w:color w:val="auto"/>
        </w:rPr>
        <w:t>” shall mean any day that is not a Saturday, Sunday or banking holiday in the State of New York.</w:t>
      </w:r>
    </w:p>
    <w:p>
      <w:pPr>
        <w:spacing w:after="0" w:line="159" w:lineRule="exact"/>
        <w:rPr>
          <w:rFonts w:ascii="Arial" w:cs="Arial" w:eastAsia="Arial" w:hAnsi="Arial"/>
          <w:sz w:val="19"/>
          <w:szCs w:val="19"/>
          <w:color w:val="auto"/>
        </w:rPr>
      </w:pPr>
    </w:p>
    <w:p>
      <w:pPr>
        <w:jc w:val="both"/>
        <w:ind w:right="20" w:firstLine="1167"/>
        <w:spacing w:after="0" w:line="270" w:lineRule="auto"/>
        <w:tabs>
          <w:tab w:leader="none" w:pos="1701"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Borrowers’ Books</w:t>
      </w:r>
      <w:r>
        <w:rPr>
          <w:rFonts w:ascii="Arial" w:cs="Arial" w:eastAsia="Arial" w:hAnsi="Arial"/>
          <w:sz w:val="19"/>
          <w:szCs w:val="19"/>
          <w:color w:val="auto"/>
        </w:rPr>
        <w:t>” are all of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02" w:lineRule="exact"/>
        <w:rPr>
          <w:rFonts w:ascii="Arial" w:cs="Arial" w:eastAsia="Arial" w:hAnsi="Arial"/>
          <w:sz w:val="19"/>
          <w:szCs w:val="19"/>
          <w:color w:val="auto"/>
        </w:rPr>
      </w:pPr>
    </w:p>
    <w:p>
      <w:pPr>
        <w:jc w:val="both"/>
        <w:ind w:firstLine="1167"/>
        <w:spacing w:after="0" w:line="273" w:lineRule="auto"/>
        <w:tabs>
          <w:tab w:leader="none" w:pos="160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means the occurrence after the date of this Agreement or, with respect to any Lender, such later date on which such Lender becomes a party to this Agreement, of: (i) the adoption or taking effect of any law, rule, regulation or treaty, (ii) any change in any law, rule, regulation or treaty or in the interpretation or application thereof by any Governmental Authority, or (iii) compliance by any Lender, by any lending office of such Lender, or by such Lender’s holding company, if any, with any request, guideline or directive (whether or not having the force of law) of any Governmental Authority made or issued after the date of this Agreement; provided that notwithstanding anything herein to the contrary, (a) the Dodd-Frank Wall Street Reform and Consumer Protection Act and all requests, rules, guidelines or directives thereunder, issued in connection therewith or in implementation thereof, and (b) all requests, rules, guidelines and directives promulgated by the Bank for International Settlements, the Basel Committee on Banking Supervision (or any successor or similar authority) or the United States or foreign regulatory authorities, in each case pursuant to Basel III, shall be deemed to be a “</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regardless of the date enacted, adopted, issued or implemented.</w:t>
      </w:r>
    </w:p>
    <w:p>
      <w:pPr>
        <w:spacing w:after="0" w:line="105" w:lineRule="exact"/>
        <w:rPr>
          <w:rFonts w:ascii="Arial" w:cs="Arial" w:eastAsia="Arial" w:hAnsi="Arial"/>
          <w:sz w:val="18"/>
          <w:szCs w:val="18"/>
          <w:color w:val="auto"/>
        </w:rPr>
      </w:pPr>
    </w:p>
    <w:p>
      <w:pPr>
        <w:jc w:val="both"/>
        <w:ind w:right="20" w:firstLine="1167"/>
        <w:spacing w:after="0" w:line="264" w:lineRule="auto"/>
        <w:tabs>
          <w:tab w:leader="none" w:pos="1583"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60"/>
          </w:cols>
          <w:pgMar w:left="320" w:top="1301" w:right="319" w:bottom="1440" w:gutter="0" w:footer="0" w:header="0"/>
        </w:sectPr>
      </w:pPr>
    </w:p>
    <w:bookmarkStart w:id="414" w:name="page415"/>
    <w:bookmarkEnd w:id="414"/>
    <w:p>
      <w:pPr>
        <w:jc w:val="both"/>
        <w:spacing w:after="0" w:line="264" w:lineRule="auto"/>
        <w:rPr>
          <w:sz w:val="20"/>
          <w:szCs w:val="20"/>
          <w:color w:val="auto"/>
        </w:rPr>
      </w:pPr>
      <w:r>
        <w:rPr>
          <w:rFonts w:ascii="Arial" w:cs="Arial" w:eastAsia="Arial" w:hAnsi="Arial"/>
          <w:sz w:val="19"/>
          <w:szCs w:val="19"/>
          <w:color w:val="auto"/>
        </w:rPr>
        <w:t>mandatory provisions of law, any or all of the attachment, perfection, or priority of, or remedies with respect to, Lender’s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10" w:lineRule="exact"/>
        <w:rPr>
          <w:sz w:val="20"/>
          <w:szCs w:val="20"/>
          <w:color w:val="auto"/>
        </w:rPr>
      </w:pPr>
    </w:p>
    <w:p>
      <w:pPr>
        <w:jc w:val="both"/>
        <w:ind w:firstLine="1167"/>
        <w:spacing w:after="0" w:line="275" w:lineRule="auto"/>
        <w:tabs>
          <w:tab w:leader="none" w:pos="161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means the Property (including the Real Property as more particularly described in the Deed of Trust) as well as all goods, Accounts (including health-care receivables), Equipment, Inventory, contract rights or rights to payment of money, leases, license agreements, franchise agreements, General Intangibles,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 all Borrower’s Books relating to the foregoing, and any and all claims, rights and interests in any of the above and all substitutions for, additions, attachments, accessories, accessions and improvements to and replacements, products, proceeds (both cash and non-cash) and insurance proceeds of any or all of the foregoing.</w:t>
      </w:r>
    </w:p>
    <w:p>
      <w:pPr>
        <w:spacing w:after="0" w:line="99" w:lineRule="exact"/>
        <w:rPr>
          <w:rFonts w:ascii="Arial" w:cs="Arial" w:eastAsia="Arial" w:hAnsi="Arial"/>
          <w:sz w:val="18"/>
          <w:szCs w:val="18"/>
          <w:color w:val="auto"/>
        </w:rPr>
      </w:pPr>
    </w:p>
    <w:p>
      <w:pPr>
        <w:jc w:val="both"/>
        <w:ind w:firstLine="1167"/>
        <w:spacing w:after="0" w:line="270" w:lineRule="auto"/>
        <w:tabs>
          <w:tab w:leader="none" w:pos="1591"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shall mean the possession, directly or indirectly, of the power to direct or cause the direction of the management, policies or activities of a Person, whether through ownership of voting securities, by contract or otherwise and the terms “Controlled” and “Controlling” shall have correlative meanings.</w:t>
      </w:r>
    </w:p>
    <w:p>
      <w:pPr>
        <w:spacing w:after="0" w:line="102" w:lineRule="exact"/>
        <w:rPr>
          <w:rFonts w:ascii="Arial" w:cs="Arial" w:eastAsia="Arial" w:hAnsi="Arial"/>
          <w:sz w:val="19"/>
          <w:szCs w:val="19"/>
          <w:color w:val="auto"/>
        </w:rPr>
      </w:pPr>
    </w:p>
    <w:p>
      <w:pPr>
        <w:ind w:firstLine="1167"/>
        <w:spacing w:after="0" w:line="286" w:lineRule="auto"/>
        <w:tabs>
          <w:tab w:leader="none" w:pos="1609"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Debt</w:t>
      </w:r>
      <w:r>
        <w:rPr>
          <w:rFonts w:ascii="Arial" w:cs="Arial" w:eastAsia="Arial" w:hAnsi="Arial"/>
          <w:sz w:val="19"/>
          <w:szCs w:val="19"/>
          <w:color w:val="auto"/>
        </w:rPr>
        <w:t>” shall mean the outstanding principal balance, together with all interest accrued and unpaid thereon, and all other sums due to Lender in respect of the Loan under the Note, this Agreement or any other Loan Document.</w:t>
      </w:r>
    </w:p>
    <w:p>
      <w:pPr>
        <w:spacing w:after="0" w:line="88" w:lineRule="exact"/>
        <w:rPr>
          <w:rFonts w:ascii="Arial" w:cs="Arial" w:eastAsia="Arial" w:hAnsi="Arial"/>
          <w:sz w:val="19"/>
          <w:szCs w:val="19"/>
          <w:color w:val="auto"/>
        </w:rPr>
      </w:pPr>
    </w:p>
    <w:p>
      <w:pPr>
        <w:ind w:left="1540" w:hanging="373"/>
        <w:spacing w:after="0"/>
        <w:tabs>
          <w:tab w:leader="none" w:pos="154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Reserved.</w:t>
      </w:r>
    </w:p>
    <w:p>
      <w:pPr>
        <w:spacing w:after="0" w:line="159" w:lineRule="exact"/>
        <w:rPr>
          <w:rFonts w:ascii="Arial" w:cs="Arial" w:eastAsia="Arial" w:hAnsi="Arial"/>
          <w:sz w:val="19"/>
          <w:szCs w:val="19"/>
          <w:color w:val="auto"/>
        </w:rPr>
      </w:pPr>
    </w:p>
    <w:p>
      <w:pPr>
        <w:ind w:left="1580" w:hanging="413"/>
        <w:spacing w:after="0"/>
        <w:tabs>
          <w:tab w:leader="none" w:pos="158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Reserved.</w:t>
      </w:r>
    </w:p>
    <w:p>
      <w:pPr>
        <w:spacing w:after="0" w:line="159" w:lineRule="exact"/>
        <w:rPr>
          <w:rFonts w:ascii="Arial" w:cs="Arial" w:eastAsia="Arial" w:hAnsi="Arial"/>
          <w:sz w:val="19"/>
          <w:szCs w:val="19"/>
          <w:color w:val="auto"/>
        </w:rPr>
      </w:pPr>
    </w:p>
    <w:p>
      <w:pPr>
        <w:ind w:firstLine="1167"/>
        <w:spacing w:after="0" w:line="286" w:lineRule="auto"/>
        <w:tabs>
          <w:tab w:leader="none" w:pos="1572"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Deed of Trust</w:t>
      </w:r>
      <w:r>
        <w:rPr>
          <w:rFonts w:ascii="Arial" w:cs="Arial" w:eastAsia="Arial" w:hAnsi="Arial"/>
          <w:sz w:val="19"/>
          <w:szCs w:val="19"/>
          <w:color w:val="auto"/>
        </w:rPr>
        <w:t>” shall have the meaning given to it in the recitals of this Agreement, as the same may from time to time be extended, amended, restated or otherwise modified.</w:t>
      </w:r>
    </w:p>
    <w:p>
      <w:pPr>
        <w:spacing w:after="0" w:line="88" w:lineRule="exact"/>
        <w:rPr>
          <w:rFonts w:ascii="Arial" w:cs="Arial" w:eastAsia="Arial" w:hAnsi="Arial"/>
          <w:sz w:val="19"/>
          <w:szCs w:val="19"/>
          <w:color w:val="auto"/>
        </w:rPr>
      </w:pPr>
    </w:p>
    <w:p>
      <w:pPr>
        <w:ind w:firstLine="1167"/>
        <w:spacing w:after="0" w:line="286" w:lineRule="auto"/>
        <w:tabs>
          <w:tab w:leader="none" w:pos="1731"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w:t>
      </w:r>
      <w:r>
        <w:rPr>
          <w:rFonts w:ascii="Arial" w:cs="Arial" w:eastAsia="Arial" w:hAnsi="Arial"/>
          <w:sz w:val="19"/>
          <w:szCs w:val="19"/>
          <w:color w:val="auto"/>
        </w:rPr>
        <w:t>” shall mean an event that, with the giving of Notice or lapse of time, or both, would constitute an Event of Default under the provisions of this Agreement.</w:t>
      </w:r>
    </w:p>
    <w:p>
      <w:pPr>
        <w:spacing w:after="0" w:line="88" w:lineRule="exact"/>
        <w:rPr>
          <w:rFonts w:ascii="Arial" w:cs="Arial" w:eastAsia="Arial" w:hAnsi="Arial"/>
          <w:sz w:val="19"/>
          <w:szCs w:val="19"/>
          <w:color w:val="auto"/>
        </w:rPr>
      </w:pPr>
    </w:p>
    <w:p>
      <w:pPr>
        <w:jc w:val="both"/>
        <w:ind w:firstLine="1167"/>
        <w:spacing w:after="0" w:line="270" w:lineRule="auto"/>
        <w:tabs>
          <w:tab w:leader="none" w:pos="164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Indemnification Agreement</w:t>
      </w:r>
      <w:r>
        <w:rPr>
          <w:rFonts w:ascii="Arial" w:cs="Arial" w:eastAsia="Arial" w:hAnsi="Arial"/>
          <w:sz w:val="19"/>
          <w:szCs w:val="19"/>
          <w:color w:val="auto"/>
        </w:rPr>
        <w:t>” means the Environmental Warranty and Indemnification Agreement made by Borrower and Guarantor in favor of Lender, dated as of even date hereof, as the same may from time to time be extended, amended, restated or otherwise modified.</w:t>
      </w:r>
    </w:p>
    <w:p>
      <w:pPr>
        <w:spacing w:after="0" w:line="102" w:lineRule="exact"/>
        <w:rPr>
          <w:rFonts w:ascii="Arial" w:cs="Arial" w:eastAsia="Arial" w:hAnsi="Arial"/>
          <w:sz w:val="19"/>
          <w:szCs w:val="19"/>
          <w:color w:val="auto"/>
        </w:rPr>
      </w:pPr>
    </w:p>
    <w:p>
      <w:pPr>
        <w:ind w:firstLine="1167"/>
        <w:spacing w:after="0" w:line="286" w:lineRule="auto"/>
        <w:tabs>
          <w:tab w:leader="none" w:pos="164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Equipment</w:t>
      </w:r>
      <w:r>
        <w:rPr>
          <w:rFonts w:ascii="Arial" w:cs="Arial" w:eastAsia="Arial" w:hAnsi="Arial"/>
          <w:sz w:val="19"/>
          <w:szCs w:val="19"/>
          <w:color w:val="auto"/>
        </w:rPr>
        <w:t>” means all “equipment” as defined in the Code with such additions to such term as may hereafter be made, and includes without limitation all machinery,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01" w:right="339" w:bottom="1440" w:gutter="0" w:footer="0" w:header="0"/>
        </w:sectPr>
      </w:pPr>
    </w:p>
    <w:bookmarkStart w:id="415" w:name="page416"/>
    <w:bookmarkEnd w:id="415"/>
    <w:p>
      <w:pPr>
        <w:spacing w:after="0"/>
        <w:rPr>
          <w:sz w:val="20"/>
          <w:szCs w:val="20"/>
          <w:color w:val="auto"/>
        </w:rPr>
      </w:pPr>
      <w:r>
        <w:rPr>
          <w:rFonts w:ascii="Arial" w:cs="Arial" w:eastAsia="Arial" w:hAnsi="Arial"/>
          <w:sz w:val="19"/>
          <w:szCs w:val="19"/>
          <w:color w:val="auto"/>
        </w:rPr>
        <w:t>fixtures, goods, vehicles (including motor vehicles and trailers), and any interest in any of the foregoing.</w:t>
      </w:r>
    </w:p>
    <w:p>
      <w:pPr>
        <w:spacing w:after="0" w:line="159" w:lineRule="exact"/>
        <w:rPr>
          <w:sz w:val="20"/>
          <w:szCs w:val="20"/>
          <w:color w:val="auto"/>
        </w:rPr>
      </w:pPr>
    </w:p>
    <w:p>
      <w:pPr>
        <w:jc w:val="both"/>
        <w:ind w:firstLine="1167"/>
        <w:spacing w:after="0" w:line="276" w:lineRule="auto"/>
        <w:tabs>
          <w:tab w:leader="none" w:pos="159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with respect to any Person, any of the shares of capital stock of (or other ownership, membership or profit interests in) such Person, any of the warrants, options or other rights for the purchase or acquisition from such Person of shares of capital stock of (or other ownership, membership or profit interests in) such Person, any of the securities convertible into or exchangeable for shares of capital stock of (or other ownership, membership or profit interests in) such Person or warrants, rights or options for the purchase or acquisition from such Person of such shares (or such other interests), and any of the other ownership, membership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99" w:lineRule="exact"/>
        <w:rPr>
          <w:rFonts w:ascii="Arial" w:cs="Arial" w:eastAsia="Arial" w:hAnsi="Arial"/>
          <w:sz w:val="18"/>
          <w:szCs w:val="18"/>
          <w:color w:val="auto"/>
        </w:rPr>
      </w:pPr>
    </w:p>
    <w:p>
      <w:pPr>
        <w:jc w:val="both"/>
        <w:ind w:right="20" w:firstLine="1167"/>
        <w:spacing w:after="0" w:line="270" w:lineRule="auto"/>
        <w:tabs>
          <w:tab w:leader="none" w:pos="1689" w:val="left"/>
        </w:tabs>
        <w:numPr>
          <w:ilvl w:val="0"/>
          <w:numId w:val="3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Event(s) of Default</w:t>
      </w:r>
      <w:r>
        <w:rPr>
          <w:rFonts w:ascii="Arial" w:cs="Arial" w:eastAsia="Arial" w:hAnsi="Arial"/>
          <w:sz w:val="19"/>
          <w:szCs w:val="19"/>
          <w:color w:val="auto"/>
        </w:rPr>
        <w:t>” shall mean the occurrence of any one or more of the events specified in Article VI (Events of Default) and the continuance of such event beyond the applicable grace and/or cure periods therefor, if any, set forth in Article VI (Events of Default).</w:t>
      </w:r>
    </w:p>
    <w:p>
      <w:pPr>
        <w:spacing w:after="0" w:line="102" w:lineRule="exact"/>
        <w:rPr>
          <w:rFonts w:ascii="Arial" w:cs="Arial" w:eastAsia="Arial" w:hAnsi="Arial"/>
          <w:sz w:val="19"/>
          <w:szCs w:val="19"/>
          <w:color w:val="auto"/>
        </w:rPr>
      </w:pPr>
    </w:p>
    <w:p>
      <w:pPr>
        <w:ind w:right="20" w:firstLine="1167"/>
        <w:spacing w:after="0" w:line="286" w:lineRule="auto"/>
        <w:tabs>
          <w:tab w:leader="none" w:pos="1644" w:val="left"/>
        </w:tabs>
        <w:numPr>
          <w:ilvl w:val="0"/>
          <w:numId w:val="3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Expensify Lease</w:t>
      </w:r>
      <w:r>
        <w:rPr>
          <w:rFonts w:ascii="Arial" w:cs="Arial" w:eastAsia="Arial" w:hAnsi="Arial"/>
          <w:sz w:val="19"/>
          <w:szCs w:val="19"/>
          <w:color w:val="auto"/>
        </w:rPr>
        <w:t>” shall mean that certain Office Lease relating to the Property dated as of even date herewith by and between Borrower, as landlord, and Guarantor, as tenant.</w:t>
      </w:r>
    </w:p>
    <w:p>
      <w:pPr>
        <w:spacing w:after="0" w:line="88" w:lineRule="exact"/>
        <w:rPr>
          <w:rFonts w:ascii="Arial" w:cs="Arial" w:eastAsia="Arial" w:hAnsi="Arial"/>
          <w:sz w:val="19"/>
          <w:szCs w:val="19"/>
          <w:color w:val="auto"/>
        </w:rPr>
      </w:pPr>
    </w:p>
    <w:p>
      <w:pPr>
        <w:jc w:val="both"/>
        <w:ind w:right="20" w:firstLine="1167"/>
        <w:spacing w:after="0" w:line="280" w:lineRule="auto"/>
        <w:tabs>
          <w:tab w:leader="none" w:pos="165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Intangibles</w:t>
      </w:r>
      <w:r>
        <w:rPr>
          <w:rFonts w:ascii="Arial" w:cs="Arial" w:eastAsia="Arial" w:hAnsi="Arial"/>
          <w:sz w:val="18"/>
          <w:szCs w:val="18"/>
          <w:color w:val="auto"/>
        </w:rPr>
        <w:t>” means all “general intangibles” as defined in the Code in effect on the Closing Date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95" w:lineRule="exact"/>
        <w:rPr>
          <w:rFonts w:ascii="Arial" w:cs="Arial" w:eastAsia="Arial" w:hAnsi="Arial"/>
          <w:sz w:val="18"/>
          <w:szCs w:val="18"/>
          <w:color w:val="auto"/>
        </w:rPr>
      </w:pPr>
    </w:p>
    <w:p>
      <w:pPr>
        <w:ind w:right="20" w:firstLine="1167"/>
        <w:spacing w:after="0" w:line="315" w:lineRule="auto"/>
        <w:tabs>
          <w:tab w:leader="none" w:pos="160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 or Authorities</w:t>
      </w:r>
      <w:r>
        <w:rPr>
          <w:rFonts w:ascii="Arial" w:cs="Arial" w:eastAsia="Arial" w:hAnsi="Arial"/>
          <w:sz w:val="18"/>
          <w:szCs w:val="18"/>
          <w:color w:val="auto"/>
        </w:rPr>
        <w:t>” shall mean any governmental or quasi-governmental entity, including, without limitation, any department, commission, board, bureau, agency, administration, service or other instrumentality of any governmental entity.</w:t>
      </w:r>
    </w:p>
    <w:p>
      <w:pPr>
        <w:spacing w:after="0" w:line="65" w:lineRule="exact"/>
        <w:rPr>
          <w:rFonts w:ascii="Arial" w:cs="Arial" w:eastAsia="Arial" w:hAnsi="Arial"/>
          <w:sz w:val="18"/>
          <w:szCs w:val="18"/>
          <w:color w:val="auto"/>
        </w:rPr>
      </w:pPr>
    </w:p>
    <w:p>
      <w:pPr>
        <w:ind w:right="20" w:firstLine="1167"/>
        <w:spacing w:after="0" w:line="286" w:lineRule="auto"/>
        <w:tabs>
          <w:tab w:leader="none" w:pos="1616" w:val="left"/>
        </w:tabs>
        <w:numPr>
          <w:ilvl w:val="0"/>
          <w:numId w:val="3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shall mean Expensify, Inc., a Delaware corporation, or any other future guarantor of all or any portion of the Loan and/or the Obligations.</w:t>
      </w:r>
    </w:p>
    <w:p>
      <w:pPr>
        <w:spacing w:after="0" w:line="88" w:lineRule="exact"/>
        <w:rPr>
          <w:rFonts w:ascii="Arial" w:cs="Arial" w:eastAsia="Arial" w:hAnsi="Arial"/>
          <w:sz w:val="19"/>
          <w:szCs w:val="19"/>
          <w:color w:val="auto"/>
        </w:rPr>
      </w:pPr>
    </w:p>
    <w:p>
      <w:pPr>
        <w:ind w:right="20" w:firstLine="1167"/>
        <w:spacing w:after="0" w:line="286" w:lineRule="auto"/>
        <w:tabs>
          <w:tab w:leader="none" w:pos="1591" w:val="left"/>
        </w:tabs>
        <w:numPr>
          <w:ilvl w:val="0"/>
          <w:numId w:val="3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Guaranty</w:t>
      </w:r>
      <w:r>
        <w:rPr>
          <w:rFonts w:ascii="Arial" w:cs="Arial" w:eastAsia="Arial" w:hAnsi="Arial"/>
          <w:sz w:val="19"/>
          <w:szCs w:val="19"/>
          <w:color w:val="auto"/>
        </w:rPr>
        <w:t>” shall mean that certain Guaranty of Payment and Performance dated of even date herewith by the Guarantor in favor of the Lender, as the same may be modified, renewed, extended, supplemented or replaced from time to time.</w:t>
      </w:r>
    </w:p>
    <w:p>
      <w:pPr>
        <w:spacing w:after="0" w:line="88" w:lineRule="exact"/>
        <w:rPr>
          <w:rFonts w:ascii="Arial" w:cs="Arial" w:eastAsia="Arial" w:hAnsi="Arial"/>
          <w:sz w:val="19"/>
          <w:szCs w:val="19"/>
          <w:color w:val="auto"/>
        </w:rPr>
      </w:pPr>
    </w:p>
    <w:p>
      <w:pPr>
        <w:jc w:val="both"/>
        <w:ind w:firstLine="1167"/>
        <w:spacing w:after="0" w:line="262" w:lineRule="auto"/>
        <w:tabs>
          <w:tab w:leader="none" w:pos="1647" w:val="left"/>
        </w:tabs>
        <w:numPr>
          <w:ilvl w:val="0"/>
          <w:numId w:val="3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Indebtedness</w:t>
      </w:r>
      <w:r>
        <w:rPr>
          <w:rFonts w:ascii="Arial" w:cs="Arial" w:eastAsia="Arial" w:hAnsi="Arial"/>
          <w:sz w:val="19"/>
          <w:szCs w:val="19"/>
          <w:color w:val="auto"/>
        </w:rPr>
        <w:t>” shall mean, for any Person, without duplication: (i) all indebtedness or liability of such Person (including, without limitation, for borrowed money, for amounts drawn under a letter of credit, or for deferred purchase price of property or services (including trade obligations) for which such Person or its assets is liable), (ii) all unfunded amounts under a loan agreement, letter of credit, or other credit facility for which such Person would be liable if such amounts were advanced thereunder, (iii) all amounts required to be paid by such Person pursuant to any agreement to purchase, to provide funds for payment, to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0"/>
          </w:cols>
          <w:pgMar w:left="320" w:top="1301" w:right="319" w:bottom="1440" w:gutter="0" w:footer="0" w:header="0"/>
        </w:sectPr>
      </w:pPr>
    </w:p>
    <w:bookmarkStart w:id="416" w:name="page417"/>
    <w:bookmarkEnd w:id="416"/>
    <w:p>
      <w:pPr>
        <w:jc w:val="both"/>
        <w:spacing w:after="0" w:line="284" w:lineRule="auto"/>
        <w:rPr>
          <w:sz w:val="20"/>
          <w:szCs w:val="20"/>
          <w:color w:val="auto"/>
        </w:rPr>
      </w:pPr>
      <w:r>
        <w:rPr>
          <w:rFonts w:ascii="Arial" w:cs="Arial" w:eastAsia="Arial" w:hAnsi="Arial"/>
          <w:sz w:val="18"/>
          <w:szCs w:val="18"/>
          <w:color w:val="auto"/>
        </w:rPr>
        <w:t>funds, or to invest in any Person, (iv) all indebtedness or liabilities guaranteed by such Person, directly or indirectly, (v) all obligations under leases that constitute capital leases for which such Person is liable, and (vi) all obligations of such Person under interest rate swaps, caps, floors, collars and other interest hedge agreements, in each case whether such Person is liable contingently or otherwise, as obligor, guarantor or otherwise, or in respect of which obligations such Person otherwise assures any other Person against loss.</w:t>
      </w:r>
    </w:p>
    <w:p>
      <w:pPr>
        <w:spacing w:after="0" w:line="92" w:lineRule="exact"/>
        <w:rPr>
          <w:sz w:val="20"/>
          <w:szCs w:val="20"/>
          <w:color w:val="auto"/>
        </w:rPr>
      </w:pPr>
    </w:p>
    <w:p>
      <w:pPr>
        <w:ind w:right="20" w:firstLine="1167"/>
        <w:spacing w:after="0" w:line="286" w:lineRule="auto"/>
        <w:tabs>
          <w:tab w:leader="none" w:pos="1603" w:val="left"/>
        </w:tabs>
        <w:numPr>
          <w:ilvl w:val="0"/>
          <w:numId w:val="30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Inventory</w:t>
      </w:r>
      <w:r>
        <w:rPr>
          <w:rFonts w:ascii="Arial" w:cs="Arial" w:eastAsia="Arial" w:hAnsi="Arial"/>
          <w:sz w:val="19"/>
          <w:szCs w:val="19"/>
          <w:color w:val="auto"/>
        </w:rPr>
        <w:t>” means all “inventory” as defined in the Code in effect on the Closing Date with such additions to such term as may hereafter be made.</w:t>
      </w:r>
    </w:p>
    <w:p>
      <w:pPr>
        <w:spacing w:after="0" w:line="88" w:lineRule="exact"/>
        <w:rPr>
          <w:rFonts w:ascii="Arial" w:cs="Arial" w:eastAsia="Arial" w:hAnsi="Arial"/>
          <w:sz w:val="19"/>
          <w:szCs w:val="19"/>
          <w:color w:val="auto"/>
        </w:rPr>
      </w:pPr>
    </w:p>
    <w:p>
      <w:pPr>
        <w:ind w:left="1580" w:hanging="413"/>
        <w:spacing w:after="0"/>
        <w:tabs>
          <w:tab w:leader="none" w:pos="158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Land</w:t>
      </w:r>
      <w:r>
        <w:rPr>
          <w:rFonts w:ascii="Arial" w:cs="Arial" w:eastAsia="Arial" w:hAnsi="Arial"/>
          <w:sz w:val="19"/>
          <w:szCs w:val="19"/>
          <w:color w:val="auto"/>
        </w:rPr>
        <w:t>” shall have the meaning given to such term in the Recitals of this Agreement.</w:t>
      </w:r>
    </w:p>
    <w:p>
      <w:pPr>
        <w:spacing w:after="0" w:line="159" w:lineRule="exact"/>
        <w:rPr>
          <w:rFonts w:ascii="Arial" w:cs="Arial" w:eastAsia="Arial" w:hAnsi="Arial"/>
          <w:sz w:val="19"/>
          <w:szCs w:val="19"/>
          <w:color w:val="auto"/>
        </w:rPr>
      </w:pPr>
    </w:p>
    <w:p>
      <w:pPr>
        <w:ind w:right="20" w:firstLine="1167"/>
        <w:spacing w:after="0" w:line="315" w:lineRule="auto"/>
        <w:tabs>
          <w:tab w:leader="none" w:pos="164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shall mean the commercial leases for the Property executed by the Borrower, as landlord, and various tenants, pursuant to which such tenants shall occupy the Property, as approved by the Lender, including, without limitation, the Expensify Lease.</w:t>
      </w:r>
    </w:p>
    <w:p>
      <w:pPr>
        <w:spacing w:after="0" w:line="66" w:lineRule="exact"/>
        <w:rPr>
          <w:sz w:val="20"/>
          <w:szCs w:val="20"/>
          <w:color w:val="auto"/>
        </w:rPr>
      </w:pPr>
    </w:p>
    <w:p>
      <w:pPr>
        <w:jc w:val="both"/>
        <w:ind w:right="20" w:firstLine="1167"/>
        <w:spacing w:after="0" w:line="264" w:lineRule="auto"/>
        <w:tabs>
          <w:tab w:leader="none" w:pos="1849" w:val="left"/>
        </w:tabs>
        <w:numPr>
          <w:ilvl w:val="0"/>
          <w:numId w:val="30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Documents</w:t>
      </w:r>
      <w:r>
        <w:rPr>
          <w:rFonts w:ascii="Arial" w:cs="Arial" w:eastAsia="Arial" w:hAnsi="Arial"/>
          <w:sz w:val="19"/>
          <w:szCs w:val="19"/>
          <w:color w:val="auto"/>
        </w:rPr>
        <w:t>” shall mean this Agreement, the Note, the Deed of Trust, the Environmental Indemnification Agreement, and any and all other documents which the Borrower or any other party or parties have executed and delivered, or may hereafter execute and deliver, to evidence, secure or guarantee the Obligations, or any part thereof, as the same may from time to time be extended, amended, restated, supplemented or otherwise modified.</w:t>
      </w:r>
    </w:p>
    <w:p>
      <w:pPr>
        <w:spacing w:after="0" w:line="110" w:lineRule="exact"/>
        <w:rPr>
          <w:rFonts w:ascii="Arial" w:cs="Arial" w:eastAsia="Arial" w:hAnsi="Arial"/>
          <w:sz w:val="19"/>
          <w:szCs w:val="19"/>
          <w:color w:val="auto"/>
        </w:rPr>
      </w:pPr>
    </w:p>
    <w:p>
      <w:pPr>
        <w:ind w:left="1680" w:hanging="513"/>
        <w:spacing w:after="0"/>
        <w:tabs>
          <w:tab w:leader="none" w:pos="168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Reserved.</w:t>
      </w:r>
    </w:p>
    <w:p>
      <w:pPr>
        <w:spacing w:after="0" w:line="159" w:lineRule="exact"/>
        <w:rPr>
          <w:rFonts w:ascii="Arial" w:cs="Arial" w:eastAsia="Arial" w:hAnsi="Arial"/>
          <w:sz w:val="19"/>
          <w:szCs w:val="19"/>
          <w:color w:val="auto"/>
        </w:rPr>
      </w:pPr>
    </w:p>
    <w:p>
      <w:pPr>
        <w:ind w:right="20" w:firstLine="1167"/>
        <w:spacing w:after="0" w:line="286" w:lineRule="auto"/>
        <w:tabs>
          <w:tab w:leader="none" w:pos="1776" w:val="left"/>
        </w:tabs>
        <w:numPr>
          <w:ilvl w:val="0"/>
          <w:numId w:val="30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Note</w:t>
      </w:r>
      <w:r>
        <w:rPr>
          <w:rFonts w:ascii="Arial" w:cs="Arial" w:eastAsia="Arial" w:hAnsi="Arial"/>
          <w:sz w:val="19"/>
          <w:szCs w:val="19"/>
          <w:color w:val="auto"/>
        </w:rPr>
        <w:t>” shall have the meaning given to it in the recitals of this Agreement, as the same may from time to time be extended, amended, restated or otherwise modified.</w:t>
      </w:r>
    </w:p>
    <w:p>
      <w:pPr>
        <w:spacing w:after="0" w:line="88" w:lineRule="exact"/>
        <w:rPr>
          <w:rFonts w:ascii="Arial" w:cs="Arial" w:eastAsia="Arial" w:hAnsi="Arial"/>
          <w:sz w:val="19"/>
          <w:szCs w:val="19"/>
          <w:color w:val="auto"/>
        </w:rPr>
      </w:pPr>
    </w:p>
    <w:p>
      <w:pPr>
        <w:ind w:firstLine="1167"/>
        <w:spacing w:after="0" w:line="286" w:lineRule="auto"/>
        <w:tabs>
          <w:tab w:leader="none" w:pos="1689" w:val="left"/>
        </w:tabs>
        <w:numPr>
          <w:ilvl w:val="0"/>
          <w:numId w:val="30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shall mean a written communication delivered by hand, or sent by overnight courier, or by certified mail, postage prepaid, return receipt requested, to the party to whom communication is to be given, at the following addresses:</w:t>
      </w:r>
    </w:p>
    <w:p>
      <w:pPr>
        <w:sectPr>
          <w:pgSz w:w="11900" w:h="16838" w:orient="portrait"/>
          <w:cols w:equalWidth="0" w:num="1">
            <w:col w:w="11260"/>
          </w:cols>
          <w:pgMar w:left="320" w:top="1301" w:right="319" w:bottom="1440" w:gutter="0" w:footer="0" w:header="0"/>
        </w:sectPr>
      </w:pPr>
    </w:p>
    <w:p>
      <w:pPr>
        <w:spacing w:after="0" w:line="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Borrower: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20"/>
        <w:spacing w:after="0"/>
        <w:rPr>
          <w:sz w:val="20"/>
          <w:szCs w:val="20"/>
          <w:color w:val="auto"/>
        </w:rPr>
      </w:pPr>
      <w:r>
        <w:rPr>
          <w:rFonts w:ascii="Arial" w:cs="Arial" w:eastAsia="Arial" w:hAnsi="Arial"/>
          <w:sz w:val="19"/>
          <w:szCs w:val="19"/>
          <w:color w:val="auto"/>
        </w:rPr>
        <w:t>401 SW 5th LLC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 Expensify, Inc.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88 Kearny Street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 94108</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Attn: David Barrett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Attention: Financial Officer</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Email:</w:t>
      </w:r>
    </w:p>
    <w:p>
      <w:pPr>
        <w:spacing w:after="0" w:line="143" w:lineRule="exact"/>
        <w:rPr>
          <w:sz w:val="20"/>
          <w:szCs w:val="20"/>
          <w:color w:val="auto"/>
        </w:rPr>
      </w:pPr>
    </w:p>
    <w:p>
      <w:pPr>
        <w:sectPr>
          <w:pgSz w:w="11900" w:h="16838" w:orient="portrait"/>
          <w:cols w:equalWidth="0" w:num="2">
            <w:col w:w="2200" w:space="720"/>
            <w:col w:w="8340"/>
          </w:cols>
          <w:pgMar w:left="320" w:top="1301" w:right="31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Silicon Legal Strategy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201 Mission Street, Suite 800</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San Francisco, California 94105</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Attn: Andre Gharakhanian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Email:</w:t>
      </w:r>
    </w:p>
    <w:p>
      <w:pPr>
        <w:spacing w:after="0" w:line="200" w:lineRule="exact"/>
        <w:rPr>
          <w:sz w:val="20"/>
          <w:szCs w:val="20"/>
          <w:color w:val="auto"/>
        </w:rPr>
      </w:pPr>
    </w:p>
    <w:p>
      <w:pPr>
        <w:sectPr>
          <w:pgSz w:w="11900" w:h="16838" w:orient="portrait"/>
          <w:cols w:equalWidth="0" w:num="2">
            <w:col w:w="2360" w:space="540"/>
            <w:col w:w="8360"/>
          </w:cols>
          <w:pgMar w:left="320" w:top="130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60"/>
          </w:cols>
          <w:pgMar w:left="320" w:top="1301" w:right="319" w:bottom="1440" w:gutter="0" w:footer="0" w:header="0"/>
          <w:type w:val="continuous"/>
        </w:sectPr>
      </w:pPr>
    </w:p>
    <w:bookmarkStart w:id="417" w:name="page418"/>
    <w:bookmarkEnd w:id="417"/>
    <w:p>
      <w:pPr>
        <w:jc w:val="center"/>
        <w:ind w:left="760"/>
        <w:spacing w:after="0"/>
        <w:rPr>
          <w:sz w:val="20"/>
          <w:szCs w:val="20"/>
          <w:color w:val="auto"/>
        </w:rPr>
      </w:pPr>
      <w:r>
        <w:rPr>
          <w:rFonts w:ascii="Arial" w:cs="Arial" w:eastAsia="Arial" w:hAnsi="Arial"/>
          <w:sz w:val="18"/>
          <w:szCs w:val="18"/>
          <w:color w:val="auto"/>
        </w:rPr>
        <w:t>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CIBC Innovation Banking</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40 King S. West, Suite 5702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Toronto, Ontario</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M5H 3Y2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Email:</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Attention: Mark McQueen, President and Executive Managing Director</w:t>
      </w:r>
    </w:p>
    <w:p>
      <w:pPr>
        <w:spacing w:after="0" w:line="166" w:lineRule="exact"/>
        <w:rPr>
          <w:sz w:val="20"/>
          <w:szCs w:val="20"/>
          <w:color w:val="auto"/>
        </w:rPr>
      </w:pPr>
    </w:p>
    <w:p>
      <w:pPr>
        <w:sectPr>
          <w:pgSz w:w="11900" w:h="16838" w:orient="portrait"/>
          <w:cols w:equalWidth="0" w:num="2">
            <w:col w:w="2180" w:space="720"/>
            <w:col w:w="8360"/>
          </w:cols>
          <w:pgMar w:left="320" w:top="1301" w:right="319" w:bottom="1440" w:gutter="0" w:footer="0" w:header="0"/>
        </w:sectPr>
      </w:pPr>
    </w:p>
    <w:p>
      <w:pPr>
        <w:ind w:left="11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Cooley LLP</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3175 Hanover Street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 94304</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Attn: Cynthia Bai</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Email:</w:t>
      </w:r>
    </w:p>
    <w:p>
      <w:pPr>
        <w:spacing w:after="0" w:line="143" w:lineRule="exact"/>
        <w:rPr>
          <w:sz w:val="20"/>
          <w:szCs w:val="20"/>
          <w:color w:val="auto"/>
        </w:rPr>
      </w:pPr>
    </w:p>
    <w:p>
      <w:pPr>
        <w:sectPr>
          <w:pgSz w:w="11900" w:h="16838" w:orient="portrait"/>
          <w:cols w:equalWidth="0" w:num="2">
            <w:col w:w="2360" w:space="540"/>
            <w:col w:w="8360"/>
          </w:cols>
          <w:pgMar w:left="320" w:top="1301" w:right="319" w:bottom="1440" w:gutter="0" w:footer="0" w:header="0"/>
          <w:type w:val="continuous"/>
        </w:sectPr>
      </w:pPr>
    </w:p>
    <w:p>
      <w:pPr>
        <w:spacing w:after="0"/>
        <w:rPr>
          <w:sz w:val="20"/>
          <w:szCs w:val="20"/>
          <w:color w:val="auto"/>
        </w:rPr>
      </w:pPr>
      <w:r>
        <w:rPr>
          <w:rFonts w:ascii="Arial" w:cs="Arial" w:eastAsia="Arial" w:hAnsi="Arial"/>
          <w:sz w:val="19"/>
          <w:szCs w:val="19"/>
          <w:color w:val="auto"/>
        </w:rPr>
        <w:t>or at such other address as any party shall have notified the others in the manner set forth in this definition.</w:t>
      </w:r>
    </w:p>
    <w:p>
      <w:pPr>
        <w:spacing w:after="0" w:line="159" w:lineRule="exact"/>
        <w:rPr>
          <w:sz w:val="20"/>
          <w:szCs w:val="20"/>
          <w:color w:val="auto"/>
        </w:rPr>
      </w:pPr>
    </w:p>
    <w:p>
      <w:pPr>
        <w:jc w:val="both"/>
        <w:ind w:right="20" w:firstLine="1167"/>
        <w:spacing w:after="0" w:line="258" w:lineRule="auto"/>
        <w:tabs>
          <w:tab w:leader="none" w:pos="174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Obligations</w:t>
      </w:r>
      <w:r>
        <w:rPr>
          <w:rFonts w:ascii="Arial" w:cs="Arial" w:eastAsia="Arial" w:hAnsi="Arial"/>
          <w:sz w:val="19"/>
          <w:szCs w:val="19"/>
          <w:color w:val="auto"/>
        </w:rPr>
        <w:t xml:space="preserve">” shall mean all present and future debts, obligations and liabilities of the Borrower to the Lender arising pursuant to, and/or on account of, the provisions of this Agreement, the Note and any of the other Loan Documents, including, without limitation, the obligation (i) to pay all principal (including, again without limitation, any principal advanced after the date of the Deed of Trust and any principal that is repaid and readvanced), interest, late charges and prepayment premiums due at any time under the Note; (ii) to pay all Expenses (as defined in the Deed of Trust), indemnification payments and other sums due at any time under the Deed of Trust, together with interest thereon as provided in </w:t>
      </w:r>
      <w:r>
        <w:rPr>
          <w:rFonts w:ascii="Arial" w:cs="Arial" w:eastAsia="Arial" w:hAnsi="Arial"/>
          <w:sz w:val="19"/>
          <w:szCs w:val="19"/>
          <w:u w:val="single" w:color="auto"/>
          <w:color w:val="auto"/>
        </w:rPr>
        <w:t>Section 4.19</w:t>
      </w:r>
      <w:r>
        <w:rPr>
          <w:rFonts w:ascii="Arial" w:cs="Arial" w:eastAsia="Arial" w:hAnsi="Arial"/>
          <w:sz w:val="19"/>
          <w:szCs w:val="19"/>
          <w:color w:val="auto"/>
        </w:rPr>
        <w:t xml:space="preserve"> of the Deed of Trust; and (iii) to perform, observe and comply with all of the terms, covenants and conditions, expressed or implied, which the Borrower is required to perform, observe or comply with pursuant to the terms of the Deed of Trust or any of the other Loan Documents.</w:t>
      </w:r>
    </w:p>
    <w:p>
      <w:pPr>
        <w:spacing w:after="0" w:line="118" w:lineRule="exact"/>
        <w:rPr>
          <w:rFonts w:ascii="Arial" w:cs="Arial" w:eastAsia="Arial" w:hAnsi="Arial"/>
          <w:sz w:val="19"/>
          <w:szCs w:val="19"/>
          <w:color w:val="auto"/>
        </w:rPr>
      </w:pPr>
    </w:p>
    <w:p>
      <w:pPr>
        <w:jc w:val="both"/>
        <w:ind w:right="20" w:firstLine="1167"/>
        <w:spacing w:after="0" w:line="262" w:lineRule="auto"/>
        <w:tabs>
          <w:tab w:leader="none" w:pos="1693" w:val="left"/>
        </w:tabs>
        <w:numPr>
          <w:ilvl w:val="0"/>
          <w:numId w:val="3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OFAC List</w:t>
      </w:r>
      <w:r>
        <w:rPr>
          <w:rFonts w:ascii="Arial" w:cs="Arial" w:eastAsia="Arial" w:hAnsi="Arial"/>
          <w:sz w:val="19"/>
          <w:szCs w:val="19"/>
          <w:color w:val="auto"/>
        </w:rPr>
        <w:t>” means the list of specially designated nationals and blocked persons subject to financial sanctions that is maintained by the U.S. Treasury Department, Office of Foreign Assets Control and any other similar list maintained by the U.S. Treasury Department, Office of Foreign Assets Control pursuant to any Requirements of Law, including, without limitation, trade embargo, economic sanctions, or other prohibitions imposed by Executive Order of the President of the United States. The OFAC List currently is accessible through the internet website www.treas.gov/ofac/t11sdn.pdf.</w:t>
      </w:r>
    </w:p>
    <w:p>
      <w:pPr>
        <w:spacing w:after="0" w:line="110" w:lineRule="exact"/>
        <w:rPr>
          <w:rFonts w:ascii="Arial" w:cs="Arial" w:eastAsia="Arial" w:hAnsi="Arial"/>
          <w:sz w:val="19"/>
          <w:szCs w:val="19"/>
          <w:color w:val="auto"/>
        </w:rPr>
      </w:pPr>
    </w:p>
    <w:p>
      <w:pPr>
        <w:ind w:firstLine="1167"/>
        <w:spacing w:after="0" w:line="286" w:lineRule="auto"/>
        <w:tabs>
          <w:tab w:leader="none" w:pos="1689" w:val="left"/>
        </w:tabs>
        <w:numPr>
          <w:ilvl w:val="0"/>
          <w:numId w:val="3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mean an individual, a corporation, a partnership, a joint venture, a trust, an unincorporated association, any Governmental Authority or any other entity.</w:t>
      </w:r>
    </w:p>
    <w:p>
      <w:pPr>
        <w:spacing w:after="0" w:line="88" w:lineRule="exact"/>
        <w:rPr>
          <w:rFonts w:ascii="Arial" w:cs="Arial" w:eastAsia="Arial" w:hAnsi="Arial"/>
          <w:sz w:val="19"/>
          <w:szCs w:val="19"/>
          <w:color w:val="auto"/>
        </w:rPr>
      </w:pPr>
    </w:p>
    <w:p>
      <w:pPr>
        <w:jc w:val="both"/>
        <w:ind w:firstLine="1167"/>
        <w:spacing w:after="0" w:line="270" w:lineRule="auto"/>
        <w:tabs>
          <w:tab w:leader="none" w:pos="1786" w:val="left"/>
        </w:tabs>
        <w:numPr>
          <w:ilvl w:val="0"/>
          <w:numId w:val="3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Survey</w:t>
      </w:r>
      <w:r>
        <w:rPr>
          <w:rFonts w:ascii="Arial" w:cs="Arial" w:eastAsia="Arial" w:hAnsi="Arial"/>
          <w:sz w:val="19"/>
          <w:szCs w:val="19"/>
          <w:color w:val="auto"/>
        </w:rPr>
        <w:t>” shall mean a survey prepared by a license surveyor in accordance with American Land Title Association’s minimum detail requirements and Table A items as specified by Lender, and such other requirements that Lender may reasonably require (including, without limitation, requirements for the issuance of the Title Policy).</w:t>
      </w:r>
    </w:p>
    <w:p>
      <w:pPr>
        <w:spacing w:after="0" w:line="102" w:lineRule="exact"/>
        <w:rPr>
          <w:rFonts w:ascii="Arial" w:cs="Arial" w:eastAsia="Arial" w:hAnsi="Arial"/>
          <w:sz w:val="19"/>
          <w:szCs w:val="19"/>
          <w:color w:val="auto"/>
        </w:rPr>
      </w:pPr>
    </w:p>
    <w:p>
      <w:pPr>
        <w:ind w:right="20" w:firstLine="1167"/>
        <w:spacing w:after="0" w:line="286" w:lineRule="auto"/>
        <w:tabs>
          <w:tab w:leader="none" w:pos="1748" w:val="left"/>
        </w:tabs>
        <w:numPr>
          <w:ilvl w:val="0"/>
          <w:numId w:val="3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shall mean all taxes and assessments whether general or special, ordinary or extraordinary, or foreseen or unforeseen, which at any time may be assessed, levied,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0"/>
          </w:cols>
          <w:pgMar w:left="320" w:top="1301" w:right="319" w:bottom="1440" w:gutter="0" w:footer="0" w:header="0"/>
          <w:type w:val="continuous"/>
        </w:sectPr>
      </w:pPr>
    </w:p>
    <w:bookmarkStart w:id="418" w:name="page419"/>
    <w:bookmarkEnd w:id="418"/>
    <w:p>
      <w:pPr>
        <w:jc w:val="both"/>
        <w:ind w:right="20"/>
        <w:spacing w:after="0" w:line="286" w:lineRule="auto"/>
        <w:rPr>
          <w:sz w:val="20"/>
          <w:szCs w:val="20"/>
          <w:color w:val="auto"/>
        </w:rPr>
      </w:pPr>
      <w:r>
        <w:rPr>
          <w:rFonts w:ascii="Arial" w:cs="Arial" w:eastAsia="Arial" w:hAnsi="Arial"/>
          <w:sz w:val="19"/>
          <w:szCs w:val="19"/>
          <w:color w:val="auto"/>
        </w:rPr>
        <w:t>confirmed or imposed on the Borrower or on any of its properties or assets or any part thereof or in respect of any of its franchises, businesses, income or profits.</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1.2</w:t>
      </w:r>
      <w:r>
        <w:rPr>
          <w:sz w:val="20"/>
          <w:szCs w:val="20"/>
          <w:color w:val="auto"/>
        </w:rPr>
        <w:tab/>
      </w:r>
      <w:r>
        <w:rPr>
          <w:rFonts w:ascii="Arial" w:cs="Arial" w:eastAsia="Arial" w:hAnsi="Arial"/>
          <w:sz w:val="17"/>
          <w:szCs w:val="17"/>
          <w:u w:val="single" w:color="auto"/>
          <w:color w:val="auto"/>
        </w:rPr>
        <w:t>Rules of Construction.</w:t>
      </w:r>
    </w:p>
    <w:p>
      <w:pPr>
        <w:spacing w:after="0" w:line="159"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The words “hereof”, “herein”, “hereunder”, “hereto”, and other words of similar import refer to this Agreement in its entirety. The terms “agree” and “agreements” mean and include “covenant” and “covenants”. The headings of this Agreement are for convenience only and shall not define or limit the provisions hereof. All references (a) made in the neuter, masculine or feminine gender shall be deemed to have been made in all such genders, (b) made in the singular or plural number shall be deemed to have been made, respectively, in the plural or singular number as well, (c) to the Land, the Improvements or the Property shall mean all or any portion of each of the foregoing, respectively, and (d) to Section numbers are to the respective Sections contained in this Agreement unless expressly indicated otherwise.</w:t>
      </w:r>
    </w:p>
    <w:p>
      <w:pPr>
        <w:spacing w:after="0" w:line="101"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ARTICLE II</w:t>
      </w:r>
    </w:p>
    <w:p>
      <w:pPr>
        <w:spacing w:after="0" w:line="29" w:lineRule="exact"/>
        <w:rPr>
          <w:sz w:val="20"/>
          <w:szCs w:val="20"/>
          <w:color w:val="auto"/>
        </w:rPr>
      </w:pPr>
    </w:p>
    <w:p>
      <w:pPr>
        <w:ind w:left="5140"/>
        <w:spacing w:after="0"/>
        <w:rPr>
          <w:sz w:val="20"/>
          <w:szCs w:val="20"/>
          <w:color w:val="auto"/>
        </w:rPr>
      </w:pPr>
      <w:r>
        <w:rPr>
          <w:rFonts w:ascii="Arial" w:cs="Arial" w:eastAsia="Arial" w:hAnsi="Arial"/>
          <w:sz w:val="19"/>
          <w:szCs w:val="19"/>
          <w:u w:val="single" w:color="auto"/>
          <w:color w:val="auto"/>
        </w:rPr>
        <w:t>THE LOAN</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2.1</w:t>
      </w:r>
      <w:r>
        <w:rPr>
          <w:sz w:val="20"/>
          <w:szCs w:val="20"/>
          <w:color w:val="auto"/>
        </w:rPr>
        <w:tab/>
      </w:r>
      <w:r>
        <w:rPr>
          <w:rFonts w:ascii="Arial" w:cs="Arial" w:eastAsia="Arial" w:hAnsi="Arial"/>
          <w:sz w:val="17"/>
          <w:szCs w:val="17"/>
          <w:u w:val="single" w:color="auto"/>
          <w:color w:val="auto"/>
        </w:rPr>
        <w:t>The Loan.</w:t>
      </w:r>
    </w:p>
    <w:p>
      <w:pPr>
        <w:spacing w:after="0" w:line="159" w:lineRule="exact"/>
        <w:rPr>
          <w:sz w:val="20"/>
          <w:szCs w:val="20"/>
          <w:color w:val="auto"/>
        </w:rPr>
      </w:pPr>
    </w:p>
    <w:p>
      <w:pPr>
        <w:jc w:val="both"/>
        <w:ind w:right="20" w:firstLine="585"/>
        <w:spacing w:after="0" w:line="315" w:lineRule="auto"/>
        <w:rPr>
          <w:sz w:val="20"/>
          <w:szCs w:val="20"/>
          <w:color w:val="auto"/>
        </w:rPr>
      </w:pPr>
      <w:r>
        <w:rPr>
          <w:rFonts w:ascii="Arial" w:cs="Arial" w:eastAsia="Arial" w:hAnsi="Arial"/>
          <w:sz w:val="18"/>
          <w:szCs w:val="18"/>
          <w:color w:val="auto"/>
        </w:rPr>
        <w:t>The Lender agrees to lend to the Borrower, subject to the terms and conditions herein set forth, sums in the aggregate not in excess of the Loan amount. Interest shall accrue and be payable only on sums advanced hereunder for the period of time outstanding.</w:t>
      </w:r>
    </w:p>
    <w:p>
      <w:pPr>
        <w:spacing w:after="0" w:line="66"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2.2</w:t>
      </w:r>
      <w:r>
        <w:rPr>
          <w:sz w:val="20"/>
          <w:szCs w:val="20"/>
          <w:color w:val="auto"/>
        </w:rPr>
        <w:tab/>
      </w:r>
      <w:r>
        <w:rPr>
          <w:rFonts w:ascii="Arial" w:cs="Arial" w:eastAsia="Arial" w:hAnsi="Arial"/>
          <w:sz w:val="16"/>
          <w:szCs w:val="16"/>
          <w:u w:val="single" w:color="auto"/>
          <w:color w:val="auto"/>
        </w:rPr>
        <w:t>Proceeds.</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Loan proceeds in an amount up to Eight Million Two Hundred Fifty Thousand and No/100 Dollars ($8,250,000.00) (the “</w:t>
      </w:r>
      <w:r>
        <w:rPr>
          <w:rFonts w:ascii="Arial" w:cs="Arial" w:eastAsia="Arial" w:hAnsi="Arial"/>
          <w:sz w:val="19"/>
          <w:szCs w:val="19"/>
          <w:b w:val="1"/>
          <w:bCs w:val="1"/>
          <w:i w:val="1"/>
          <w:iCs w:val="1"/>
          <w:color w:val="auto"/>
        </w:rPr>
        <w:t>Loan</w:t>
      </w:r>
      <w:r>
        <w:rPr>
          <w:rFonts w:ascii="Arial" w:cs="Arial" w:eastAsia="Arial" w:hAnsi="Arial"/>
          <w:sz w:val="19"/>
          <w:szCs w:val="19"/>
          <w:color w:val="auto"/>
        </w:rPr>
        <w:t>”) will be advanced at the closing of the Loan for the acquisition of the Property.</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2.3</w:t>
      </w:r>
      <w:r>
        <w:rPr>
          <w:sz w:val="20"/>
          <w:szCs w:val="20"/>
          <w:color w:val="auto"/>
        </w:rPr>
        <w:tab/>
      </w:r>
      <w:r>
        <w:rPr>
          <w:rFonts w:ascii="Arial" w:cs="Arial" w:eastAsia="Arial" w:hAnsi="Arial"/>
          <w:sz w:val="16"/>
          <w:szCs w:val="16"/>
          <w:u w:val="single" w:color="auto"/>
          <w:color w:val="auto"/>
        </w:rPr>
        <w:t>Fees and Expenses.</w:t>
      </w:r>
    </w:p>
    <w:p>
      <w:pPr>
        <w:spacing w:after="0" w:line="159" w:lineRule="exact"/>
        <w:rPr>
          <w:sz w:val="20"/>
          <w:szCs w:val="20"/>
          <w:color w:val="auto"/>
        </w:rPr>
      </w:pPr>
    </w:p>
    <w:p>
      <w:pPr>
        <w:jc w:val="both"/>
        <w:ind w:right="20" w:firstLine="1167"/>
        <w:spacing w:after="0" w:line="264" w:lineRule="auto"/>
        <w:tabs>
          <w:tab w:leader="none" w:pos="1605" w:val="left"/>
        </w:tabs>
        <w:numPr>
          <w:ilvl w:val="0"/>
          <w:numId w:val="304"/>
        </w:numPr>
        <w:rPr>
          <w:rFonts w:ascii="Arial" w:cs="Arial" w:eastAsia="Arial" w:hAnsi="Arial"/>
          <w:sz w:val="19"/>
          <w:szCs w:val="19"/>
          <w:color w:val="auto"/>
        </w:rPr>
      </w:pPr>
      <w:r>
        <w:rPr>
          <w:rFonts w:ascii="Arial" w:cs="Arial" w:eastAsia="Arial" w:hAnsi="Arial"/>
          <w:sz w:val="19"/>
          <w:szCs w:val="19"/>
          <w:u w:val="single" w:color="auto"/>
          <w:color w:val="auto"/>
        </w:rPr>
        <w:t>Prepayment Fee</w:t>
      </w:r>
      <w:r>
        <w:rPr>
          <w:rFonts w:ascii="Arial" w:cs="Arial" w:eastAsia="Arial" w:hAnsi="Arial"/>
          <w:sz w:val="19"/>
          <w:szCs w:val="19"/>
          <w:color w:val="auto"/>
        </w:rPr>
        <w:t>. Borrower shall pay to Lender the Prepayment Fees (as defined in the Note) as and when due pursuant to the terms and conditions of the Note. Borrower and Guarantor each agrees that the Prepayment Fees (as defined in the Note) are each a reasonable calculation of Lender’s lost profits in view of the difficulties and impracticality of determining actual damages resulting from an early repayment of the Loan.</w:t>
      </w:r>
    </w:p>
    <w:p>
      <w:pPr>
        <w:spacing w:after="0" w:line="110" w:lineRule="exact"/>
        <w:rPr>
          <w:rFonts w:ascii="Arial" w:cs="Arial" w:eastAsia="Arial" w:hAnsi="Arial"/>
          <w:sz w:val="19"/>
          <w:szCs w:val="19"/>
          <w:color w:val="auto"/>
        </w:rPr>
      </w:pPr>
    </w:p>
    <w:p>
      <w:pPr>
        <w:jc w:val="both"/>
        <w:ind w:right="20" w:firstLine="1167"/>
        <w:spacing w:after="0" w:line="270" w:lineRule="auto"/>
        <w:tabs>
          <w:tab w:leader="none" w:pos="1591" w:val="left"/>
        </w:tabs>
        <w:numPr>
          <w:ilvl w:val="0"/>
          <w:numId w:val="304"/>
        </w:numPr>
        <w:rPr>
          <w:rFonts w:ascii="Arial" w:cs="Arial" w:eastAsia="Arial" w:hAnsi="Arial"/>
          <w:sz w:val="19"/>
          <w:szCs w:val="19"/>
          <w:color w:val="auto"/>
        </w:rPr>
      </w:pPr>
      <w:r>
        <w:rPr>
          <w:rFonts w:ascii="Arial" w:cs="Arial" w:eastAsia="Arial" w:hAnsi="Arial"/>
          <w:sz w:val="19"/>
          <w:szCs w:val="19"/>
          <w:u w:val="single" w:color="auto"/>
          <w:color w:val="auto"/>
        </w:rPr>
        <w:t>Lender Expenses</w:t>
      </w:r>
      <w:r>
        <w:rPr>
          <w:rFonts w:ascii="Arial" w:cs="Arial" w:eastAsia="Arial" w:hAnsi="Arial"/>
          <w:sz w:val="19"/>
          <w:szCs w:val="19"/>
          <w:color w:val="auto"/>
        </w:rPr>
        <w:t>. Borrower shall pay to Lender all Lender expenses (including reasonable attorneys’ fees and expenses for documentation and negotiation of this Agreement and the other Loan Documents) incurred through and after the Closing Date, when due (or, if no stated due date, within three (3) Business Days after written demand by Lender).</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2.4</w:t>
      </w:r>
      <w:r>
        <w:rPr>
          <w:sz w:val="20"/>
          <w:szCs w:val="20"/>
          <w:color w:val="auto"/>
        </w:rPr>
        <w:tab/>
      </w:r>
      <w:r>
        <w:rPr>
          <w:rFonts w:ascii="Arial" w:cs="Arial" w:eastAsia="Arial" w:hAnsi="Arial"/>
          <w:sz w:val="17"/>
          <w:szCs w:val="17"/>
          <w:u w:val="single" w:color="auto"/>
          <w:color w:val="auto"/>
        </w:rPr>
        <w:t>Conditions Precedent to Closing.</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following shall be conditions precedent to the closing of the Loan and the advance of Loan proceeds:</w:t>
      </w:r>
    </w:p>
    <w:p>
      <w:pPr>
        <w:spacing w:after="0" w:line="159" w:lineRule="exact"/>
        <w:rPr>
          <w:sz w:val="20"/>
          <w:szCs w:val="20"/>
          <w:color w:val="auto"/>
        </w:rPr>
      </w:pPr>
    </w:p>
    <w:p>
      <w:pPr>
        <w:ind w:right="20" w:firstLine="1167"/>
        <w:spacing w:after="0" w:line="286" w:lineRule="auto"/>
        <w:tabs>
          <w:tab w:leader="none" w:pos="1705"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This Agreement, the Note, the Deed of Trust and the other Loan Documents shall have been properly executed and delivered to the Lender, the Deed of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0"/>
          </w:cols>
          <w:pgMar w:left="320" w:top="1301" w:right="319" w:bottom="1440" w:gutter="0" w:footer="0" w:header="0"/>
        </w:sectPr>
      </w:pPr>
    </w:p>
    <w:bookmarkStart w:id="419" w:name="page420"/>
    <w:bookmarkEnd w:id="419"/>
    <w:p>
      <w:pPr>
        <w:jc w:val="both"/>
        <w:ind w:right="20"/>
        <w:spacing w:after="0" w:line="270" w:lineRule="auto"/>
        <w:rPr>
          <w:sz w:val="20"/>
          <w:szCs w:val="20"/>
          <w:color w:val="auto"/>
        </w:rPr>
      </w:pPr>
      <w:r>
        <w:rPr>
          <w:rFonts w:ascii="Arial" w:cs="Arial" w:eastAsia="Arial" w:hAnsi="Arial"/>
          <w:sz w:val="19"/>
          <w:szCs w:val="19"/>
          <w:color w:val="auto"/>
        </w:rPr>
        <w:t>shall be acknowledged and recorded in the appropriate public office or delivered to a representative of the title company for recording and payment shall have been made for all conveyancing and recording in connection with the settlement of the Loan, and for any transfer or documentary stamp taxes due under any federal, state or municipal law.</w:t>
      </w:r>
    </w:p>
    <w:p>
      <w:pPr>
        <w:spacing w:after="0" w:line="103" w:lineRule="exact"/>
        <w:rPr>
          <w:sz w:val="20"/>
          <w:szCs w:val="20"/>
          <w:color w:val="auto"/>
        </w:rPr>
      </w:pPr>
    </w:p>
    <w:p>
      <w:pPr>
        <w:jc w:val="both"/>
        <w:ind w:right="20" w:firstLine="1167"/>
        <w:spacing w:after="0" w:line="260" w:lineRule="auto"/>
        <w:tabs>
          <w:tab w:leader="none" w:pos="1687"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Lender shall have received a paid policy of title insurance on the current ALTA Form or a valid and enforceable commitment to issue the same, from a company satisfactory to the Lender in the amount of the Loan and which may be endorsed or assigned to the successors and assigns of the Lender without additional cost, insuring the lien of the Deed of Trust to be a valid first lien on the Property, free and clear of all defects, exceptions and encumbrances except such as the Lender and its counsel shall have approved and containing affirmative insurance against mechanics liens and such other and further endorsements or coverages as Lender may reasonable require (the “</w:t>
      </w:r>
      <w:r>
        <w:rPr>
          <w:rFonts w:ascii="Arial" w:cs="Arial" w:eastAsia="Arial" w:hAnsi="Arial"/>
          <w:sz w:val="19"/>
          <w:szCs w:val="19"/>
          <w:b w:val="1"/>
          <w:bCs w:val="1"/>
          <w:i w:val="1"/>
          <w:iCs w:val="1"/>
          <w:color w:val="auto"/>
        </w:rPr>
        <w:t>Title Policy</w:t>
      </w:r>
      <w:r>
        <w:rPr>
          <w:rFonts w:ascii="Arial" w:cs="Arial" w:eastAsia="Arial" w:hAnsi="Arial"/>
          <w:sz w:val="19"/>
          <w:szCs w:val="19"/>
          <w:color w:val="auto"/>
        </w:rPr>
        <w:t>”).</w:t>
      </w:r>
    </w:p>
    <w:p>
      <w:pPr>
        <w:spacing w:after="0" w:line="114" w:lineRule="exact"/>
        <w:rPr>
          <w:rFonts w:ascii="Arial" w:cs="Arial" w:eastAsia="Arial" w:hAnsi="Arial"/>
          <w:sz w:val="19"/>
          <w:szCs w:val="19"/>
          <w:color w:val="auto"/>
        </w:rPr>
      </w:pPr>
    </w:p>
    <w:p>
      <w:pPr>
        <w:jc w:val="both"/>
        <w:ind w:firstLine="1167"/>
        <w:spacing w:after="0" w:line="291" w:lineRule="auto"/>
        <w:tabs>
          <w:tab w:leader="none" w:pos="157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Lender shall have received advice, in form and substance and from a source satisfactory to the Lender, to the effect that a search of the applicable public records discloses no conditional sales contracts, chattel mortgages, leases of personalty, financing statements or title retention agreements filed or recorded against the Property except such as the Lender shall have approved.</w:t>
      </w:r>
    </w:p>
    <w:p>
      <w:pPr>
        <w:spacing w:after="0" w:line="87" w:lineRule="exact"/>
        <w:rPr>
          <w:rFonts w:ascii="Arial" w:cs="Arial" w:eastAsia="Arial" w:hAnsi="Arial"/>
          <w:sz w:val="18"/>
          <w:szCs w:val="18"/>
          <w:color w:val="auto"/>
        </w:rPr>
      </w:pPr>
    </w:p>
    <w:p>
      <w:pPr>
        <w:jc w:val="both"/>
        <w:ind w:right="20" w:firstLine="1167"/>
        <w:spacing w:after="0" w:line="262" w:lineRule="auto"/>
        <w:tabs>
          <w:tab w:leader="none" w:pos="1614"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Lender shall have received all policies of insurance required by the terms hereof and by the other Loan Documents to be in effect from a company or companies and in form and amount satisfactory to the Lender, including without limitation, flood insurance (in the amount of the Loan or the maximum limit of coverage available on the Property, whichever is less or evidence that flood insurance is not available or otherwise required with respect to the Property), together with written evidence, in form and substance satisfactory to the Lender, that all fees and premiums due on account thereof have been paid in full.</w:t>
      </w:r>
    </w:p>
    <w:p>
      <w:pPr>
        <w:spacing w:after="0" w:line="110" w:lineRule="exact"/>
        <w:rPr>
          <w:rFonts w:ascii="Arial" w:cs="Arial" w:eastAsia="Arial" w:hAnsi="Arial"/>
          <w:sz w:val="19"/>
          <w:szCs w:val="19"/>
          <w:color w:val="auto"/>
        </w:rPr>
      </w:pPr>
    </w:p>
    <w:p>
      <w:pPr>
        <w:ind w:right="20" w:firstLine="1167"/>
        <w:spacing w:after="0" w:line="286" w:lineRule="auto"/>
        <w:tabs>
          <w:tab w:leader="none" w:pos="1623"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Lender shall have received and approved an appraisal of the Property indicating that the ratio of the Loan amount to the “as-is” appraised value of the Property does not exceed 75%.</w:t>
      </w:r>
    </w:p>
    <w:p>
      <w:pPr>
        <w:spacing w:after="0" w:line="88" w:lineRule="exact"/>
        <w:rPr>
          <w:rFonts w:ascii="Arial" w:cs="Arial" w:eastAsia="Arial" w:hAnsi="Arial"/>
          <w:sz w:val="19"/>
          <w:szCs w:val="19"/>
          <w:color w:val="auto"/>
        </w:rPr>
      </w:pPr>
    </w:p>
    <w:p>
      <w:pPr>
        <w:ind w:left="1560" w:hanging="393"/>
        <w:spacing w:after="0"/>
        <w:tabs>
          <w:tab w:leader="none" w:pos="156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Lender shall have received and approved a property condition report of the Property.</w:t>
      </w:r>
    </w:p>
    <w:p>
      <w:pPr>
        <w:spacing w:after="0" w:line="159" w:lineRule="exact"/>
        <w:rPr>
          <w:rFonts w:ascii="Arial" w:cs="Arial" w:eastAsia="Arial" w:hAnsi="Arial"/>
          <w:sz w:val="19"/>
          <w:szCs w:val="19"/>
          <w:color w:val="auto"/>
        </w:rPr>
      </w:pPr>
    </w:p>
    <w:p>
      <w:pPr>
        <w:ind w:right="20" w:firstLine="1167"/>
        <w:spacing w:after="0" w:line="286" w:lineRule="auto"/>
        <w:tabs>
          <w:tab w:leader="none" w:pos="1602"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Lender shall have received and approved a copy of a current Survey of the Land certified to the Lender and to the title insurance company and any recorded subdivision plat of the Land.</w:t>
      </w:r>
    </w:p>
    <w:p>
      <w:pPr>
        <w:spacing w:after="0" w:line="88" w:lineRule="exact"/>
        <w:rPr>
          <w:rFonts w:ascii="Arial" w:cs="Arial" w:eastAsia="Arial" w:hAnsi="Arial"/>
          <w:sz w:val="19"/>
          <w:szCs w:val="19"/>
          <w:color w:val="auto"/>
        </w:rPr>
      </w:pPr>
    </w:p>
    <w:p>
      <w:pPr>
        <w:ind w:left="1580" w:hanging="413"/>
        <w:spacing w:after="0"/>
        <w:tabs>
          <w:tab w:leader="none" w:pos="158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Omitted.</w:t>
      </w:r>
    </w:p>
    <w:p>
      <w:pPr>
        <w:spacing w:after="0" w:line="159" w:lineRule="exact"/>
        <w:rPr>
          <w:rFonts w:ascii="Arial" w:cs="Arial" w:eastAsia="Arial" w:hAnsi="Arial"/>
          <w:sz w:val="19"/>
          <w:szCs w:val="19"/>
          <w:color w:val="auto"/>
        </w:rPr>
      </w:pPr>
    </w:p>
    <w:p>
      <w:pPr>
        <w:jc w:val="both"/>
        <w:ind w:right="20" w:firstLine="1167"/>
        <w:spacing w:after="0" w:line="291" w:lineRule="auto"/>
        <w:tabs>
          <w:tab w:leader="none" w:pos="159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Lender shall have received evidence satisfactory to it regarding the current and past pollution control practices at the Property in connection with the discharge, emission, handling, disposal or existence of materials and substances controlled by federal, state or local laws and regulations including an environmental audit of the Property prepared by a person or firm acceptable to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0"/>
          </w:cols>
          <w:pgMar w:left="320" w:top="1301" w:right="319" w:bottom="1440" w:gutter="0" w:footer="0" w:header="0"/>
        </w:sectPr>
      </w:pPr>
    </w:p>
    <w:bookmarkStart w:id="420" w:name="page421"/>
    <w:bookmarkEnd w:id="420"/>
    <w:p>
      <w:pPr>
        <w:jc w:val="both"/>
        <w:ind w:firstLine="1167"/>
        <w:spacing w:after="0" w:line="262" w:lineRule="auto"/>
        <w:tabs>
          <w:tab w:leader="none" w:pos="1749"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Lender shall have received evidence acceptable in all respects that the Improvements comply with all legal requirements regarding access and facilities for handicapped or disabled persons, including, without limitation and to the extent applicable, The Federal Architectural Barriers Act (42 U.S.C. § 4151 et seq.), The Fair Housing Amendments Act of 1988 (42 U.S.C. § 3601 et seq.), The Americans With Disabilities Act of 1990 (42 U.S.C. § 12101 et seq.), The Rehabilitation Act of 1973 (29 U.S.C. § 794) and any applicable state statutes relating to access and facilities for handicapped or disabled persons.</w:t>
      </w:r>
    </w:p>
    <w:p>
      <w:pPr>
        <w:spacing w:after="0" w:line="110" w:lineRule="exact"/>
        <w:rPr>
          <w:rFonts w:ascii="Arial" w:cs="Arial" w:eastAsia="Arial" w:hAnsi="Arial"/>
          <w:sz w:val="19"/>
          <w:szCs w:val="19"/>
          <w:color w:val="auto"/>
        </w:rPr>
      </w:pPr>
    </w:p>
    <w:p>
      <w:pPr>
        <w:jc w:val="both"/>
        <w:ind w:firstLine="1167"/>
        <w:spacing w:after="0" w:line="270" w:lineRule="auto"/>
        <w:tabs>
          <w:tab w:leader="none" w:pos="1667"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Lender shall have received and approved a copy of each of the Borrower’s and Guarantor’s fully executed limited liability company agreement or charter, as applicable, and a copy of the recorded certificate of formation or certificate of incorporation, as applicable.</w:t>
      </w:r>
    </w:p>
    <w:p>
      <w:pPr>
        <w:spacing w:after="0" w:line="102" w:lineRule="exact"/>
        <w:rPr>
          <w:rFonts w:ascii="Arial" w:cs="Arial" w:eastAsia="Arial" w:hAnsi="Arial"/>
          <w:sz w:val="19"/>
          <w:szCs w:val="19"/>
          <w:color w:val="auto"/>
        </w:rPr>
      </w:pPr>
    </w:p>
    <w:p>
      <w:pPr>
        <w:ind w:firstLine="1167"/>
        <w:spacing w:after="0" w:line="286" w:lineRule="auto"/>
        <w:tabs>
          <w:tab w:leader="none" w:pos="1656"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Lender shall have received and approved a certified copy of the Borrower’s and Guarantor’s respective company resolutions authorizing the execution and delivery of the Loan Documents and consenting to the Loan.</w:t>
      </w:r>
    </w:p>
    <w:p>
      <w:pPr>
        <w:spacing w:after="0" w:line="88" w:lineRule="exact"/>
        <w:rPr>
          <w:rFonts w:ascii="Arial" w:cs="Arial" w:eastAsia="Arial" w:hAnsi="Arial"/>
          <w:sz w:val="19"/>
          <w:szCs w:val="19"/>
          <w:color w:val="auto"/>
        </w:rPr>
      </w:pPr>
    </w:p>
    <w:p>
      <w:pPr>
        <w:ind w:firstLine="1167"/>
        <w:spacing w:after="0" w:line="286" w:lineRule="auto"/>
        <w:tabs>
          <w:tab w:leader="none" w:pos="1648"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Lender shall have received and approved a current good standing certificate or certificate of fact, as applicable, for the Borrower and for the Guarantor.</w:t>
      </w:r>
    </w:p>
    <w:p>
      <w:pPr>
        <w:spacing w:after="0" w:line="88" w:lineRule="exact"/>
        <w:rPr>
          <w:rFonts w:ascii="Arial" w:cs="Arial" w:eastAsia="Arial" w:hAnsi="Arial"/>
          <w:sz w:val="19"/>
          <w:szCs w:val="19"/>
          <w:color w:val="auto"/>
        </w:rPr>
      </w:pPr>
    </w:p>
    <w:p>
      <w:pPr>
        <w:jc w:val="both"/>
        <w:ind w:firstLine="1167"/>
        <w:spacing w:after="0" w:line="270" w:lineRule="auto"/>
        <w:tabs>
          <w:tab w:leader="none" w:pos="1624"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Lender shall have received and approved an opinion or opinions of counsel for the Borrower and Guarantor as to the Borrower’s and Guarantor’s good standing, form, powers and authority and as to the validity, binding effect and enforceability of the Loan Documents to which each is a party.</w:t>
      </w:r>
    </w:p>
    <w:p>
      <w:pPr>
        <w:spacing w:after="0" w:line="102" w:lineRule="exact"/>
        <w:rPr>
          <w:rFonts w:ascii="Arial" w:cs="Arial" w:eastAsia="Arial" w:hAnsi="Arial"/>
          <w:sz w:val="19"/>
          <w:szCs w:val="19"/>
          <w:color w:val="auto"/>
        </w:rPr>
      </w:pPr>
    </w:p>
    <w:p>
      <w:pPr>
        <w:ind w:left="1620" w:hanging="453"/>
        <w:spacing w:after="0"/>
        <w:tabs>
          <w:tab w:leader="none" w:pos="162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Lender shall have received and approved the Expensify Lease, which shall be the only lease affecting the Property at</w:t>
      </w:r>
    </w:p>
    <w:p>
      <w:pPr>
        <w:spacing w:after="0" w:line="5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Closing.</w:t>
      </w:r>
    </w:p>
    <w:p>
      <w:pPr>
        <w:spacing w:after="0" w:line="143" w:lineRule="exact"/>
        <w:rPr>
          <w:rFonts w:ascii="Arial" w:cs="Arial" w:eastAsia="Arial" w:hAnsi="Arial"/>
          <w:sz w:val="17"/>
          <w:szCs w:val="17"/>
          <w:color w:val="auto"/>
        </w:rPr>
      </w:pPr>
    </w:p>
    <w:p>
      <w:pPr>
        <w:ind w:firstLine="1167"/>
        <w:spacing w:after="0" w:line="286" w:lineRule="auto"/>
        <w:tabs>
          <w:tab w:leader="none" w:pos="1677"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Borrower shall have opened an account at the Lender that shall be used as the operating account for the Property pursuant to the terms of this Agreement.</w:t>
      </w:r>
    </w:p>
    <w:p>
      <w:pPr>
        <w:spacing w:after="0" w:line="88" w:lineRule="exact"/>
        <w:rPr>
          <w:rFonts w:ascii="Arial" w:cs="Arial" w:eastAsia="Arial" w:hAnsi="Arial"/>
          <w:sz w:val="19"/>
          <w:szCs w:val="19"/>
          <w:color w:val="auto"/>
        </w:rPr>
      </w:pPr>
    </w:p>
    <w:p>
      <w:pPr>
        <w:ind w:firstLine="1167"/>
        <w:spacing w:after="0" w:line="286" w:lineRule="auto"/>
        <w:tabs>
          <w:tab w:leader="none" w:pos="1630"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Lender shall have received evidence, in form and substance satisfactory to it, of Borrower’s compliance in zoning as more particularly described in Section 3.2 below.</w:t>
      </w:r>
    </w:p>
    <w:p>
      <w:pPr>
        <w:spacing w:after="0" w:line="88" w:lineRule="exact"/>
        <w:rPr>
          <w:rFonts w:ascii="Arial" w:cs="Arial" w:eastAsia="Arial" w:hAnsi="Arial"/>
          <w:sz w:val="19"/>
          <w:szCs w:val="19"/>
          <w:color w:val="auto"/>
        </w:rPr>
      </w:pPr>
    </w:p>
    <w:p>
      <w:pPr>
        <w:jc w:val="both"/>
        <w:ind w:firstLine="1167"/>
        <w:spacing w:after="0" w:line="270" w:lineRule="auto"/>
        <w:tabs>
          <w:tab w:leader="none" w:pos="1657"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Borrower shall have paid to the Lender a non-refundable loan structuring fee equal to one quarter of one percent (0.25%) of the amount of the Loan, which shall be fully earned upon payment (the “</w:t>
      </w:r>
      <w:r>
        <w:rPr>
          <w:rFonts w:ascii="Arial" w:cs="Arial" w:eastAsia="Arial" w:hAnsi="Arial"/>
          <w:sz w:val="19"/>
          <w:szCs w:val="19"/>
          <w:b w:val="1"/>
          <w:bCs w:val="1"/>
          <w:i w:val="1"/>
          <w:iCs w:val="1"/>
          <w:color w:val="auto"/>
        </w:rPr>
        <w:t>Loan Fee</w:t>
      </w:r>
      <w:r>
        <w:rPr>
          <w:rFonts w:ascii="Arial" w:cs="Arial" w:eastAsia="Arial" w:hAnsi="Arial"/>
          <w:sz w:val="19"/>
          <w:szCs w:val="19"/>
          <w:color w:val="auto"/>
        </w:rPr>
        <w:t>”), as well as all of Lender’s out-of-pocket costs incurred in connection with the Loan and the preparation of the Loan Documents.</w:t>
      </w:r>
    </w:p>
    <w:p>
      <w:pPr>
        <w:spacing w:after="0" w:line="102" w:lineRule="exact"/>
        <w:rPr>
          <w:rFonts w:ascii="Arial" w:cs="Arial" w:eastAsia="Arial" w:hAnsi="Arial"/>
          <w:sz w:val="19"/>
          <w:szCs w:val="19"/>
          <w:color w:val="auto"/>
        </w:rPr>
      </w:pPr>
    </w:p>
    <w:p>
      <w:pPr>
        <w:ind w:firstLine="1167"/>
        <w:spacing w:after="0" w:line="286" w:lineRule="auto"/>
        <w:tabs>
          <w:tab w:leader="none" w:pos="1653"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Lender shall have received from the Guarantor a fully-executed Subordination Agreement regarding the Expensify Lease in form and substance reasonably satisfactory to the Lender.</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2.5</w:t>
      </w:r>
      <w:r>
        <w:rPr>
          <w:sz w:val="20"/>
          <w:szCs w:val="20"/>
          <w:color w:val="auto"/>
        </w:rPr>
        <w:tab/>
      </w:r>
      <w:r>
        <w:rPr>
          <w:rFonts w:ascii="Arial" w:cs="Arial" w:eastAsia="Arial" w:hAnsi="Arial"/>
          <w:sz w:val="17"/>
          <w:szCs w:val="17"/>
          <w:u w:val="single" w:color="auto"/>
          <w:color w:val="auto"/>
        </w:rPr>
        <w:t>Assignments.</w:t>
      </w:r>
    </w:p>
    <w:p>
      <w:pPr>
        <w:spacing w:after="0" w:line="159" w:lineRule="exact"/>
        <w:rPr>
          <w:sz w:val="20"/>
          <w:szCs w:val="20"/>
          <w:color w:val="auto"/>
        </w:rPr>
      </w:pPr>
    </w:p>
    <w:p>
      <w:pPr>
        <w:ind w:firstLine="585"/>
        <w:spacing w:after="0" w:line="348" w:lineRule="auto"/>
        <w:rPr>
          <w:sz w:val="20"/>
          <w:szCs w:val="20"/>
          <w:color w:val="auto"/>
        </w:rPr>
      </w:pPr>
      <w:r>
        <w:rPr>
          <w:rFonts w:ascii="Arial" w:cs="Arial" w:eastAsia="Arial" w:hAnsi="Arial"/>
          <w:sz w:val="17"/>
          <w:szCs w:val="17"/>
          <w:color w:val="auto"/>
        </w:rPr>
        <w:t>The Borrower agrees not to transfer, assign, pledge or hypothecate any right or interest in any payment or advance due pursuant to this Agreement, or any of the other benefits of this Agreement, without the prior written consent of the Lender. Any assignment made or attempted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01" w:right="339" w:bottom="1440" w:gutter="0" w:footer="0" w:header="0"/>
        </w:sectPr>
      </w:pPr>
    </w:p>
    <w:bookmarkStart w:id="421" w:name="page422"/>
    <w:bookmarkEnd w:id="421"/>
    <w:p>
      <w:pPr>
        <w:jc w:val="both"/>
        <w:spacing w:after="0" w:line="262" w:lineRule="auto"/>
        <w:rPr>
          <w:sz w:val="20"/>
          <w:szCs w:val="20"/>
          <w:color w:val="auto"/>
        </w:rPr>
      </w:pPr>
      <w:r>
        <w:rPr>
          <w:rFonts w:ascii="Arial" w:cs="Arial" w:eastAsia="Arial" w:hAnsi="Arial"/>
          <w:sz w:val="19"/>
          <w:szCs w:val="19"/>
          <w:color w:val="auto"/>
        </w:rPr>
        <w:t>by the Borrower without the prior written consent of the Lender shall be void and of no effect. No consent by the Lender to an assignment by the Borrower shall release the Borrower as the party primarily obligated and liable under the terms of this Agreement unless the Borrower shall be released specifically by the Lender in writing. No consent by the Lender to an assignment shall be deemed to be a waiver of the requirement of prior written consent by the Lender with respect to each and every further assignment and as a condition precedent to the effectiveness of such assignment.</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2.6</w:t>
      </w:r>
      <w:r>
        <w:rPr>
          <w:sz w:val="20"/>
          <w:szCs w:val="20"/>
          <w:color w:val="auto"/>
        </w:rPr>
        <w:tab/>
      </w:r>
      <w:r>
        <w:rPr>
          <w:rFonts w:ascii="Arial" w:cs="Arial" w:eastAsia="Arial" w:hAnsi="Arial"/>
          <w:sz w:val="18"/>
          <w:szCs w:val="18"/>
          <w:u w:val="single" w:color="auto"/>
          <w:color w:val="auto"/>
        </w:rPr>
        <w:t>Liability of the Lender.</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The Lender shall in no event be responsible or liable to any person other than the Borrower for the disbursement of or failure to disburse the proceeds of the Loan or any part thereof.</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2.7</w:t>
      </w:r>
      <w:r>
        <w:rPr>
          <w:sz w:val="20"/>
          <w:szCs w:val="20"/>
          <w:color w:val="auto"/>
        </w:rPr>
        <w:tab/>
      </w:r>
      <w:r>
        <w:rPr>
          <w:rFonts w:ascii="Arial" w:cs="Arial" w:eastAsia="Arial" w:hAnsi="Arial"/>
          <w:sz w:val="17"/>
          <w:szCs w:val="17"/>
          <w:u w:val="single" w:color="auto"/>
          <w:color w:val="auto"/>
        </w:rPr>
        <w:t>Change in Law.</w:t>
      </w:r>
    </w:p>
    <w:p>
      <w:pPr>
        <w:spacing w:after="0" w:line="159" w:lineRule="exact"/>
        <w:rPr>
          <w:sz w:val="20"/>
          <w:szCs w:val="20"/>
          <w:color w:val="auto"/>
        </w:rPr>
      </w:pPr>
    </w:p>
    <w:p>
      <w:pPr>
        <w:jc w:val="both"/>
        <w:ind w:right="20" w:firstLine="1167"/>
        <w:spacing w:after="0" w:line="259" w:lineRule="auto"/>
        <w:tabs>
          <w:tab w:leader="none" w:pos="1678" w:val="left"/>
        </w:tabs>
        <w:numPr>
          <w:ilvl w:val="0"/>
          <w:numId w:val="308"/>
        </w:numPr>
        <w:rPr>
          <w:rFonts w:ascii="Arial" w:cs="Arial" w:eastAsia="Arial" w:hAnsi="Arial"/>
          <w:sz w:val="19"/>
          <w:szCs w:val="19"/>
          <w:color w:val="auto"/>
        </w:rPr>
      </w:pPr>
      <w:r>
        <w:rPr>
          <w:rFonts w:ascii="Arial" w:cs="Arial" w:eastAsia="Arial" w:hAnsi="Arial"/>
          <w:sz w:val="19"/>
          <w:szCs w:val="19"/>
          <w:color w:val="auto"/>
        </w:rPr>
        <w:t>If any Change in Law shall (i) impose, modify or deem applicable any reserve, special deposit or similar requirement (including any compulsory loan requirement, insurance charge or other assessment) against assets of, deposits with or for the account of, or credit extended by, the Lender or (ii) impose on the Lender any other material condition, cost or expense affecting this Agreement or the Loan, and the result of any of the foregoing shall be to increase the cost to such the Lender of making, continuing, converting into or maintaining the Loan (or of maintaining its obligation to make any the Loan) or to reduce the amount of any sum received or receivable by such Lender hereunder (whether of principal, interest or otherwise), then the Borrower will pay to the Lender such additional amount or amounts as will compensate the Lender for such additional costs incurred or reduction suffered.</w:t>
      </w:r>
    </w:p>
    <w:p>
      <w:pPr>
        <w:spacing w:after="0" w:line="115" w:lineRule="exact"/>
        <w:rPr>
          <w:rFonts w:ascii="Arial" w:cs="Arial" w:eastAsia="Arial" w:hAnsi="Arial"/>
          <w:sz w:val="19"/>
          <w:szCs w:val="19"/>
          <w:color w:val="auto"/>
        </w:rPr>
      </w:pPr>
    </w:p>
    <w:p>
      <w:pPr>
        <w:jc w:val="both"/>
        <w:ind w:right="20" w:firstLine="1167"/>
        <w:spacing w:after="0" w:line="300" w:lineRule="auto"/>
        <w:tabs>
          <w:tab w:leader="none" w:pos="1632" w:val="left"/>
        </w:tabs>
        <w:numPr>
          <w:ilvl w:val="0"/>
          <w:numId w:val="308"/>
        </w:numPr>
        <w:rPr>
          <w:rFonts w:ascii="Arial" w:cs="Arial" w:eastAsia="Arial" w:hAnsi="Arial"/>
          <w:sz w:val="17"/>
          <w:szCs w:val="17"/>
          <w:color w:val="auto"/>
        </w:rPr>
      </w:pPr>
      <w:r>
        <w:rPr>
          <w:rFonts w:ascii="Arial" w:cs="Arial" w:eastAsia="Arial" w:hAnsi="Arial"/>
          <w:sz w:val="17"/>
          <w:szCs w:val="17"/>
          <w:color w:val="auto"/>
        </w:rPr>
        <w:t>If any Change in Law regarding capital or liquidity requirements has the effect of reducing the rate of return on Lender’s capital or on the capital of Lender’s holding company, if any, as a consequence of this Agreement or the Loan made by Lender to a level below that which such Lender or such Lender’s holding company could have achieved but for such Change in Law (taking into consideration Lender’s policies and the policies of such Lender’s holding company with respect to capital adequacy and liquidity), then Borrower will pay to Lender such additional amount or amounts as will compensate such Lender or such Lender’s holding company for any such reduction actually suffered.</w:t>
      </w:r>
    </w:p>
    <w:p>
      <w:pPr>
        <w:spacing w:after="0" w:line="81" w:lineRule="exact"/>
        <w:rPr>
          <w:rFonts w:ascii="Arial" w:cs="Arial" w:eastAsia="Arial" w:hAnsi="Arial"/>
          <w:sz w:val="17"/>
          <w:szCs w:val="17"/>
          <w:color w:val="auto"/>
        </w:rPr>
      </w:pPr>
    </w:p>
    <w:p>
      <w:pPr>
        <w:jc w:val="both"/>
        <w:ind w:right="20" w:firstLine="1167"/>
        <w:spacing w:after="0" w:line="316" w:lineRule="auto"/>
        <w:tabs>
          <w:tab w:leader="none" w:pos="160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A certificate of Lender setting forth the amount or amounts necessary to compensate such Lender or its holding company, as the case may be, as specified in paragraph (a) or (b) of this Section shall be delivered to Borrower and shall be conclusive absent manifest error. Borrower shall pay such Lender the amount shown as due on any such certificate within thirty (30) days after receipt thereof.</w:t>
      </w:r>
    </w:p>
    <w:p>
      <w:pPr>
        <w:spacing w:after="0" w:line="68" w:lineRule="exact"/>
        <w:rPr>
          <w:rFonts w:ascii="Arial" w:cs="Arial" w:eastAsia="Arial" w:hAnsi="Arial"/>
          <w:sz w:val="17"/>
          <w:szCs w:val="17"/>
          <w:color w:val="auto"/>
        </w:rPr>
      </w:pPr>
    </w:p>
    <w:p>
      <w:pPr>
        <w:ind w:right="20" w:firstLine="1167"/>
        <w:spacing w:after="0" w:line="286" w:lineRule="auto"/>
        <w:tabs>
          <w:tab w:leader="none" w:pos="1603" w:val="left"/>
        </w:tabs>
        <w:numPr>
          <w:ilvl w:val="0"/>
          <w:numId w:val="308"/>
        </w:numPr>
        <w:rPr>
          <w:rFonts w:ascii="Arial" w:cs="Arial" w:eastAsia="Arial" w:hAnsi="Arial"/>
          <w:sz w:val="19"/>
          <w:szCs w:val="19"/>
          <w:color w:val="auto"/>
        </w:rPr>
      </w:pPr>
      <w:r>
        <w:rPr>
          <w:rFonts w:ascii="Arial" w:cs="Arial" w:eastAsia="Arial" w:hAnsi="Arial"/>
          <w:sz w:val="19"/>
          <w:szCs w:val="19"/>
          <w:color w:val="auto"/>
        </w:rPr>
        <w:t>Failure or delay on the part of any Lender to demand compensation pursuant to this Section shall not constitute a waiver of such Lender’s right to demand such compensation. This Section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60"/>
          </w:cols>
          <w:pgMar w:left="320" w:top="1302" w:right="319" w:bottom="1440" w:gutter="0" w:footer="0" w:header="0"/>
        </w:sectPr>
      </w:pPr>
    </w:p>
    <w:bookmarkStart w:id="422" w:name="page423"/>
    <w:bookmarkEnd w:id="422"/>
    <w:p>
      <w:pPr>
        <w:ind w:left="580"/>
        <w:spacing w:after="0"/>
        <w:tabs>
          <w:tab w:leader="none" w:pos="1640" w:val="left"/>
        </w:tabs>
        <w:rPr>
          <w:sz w:val="20"/>
          <w:szCs w:val="20"/>
          <w:color w:val="auto"/>
        </w:rPr>
      </w:pPr>
      <w:r>
        <w:rPr>
          <w:rFonts w:ascii="Arial" w:cs="Arial" w:eastAsia="Arial" w:hAnsi="Arial"/>
          <w:sz w:val="19"/>
          <w:szCs w:val="19"/>
          <w:color w:val="auto"/>
        </w:rPr>
        <w:t>Section 2.8</w:t>
      </w:r>
      <w:r>
        <w:rPr>
          <w:sz w:val="20"/>
          <w:szCs w:val="20"/>
          <w:color w:val="auto"/>
        </w:rPr>
        <w:tab/>
      </w:r>
      <w:r>
        <w:rPr>
          <w:rFonts w:ascii="Arial" w:cs="Arial" w:eastAsia="Arial" w:hAnsi="Arial"/>
          <w:sz w:val="17"/>
          <w:szCs w:val="17"/>
          <w:u w:val="single" w:color="auto"/>
          <w:color w:val="auto"/>
        </w:rPr>
        <w:t>Creation of Security Interest.</w:t>
      </w:r>
    </w:p>
    <w:p>
      <w:pPr>
        <w:spacing w:after="0" w:line="159" w:lineRule="exact"/>
        <w:rPr>
          <w:sz w:val="20"/>
          <w:szCs w:val="20"/>
          <w:color w:val="auto"/>
        </w:rPr>
      </w:pPr>
    </w:p>
    <w:p>
      <w:pPr>
        <w:jc w:val="both"/>
        <w:ind w:right="20" w:firstLine="1167"/>
        <w:spacing w:after="0" w:line="277" w:lineRule="auto"/>
        <w:tabs>
          <w:tab w:leader="none" w:pos="168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Borrower hereby grants Lender, to secure the payment and performance in full of all of the Obligations, a continuing security interest in, and pledges to Lender, the Collateral, wherever located, whether now owned or hereafter acquired or arising, and all proceeds and products thereof. If this Agreement is terminated, Lender’s lien in the Collateral shall continue until the Obligations (other than contingent indemnification obligations as to which no claim has been asserted or is known to exist) are repaid in full in cash. Upon payment in full in cash of the Obligations (other than contingent indemnification obligations as to which no claim has been asserted or is known to exist) Lender shall, at Borrowers’ sole cost and expense, release its liens in the Collateral and all rights therein shall revert to the Borrower.</w:t>
      </w:r>
    </w:p>
    <w:p>
      <w:pPr>
        <w:spacing w:after="0" w:line="101" w:lineRule="exact"/>
        <w:rPr>
          <w:rFonts w:ascii="Arial" w:cs="Arial" w:eastAsia="Arial" w:hAnsi="Arial"/>
          <w:sz w:val="18"/>
          <w:szCs w:val="18"/>
          <w:color w:val="auto"/>
        </w:rPr>
      </w:pPr>
    </w:p>
    <w:p>
      <w:pPr>
        <w:jc w:val="both"/>
        <w:ind w:right="20" w:firstLine="1167"/>
        <w:spacing w:after="0" w:line="264" w:lineRule="auto"/>
        <w:tabs>
          <w:tab w:leader="none" w:pos="1595" w:val="left"/>
        </w:tabs>
        <w:numPr>
          <w:ilvl w:val="0"/>
          <w:numId w:val="309"/>
        </w:numPr>
        <w:rPr>
          <w:rFonts w:ascii="Arial" w:cs="Arial" w:eastAsia="Arial" w:hAnsi="Arial"/>
          <w:sz w:val="19"/>
          <w:szCs w:val="19"/>
          <w:color w:val="auto"/>
        </w:rPr>
      </w:pPr>
      <w:r>
        <w:rPr>
          <w:rFonts w:ascii="Arial" w:cs="Arial" w:eastAsia="Arial" w:hAnsi="Arial"/>
          <w:sz w:val="19"/>
          <w:szCs w:val="19"/>
          <w:color w:val="auto"/>
        </w:rPr>
        <w:t>Borrower represents, warrants, and covenants that the security interest granted herein is and shall at all times continue to be a first priority perfected security interest in the Collateral. If Borrower shall acquire a commercial tort claim with a potential recovery in excess of One Hundred Thousand Dollars ($100,000), Borrower shall promptly notify Lender in writing and deliver such other documents as Lender may require to grant Lender a perfected security interest in such commercial tort claim.</w:t>
      </w:r>
    </w:p>
    <w:p>
      <w:pPr>
        <w:spacing w:after="0" w:line="110" w:lineRule="exact"/>
        <w:rPr>
          <w:rFonts w:ascii="Arial" w:cs="Arial" w:eastAsia="Arial" w:hAnsi="Arial"/>
          <w:sz w:val="19"/>
          <w:szCs w:val="19"/>
          <w:color w:val="auto"/>
        </w:rPr>
      </w:pPr>
    </w:p>
    <w:p>
      <w:pPr>
        <w:jc w:val="both"/>
        <w:ind w:firstLine="1167"/>
        <w:spacing w:after="0" w:line="270" w:lineRule="auto"/>
        <w:tabs>
          <w:tab w:leader="none" w:pos="1694" w:val="left"/>
        </w:tabs>
        <w:numPr>
          <w:ilvl w:val="0"/>
          <w:numId w:val="309"/>
        </w:numPr>
        <w:rPr>
          <w:rFonts w:ascii="Arial" w:cs="Arial" w:eastAsia="Arial" w:hAnsi="Arial"/>
          <w:sz w:val="19"/>
          <w:szCs w:val="19"/>
          <w:color w:val="auto"/>
        </w:rPr>
      </w:pPr>
      <w:r>
        <w:rPr>
          <w:rFonts w:ascii="Arial" w:cs="Arial" w:eastAsia="Arial" w:hAnsi="Arial"/>
          <w:sz w:val="19"/>
          <w:szCs w:val="19"/>
          <w:color w:val="auto"/>
        </w:rPr>
        <w:t>Borrower hereby authorizes Lender to file at any time financing statements, continuation statements and amendments thereto with all appropriate jurisdictions to perfect or protect Lender’s interest or rights hereunder. Such financing statements may describe the Collateral as all assets of Borrower.</w:t>
      </w:r>
    </w:p>
    <w:p>
      <w:pPr>
        <w:spacing w:after="0" w:line="102" w:lineRule="exact"/>
        <w:rPr>
          <w:rFonts w:ascii="Arial" w:cs="Arial" w:eastAsia="Arial" w:hAnsi="Arial"/>
          <w:sz w:val="19"/>
          <w:szCs w:val="19"/>
          <w:color w:val="auto"/>
        </w:rPr>
      </w:pPr>
    </w:p>
    <w:p>
      <w:pPr>
        <w:jc w:val="both"/>
        <w:ind w:firstLine="1167"/>
        <w:spacing w:after="0" w:line="271" w:lineRule="auto"/>
        <w:tabs>
          <w:tab w:leader="none" w:pos="161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Borrower hereby pledges, assigns and grants to Lender a security interest in all the Equity Interests in which Borrower has any interest,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To the extent required by the terms and conditions governing the Equity Interests in which Borrower has an interest, Borrower shall cause the books of each Person whose Equity Interests are part of the Collateral and any transfer agent to reflect the pledge of the Equity Interests. Upon the occurrence and during the continuance of an Event of Default hereunder, Lender may effect the transfer of any securities included in the Collateral (including but not limited to the Equity Interests) into the name of Lender and cause new certificates representing such securities to be issued in the name of Lender or its transferee. Each Borrower will execute and deliver such documents, and take or cause to be taken such actions, as Lender may reasonably request to perfect or continue the perfection of Lender’s security interest in the Equity Interests. Unless an Event of Default shall have occurred and be continuing, each Borrower shall be entitled to exercise any voting rights with respect to the Equity Interests in which it has an interest and to give consents, waivers and ratifications in respect thereof, provided that: no such notice shall be required if Borrower has commenced an Insolvency Proceeding and, in any event,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during the continuance of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1301" w:right="319" w:bottom="1440" w:gutter="0" w:footer="0" w:header="0"/>
        </w:sectPr>
      </w:pPr>
    </w:p>
    <w:bookmarkStart w:id="423" w:name="page424"/>
    <w:bookmarkEnd w:id="423"/>
    <w:p>
      <w:pPr>
        <w:jc w:val="center"/>
        <w:spacing w:after="0"/>
        <w:rPr>
          <w:sz w:val="20"/>
          <w:szCs w:val="20"/>
          <w:color w:val="auto"/>
        </w:rPr>
      </w:pPr>
      <w:r>
        <w:rPr>
          <w:rFonts w:ascii="Arial" w:cs="Arial" w:eastAsia="Arial" w:hAnsi="Arial"/>
          <w:sz w:val="19"/>
          <w:szCs w:val="19"/>
          <w:color w:val="auto"/>
        </w:rPr>
        <w:t>ARTICLE 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REPRESENTATIONS AND WARRANTIES</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3.1</w:t>
      </w:r>
      <w:r>
        <w:rPr>
          <w:sz w:val="20"/>
          <w:szCs w:val="20"/>
          <w:color w:val="auto"/>
        </w:rPr>
        <w:tab/>
      </w:r>
      <w:r>
        <w:rPr>
          <w:rFonts w:ascii="Arial" w:cs="Arial" w:eastAsia="Arial" w:hAnsi="Arial"/>
          <w:sz w:val="17"/>
          <w:szCs w:val="17"/>
          <w:u w:val="single" w:color="auto"/>
          <w:color w:val="auto"/>
        </w:rPr>
        <w:t>Organization, Power and Authority.</w:t>
      </w:r>
    </w:p>
    <w:p>
      <w:pPr>
        <w:spacing w:after="0" w:line="159" w:lineRule="exact"/>
        <w:rPr>
          <w:sz w:val="20"/>
          <w:szCs w:val="20"/>
          <w:color w:val="auto"/>
        </w:rPr>
      </w:pPr>
    </w:p>
    <w:p>
      <w:pPr>
        <w:jc w:val="both"/>
        <w:ind w:right="20" w:firstLine="585"/>
        <w:spacing w:after="0" w:line="258" w:lineRule="auto"/>
        <w:rPr>
          <w:sz w:val="20"/>
          <w:szCs w:val="20"/>
          <w:color w:val="auto"/>
        </w:rPr>
      </w:pPr>
      <w:r>
        <w:rPr>
          <w:rFonts w:ascii="Arial" w:cs="Arial" w:eastAsia="Arial" w:hAnsi="Arial"/>
          <w:sz w:val="19"/>
          <w:szCs w:val="19"/>
          <w:color w:val="auto"/>
        </w:rPr>
        <w:t>The Borrower represents and warrants that the Borrower is a limited liability company duly organized and validly existing and in good standing under the laws of the state in which it is organized, is qualified to do business and is in good standing in the state where the Land lies, has the power and authority to consummate the transactions contemplated hereby, and has taken all necessary action to authorize the execution, delivery and performance of this Agreement and the Loan Documents. The Guarantor represents and warrants that the Guarantor is a corporation duly incorporated and validly existing and in good standing under the laws of the state in which it is incorporated, is qualified to do business and is in good standing in the state where the Land lies, has the power and authority to consummate the transactions contemplated hereby, and has taken all necessary action to authorize the execution, delivery and performance of this Agreement and the other Loan Documents to which Guarantor is a party.</w:t>
      </w:r>
    </w:p>
    <w:p>
      <w:pPr>
        <w:spacing w:after="0" w:line="11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3.2</w:t>
      </w:r>
      <w:r>
        <w:rPr>
          <w:sz w:val="20"/>
          <w:szCs w:val="20"/>
          <w:color w:val="auto"/>
        </w:rPr>
        <w:tab/>
      </w:r>
      <w:r>
        <w:rPr>
          <w:rFonts w:ascii="Arial" w:cs="Arial" w:eastAsia="Arial" w:hAnsi="Arial"/>
          <w:sz w:val="18"/>
          <w:szCs w:val="18"/>
          <w:u w:val="single" w:color="auto"/>
          <w:color w:val="auto"/>
        </w:rPr>
        <w:t>Compliance in Zoning.</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The Borrower represents and warrants that the current and anticipated use of the Property complies with applicable zoning ordinances, regulations and restrictive covenants affecting the Land, all use requirements of any Governmental Authority having jurisdiction have been satisfied, and no violation of any law or regulation exists with respect thereto.</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3.3</w:t>
      </w:r>
      <w:r>
        <w:rPr>
          <w:sz w:val="20"/>
          <w:szCs w:val="20"/>
          <w:color w:val="auto"/>
        </w:rPr>
        <w:tab/>
      </w:r>
      <w:r>
        <w:rPr>
          <w:rFonts w:ascii="Arial" w:cs="Arial" w:eastAsia="Arial" w:hAnsi="Arial"/>
          <w:sz w:val="19"/>
          <w:szCs w:val="19"/>
          <w:u w:val="single" w:color="auto"/>
          <w:color w:val="auto"/>
        </w:rPr>
        <w:t>Utilities.</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The Borrower represents and warrants to its knowledge that all utility services necessary for the operation of the Improvements for their intended purposes are available and are being provided to the Improvements.</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3.4</w:t>
      </w:r>
      <w:r>
        <w:rPr>
          <w:sz w:val="20"/>
          <w:szCs w:val="20"/>
          <w:color w:val="auto"/>
        </w:rPr>
        <w:tab/>
      </w:r>
      <w:r>
        <w:rPr>
          <w:rFonts w:ascii="Arial" w:cs="Arial" w:eastAsia="Arial" w:hAnsi="Arial"/>
          <w:sz w:val="16"/>
          <w:szCs w:val="16"/>
          <w:u w:val="single" w:color="auto"/>
          <w:color w:val="auto"/>
        </w:rPr>
        <w:t>Access; Roads.</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The Borrower represents and warrants to its knowledge that the Property has direct access to public roads and other accesses necessary for the operation of the Property.</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3.5</w:t>
      </w:r>
      <w:r>
        <w:rPr>
          <w:sz w:val="20"/>
          <w:szCs w:val="20"/>
          <w:color w:val="auto"/>
        </w:rPr>
        <w:tab/>
      </w:r>
      <w:r>
        <w:rPr>
          <w:rFonts w:ascii="Arial" w:cs="Arial" w:eastAsia="Arial" w:hAnsi="Arial"/>
          <w:sz w:val="17"/>
          <w:szCs w:val="17"/>
          <w:u w:val="single" w:color="auto"/>
          <w:color w:val="auto"/>
        </w:rPr>
        <w:t>Other Liens.</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Borrower represents and warrants that neither the Borrower nor the Guarantor has made any contract or arrangement of any kind the performance of which by the other party thereto would give rise to a lien on the Property.</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3.6</w:t>
      </w:r>
      <w:r>
        <w:rPr>
          <w:sz w:val="20"/>
          <w:szCs w:val="20"/>
          <w:color w:val="auto"/>
        </w:rPr>
        <w:tab/>
      </w:r>
      <w:r>
        <w:rPr>
          <w:rFonts w:ascii="Arial" w:cs="Arial" w:eastAsia="Arial" w:hAnsi="Arial"/>
          <w:sz w:val="17"/>
          <w:szCs w:val="17"/>
          <w:u w:val="single" w:color="auto"/>
          <w:color w:val="auto"/>
        </w:rPr>
        <w:t>Financial Statements.</w:t>
      </w:r>
    </w:p>
    <w:p>
      <w:pPr>
        <w:spacing w:after="0" w:line="159" w:lineRule="exact"/>
        <w:rPr>
          <w:sz w:val="20"/>
          <w:szCs w:val="20"/>
          <w:color w:val="auto"/>
        </w:rPr>
      </w:pPr>
    </w:p>
    <w:p>
      <w:pPr>
        <w:jc w:val="both"/>
        <w:ind w:right="20" w:firstLine="585"/>
        <w:spacing w:after="0" w:line="305" w:lineRule="auto"/>
        <w:rPr>
          <w:sz w:val="20"/>
          <w:szCs w:val="20"/>
          <w:color w:val="auto"/>
        </w:rPr>
      </w:pPr>
      <w:r>
        <w:rPr>
          <w:rFonts w:ascii="Arial" w:cs="Arial" w:eastAsia="Arial" w:hAnsi="Arial"/>
          <w:sz w:val="17"/>
          <w:szCs w:val="17"/>
          <w:color w:val="auto"/>
        </w:rPr>
        <w:t>The Borrower and Guarantor each represent and warrant that the financial statements heretofore delivered to the Lender are true and correct in all respects, have been prepared in accordance with generally accepted accounting practices consistently applied, and fairly present the respective financial conditions of the subjects thereof as of the respective dates thereof. No material adverse change has occurred in the financial conditions reflected therein since the respective dates thereof and no material additional liabilities have been incurred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60"/>
          </w:cols>
          <w:pgMar w:left="320" w:top="1301" w:right="319" w:bottom="1440" w:gutter="0" w:footer="0" w:header="0"/>
        </w:sectPr>
      </w:pPr>
    </w:p>
    <w:bookmarkStart w:id="424" w:name="page425"/>
    <w:bookmarkEnd w:id="424"/>
    <w:p>
      <w:pPr>
        <w:spacing w:after="0"/>
        <w:rPr>
          <w:sz w:val="20"/>
          <w:szCs w:val="20"/>
          <w:color w:val="auto"/>
        </w:rPr>
      </w:pPr>
      <w:r>
        <w:rPr>
          <w:rFonts w:ascii="Arial" w:cs="Arial" w:eastAsia="Arial" w:hAnsi="Arial"/>
          <w:sz w:val="19"/>
          <w:szCs w:val="19"/>
          <w:color w:val="auto"/>
        </w:rPr>
        <w:t>or Guarantor since the date thereof other than the borrowings contemplated herein or as approved in writing by the Lender.</w:t>
      </w:r>
    </w:p>
    <w:p>
      <w:pPr>
        <w:spacing w:after="0" w:line="15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3.7</w:t>
      </w:r>
      <w:r>
        <w:rPr>
          <w:sz w:val="20"/>
          <w:szCs w:val="20"/>
          <w:color w:val="auto"/>
        </w:rPr>
        <w:tab/>
      </w:r>
      <w:r>
        <w:rPr>
          <w:rFonts w:ascii="Arial" w:cs="Arial" w:eastAsia="Arial" w:hAnsi="Arial"/>
          <w:sz w:val="17"/>
          <w:szCs w:val="17"/>
          <w:u w:val="single" w:color="auto"/>
          <w:color w:val="auto"/>
        </w:rPr>
        <w:t>Defaults.</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The Borrower represents and warrants that there is no default on the part of the Borrower or Guarantor under the Loan Documents and no event has occurred and is continuing which, with notice or the passage of time, or both, would constitute a default under the Note or any of the other Loan Documents.</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3.8</w:t>
      </w:r>
      <w:r>
        <w:rPr>
          <w:sz w:val="20"/>
          <w:szCs w:val="20"/>
          <w:color w:val="auto"/>
        </w:rPr>
        <w:tab/>
      </w:r>
      <w:r>
        <w:rPr>
          <w:rFonts w:ascii="Arial" w:cs="Arial" w:eastAsia="Arial" w:hAnsi="Arial"/>
          <w:sz w:val="18"/>
          <w:szCs w:val="18"/>
          <w:u w:val="single" w:color="auto"/>
          <w:color w:val="auto"/>
        </w:rPr>
        <w:t>Compliance with Anti-Terrorism, Embargo, Sanctions and Anti-Money Laundering Laws.</w:t>
      </w:r>
    </w:p>
    <w:p>
      <w:pPr>
        <w:spacing w:after="0" w:line="159" w:lineRule="exact"/>
        <w:rPr>
          <w:sz w:val="20"/>
          <w:szCs w:val="20"/>
          <w:color w:val="auto"/>
        </w:rPr>
      </w:pPr>
    </w:p>
    <w:p>
      <w:pPr>
        <w:jc w:val="both"/>
        <w:ind w:firstLine="585"/>
        <w:spacing w:after="0" w:line="260" w:lineRule="auto"/>
        <w:rPr>
          <w:sz w:val="20"/>
          <w:szCs w:val="20"/>
          <w:color w:val="auto"/>
        </w:rPr>
      </w:pPr>
      <w:r>
        <w:rPr>
          <w:rFonts w:ascii="Arial" w:cs="Arial" w:eastAsia="Arial" w:hAnsi="Arial"/>
          <w:sz w:val="19"/>
          <w:szCs w:val="19"/>
          <w:color w:val="auto"/>
        </w:rPr>
        <w:t>Borrower, and to the best of Borrower’s knowledge, after having made diligent inquiry, (a) each Person owning a direct or indirect interest of 20% or more in Borrower or Guarantor is not currently identified on OFAC List, and is not a Person with whom a citizen of the United States is prohibited to engage in transactions by any trade embargo, economic sanction, or other prohibition of United States law, regulation, or Executive Order of the President of the United States. Borrower has implemented procedures, and will consistently apply those procedures throughout the term of the Loans, to ensure the foregoing representations and warranties remain true and correct during the term of the Loan.</w:t>
      </w:r>
    </w:p>
    <w:p>
      <w:pPr>
        <w:spacing w:after="0" w:line="1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3.9</w:t>
      </w:r>
      <w:r>
        <w:rPr>
          <w:sz w:val="20"/>
          <w:szCs w:val="20"/>
          <w:color w:val="auto"/>
        </w:rPr>
        <w:tab/>
      </w:r>
      <w:r>
        <w:rPr>
          <w:rFonts w:ascii="Arial" w:cs="Arial" w:eastAsia="Arial" w:hAnsi="Arial"/>
          <w:sz w:val="18"/>
          <w:szCs w:val="18"/>
          <w:u w:val="single" w:color="auto"/>
          <w:color w:val="auto"/>
        </w:rPr>
        <w:t>Patriot Act</w:t>
      </w:r>
      <w:r>
        <w:rPr>
          <w:rFonts w:ascii="Arial" w:cs="Arial" w:eastAsia="Arial" w:hAnsi="Arial"/>
          <w:sz w:val="18"/>
          <w:szCs w:val="18"/>
          <w:color w:val="auto"/>
        </w:rPr>
        <w:t>.</w:t>
      </w:r>
    </w:p>
    <w:p>
      <w:pPr>
        <w:spacing w:after="0" w:line="159" w:lineRule="exact"/>
        <w:rPr>
          <w:sz w:val="20"/>
          <w:szCs w:val="20"/>
          <w:color w:val="auto"/>
        </w:rPr>
      </w:pPr>
    </w:p>
    <w:p>
      <w:pPr>
        <w:jc w:val="both"/>
        <w:ind w:firstLine="585"/>
        <w:spacing w:after="0" w:line="259" w:lineRule="auto"/>
        <w:rPr>
          <w:sz w:val="20"/>
          <w:szCs w:val="20"/>
          <w:color w:val="auto"/>
        </w:rPr>
      </w:pPr>
      <w:r>
        <w:rPr>
          <w:rFonts w:ascii="Arial" w:cs="Arial" w:eastAsia="Arial" w:hAnsi="Arial"/>
          <w:sz w:val="19"/>
          <w:szCs w:val="19"/>
          <w:color w:val="auto"/>
        </w:rPr>
        <w:t>Neither the Borrower nor any of its Affiliates is an “enemy” or an “ally of the enemy” within the meaning of Section 2 of the Trading with the Enemy Act or any enabling legislation or executive order relating thereto. Neither the Borrower nor Guarantor nor any of their respective Affiliates is in violation of (a) the Trading with the Enemy Act, (b) any of the foreign assets control regulations of the United States Treasury Department (31 C.F.R., Subtitle B, Chapter V, as amended) or any enabling legislation or executive order relating thereto or (c) the Patriot Act. Neither Borrower nor Guarantor nor any of their respective Affiliates (i) is a blocked person described in Section 1 of Executive Order 13224 of the President of the United States or (ii) to the best of its knowledge, engages in any dealings or transactions, or is otherwise associated, with any such blocked person.</w:t>
      </w:r>
    </w:p>
    <w:p>
      <w:pPr>
        <w:spacing w:after="0" w:line="115"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3.10</w:t>
      </w:r>
      <w:r>
        <w:rPr>
          <w:sz w:val="20"/>
          <w:szCs w:val="20"/>
          <w:color w:val="auto"/>
        </w:rPr>
        <w:tab/>
      </w:r>
      <w:r>
        <w:rPr>
          <w:rFonts w:ascii="Arial" w:cs="Arial" w:eastAsia="Arial" w:hAnsi="Arial"/>
          <w:sz w:val="17"/>
          <w:szCs w:val="17"/>
          <w:u w:val="single" w:color="auto"/>
          <w:color w:val="auto"/>
        </w:rPr>
        <w:t>Existing Leases</w:t>
      </w:r>
      <w:r>
        <w:rPr>
          <w:rFonts w:ascii="Arial" w:cs="Arial" w:eastAsia="Arial" w:hAnsi="Arial"/>
          <w:sz w:val="17"/>
          <w:szCs w:val="17"/>
          <w:color w:val="auto"/>
        </w:rPr>
        <w:t>.</w:t>
      </w:r>
    </w:p>
    <w:p>
      <w:pPr>
        <w:spacing w:after="0" w:line="159"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9"/>
          <w:szCs w:val="19"/>
          <w:color w:val="auto"/>
        </w:rPr>
        <w:t>The Borrower represents and warrants that there are no Leases or other occupancy agreements or leasing brokerage contracts covering all or any portion of the Property, except the Expensify Lease. The Borrower and Guarantor represent and warrant that there is no default under the Expensify Lease, and no event has occurred or conditions exist that, with the passage of time or giving of notice, or both, would constitute a default under the Expensify Lease.</w:t>
      </w:r>
    </w:p>
    <w:p>
      <w:pPr>
        <w:spacing w:after="0" w:line="110"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9"/>
          <w:szCs w:val="19"/>
          <w:color w:val="auto"/>
        </w:rPr>
        <w:t>Section 3.11</w:t>
      </w:r>
      <w:r>
        <w:rPr>
          <w:sz w:val="20"/>
          <w:szCs w:val="20"/>
          <w:color w:val="auto"/>
        </w:rPr>
        <w:tab/>
      </w:r>
      <w:r>
        <w:rPr>
          <w:rFonts w:ascii="Arial" w:cs="Arial" w:eastAsia="Arial" w:hAnsi="Arial"/>
          <w:sz w:val="17"/>
          <w:szCs w:val="17"/>
          <w:u w:val="single" w:color="auto"/>
          <w:color w:val="auto"/>
        </w:rPr>
        <w:t>Bankruptcy, etc.</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No liquidation or dissolution of the Borrower or Guarantor and no receivership, insolvency, bankruptcy, reorganization or other similar proceeding (an “</w:t>
      </w:r>
      <w:r>
        <w:rPr>
          <w:rFonts w:ascii="Arial" w:cs="Arial" w:eastAsia="Arial" w:hAnsi="Arial"/>
          <w:sz w:val="19"/>
          <w:szCs w:val="19"/>
          <w:b w:val="1"/>
          <w:bCs w:val="1"/>
          <w:i w:val="1"/>
          <w:iCs w:val="1"/>
          <w:color w:val="auto"/>
        </w:rPr>
        <w:t>Insolvency Proceeding</w:t>
      </w:r>
      <w:r>
        <w:rPr>
          <w:rFonts w:ascii="Arial" w:cs="Arial" w:eastAsia="Arial" w:hAnsi="Arial"/>
          <w:sz w:val="19"/>
          <w:szCs w:val="19"/>
          <w:color w:val="auto"/>
        </w:rPr>
        <w:t>”) relative to the Borrower or Guarantor or their respective properties is pending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301" w:right="339" w:bottom="1440" w:gutter="0" w:footer="0" w:header="0"/>
        </w:sectPr>
      </w:pPr>
    </w:p>
    <w:bookmarkStart w:id="425" w:name="page426"/>
    <w:bookmarkEnd w:id="425"/>
    <w:p>
      <w:pPr>
        <w:jc w:val="both"/>
        <w:ind w:right="20"/>
        <w:spacing w:after="0" w:line="264" w:lineRule="auto"/>
        <w:rPr>
          <w:sz w:val="20"/>
          <w:szCs w:val="20"/>
          <w:color w:val="auto"/>
        </w:rPr>
      </w:pPr>
      <w:r>
        <w:rPr>
          <w:rFonts w:ascii="Arial" w:cs="Arial" w:eastAsia="Arial" w:hAnsi="Arial"/>
          <w:sz w:val="19"/>
          <w:szCs w:val="19"/>
          <w:color w:val="auto"/>
        </w:rPr>
        <w:t>to the knowledge of either the Borrower or Guarantor, is threatened against it. After giving effect to the Loan and the execution and delivery of the Loan Documents, neither the Borrower nor Guarantor will be “insolvent” within the meaning of such term as defined in §101 of Title 11 of the United States Code, as amended from time to time, or be unable to pay its debts generally as such debts become due, or have an unreasonably small capital to engage in any business or transaction, whether current or contemplated.</w:t>
      </w:r>
    </w:p>
    <w:p>
      <w:pPr>
        <w:spacing w:after="0" w:line="11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3.12</w:t>
      </w:r>
      <w:r>
        <w:rPr>
          <w:sz w:val="20"/>
          <w:szCs w:val="20"/>
          <w:color w:val="auto"/>
        </w:rPr>
        <w:tab/>
      </w:r>
      <w:r>
        <w:rPr>
          <w:rFonts w:ascii="Arial" w:cs="Arial" w:eastAsia="Arial" w:hAnsi="Arial"/>
          <w:sz w:val="17"/>
          <w:szCs w:val="17"/>
          <w:u w:val="single" w:color="auto"/>
          <w:color w:val="auto"/>
        </w:rPr>
        <w:t>No Change in Facts or Circumstances.</w:t>
      </w:r>
    </w:p>
    <w:p>
      <w:pPr>
        <w:spacing w:after="0" w:line="159"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All information in any application for the Loan submitted to the Lender and in all financial statements, reports, certificates and other documents submitted in connection therewith are complete and accurate in all material respects. There has been no material adverse change in any fact or circumstance that would make any such information incomplete or inaccurate</w:t>
      </w:r>
    </w:p>
    <w:p>
      <w:pPr>
        <w:spacing w:after="0" w:line="103"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3.13</w:t>
      </w:r>
      <w:r>
        <w:rPr>
          <w:sz w:val="20"/>
          <w:szCs w:val="20"/>
          <w:color w:val="auto"/>
        </w:rPr>
        <w:tab/>
      </w:r>
      <w:r>
        <w:rPr>
          <w:rFonts w:ascii="Arial" w:cs="Arial" w:eastAsia="Arial" w:hAnsi="Arial"/>
          <w:sz w:val="17"/>
          <w:szCs w:val="17"/>
          <w:u w:val="single" w:color="auto"/>
          <w:color w:val="auto"/>
        </w:rPr>
        <w:t>Single Purpose</w:t>
      </w:r>
      <w:r>
        <w:rPr>
          <w:rFonts w:ascii="Arial" w:cs="Arial" w:eastAsia="Arial" w:hAnsi="Arial"/>
          <w:sz w:val="17"/>
          <w:szCs w:val="17"/>
          <w:color w:val="auto"/>
        </w:rPr>
        <w:t>.</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Borrower hereby represents and warrants to, and covenants with, Lender that since the date of its formation and at all times on and after the date hereof and until such time as the Debt shall be paid in full:</w:t>
      </w:r>
    </w:p>
    <w:p>
      <w:pPr>
        <w:spacing w:after="0" w:line="88" w:lineRule="exact"/>
        <w:rPr>
          <w:sz w:val="20"/>
          <w:szCs w:val="20"/>
          <w:color w:val="auto"/>
        </w:rPr>
      </w:pPr>
    </w:p>
    <w:p>
      <w:pPr>
        <w:jc w:val="both"/>
        <w:ind w:right="20" w:firstLine="582"/>
        <w:spacing w:after="0" w:line="262" w:lineRule="auto"/>
        <w:tabs>
          <w:tab w:leader="none" w:pos="1030" w:val="left"/>
        </w:tabs>
        <w:numPr>
          <w:ilvl w:val="0"/>
          <w:numId w:val="310"/>
        </w:numPr>
        <w:rPr>
          <w:rFonts w:ascii="Arial" w:cs="Arial" w:eastAsia="Arial" w:hAnsi="Arial"/>
          <w:sz w:val="19"/>
          <w:szCs w:val="19"/>
          <w:color w:val="auto"/>
        </w:rPr>
      </w:pPr>
      <w:r>
        <w:rPr>
          <w:rFonts w:ascii="Arial" w:cs="Arial" w:eastAsia="Arial" w:hAnsi="Arial"/>
          <w:sz w:val="19"/>
          <w:szCs w:val="19"/>
          <w:color w:val="auto"/>
        </w:rPr>
        <w:t>Borrower (i) has been, is, and will be organized solely for the purpose of acquiring, owning, leasing, managing and operating the Property, entering into and performing its obligations under the Loan Documents, refinancing the Property in connection with a permitted repayment of the Loan, and transacting lawful business that is incident, necessary and appropriate to accomplish the foregoing, and (ii) has not owned, does not own, and will not own any asset or property other than (A) the Property, and (B) incidental personal property necessary for the ownership, leasing, management or operation of the Property.</w:t>
      </w:r>
    </w:p>
    <w:p>
      <w:pPr>
        <w:spacing w:after="0" w:line="110" w:lineRule="exact"/>
        <w:rPr>
          <w:rFonts w:ascii="Arial" w:cs="Arial" w:eastAsia="Arial" w:hAnsi="Arial"/>
          <w:sz w:val="19"/>
          <w:szCs w:val="19"/>
          <w:color w:val="auto"/>
        </w:rPr>
      </w:pPr>
    </w:p>
    <w:p>
      <w:pPr>
        <w:ind w:right="20" w:firstLine="582"/>
        <w:spacing w:after="0" w:line="286" w:lineRule="auto"/>
        <w:tabs>
          <w:tab w:leader="none" w:pos="1168" w:val="left"/>
        </w:tabs>
        <w:numPr>
          <w:ilvl w:val="0"/>
          <w:numId w:val="310"/>
        </w:numPr>
        <w:rPr>
          <w:rFonts w:ascii="Arial" w:cs="Arial" w:eastAsia="Arial" w:hAnsi="Arial"/>
          <w:sz w:val="19"/>
          <w:szCs w:val="19"/>
          <w:color w:val="auto"/>
        </w:rPr>
      </w:pPr>
      <w:r>
        <w:rPr>
          <w:rFonts w:ascii="Arial" w:cs="Arial" w:eastAsia="Arial" w:hAnsi="Arial"/>
          <w:sz w:val="19"/>
          <w:szCs w:val="19"/>
          <w:color w:val="auto"/>
        </w:rPr>
        <w:t>Borrower has not engaged and will not engage in any business or activity other than the acquisition, ownership, leasing, management and operation of the Property and Borrower will conduct and operate its business as presently conducted and operated.</w:t>
      </w:r>
    </w:p>
    <w:p>
      <w:pPr>
        <w:spacing w:after="0" w:line="88" w:lineRule="exact"/>
        <w:rPr>
          <w:rFonts w:ascii="Arial" w:cs="Arial" w:eastAsia="Arial" w:hAnsi="Arial"/>
          <w:sz w:val="19"/>
          <w:szCs w:val="19"/>
          <w:color w:val="auto"/>
        </w:rPr>
      </w:pPr>
    </w:p>
    <w:p>
      <w:pPr>
        <w:jc w:val="both"/>
        <w:ind w:right="20" w:firstLine="582"/>
        <w:spacing w:after="0" w:line="316" w:lineRule="auto"/>
        <w:tabs>
          <w:tab w:leader="none" w:pos="100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Borrower has not entered and will not enter into any contract or agreement with any Affiliate of Borrower, any constituent party of Borrower or any Affiliate of any constituent party, except in the ordinary course of business and upon terms and conditions that are intrinsically fair, commercially reasonable, and substantially similar to those that would be available on an arm’s-length basis from an unrelated third party.</w:t>
      </w:r>
    </w:p>
    <w:p>
      <w:pPr>
        <w:spacing w:after="0" w:line="68" w:lineRule="exact"/>
        <w:rPr>
          <w:rFonts w:ascii="Arial" w:cs="Arial" w:eastAsia="Arial" w:hAnsi="Arial"/>
          <w:sz w:val="17"/>
          <w:szCs w:val="17"/>
          <w:color w:val="auto"/>
        </w:rPr>
      </w:pPr>
    </w:p>
    <w:p>
      <w:pPr>
        <w:ind w:right="20" w:firstLine="582"/>
        <w:spacing w:after="0" w:line="286" w:lineRule="auto"/>
        <w:tabs>
          <w:tab w:leader="none" w:pos="1031" w:val="left"/>
        </w:tabs>
        <w:numPr>
          <w:ilvl w:val="0"/>
          <w:numId w:val="310"/>
        </w:numPr>
        <w:rPr>
          <w:rFonts w:ascii="Arial" w:cs="Arial" w:eastAsia="Arial" w:hAnsi="Arial"/>
          <w:sz w:val="19"/>
          <w:szCs w:val="19"/>
          <w:color w:val="auto"/>
        </w:rPr>
      </w:pPr>
      <w:r>
        <w:rPr>
          <w:rFonts w:ascii="Arial" w:cs="Arial" w:eastAsia="Arial" w:hAnsi="Arial"/>
          <w:sz w:val="19"/>
          <w:szCs w:val="19"/>
          <w:color w:val="auto"/>
        </w:rPr>
        <w:t>Borrower has not incurred and will not incur any Indebtedness other than the Debt. No Indebtedness, other than the Debt, may be secured (senior, subordinate or pari passu) by the Property.</w:t>
      </w:r>
    </w:p>
    <w:p>
      <w:pPr>
        <w:spacing w:after="0" w:line="88" w:lineRule="exact"/>
        <w:rPr>
          <w:rFonts w:ascii="Arial" w:cs="Arial" w:eastAsia="Arial" w:hAnsi="Arial"/>
          <w:sz w:val="19"/>
          <w:szCs w:val="19"/>
          <w:color w:val="auto"/>
        </w:rPr>
      </w:pPr>
    </w:p>
    <w:p>
      <w:pPr>
        <w:jc w:val="both"/>
        <w:ind w:firstLine="582"/>
        <w:spacing w:after="0" w:line="270" w:lineRule="auto"/>
        <w:tabs>
          <w:tab w:leader="none" w:pos="1058" w:val="left"/>
        </w:tabs>
        <w:numPr>
          <w:ilvl w:val="0"/>
          <w:numId w:val="310"/>
        </w:numPr>
        <w:rPr>
          <w:rFonts w:ascii="Arial" w:cs="Arial" w:eastAsia="Arial" w:hAnsi="Arial"/>
          <w:sz w:val="19"/>
          <w:szCs w:val="19"/>
          <w:color w:val="auto"/>
        </w:rPr>
      </w:pPr>
      <w:r>
        <w:rPr>
          <w:rFonts w:ascii="Arial" w:cs="Arial" w:eastAsia="Arial" w:hAnsi="Arial"/>
          <w:sz w:val="19"/>
          <w:szCs w:val="19"/>
          <w:color w:val="auto"/>
        </w:rPr>
        <w:t>Borrower has not made and will not make any loans or advances to any other Person (including any Affiliate of Borrower, any constituent party of Borrower or any Affiliate of any constituent party), and has not acquired and shall not acquire obligations or securities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60"/>
          </w:cols>
          <w:pgMar w:left="320" w:top="1301" w:right="319" w:bottom="1440" w:gutter="0" w:footer="0" w:header="0"/>
        </w:sectPr>
      </w:pPr>
    </w:p>
    <w:bookmarkStart w:id="426" w:name="page427"/>
    <w:bookmarkEnd w:id="426"/>
    <w:p>
      <w:pPr>
        <w:jc w:val="both"/>
        <w:ind w:right="20" w:firstLine="582"/>
        <w:spacing w:after="0" w:line="270" w:lineRule="auto"/>
        <w:tabs>
          <w:tab w:leader="none" w:pos="996" w:val="left"/>
        </w:tabs>
        <w:numPr>
          <w:ilvl w:val="0"/>
          <w:numId w:val="311"/>
        </w:numPr>
        <w:rPr>
          <w:rFonts w:ascii="Arial" w:cs="Arial" w:eastAsia="Arial" w:hAnsi="Arial"/>
          <w:sz w:val="19"/>
          <w:szCs w:val="19"/>
          <w:color w:val="auto"/>
        </w:rPr>
      </w:pPr>
      <w:r>
        <w:rPr>
          <w:rFonts w:ascii="Arial" w:cs="Arial" w:eastAsia="Arial" w:hAnsi="Arial"/>
          <w:sz w:val="19"/>
          <w:szCs w:val="19"/>
          <w:color w:val="auto"/>
        </w:rPr>
        <w:t>Borrower has been, is, and will endeavor to remain solvent and Borrower has paid its debt and liabilities (including, as applicable, shared personnel and overhead expenses) from its assets as the same became due and will pay its debts and liabilities (including, as applicable, shared personnel and overhead expenses) from its assets as the same shall become due.</w:t>
      </w:r>
    </w:p>
    <w:p>
      <w:pPr>
        <w:spacing w:after="0" w:line="102" w:lineRule="exact"/>
        <w:rPr>
          <w:rFonts w:ascii="Arial" w:cs="Arial" w:eastAsia="Arial" w:hAnsi="Arial"/>
          <w:sz w:val="19"/>
          <w:szCs w:val="19"/>
          <w:color w:val="auto"/>
        </w:rPr>
      </w:pPr>
    </w:p>
    <w:p>
      <w:pPr>
        <w:jc w:val="both"/>
        <w:ind w:firstLine="582"/>
        <w:spacing w:after="0" w:line="260" w:lineRule="auto"/>
        <w:tabs>
          <w:tab w:leader="none" w:pos="1097" w:val="left"/>
        </w:tabs>
        <w:numPr>
          <w:ilvl w:val="0"/>
          <w:numId w:val="311"/>
        </w:numPr>
        <w:rPr>
          <w:rFonts w:ascii="Arial" w:cs="Arial" w:eastAsia="Arial" w:hAnsi="Arial"/>
          <w:sz w:val="19"/>
          <w:szCs w:val="19"/>
          <w:color w:val="auto"/>
        </w:rPr>
      </w:pPr>
      <w:r>
        <w:rPr>
          <w:rFonts w:ascii="Arial" w:cs="Arial" w:eastAsia="Arial" w:hAnsi="Arial"/>
          <w:sz w:val="19"/>
          <w:szCs w:val="19"/>
          <w:color w:val="auto"/>
        </w:rPr>
        <w:t>Borrower has done or caused to be done, and will do and cause to be done, all things necessary to observe its organizational formalities and preserve its separate existence, (i) Borrower has not terminated or failed to comply with and will not terminate or fail to comply with the provisions of its organizational documents, (ii) Borrower has not amended, modified or otherwise changed its organizational documents and (iii) unless (A) Lender has consented in writing, Borrower will not amend, modify or otherwise change its organizational documents except: (i) to cure any obvious ambiguity or (ii) to correct or supplement any provision in a manner consistent with the intent of this Agreement and the other Loan Documents.</w:t>
      </w:r>
    </w:p>
    <w:p>
      <w:pPr>
        <w:spacing w:after="0" w:line="114" w:lineRule="exact"/>
        <w:rPr>
          <w:rFonts w:ascii="Arial" w:cs="Arial" w:eastAsia="Arial" w:hAnsi="Arial"/>
          <w:sz w:val="19"/>
          <w:szCs w:val="19"/>
          <w:color w:val="auto"/>
        </w:rPr>
      </w:pPr>
    </w:p>
    <w:p>
      <w:pPr>
        <w:jc w:val="both"/>
        <w:ind w:firstLine="582"/>
        <w:spacing w:after="0" w:line="271" w:lineRule="auto"/>
        <w:tabs>
          <w:tab w:leader="none" w:pos="101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Borrower has maintained and will maintain all of its books, records, financial statements and bank accounts separate from those of its Affiliates and any other Person. Borrower’s assets have not been listed as assets on the financial statement of any other Person; provided, however, that Borrower’s assets may have been included in a consolidated financial statement of its Affiliates; provided that, if applicable, (i) appropriate notation (e.g., footnote) were made on such consolidated financial statements to indicate the separateness of Borrower and such Affiliates and to indicate that Borrower’s assets and credit were not available to satisfy the debts and other obligations of such Affiliates or any other Person, and (ii) such assets were listed on Borrower’s own separate balance sheet. Borrower’s assets will not be listed as assets on the financial statement of any other Person; provided, however, that Borrower’s assets may be included in a consolidated financial statement of its Affiliates provided that (A) appropriate notation (e.g., footnote) shall be made on such consolidated financial statements to indicate the separateness of Borrower and such Affiliates and to indicate that Borrower’s assets and credit are not available to satisfy the debts and other obligations of such Affiliates or any other Person, and (B)such assets shall be listed on Borrower’s own separate balance sheet. Borrower shall file its own tax returns (except to the extent that Borrower is treated as a “disregarded entity” for tax purposes and was or is not required to file tax returns under applicable law), has not filed and shall not file a consolidated federal income tax return with any other Person, and has paid and shall pay any taxes required to be paid under applicable law. Borrower has maintained and shall maintain its books, records, resolutions and agreements as official records.</w:t>
      </w:r>
    </w:p>
    <w:p>
      <w:pPr>
        <w:spacing w:after="0" w:line="113" w:lineRule="exact"/>
        <w:rPr>
          <w:rFonts w:ascii="Arial" w:cs="Arial" w:eastAsia="Arial" w:hAnsi="Arial"/>
          <w:sz w:val="18"/>
          <w:szCs w:val="18"/>
          <w:color w:val="auto"/>
        </w:rPr>
      </w:pPr>
    </w:p>
    <w:p>
      <w:pPr>
        <w:jc w:val="both"/>
        <w:ind w:firstLine="582"/>
        <w:spacing w:after="0" w:line="262" w:lineRule="auto"/>
        <w:tabs>
          <w:tab w:leader="none" w:pos="988" w:val="left"/>
        </w:tabs>
        <w:numPr>
          <w:ilvl w:val="0"/>
          <w:numId w:val="311"/>
        </w:numPr>
        <w:rPr>
          <w:rFonts w:ascii="Arial" w:cs="Arial" w:eastAsia="Arial" w:hAnsi="Arial"/>
          <w:sz w:val="19"/>
          <w:szCs w:val="19"/>
          <w:color w:val="auto"/>
        </w:rPr>
      </w:pPr>
      <w:r>
        <w:rPr>
          <w:rFonts w:ascii="Arial" w:cs="Arial" w:eastAsia="Arial" w:hAnsi="Arial"/>
          <w:sz w:val="19"/>
          <w:szCs w:val="19"/>
          <w:color w:val="auto"/>
        </w:rPr>
        <w:t>Borrower (i) has been, will be, and at all times has held and will hold itself out to the public as, a legal entity separate and distinct from any other entity (including any Affiliate of Borrower or any constituent party of Borrower), (ii) has corrected and shall correct any known misunderstanding regarding its status as a separate entity, (iii) has conducted and shall conduct business solely in its own name, (iv) has not identified and shall not identify itself or any of its Affiliates as a division or department or part of the other and (v) has maintained and utilized and shall maintain and utilize separate stationery, invoices and checks bearing its own name.</w:t>
      </w:r>
    </w:p>
    <w:p>
      <w:pPr>
        <w:spacing w:after="0" w:line="110" w:lineRule="exact"/>
        <w:rPr>
          <w:rFonts w:ascii="Arial" w:cs="Arial" w:eastAsia="Arial" w:hAnsi="Arial"/>
          <w:sz w:val="19"/>
          <w:szCs w:val="19"/>
          <w:color w:val="auto"/>
        </w:rPr>
      </w:pPr>
    </w:p>
    <w:p>
      <w:pPr>
        <w:ind w:right="20" w:firstLine="582"/>
        <w:spacing w:after="0" w:line="286" w:lineRule="auto"/>
        <w:tabs>
          <w:tab w:leader="none" w:pos="1038" w:val="left"/>
        </w:tabs>
        <w:numPr>
          <w:ilvl w:val="0"/>
          <w:numId w:val="311"/>
        </w:numPr>
        <w:rPr>
          <w:rFonts w:ascii="Arial" w:cs="Arial" w:eastAsia="Arial" w:hAnsi="Arial"/>
          <w:sz w:val="19"/>
          <w:szCs w:val="19"/>
          <w:color w:val="auto"/>
        </w:rPr>
      </w:pPr>
      <w:r>
        <w:rPr>
          <w:rFonts w:ascii="Arial" w:cs="Arial" w:eastAsia="Arial" w:hAnsi="Arial"/>
          <w:sz w:val="19"/>
          <w:szCs w:val="19"/>
          <w:color w:val="auto"/>
        </w:rPr>
        <w:t>Borrower has maintained and will endeavor to maintain adequate capital for the normal obligations reasonably foreseeable in a business of its size and character and in light of its contemplated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60"/>
          </w:cols>
          <w:pgMar w:left="320" w:top="1301" w:right="319" w:bottom="1440" w:gutter="0" w:footer="0" w:header="0"/>
        </w:sectPr>
      </w:pPr>
    </w:p>
    <w:bookmarkStart w:id="427" w:name="page428"/>
    <w:bookmarkEnd w:id="427"/>
    <w:p>
      <w:pPr>
        <w:jc w:val="both"/>
        <w:ind w:firstLine="582"/>
        <w:spacing w:after="0" w:line="264" w:lineRule="auto"/>
        <w:tabs>
          <w:tab w:leader="none" w:pos="1045" w:val="left"/>
        </w:tabs>
        <w:numPr>
          <w:ilvl w:val="0"/>
          <w:numId w:val="312"/>
        </w:numPr>
        <w:rPr>
          <w:rFonts w:ascii="Arial" w:cs="Arial" w:eastAsia="Arial" w:hAnsi="Arial"/>
          <w:sz w:val="19"/>
          <w:szCs w:val="19"/>
          <w:color w:val="auto"/>
        </w:rPr>
      </w:pPr>
      <w:r>
        <w:rPr>
          <w:rFonts w:ascii="Arial" w:cs="Arial" w:eastAsia="Arial" w:hAnsi="Arial"/>
          <w:sz w:val="19"/>
          <w:szCs w:val="19"/>
          <w:color w:val="auto"/>
        </w:rPr>
        <w:t>Neither Borrower nor any constituent party of Borrower has sought and, to the fullest extent permitted by applicable law, neither Borrower nor any constituent party of Borrower will seek or effect the liquidation, dissolution, winding up, consolidation or merger, in whole or in part, of Borrower, any sale or other transfer of all or substantially all of its assets or any sale or other transfer outside the ordinary course of business.</w:t>
      </w:r>
    </w:p>
    <w:p>
      <w:pPr>
        <w:spacing w:after="0" w:line="110" w:lineRule="exact"/>
        <w:rPr>
          <w:rFonts w:ascii="Arial" w:cs="Arial" w:eastAsia="Arial" w:hAnsi="Arial"/>
          <w:sz w:val="19"/>
          <w:szCs w:val="19"/>
          <w:color w:val="auto"/>
        </w:rPr>
      </w:pPr>
    </w:p>
    <w:p>
      <w:pPr>
        <w:ind w:firstLine="582"/>
        <w:spacing w:after="0" w:line="286" w:lineRule="auto"/>
        <w:tabs>
          <w:tab w:leader="none" w:pos="986" w:val="left"/>
        </w:tabs>
        <w:numPr>
          <w:ilvl w:val="0"/>
          <w:numId w:val="312"/>
        </w:numPr>
        <w:rPr>
          <w:rFonts w:ascii="Arial" w:cs="Arial" w:eastAsia="Arial" w:hAnsi="Arial"/>
          <w:sz w:val="19"/>
          <w:szCs w:val="19"/>
          <w:color w:val="auto"/>
        </w:rPr>
      </w:pPr>
      <w:r>
        <w:rPr>
          <w:rFonts w:ascii="Arial" w:cs="Arial" w:eastAsia="Arial" w:hAnsi="Arial"/>
          <w:sz w:val="19"/>
          <w:szCs w:val="19"/>
          <w:color w:val="auto"/>
        </w:rPr>
        <w:t>Borrower has not commingled and will not commingle funds or other assets of Borrower with those of any Affiliate or constituent party or any other Person, and has held and will hold all of its assets solely in its own name.</w:t>
      </w:r>
    </w:p>
    <w:p>
      <w:pPr>
        <w:spacing w:after="0" w:line="88" w:lineRule="exact"/>
        <w:rPr>
          <w:rFonts w:ascii="Arial" w:cs="Arial" w:eastAsia="Arial" w:hAnsi="Arial"/>
          <w:sz w:val="19"/>
          <w:szCs w:val="19"/>
          <w:color w:val="auto"/>
        </w:rPr>
      </w:pPr>
    </w:p>
    <w:p>
      <w:pPr>
        <w:ind w:firstLine="582"/>
        <w:spacing w:after="0" w:line="286" w:lineRule="auto"/>
        <w:tabs>
          <w:tab w:leader="none" w:pos="1083" w:val="left"/>
        </w:tabs>
        <w:numPr>
          <w:ilvl w:val="0"/>
          <w:numId w:val="312"/>
        </w:numPr>
        <w:rPr>
          <w:rFonts w:ascii="Arial" w:cs="Arial" w:eastAsia="Arial" w:hAnsi="Arial"/>
          <w:sz w:val="19"/>
          <w:szCs w:val="19"/>
          <w:color w:val="auto"/>
        </w:rPr>
      </w:pPr>
      <w:r>
        <w:rPr>
          <w:rFonts w:ascii="Arial" w:cs="Arial" w:eastAsia="Arial" w:hAnsi="Arial"/>
          <w:sz w:val="19"/>
          <w:szCs w:val="19"/>
          <w:color w:val="auto"/>
        </w:rPr>
        <w:t>Borrower has maintained and will maintain its assets in such a manner that it will not be costly or difficult to segregate, ascertain or identify its individual assets from those of any Affiliate or constituent party or any other Person.</w:t>
      </w:r>
    </w:p>
    <w:p>
      <w:pPr>
        <w:spacing w:after="0" w:line="88" w:lineRule="exact"/>
        <w:rPr>
          <w:rFonts w:ascii="Arial" w:cs="Arial" w:eastAsia="Arial" w:hAnsi="Arial"/>
          <w:sz w:val="19"/>
          <w:szCs w:val="19"/>
          <w:color w:val="auto"/>
        </w:rPr>
      </w:pPr>
    </w:p>
    <w:p>
      <w:pPr>
        <w:jc w:val="both"/>
        <w:ind w:firstLine="582"/>
        <w:spacing w:after="0" w:line="264" w:lineRule="auto"/>
        <w:tabs>
          <w:tab w:leader="none" w:pos="1009" w:val="left"/>
        </w:tabs>
        <w:numPr>
          <w:ilvl w:val="0"/>
          <w:numId w:val="312"/>
        </w:numPr>
        <w:rPr>
          <w:rFonts w:ascii="Arial" w:cs="Arial" w:eastAsia="Arial" w:hAnsi="Arial"/>
          <w:sz w:val="19"/>
          <w:szCs w:val="19"/>
          <w:color w:val="auto"/>
        </w:rPr>
      </w:pPr>
      <w:r>
        <w:rPr>
          <w:rFonts w:ascii="Arial" w:cs="Arial" w:eastAsia="Arial" w:hAnsi="Arial"/>
          <w:sz w:val="19"/>
          <w:szCs w:val="19"/>
          <w:color w:val="auto"/>
        </w:rPr>
        <w:t>Borrower did not assume, guarantee or become obligated for the debts or obligations of any other Person and did not hold itself out to be responsible for or have its credit or assets available to satisfy the debts or obligations of any other Person. Borrower will not assume, guarantee or become obligated for the debts or obligations of any other Person and does not and will not hold itself out to be responsible for or have its credit or assets available to satisfy the debts or obligations of any other Person.</w:t>
      </w:r>
    </w:p>
    <w:p>
      <w:pPr>
        <w:spacing w:after="0" w:line="110" w:lineRule="exact"/>
        <w:rPr>
          <w:rFonts w:ascii="Arial" w:cs="Arial" w:eastAsia="Arial" w:hAnsi="Arial"/>
          <w:sz w:val="19"/>
          <w:szCs w:val="19"/>
          <w:color w:val="auto"/>
        </w:rPr>
      </w:pPr>
    </w:p>
    <w:p>
      <w:pPr>
        <w:jc w:val="both"/>
        <w:ind w:firstLine="582"/>
        <w:spacing w:after="0" w:line="262" w:lineRule="auto"/>
        <w:tabs>
          <w:tab w:leader="none" w:pos="1050" w:val="left"/>
        </w:tabs>
        <w:numPr>
          <w:ilvl w:val="0"/>
          <w:numId w:val="312"/>
        </w:numPr>
        <w:rPr>
          <w:rFonts w:ascii="Arial" w:cs="Arial" w:eastAsia="Arial" w:hAnsi="Arial"/>
          <w:sz w:val="19"/>
          <w:szCs w:val="19"/>
          <w:color w:val="auto"/>
        </w:rPr>
      </w:pPr>
      <w:r>
        <w:rPr>
          <w:rFonts w:ascii="Arial" w:cs="Arial" w:eastAsia="Arial" w:hAnsi="Arial"/>
          <w:sz w:val="19"/>
          <w:szCs w:val="19"/>
          <w:color w:val="auto"/>
        </w:rPr>
        <w:t>The organizational documents of Borrower shall provide that Borrower will not (and Borrower agrees that it will not), (i) file or consent to the filing of any petition, either voluntary or involuntary, to take advantage of any applicable insolvency, bankruptcy, liquidation or reorganization statute, (ii) seek or consent to the appointment of a receiver, liquidator or any similar official for Borrower or a substantial portion of its assets or properties, (iv) make an assignment for the benefit of creditors, (v) admit in writing Borrower’s inability to pay its debts generally as they become due, or (vi) take any action in furtherance of any of the foregoing.</w:t>
      </w:r>
    </w:p>
    <w:p>
      <w:pPr>
        <w:spacing w:after="0" w:line="110" w:lineRule="exact"/>
        <w:rPr>
          <w:rFonts w:ascii="Arial" w:cs="Arial" w:eastAsia="Arial" w:hAnsi="Arial"/>
          <w:sz w:val="19"/>
          <w:szCs w:val="19"/>
          <w:color w:val="auto"/>
        </w:rPr>
      </w:pPr>
    </w:p>
    <w:p>
      <w:pPr>
        <w:jc w:val="both"/>
        <w:ind w:firstLine="582"/>
        <w:spacing w:after="0" w:line="270" w:lineRule="auto"/>
        <w:tabs>
          <w:tab w:leader="none" w:pos="1056" w:val="left"/>
        </w:tabs>
        <w:numPr>
          <w:ilvl w:val="0"/>
          <w:numId w:val="312"/>
        </w:numPr>
        <w:rPr>
          <w:rFonts w:ascii="Arial" w:cs="Arial" w:eastAsia="Arial" w:hAnsi="Arial"/>
          <w:sz w:val="19"/>
          <w:szCs w:val="19"/>
          <w:color w:val="auto"/>
        </w:rPr>
      </w:pPr>
      <w:r>
        <w:rPr>
          <w:rFonts w:ascii="Arial" w:cs="Arial" w:eastAsia="Arial" w:hAnsi="Arial"/>
          <w:sz w:val="19"/>
          <w:szCs w:val="19"/>
          <w:color w:val="auto"/>
        </w:rPr>
        <w:t>The organizational documents of Borrower shall provide that, as long as any portion of the Debt remains outstanding, except as expressly permitted pursuant to the terms of the Loan Documents, (i) Guarantor, as sole member (the “</w:t>
      </w:r>
      <w:r>
        <w:rPr>
          <w:rFonts w:ascii="Arial" w:cs="Arial" w:eastAsia="Arial" w:hAnsi="Arial"/>
          <w:sz w:val="19"/>
          <w:szCs w:val="19"/>
          <w:b w:val="1"/>
          <w:bCs w:val="1"/>
          <w:i w:val="1"/>
          <w:iCs w:val="1"/>
          <w:color w:val="auto"/>
        </w:rPr>
        <w:t>Sole Member</w:t>
      </w:r>
      <w:r>
        <w:rPr>
          <w:rFonts w:ascii="Arial" w:cs="Arial" w:eastAsia="Arial" w:hAnsi="Arial"/>
          <w:sz w:val="19"/>
          <w:szCs w:val="19"/>
          <w:color w:val="auto"/>
        </w:rPr>
        <w:t>”) may not resign, and (ii) no additional member shall be admitted to Borrower.</w:t>
      </w:r>
    </w:p>
    <w:p>
      <w:pPr>
        <w:spacing w:after="0" w:line="102" w:lineRule="exact"/>
        <w:rPr>
          <w:rFonts w:ascii="Arial" w:cs="Arial" w:eastAsia="Arial" w:hAnsi="Arial"/>
          <w:sz w:val="19"/>
          <w:szCs w:val="19"/>
          <w:color w:val="auto"/>
        </w:rPr>
      </w:pPr>
    </w:p>
    <w:p>
      <w:pPr>
        <w:jc w:val="both"/>
        <w:ind w:firstLine="582"/>
        <w:spacing w:after="0" w:line="274" w:lineRule="auto"/>
        <w:tabs>
          <w:tab w:leader="none" w:pos="101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organizational documents of Borrower shall provide that, as long as any portion of the Debt remains outstanding: (i) Borrower shall be dissolved, and its affairs shall be wound up, only upon the first to occur of the following: (A) the termination of the legal existence of the last remaining member of Borrower or the occurrence of any other event which terminates the continued membership of the last remaining member of Borrower in Borrower unless the business of Borrower is continued in a manner permitted by its operating agreement or the Delaware Limited Liability Company Act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(B) the entry of a decree of judicial dissolution under Section 18-802 of the Act; (ii) upon the occurrence of any event that causes the last remaining member of Borrower to cease to be a member of Borrower or that causes Sole Member to cease to be a member of Borrower (other than (A) upon an assignment by Sole Member of all of its limited liability company interests in Borrower and the admission of the transferee, if permitted pursuant to the organizational documents of Borrower and the Loan Documents, or (B) the resignation of Sole Member and the admission of an additional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301" w:right="339" w:bottom="1440" w:gutter="0" w:footer="0" w:header="0"/>
        </w:sectPr>
      </w:pPr>
    </w:p>
    <w:bookmarkStart w:id="428" w:name="page429"/>
    <w:bookmarkEnd w:id="428"/>
    <w:p>
      <w:pPr>
        <w:jc w:val="both"/>
        <w:spacing w:after="0" w:line="272" w:lineRule="auto"/>
        <w:rPr>
          <w:sz w:val="20"/>
          <w:szCs w:val="20"/>
          <w:color w:val="auto"/>
        </w:rPr>
      </w:pPr>
      <w:r>
        <w:rPr>
          <w:rFonts w:ascii="Arial" w:cs="Arial" w:eastAsia="Arial" w:hAnsi="Arial"/>
          <w:sz w:val="18"/>
          <w:szCs w:val="18"/>
          <w:color w:val="auto"/>
        </w:rPr>
        <w:t>Borrower, if permitted pursuant to the organizational documents of Borrower and the Loan Documents), to the fullest extent permitted by applicable law, the personal representative of such last remaining member shall be authorized to, and shall, within ninety (90) days after the occurrence of the event that terminated the continued membership of such member in Borrower, agree in writing (1) to continue the existence of Borrower, and (2) to the admission of the personal representative or its nominee or designee, as the case may be, as a substitute member of Borrower, effective as of the occurrence of the event that terminated the continued membership of such member in Borrower; (iii) the bankruptcy of Sole Member shall not cause such Sole Member to cease to be a member of Borrower and upon the occurrence of such event, the business of Borrower shall continue without dissolution; (iv) in the event of the dissolution of Borrower, Borrower shall conduct only such activities as are necessary to wind up its affairs (including the sale of its assets and properties in an orderly manner), and its assets and properties shall be applied in the manner, and in the order of priority, set forth in Section 18-804 of the Act; and (v) to the fullest extent permitted by applicable law, Sole Member shall irrevocably waive any right or power that they might have to cause Borrower or any of its assets or properties to be partitioned, to cause the appointment of a receiver for all or any portion of the assets or properties of Borrower, to compel any sale of all or any portion of the assets or properties of Borrower pursuant to any applicable law or to file a complaint or to institute any proceeding at law or in equity to cause the dissolution, liquidation, winding up or termination of Borrower.</w:t>
      </w:r>
    </w:p>
    <w:p>
      <w:pPr>
        <w:spacing w:after="0" w:line="105" w:lineRule="exact"/>
        <w:rPr>
          <w:sz w:val="20"/>
          <w:szCs w:val="20"/>
          <w:color w:val="auto"/>
        </w:rPr>
      </w:pPr>
    </w:p>
    <w:p>
      <w:pPr>
        <w:ind w:right="20" w:firstLine="582"/>
        <w:spacing w:after="0" w:line="286" w:lineRule="auto"/>
        <w:tabs>
          <w:tab w:leader="none" w:pos="996" w:val="left"/>
        </w:tabs>
        <w:numPr>
          <w:ilvl w:val="0"/>
          <w:numId w:val="313"/>
        </w:numPr>
        <w:rPr>
          <w:rFonts w:ascii="Arial" w:cs="Arial" w:eastAsia="Arial" w:hAnsi="Arial"/>
          <w:sz w:val="19"/>
          <w:szCs w:val="19"/>
          <w:color w:val="auto"/>
        </w:rPr>
      </w:pPr>
      <w:r>
        <w:rPr>
          <w:rFonts w:ascii="Arial" w:cs="Arial" w:eastAsia="Arial" w:hAnsi="Arial"/>
          <w:sz w:val="19"/>
          <w:szCs w:val="19"/>
          <w:color w:val="auto"/>
        </w:rPr>
        <w:t xml:space="preserve">Borrower covenants and agrees that it will comply with or cause the compliance with, (i) all of the representations, warranties and covenants in this </w:t>
      </w:r>
      <w:r>
        <w:rPr>
          <w:rFonts w:ascii="Arial" w:cs="Arial" w:eastAsia="Arial" w:hAnsi="Arial"/>
          <w:sz w:val="19"/>
          <w:szCs w:val="19"/>
          <w:u w:val="single" w:color="auto"/>
          <w:color w:val="auto"/>
        </w:rPr>
        <w:t>Section 3.13</w:t>
      </w:r>
      <w:r>
        <w:rPr>
          <w:rFonts w:ascii="Arial" w:cs="Arial" w:eastAsia="Arial" w:hAnsi="Arial"/>
          <w:sz w:val="19"/>
          <w:szCs w:val="19"/>
          <w:color w:val="auto"/>
        </w:rPr>
        <w:t>, and (ii) all of the organizational documents of Borrower.</w:t>
      </w:r>
    </w:p>
    <w:p>
      <w:pPr>
        <w:spacing w:after="0" w:line="88" w:lineRule="exact"/>
        <w:rPr>
          <w:rFonts w:ascii="Arial" w:cs="Arial" w:eastAsia="Arial" w:hAnsi="Arial"/>
          <w:sz w:val="19"/>
          <w:szCs w:val="19"/>
          <w:color w:val="auto"/>
        </w:rPr>
      </w:pPr>
    </w:p>
    <w:p>
      <w:pPr>
        <w:ind w:right="20" w:firstLine="582"/>
        <w:spacing w:after="0" w:line="286" w:lineRule="auto"/>
        <w:tabs>
          <w:tab w:leader="none" w:pos="1018" w:val="left"/>
        </w:tabs>
        <w:numPr>
          <w:ilvl w:val="0"/>
          <w:numId w:val="313"/>
        </w:numPr>
        <w:rPr>
          <w:rFonts w:ascii="Arial" w:cs="Arial" w:eastAsia="Arial" w:hAnsi="Arial"/>
          <w:sz w:val="19"/>
          <w:szCs w:val="19"/>
          <w:color w:val="auto"/>
        </w:rPr>
      </w:pPr>
      <w:r>
        <w:rPr>
          <w:rFonts w:ascii="Arial" w:cs="Arial" w:eastAsia="Arial" w:hAnsi="Arial"/>
          <w:sz w:val="19"/>
          <w:szCs w:val="19"/>
          <w:color w:val="auto"/>
        </w:rPr>
        <w:t>Borrower has not permitted and will not permit any Affiliate (other than Sole Member pursuant to the terms of the organizational documents of Borrower) or constituent party independent access to its bank accounts.</w:t>
      </w:r>
    </w:p>
    <w:p>
      <w:pPr>
        <w:spacing w:after="0" w:line="88" w:lineRule="exact"/>
        <w:rPr>
          <w:rFonts w:ascii="Arial" w:cs="Arial" w:eastAsia="Arial" w:hAnsi="Arial"/>
          <w:sz w:val="19"/>
          <w:szCs w:val="19"/>
          <w:color w:val="auto"/>
        </w:rPr>
      </w:pPr>
    </w:p>
    <w:p>
      <w:pPr>
        <w:ind w:right="20" w:firstLine="582"/>
        <w:spacing w:after="0" w:line="315" w:lineRule="auto"/>
        <w:tabs>
          <w:tab w:leader="none" w:pos="98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Borrower has paid and shall pay its own liabilities and expenses, including the salaries of its own employees (if any) from its own funds, and has maintained and shall maintain a sufficient number of employees (if any) in light of its contemplated business operations.</w:t>
      </w:r>
    </w:p>
    <w:p>
      <w:pPr>
        <w:spacing w:after="0" w:line="65" w:lineRule="exact"/>
        <w:rPr>
          <w:rFonts w:ascii="Arial" w:cs="Arial" w:eastAsia="Arial" w:hAnsi="Arial"/>
          <w:sz w:val="18"/>
          <w:szCs w:val="18"/>
          <w:color w:val="auto"/>
        </w:rPr>
      </w:pPr>
    </w:p>
    <w:p>
      <w:pPr>
        <w:ind w:right="20" w:firstLine="582"/>
        <w:spacing w:after="0" w:line="286" w:lineRule="auto"/>
        <w:tabs>
          <w:tab w:leader="none" w:pos="1045" w:val="left"/>
        </w:tabs>
        <w:numPr>
          <w:ilvl w:val="0"/>
          <w:numId w:val="313"/>
        </w:numPr>
        <w:rPr>
          <w:rFonts w:ascii="Arial" w:cs="Arial" w:eastAsia="Arial" w:hAnsi="Arial"/>
          <w:sz w:val="19"/>
          <w:szCs w:val="19"/>
          <w:color w:val="auto"/>
        </w:rPr>
      </w:pPr>
      <w:r>
        <w:rPr>
          <w:rFonts w:ascii="Arial" w:cs="Arial" w:eastAsia="Arial" w:hAnsi="Arial"/>
          <w:sz w:val="19"/>
          <w:szCs w:val="19"/>
          <w:color w:val="auto"/>
        </w:rPr>
        <w:t>Borrower has compensated and shall compensate each of its consultants and agents from its funds for services provided to it and Borrower has paid and shall pay from its assets all obligations of any kind incurred.</w:t>
      </w:r>
    </w:p>
    <w:p>
      <w:pPr>
        <w:spacing w:after="0" w:line="88" w:lineRule="exact"/>
        <w:rPr>
          <w:rFonts w:ascii="Arial" w:cs="Arial" w:eastAsia="Arial" w:hAnsi="Arial"/>
          <w:sz w:val="19"/>
          <w:szCs w:val="19"/>
          <w:color w:val="auto"/>
        </w:rPr>
      </w:pPr>
    </w:p>
    <w:p>
      <w:pPr>
        <w:jc w:val="both"/>
        <w:ind w:right="20" w:firstLine="582"/>
        <w:spacing w:after="0" w:line="258" w:lineRule="auto"/>
        <w:tabs>
          <w:tab w:leader="none" w:pos="1077" w:val="left"/>
        </w:tabs>
        <w:numPr>
          <w:ilvl w:val="0"/>
          <w:numId w:val="313"/>
        </w:numPr>
        <w:rPr>
          <w:rFonts w:ascii="Arial" w:cs="Arial" w:eastAsia="Arial" w:hAnsi="Arial"/>
          <w:sz w:val="19"/>
          <w:szCs w:val="19"/>
          <w:color w:val="auto"/>
        </w:rPr>
      </w:pPr>
      <w:r>
        <w:rPr>
          <w:rFonts w:ascii="Arial" w:cs="Arial" w:eastAsia="Arial" w:hAnsi="Arial"/>
          <w:sz w:val="19"/>
          <w:szCs w:val="19"/>
          <w:color w:val="auto"/>
        </w:rPr>
        <w:t>Borrower has not (i) filed a bankruptcy, insolvency or reorganization petition or otherwise instituted insolvency proceedings or otherwise sought any relief under any laws relating to the relief from debts or the protection of debtors generally, (ii) sought or consented to the appointment of a receiver, liquidator, assignee, trustee, sequestrator, custodian or any similar official for Borrower or for all or any portion of Borrower’s assets or properties, (iii) made any assignment for the benefit of Borrower’s creditors or (iv) admitted in writing Borrower’s inability to pay its debts generally as they become due. Borrower will not (A) file a bankruptcy, insolvency or reorganization petition or otherwise institute insolvency proceedings or otherwise seek any relief under any laws relating to the relief from debts or the protection of debtors generally, (B) seek or consent to the appointment of a receiver, liquidator, assignee, trustee, sequestrator, custodian or any similar official for Borrower or for all or any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60"/>
          </w:cols>
          <w:pgMar w:left="320" w:top="1301" w:right="319" w:bottom="1440" w:gutter="0" w:footer="0" w:header="0"/>
        </w:sectPr>
      </w:pPr>
    </w:p>
    <w:bookmarkStart w:id="429" w:name="page430"/>
    <w:bookmarkEnd w:id="429"/>
    <w:p>
      <w:pPr>
        <w:spacing w:after="0" w:line="286" w:lineRule="auto"/>
        <w:rPr>
          <w:sz w:val="20"/>
          <w:szCs w:val="20"/>
          <w:color w:val="auto"/>
        </w:rPr>
      </w:pPr>
      <w:r>
        <w:rPr>
          <w:rFonts w:ascii="Arial" w:cs="Arial" w:eastAsia="Arial" w:hAnsi="Arial"/>
          <w:sz w:val="19"/>
          <w:szCs w:val="19"/>
          <w:color w:val="auto"/>
        </w:rPr>
        <w:t>Borrower’s assets or properties, (C) make any assignment for the benefit of Borrower’s creditors or (D) admit in writing Borrower’s inability to pay its debts generally as they become due.</w:t>
      </w:r>
    </w:p>
    <w:p>
      <w:pPr>
        <w:spacing w:after="0" w:line="88" w:lineRule="exact"/>
        <w:rPr>
          <w:sz w:val="20"/>
          <w:szCs w:val="20"/>
          <w:color w:val="auto"/>
        </w:rPr>
      </w:pPr>
    </w:p>
    <w:p>
      <w:pPr>
        <w:ind w:left="1040" w:hanging="458"/>
        <w:spacing w:after="0"/>
        <w:tabs>
          <w:tab w:leader="none" w:pos="1040" w:val="left"/>
        </w:tabs>
        <w:numPr>
          <w:ilvl w:val="0"/>
          <w:numId w:val="314"/>
        </w:numPr>
        <w:rPr>
          <w:rFonts w:ascii="Arial" w:cs="Arial" w:eastAsia="Arial" w:hAnsi="Arial"/>
          <w:sz w:val="19"/>
          <w:szCs w:val="19"/>
          <w:color w:val="auto"/>
        </w:rPr>
      </w:pPr>
      <w:r>
        <w:rPr>
          <w:rFonts w:ascii="Arial" w:cs="Arial" w:eastAsia="Arial" w:hAnsi="Arial"/>
          <w:sz w:val="19"/>
          <w:szCs w:val="19"/>
          <w:color w:val="auto"/>
        </w:rPr>
        <w:t>Borrower has maintained and will maintain an arm’s-length relationship with its Affiliates.</w:t>
      </w:r>
    </w:p>
    <w:p>
      <w:pPr>
        <w:spacing w:after="0" w:line="159" w:lineRule="exact"/>
        <w:rPr>
          <w:rFonts w:ascii="Arial" w:cs="Arial" w:eastAsia="Arial" w:hAnsi="Arial"/>
          <w:sz w:val="19"/>
          <w:szCs w:val="19"/>
          <w:color w:val="auto"/>
        </w:rPr>
      </w:pPr>
    </w:p>
    <w:p>
      <w:pPr>
        <w:ind w:firstLine="582"/>
        <w:spacing w:after="0" w:line="286" w:lineRule="auto"/>
        <w:tabs>
          <w:tab w:leader="none" w:pos="1018" w:val="left"/>
        </w:tabs>
        <w:numPr>
          <w:ilvl w:val="0"/>
          <w:numId w:val="314"/>
        </w:numPr>
        <w:rPr>
          <w:rFonts w:ascii="Arial" w:cs="Arial" w:eastAsia="Arial" w:hAnsi="Arial"/>
          <w:sz w:val="19"/>
          <w:szCs w:val="19"/>
          <w:color w:val="auto"/>
        </w:rPr>
      </w:pPr>
      <w:r>
        <w:rPr>
          <w:rFonts w:ascii="Arial" w:cs="Arial" w:eastAsia="Arial" w:hAnsi="Arial"/>
          <w:sz w:val="19"/>
          <w:szCs w:val="19"/>
          <w:color w:val="auto"/>
        </w:rPr>
        <w:t>Borrower has allocated and will allocate fairly and reasonably any overhead expenses that are shared with any Affiliate, including, without limitation, shared office space.</w:t>
      </w:r>
    </w:p>
    <w:p>
      <w:pPr>
        <w:spacing w:after="0" w:line="88" w:lineRule="exact"/>
        <w:rPr>
          <w:rFonts w:ascii="Arial" w:cs="Arial" w:eastAsia="Arial" w:hAnsi="Arial"/>
          <w:sz w:val="19"/>
          <w:szCs w:val="19"/>
          <w:color w:val="auto"/>
        </w:rPr>
      </w:pPr>
    </w:p>
    <w:p>
      <w:pPr>
        <w:ind w:firstLine="582"/>
        <w:spacing w:after="0" w:line="286" w:lineRule="auto"/>
        <w:tabs>
          <w:tab w:leader="none" w:pos="1018" w:val="left"/>
        </w:tabs>
        <w:numPr>
          <w:ilvl w:val="0"/>
          <w:numId w:val="314"/>
        </w:numPr>
        <w:rPr>
          <w:rFonts w:ascii="Arial" w:cs="Arial" w:eastAsia="Arial" w:hAnsi="Arial"/>
          <w:sz w:val="19"/>
          <w:szCs w:val="19"/>
          <w:color w:val="auto"/>
        </w:rPr>
      </w:pPr>
      <w:r>
        <w:rPr>
          <w:rFonts w:ascii="Arial" w:cs="Arial" w:eastAsia="Arial" w:hAnsi="Arial"/>
          <w:sz w:val="19"/>
          <w:szCs w:val="19"/>
          <w:color w:val="auto"/>
        </w:rPr>
        <w:t>Except to Lender in connection with the Loan, Borrower has not pledged and will not pledge its assets or properties for the benefit of, or to secure the obligations of, any other Person.</w:t>
      </w:r>
    </w:p>
    <w:p>
      <w:pPr>
        <w:spacing w:after="0" w:line="88" w:lineRule="exact"/>
        <w:rPr>
          <w:rFonts w:ascii="Arial" w:cs="Arial" w:eastAsia="Arial" w:hAnsi="Arial"/>
          <w:sz w:val="19"/>
          <w:szCs w:val="19"/>
          <w:color w:val="auto"/>
        </w:rPr>
      </w:pPr>
    </w:p>
    <w:p>
      <w:pPr>
        <w:jc w:val="both"/>
        <w:ind w:firstLine="582"/>
        <w:spacing w:after="0" w:line="270" w:lineRule="auto"/>
        <w:tabs>
          <w:tab w:leader="none" w:pos="1029" w:val="left"/>
        </w:tabs>
        <w:numPr>
          <w:ilvl w:val="0"/>
          <w:numId w:val="314"/>
        </w:numPr>
        <w:rPr>
          <w:rFonts w:ascii="Arial" w:cs="Arial" w:eastAsia="Arial" w:hAnsi="Arial"/>
          <w:sz w:val="19"/>
          <w:szCs w:val="19"/>
          <w:color w:val="auto"/>
        </w:rPr>
      </w:pPr>
      <w:r>
        <w:rPr>
          <w:rFonts w:ascii="Arial" w:cs="Arial" w:eastAsia="Arial" w:hAnsi="Arial"/>
          <w:sz w:val="19"/>
          <w:szCs w:val="19"/>
          <w:color w:val="auto"/>
        </w:rPr>
        <w:t>Borrower has had, has and will have no obligation to indemnify its directors, managers, officers, or members as the case may be, or, if applicable, has such an obligation that is fully subordinated to the Debt and that will not constitute a claim against Borrower if cash flow in excess of the amount required to pay the Debt is insufficient to pay such obligation.</w:t>
      </w:r>
    </w:p>
    <w:p>
      <w:pPr>
        <w:spacing w:after="0" w:line="103" w:lineRule="exact"/>
        <w:rPr>
          <w:sz w:val="20"/>
          <w:szCs w:val="20"/>
          <w:color w:val="auto"/>
        </w:rPr>
      </w:pPr>
    </w:p>
    <w:p>
      <w:pPr>
        <w:jc w:val="both"/>
        <w:ind w:firstLine="582"/>
        <w:spacing w:after="0" w:line="305" w:lineRule="auto"/>
        <w:tabs>
          <w:tab w:leader="none" w:pos="114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organizational documents of Borrower shall provide that Borrower will not: (i) dissolve, merge, liquidate, consolidate; (ii) sell, transfer, dispose, or encumber (except in accordance with the Loan Documents) all or substantially all of its assets or properties or acquire all or substantially all of the assets or properties of any other Person; or (iii) engage in any other business activity, or amend its organizational documents with respect to any of the matters set forth in this Section 3.13, without the prior consent of Lender in its sole discretion.</w:t>
      </w:r>
    </w:p>
    <w:p>
      <w:pPr>
        <w:spacing w:after="0" w:line="78" w:lineRule="exact"/>
        <w:rPr>
          <w:rFonts w:ascii="Arial" w:cs="Arial" w:eastAsia="Arial" w:hAnsi="Arial"/>
          <w:sz w:val="17"/>
          <w:szCs w:val="17"/>
          <w:color w:val="auto"/>
        </w:rPr>
      </w:pPr>
    </w:p>
    <w:p>
      <w:pPr>
        <w:ind w:left="1100" w:hanging="518"/>
        <w:spacing w:after="0"/>
        <w:tabs>
          <w:tab w:leader="none" w:pos="1100" w:val="left"/>
        </w:tabs>
        <w:numPr>
          <w:ilvl w:val="0"/>
          <w:numId w:val="315"/>
        </w:numPr>
        <w:rPr>
          <w:rFonts w:ascii="Arial" w:cs="Arial" w:eastAsia="Arial" w:hAnsi="Arial"/>
          <w:sz w:val="19"/>
          <w:szCs w:val="19"/>
          <w:color w:val="auto"/>
        </w:rPr>
      </w:pPr>
      <w:r>
        <w:rPr>
          <w:rFonts w:ascii="Arial" w:cs="Arial" w:eastAsia="Arial" w:hAnsi="Arial"/>
          <w:sz w:val="19"/>
          <w:szCs w:val="19"/>
          <w:color w:val="auto"/>
        </w:rPr>
        <w:t>Borrower will consider the interests of Borrower’s creditors in connection with all actions.</w:t>
      </w:r>
    </w:p>
    <w:p>
      <w:pPr>
        <w:spacing w:after="0" w:line="159" w:lineRule="exact"/>
        <w:rPr>
          <w:rFonts w:ascii="Arial" w:cs="Arial" w:eastAsia="Arial" w:hAnsi="Arial"/>
          <w:sz w:val="19"/>
          <w:szCs w:val="19"/>
          <w:color w:val="auto"/>
        </w:rPr>
      </w:pPr>
    </w:p>
    <w:p>
      <w:pPr>
        <w:ind w:firstLine="582"/>
        <w:spacing w:after="0" w:line="286" w:lineRule="auto"/>
        <w:tabs>
          <w:tab w:leader="none" w:pos="1107" w:val="left"/>
        </w:tabs>
        <w:numPr>
          <w:ilvl w:val="0"/>
          <w:numId w:val="315"/>
        </w:numPr>
        <w:rPr>
          <w:rFonts w:ascii="Arial" w:cs="Arial" w:eastAsia="Arial" w:hAnsi="Arial"/>
          <w:sz w:val="19"/>
          <w:szCs w:val="19"/>
          <w:color w:val="auto"/>
        </w:rPr>
      </w:pPr>
      <w:r>
        <w:rPr>
          <w:rFonts w:ascii="Arial" w:cs="Arial" w:eastAsia="Arial" w:hAnsi="Arial"/>
          <w:sz w:val="19"/>
          <w:szCs w:val="19"/>
          <w:color w:val="auto"/>
        </w:rPr>
        <w:t>Borrower has not had and, except in connection with the Loan, does not have and will not have any of its obligations guaranteed by any Affiliate.</w:t>
      </w:r>
    </w:p>
    <w:p>
      <w:pPr>
        <w:spacing w:after="0" w:line="88" w:lineRule="exact"/>
        <w:rPr>
          <w:rFonts w:ascii="Arial" w:cs="Arial" w:eastAsia="Arial" w:hAnsi="Arial"/>
          <w:sz w:val="19"/>
          <w:szCs w:val="19"/>
          <w:color w:val="auto"/>
        </w:rPr>
      </w:pPr>
    </w:p>
    <w:p>
      <w:pPr>
        <w:ind w:left="1100" w:hanging="518"/>
        <w:spacing w:after="0"/>
        <w:tabs>
          <w:tab w:leader="none" w:pos="1100" w:val="left"/>
        </w:tabs>
        <w:numPr>
          <w:ilvl w:val="0"/>
          <w:numId w:val="315"/>
        </w:numPr>
        <w:rPr>
          <w:rFonts w:ascii="Arial" w:cs="Arial" w:eastAsia="Arial" w:hAnsi="Arial"/>
          <w:sz w:val="19"/>
          <w:szCs w:val="19"/>
          <w:color w:val="auto"/>
        </w:rPr>
      </w:pPr>
      <w:r>
        <w:rPr>
          <w:rFonts w:ascii="Arial" w:cs="Arial" w:eastAsia="Arial" w:hAnsi="Arial"/>
          <w:sz w:val="19"/>
          <w:szCs w:val="19"/>
          <w:color w:val="auto"/>
        </w:rPr>
        <w:t>Borrower has not owned or acquired and will not own or acquire any stock or securities of any Person.</w:t>
      </w:r>
    </w:p>
    <w:p>
      <w:pPr>
        <w:spacing w:after="0" w:line="159" w:lineRule="exact"/>
        <w:rPr>
          <w:rFonts w:ascii="Arial" w:cs="Arial" w:eastAsia="Arial" w:hAnsi="Arial"/>
          <w:sz w:val="19"/>
          <w:szCs w:val="19"/>
          <w:color w:val="auto"/>
        </w:rPr>
      </w:pPr>
    </w:p>
    <w:p>
      <w:pPr>
        <w:ind w:firstLine="582"/>
        <w:spacing w:after="0" w:line="286" w:lineRule="auto"/>
        <w:tabs>
          <w:tab w:leader="none" w:pos="1089" w:val="left"/>
        </w:tabs>
        <w:numPr>
          <w:ilvl w:val="0"/>
          <w:numId w:val="315"/>
        </w:numPr>
        <w:rPr>
          <w:rFonts w:ascii="Arial" w:cs="Arial" w:eastAsia="Arial" w:hAnsi="Arial"/>
          <w:sz w:val="19"/>
          <w:szCs w:val="19"/>
          <w:color w:val="auto"/>
        </w:rPr>
      </w:pPr>
      <w:r>
        <w:rPr>
          <w:rFonts w:ascii="Arial" w:cs="Arial" w:eastAsia="Arial" w:hAnsi="Arial"/>
          <w:sz w:val="19"/>
          <w:szCs w:val="19"/>
          <w:color w:val="auto"/>
        </w:rPr>
        <w:t>Borrower has not bought or held and will not buy or hold evidence of indebtedness issued by any other Person (other than cash or investment-grade securities).</w:t>
      </w:r>
    </w:p>
    <w:p>
      <w:pPr>
        <w:spacing w:after="0" w:line="88" w:lineRule="exact"/>
        <w:rPr>
          <w:rFonts w:ascii="Arial" w:cs="Arial" w:eastAsia="Arial" w:hAnsi="Arial"/>
          <w:sz w:val="19"/>
          <w:szCs w:val="19"/>
          <w:color w:val="auto"/>
        </w:rPr>
      </w:pPr>
    </w:p>
    <w:p>
      <w:pPr>
        <w:ind w:firstLine="582"/>
        <w:spacing w:after="0" w:line="315" w:lineRule="auto"/>
        <w:tabs>
          <w:tab w:leader="none" w:pos="109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Borrower has not formed, acquired or held and will not form, acquire or hold any subsidiary (whether corporation, partnership, limited liability company or other entity), and Borrower has not owned and will not own any equity interest in any other entity.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AFFIRMATIVE COVENANTS AND AGREEMENTS</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4.1</w:t>
      </w:r>
      <w:r>
        <w:rPr>
          <w:sz w:val="20"/>
          <w:szCs w:val="20"/>
          <w:color w:val="auto"/>
        </w:rPr>
        <w:tab/>
      </w:r>
      <w:r>
        <w:rPr>
          <w:rFonts w:ascii="Arial" w:cs="Arial" w:eastAsia="Arial" w:hAnsi="Arial"/>
          <w:sz w:val="17"/>
          <w:szCs w:val="17"/>
          <w:u w:val="single" w:color="auto"/>
          <w:color w:val="auto"/>
        </w:rPr>
        <w:t>Vouchers and Receipts</w:t>
      </w:r>
      <w:r>
        <w:rPr>
          <w:rFonts w:ascii="Arial" w:cs="Arial" w:eastAsia="Arial" w:hAnsi="Arial"/>
          <w:sz w:val="17"/>
          <w:szCs w:val="17"/>
          <w:color w:val="auto"/>
        </w:rPr>
        <w:t>.</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The Borrower shall furnish to the Lender, promptly on demand, any contracts, bills of sale, statements, receipted vouchers or agreements pursuant to which the Borrower has any claim of title to any materials, fixtures or other articles delivered or to be delivered to the Land or incorporated or to be incorporated into the Improvements. The Borrower shall furnish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301" w:right="339" w:bottom="1440" w:gutter="0" w:footer="0" w:header="0"/>
        </w:sectPr>
      </w:pPr>
    </w:p>
    <w:bookmarkStart w:id="430" w:name="page431"/>
    <w:bookmarkEnd w:id="430"/>
    <w:p>
      <w:pPr>
        <w:jc w:val="both"/>
        <w:ind w:right="20"/>
        <w:spacing w:after="0" w:line="270" w:lineRule="auto"/>
        <w:rPr>
          <w:sz w:val="20"/>
          <w:szCs w:val="20"/>
          <w:color w:val="auto"/>
        </w:rPr>
      </w:pPr>
      <w:r>
        <w:rPr>
          <w:rFonts w:ascii="Arial" w:cs="Arial" w:eastAsia="Arial" w:hAnsi="Arial"/>
          <w:sz w:val="19"/>
          <w:szCs w:val="19"/>
          <w:color w:val="auto"/>
        </w:rPr>
        <w:t>Lender, promptly on demand, a verified written statement, in such form and detail as the Lender may require, showing all amounts paid for labor and materials and all items of labor and materials furnished or to be furnished for which payment has not been made and the amounts to be paid therefor.</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4.2</w:t>
      </w:r>
      <w:r>
        <w:rPr>
          <w:sz w:val="20"/>
          <w:szCs w:val="20"/>
          <w:color w:val="auto"/>
        </w:rPr>
        <w:tab/>
      </w:r>
      <w:r>
        <w:rPr>
          <w:rFonts w:ascii="Arial" w:cs="Arial" w:eastAsia="Arial" w:hAnsi="Arial"/>
          <w:sz w:val="17"/>
          <w:szCs w:val="17"/>
          <w:u w:val="single" w:color="auto"/>
          <w:color w:val="auto"/>
        </w:rPr>
        <w:t>Payments for Labor and Materials</w:t>
      </w:r>
      <w:r>
        <w:rPr>
          <w:rFonts w:ascii="Arial" w:cs="Arial" w:eastAsia="Arial" w:hAnsi="Arial"/>
          <w:sz w:val="17"/>
          <w:szCs w:val="17"/>
          <w:color w:val="auto"/>
        </w:rPr>
        <w:t>.</w:t>
      </w:r>
    </w:p>
    <w:p>
      <w:pPr>
        <w:spacing w:after="0" w:line="159" w:lineRule="exact"/>
        <w:rPr>
          <w:sz w:val="20"/>
          <w:szCs w:val="20"/>
          <w:color w:val="auto"/>
        </w:rPr>
      </w:pPr>
    </w:p>
    <w:p>
      <w:pPr>
        <w:jc w:val="both"/>
        <w:ind w:right="20" w:firstLine="585"/>
        <w:spacing w:after="0" w:line="258" w:lineRule="auto"/>
        <w:rPr>
          <w:sz w:val="20"/>
          <w:szCs w:val="20"/>
          <w:color w:val="auto"/>
        </w:rPr>
      </w:pPr>
      <w:r>
        <w:rPr>
          <w:rFonts w:ascii="Arial" w:cs="Arial" w:eastAsia="Arial" w:hAnsi="Arial"/>
          <w:sz w:val="19"/>
          <w:szCs w:val="19"/>
          <w:color w:val="auto"/>
        </w:rPr>
        <w:t>The Borrower shall pay when due all bills for services or labor performed and materials supplied to the Property. In the event any mechanics’ lien or other lien or encumbrance shall be filed or attached against the Property without the prior written consent of the Lender in each instance, the Borrower covenants and agrees that, within ten (10) Banking Days after Borrower’s receipt of a copy of the recorded lien, the Borrower will promptly discharge the same by payment or filing bond or otherwise as permitted by law; and if the Borrower fails to do so, the Lender may, at its option, in addition to, and not in limitation of, all other rights and remedies of the Lender in the Event of Default by the Borrower, and without regard to the priority of said mechanics’ lien or other lien or encumbrance, pay the same, and all reasonable, out-of-pocket amounts expended by the Lender for such purpose shall constitute loans to the Borrower and shall be secured by the Deed of Trust and the other Deed of Trust, and be due and payable forthwith by the Borrower to the Lender with interest thereon at the Reimbursement Rate provided for in the Deed of Trust.</w:t>
      </w:r>
    </w:p>
    <w:p>
      <w:pPr>
        <w:spacing w:after="0" w:line="115"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4.3</w:t>
      </w:r>
      <w:r>
        <w:rPr>
          <w:sz w:val="20"/>
          <w:szCs w:val="20"/>
          <w:color w:val="auto"/>
        </w:rPr>
        <w:tab/>
      </w: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159" w:lineRule="exact"/>
        <w:rPr>
          <w:sz w:val="20"/>
          <w:szCs w:val="20"/>
          <w:color w:val="auto"/>
        </w:rPr>
      </w:pPr>
    </w:p>
    <w:p>
      <w:pPr>
        <w:jc w:val="both"/>
        <w:ind w:right="20" w:firstLine="585"/>
        <w:spacing w:after="0" w:line="264" w:lineRule="auto"/>
        <w:rPr>
          <w:sz w:val="20"/>
          <w:szCs w:val="20"/>
          <w:color w:val="auto"/>
        </w:rPr>
      </w:pPr>
      <w:r>
        <w:rPr>
          <w:rFonts w:ascii="Arial" w:cs="Arial" w:eastAsia="Arial" w:hAnsi="Arial"/>
          <w:sz w:val="19"/>
          <w:szCs w:val="19"/>
          <w:color w:val="auto"/>
        </w:rPr>
        <w:t>The Borrower shall provide or cause to be provided to the Lender, and shall maintain in full force and effect at all times during the term of the Loan, such policies of insurance as may be required by the terms of any plans and specifications and the Loan Documents from a company or companies, and in form and amounts satisfactory to the Lender including, by way of example and not by way of limitation, at least the following:</w:t>
      </w:r>
    </w:p>
    <w:p>
      <w:pPr>
        <w:spacing w:after="0" w:line="110" w:lineRule="exact"/>
        <w:rPr>
          <w:sz w:val="20"/>
          <w:szCs w:val="20"/>
          <w:color w:val="auto"/>
        </w:rPr>
      </w:pPr>
    </w:p>
    <w:p>
      <w:pPr>
        <w:ind w:right="20" w:firstLine="1167"/>
        <w:spacing w:after="0" w:line="348" w:lineRule="auto"/>
        <w:tabs>
          <w:tab w:leader="none" w:pos="159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During any period of construction on the Land, “builder’s risk” insurance, including vandalism and malicious mischief and collapse endorsements in amounts not less than the amount of the Loan and naming the Lender as a loss payee in the mortgagee clause thereof;</w:t>
      </w:r>
    </w:p>
    <w:p>
      <w:pPr>
        <w:spacing w:after="0" w:line="42" w:lineRule="exact"/>
        <w:rPr>
          <w:rFonts w:ascii="Arial" w:cs="Arial" w:eastAsia="Arial" w:hAnsi="Arial"/>
          <w:sz w:val="17"/>
          <w:szCs w:val="17"/>
          <w:color w:val="auto"/>
        </w:rPr>
      </w:pPr>
    </w:p>
    <w:p>
      <w:pPr>
        <w:jc w:val="both"/>
        <w:ind w:firstLine="1167"/>
        <w:spacing w:after="0" w:line="257" w:lineRule="auto"/>
        <w:tabs>
          <w:tab w:leader="none" w:pos="1616" w:val="left"/>
        </w:tabs>
        <w:numPr>
          <w:ilvl w:val="0"/>
          <w:numId w:val="316"/>
        </w:numPr>
        <w:rPr>
          <w:rFonts w:ascii="Arial" w:cs="Arial" w:eastAsia="Arial" w:hAnsi="Arial"/>
          <w:sz w:val="19"/>
          <w:szCs w:val="19"/>
          <w:color w:val="auto"/>
        </w:rPr>
      </w:pPr>
      <w:r>
        <w:rPr>
          <w:rFonts w:ascii="Arial" w:cs="Arial" w:eastAsia="Arial" w:hAnsi="Arial"/>
          <w:sz w:val="19"/>
          <w:szCs w:val="19"/>
          <w:color w:val="auto"/>
        </w:rPr>
        <w:t>Special form or “all risks” (or equivalent) property insurance for the Property covering such risks as are ordinarily insured against by similar businesses, but in any event including fire, lightning, windstorm, hail, explosion, riot, riot attending a strike, civil commotion, damage from aircraft, smoke, vandalism, malicious mischief and acts of terrorism. Unless otherwise agreed in writing by Lender, such insurance, in the aggregate, shall be for the greater of (i) the full insurable value of the Property, or (ii) the full principal amount of the Loan. The deductible amount under such policy or policies shall not exceed $10,000. No policy of insurance shall be written such that the proceeds thereof will produce less than the minimum coverage required by this Section by reason of co-insurance provisions or otherwise. The term “full insurable value” means the actual replacement cost of the Property (excluding foundation and excavation costs and costs of underground flues, pipes, drains and other uninsurable items). The “full insurable value” shall be determined from time to time at the request of Lender (but not more frequently than once every year) by an appraiser or appraisal company or one of the insurers, who shall be selected by Lender in its sole discretion and paid for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60"/>
          </w:cols>
          <w:pgMar w:left="320" w:top="1301" w:right="319" w:bottom="1440" w:gutter="0" w:footer="0" w:header="0"/>
        </w:sectPr>
      </w:pPr>
    </w:p>
    <w:bookmarkStart w:id="431" w:name="page432"/>
    <w:bookmarkEnd w:id="431"/>
    <w:p>
      <w:pPr>
        <w:jc w:val="both"/>
        <w:ind w:right="20" w:firstLine="1167"/>
        <w:spacing w:after="0" w:line="270" w:lineRule="auto"/>
        <w:tabs>
          <w:tab w:leader="none" w:pos="162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Comprehensive general public liability insurance for injuries to Persons and damage to property, in limits of not less than $2,000,000 for any one occurrence and $5,000,000 for the aggregate of all occurrences during any given annual policy period. Such insurance shall name Lender as an additional insured; and</w:t>
      </w:r>
    </w:p>
    <w:p>
      <w:pPr>
        <w:spacing w:after="0" w:line="102" w:lineRule="exact"/>
        <w:rPr>
          <w:rFonts w:ascii="Arial" w:cs="Arial" w:eastAsia="Arial" w:hAnsi="Arial"/>
          <w:sz w:val="19"/>
          <w:szCs w:val="19"/>
          <w:color w:val="auto"/>
        </w:rPr>
      </w:pPr>
    </w:p>
    <w:p>
      <w:pPr>
        <w:jc w:val="both"/>
        <w:ind w:firstLine="1167"/>
        <w:spacing w:after="0" w:line="272" w:lineRule="auto"/>
        <w:tabs>
          <w:tab w:leader="none" w:pos="159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Borrower shall obtain and maintain at all times rental loss, business interruption, or comparable insurance with respect to the Property covering the loss of net income, and coverage with respect to extra expenses incurred or to be incurred by the Borrower, resulting from any total or partial suspension of or interruption in the operation of the Property caused by damage to or destruction of any part of such facility as a result of the perils against which insurance is required under subsection (a) above, in each case providing coverage for a period of suspension or interruption of at least twelve (12) calendar months (provided, however, that so long as Guarantor carries business interruption in accordance with this sentence and naming Lender as a loss payee, then Borrower shall not be required to carry separate rental loss insurance). Such insurance shall be written on a form satisfactory to the Lender and the amounts payable thereunder shall be made available, together with other amounts derived from any continuing operations of the Borrower at the Property and any other funds of Borrower that may be required for such purpose, for the payments of principal and interest on the Loan, real estate taxes, insurance premiums and other expenses of operating the Property becoming due during the period of total or partial suspension of operations. Such coverage shall in no event be less than an amount customarily maintained by persons in similar circumstances having properties of comparable size and offering comparable services as those of the Borrower. The Borrower shall supply the Lender with certificates summarizing the terms of such insurance policy or policies and paid receipts indicating the payment of premiums due thereon.</w:t>
      </w:r>
    </w:p>
    <w:p>
      <w:pPr>
        <w:spacing w:after="0" w:line="104" w:lineRule="exact"/>
        <w:rPr>
          <w:rFonts w:ascii="Arial" w:cs="Arial" w:eastAsia="Arial" w:hAnsi="Arial"/>
          <w:sz w:val="18"/>
          <w:szCs w:val="18"/>
          <w:color w:val="auto"/>
        </w:rPr>
      </w:pPr>
    </w:p>
    <w:p>
      <w:pPr>
        <w:ind w:left="1580" w:hanging="413"/>
        <w:spacing w:after="0"/>
        <w:tabs>
          <w:tab w:leader="none" w:pos="158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Workers’ compensation insurance in accordance with the requirements of applicable law or regulation.</w:t>
      </w:r>
    </w:p>
    <w:p>
      <w:pPr>
        <w:spacing w:after="0" w:line="159" w:lineRule="exact"/>
        <w:rPr>
          <w:sz w:val="20"/>
          <w:szCs w:val="20"/>
          <w:color w:val="auto"/>
        </w:rPr>
      </w:pPr>
    </w:p>
    <w:p>
      <w:pPr>
        <w:jc w:val="both"/>
        <w:ind w:firstLine="585"/>
        <w:spacing w:after="0" w:line="276" w:lineRule="auto"/>
        <w:rPr>
          <w:sz w:val="20"/>
          <w:szCs w:val="20"/>
          <w:color w:val="auto"/>
        </w:rPr>
      </w:pPr>
      <w:r>
        <w:rPr>
          <w:rFonts w:ascii="Arial" w:cs="Arial" w:eastAsia="Arial" w:hAnsi="Arial"/>
          <w:sz w:val="18"/>
          <w:szCs w:val="18"/>
          <w:color w:val="auto"/>
        </w:rPr>
        <w:t>Each policy of insurance shall (i) be issued by one or more insurance companies each of which must have an A.M. Best Company financial and performance Rating of A-IX or better and are qualified or authorized by the Laws of the state in which the Property is located to assume the risks covered by such policy, (ii) with respect to the insurance described under the preceding subsections (a), (d), and (e), have attached thereto standard non-contributing, non-reporting mortgagee clauses in favor of and entitling Lender without contribution to collect any and all proceeds payable under such insurance, (iii) provide that such policy shall not be canceled or modified without at least thirty (30) days prior written notice to Lender, and (iv) provide that any loss otherwise payable thereunder shall be payable notwithstanding any act or negligence of Borrower which might, absent such agreement, result in a forfeiture of all or a part of such insurance payment.</w:t>
      </w:r>
    </w:p>
    <w:p>
      <w:pPr>
        <w:spacing w:after="0" w:line="100"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4.4</w:t>
      </w:r>
      <w:r>
        <w:rPr>
          <w:sz w:val="20"/>
          <w:szCs w:val="20"/>
          <w:color w:val="auto"/>
        </w:rPr>
        <w:tab/>
      </w:r>
      <w:r>
        <w:rPr>
          <w:rFonts w:ascii="Arial" w:cs="Arial" w:eastAsia="Arial" w:hAnsi="Arial"/>
          <w:sz w:val="17"/>
          <w:szCs w:val="17"/>
          <w:u w:val="single" w:color="auto"/>
          <w:color w:val="auto"/>
        </w:rPr>
        <w:t>Flood Insurance.</w:t>
      </w:r>
    </w:p>
    <w:p>
      <w:pPr>
        <w:spacing w:after="0" w:line="159" w:lineRule="exact"/>
        <w:rPr>
          <w:sz w:val="20"/>
          <w:szCs w:val="20"/>
          <w:color w:val="auto"/>
        </w:rPr>
      </w:pPr>
    </w:p>
    <w:p>
      <w:pPr>
        <w:jc w:val="both"/>
        <w:ind w:right="20" w:firstLine="585"/>
        <w:spacing w:after="0" w:line="264" w:lineRule="auto"/>
        <w:rPr>
          <w:sz w:val="20"/>
          <w:szCs w:val="20"/>
          <w:color w:val="auto"/>
        </w:rPr>
      </w:pPr>
      <w:r>
        <w:rPr>
          <w:rFonts w:ascii="Arial" w:cs="Arial" w:eastAsia="Arial" w:hAnsi="Arial"/>
          <w:sz w:val="19"/>
          <w:szCs w:val="19"/>
          <w:color w:val="auto"/>
        </w:rPr>
        <w:t xml:space="preserve">If required by applicable law or regulation, the Borrower shall provide or cause to be provided to the Lender a separate policy of flood insurance in the amount of the Loan or the maximum limit of coverage available with respect to the Property, whichever is the lesser, from a company or companies satisfactory to the Lender and written in strict conformity with the </w:t>
      </w:r>
      <w:r>
        <w:rPr>
          <w:rFonts w:ascii="Arial" w:cs="Arial" w:eastAsia="Arial" w:hAnsi="Arial"/>
          <w:sz w:val="19"/>
          <w:szCs w:val="19"/>
          <w:u w:val="single" w:color="auto"/>
          <w:color w:val="auto"/>
        </w:rPr>
        <w:t>Flood Disaster Protection Act of 1973</w:t>
      </w:r>
      <w:r>
        <w:rPr>
          <w:rFonts w:ascii="Arial" w:cs="Arial" w:eastAsia="Arial" w:hAnsi="Arial"/>
          <w:sz w:val="19"/>
          <w:szCs w:val="19"/>
          <w:color w:val="auto"/>
        </w:rPr>
        <w:t>, as amended, and all applicable regulations adopted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60"/>
          </w:cols>
          <w:pgMar w:left="320" w:top="1302" w:right="319" w:bottom="1440" w:gutter="0" w:footer="0" w:header="0"/>
        </w:sectPr>
      </w:pPr>
    </w:p>
    <w:bookmarkStart w:id="432" w:name="page433"/>
    <w:bookmarkEnd w:id="432"/>
    <w:p>
      <w:pPr>
        <w:jc w:val="both"/>
        <w:ind w:right="20"/>
        <w:spacing w:after="0" w:line="262" w:lineRule="auto"/>
        <w:rPr>
          <w:sz w:val="20"/>
          <w:szCs w:val="20"/>
          <w:color w:val="auto"/>
        </w:rPr>
      </w:pPr>
      <w:r>
        <w:rPr>
          <w:rFonts w:ascii="Arial" w:cs="Arial" w:eastAsia="Arial" w:hAnsi="Arial"/>
          <w:sz w:val="19"/>
          <w:szCs w:val="19"/>
          <w:color w:val="auto"/>
        </w:rPr>
        <w:t>thereto. In the event that flood insurance is not required by applicable law or regulation to be provided in connection with the Loan or is not otherwise available with respect to the Property, the Borrower shall supply the Lender with written evidence, in form and substance satisfactory to the Lender, to that effect. Any such policy shall provide that the policy may not be surrendered, cancelled or substantially modified (including, without limitation, cancellation for non-payment of premiums) without at least thirty (30) days’ prior written notice to any and all insureds named therein, including the Lender.</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4.5</w:t>
      </w:r>
      <w:r>
        <w:rPr>
          <w:sz w:val="20"/>
          <w:szCs w:val="20"/>
          <w:color w:val="auto"/>
        </w:rPr>
        <w:tab/>
      </w:r>
      <w:r>
        <w:rPr>
          <w:rFonts w:ascii="Arial" w:cs="Arial" w:eastAsia="Arial" w:hAnsi="Arial"/>
          <w:sz w:val="17"/>
          <w:szCs w:val="17"/>
          <w:u w:val="single" w:color="auto"/>
          <w:color w:val="auto"/>
        </w:rPr>
        <w:t>Fees and Expenses; Indemnity.</w:t>
      </w:r>
    </w:p>
    <w:p>
      <w:pPr>
        <w:spacing w:after="0" w:line="159" w:lineRule="exact"/>
        <w:rPr>
          <w:sz w:val="20"/>
          <w:szCs w:val="20"/>
          <w:color w:val="auto"/>
        </w:rPr>
      </w:pPr>
    </w:p>
    <w:p>
      <w:pPr>
        <w:jc w:val="both"/>
        <w:ind w:right="20" w:firstLine="585"/>
        <w:spacing w:after="0" w:line="291" w:lineRule="auto"/>
        <w:rPr>
          <w:sz w:val="20"/>
          <w:szCs w:val="20"/>
          <w:color w:val="auto"/>
        </w:rPr>
      </w:pPr>
      <w:r>
        <w:rPr>
          <w:rFonts w:ascii="Arial" w:cs="Arial" w:eastAsia="Arial" w:hAnsi="Arial"/>
          <w:sz w:val="18"/>
          <w:szCs w:val="18"/>
          <w:color w:val="auto"/>
        </w:rPr>
        <w:t>The Borrower shall pay all fees, charges, costs and expenses required to satisfy the conditions of or incurred by Lender in connection with the Loan Documents. The Borrower shall hold the Lender harmless and indemnify the Lender against all claims of brokers and “finders” arising by reason of the execution and delivery of the Loan Documents or the consummation of the transaction contemplated hereby.</w:t>
      </w:r>
    </w:p>
    <w:p>
      <w:pPr>
        <w:spacing w:after="0" w:line="87"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4.6</w:t>
      </w:r>
      <w:r>
        <w:rPr>
          <w:sz w:val="20"/>
          <w:szCs w:val="20"/>
          <w:color w:val="auto"/>
        </w:rPr>
        <w:tab/>
      </w:r>
      <w:r>
        <w:rPr>
          <w:rFonts w:ascii="Arial" w:cs="Arial" w:eastAsia="Arial" w:hAnsi="Arial"/>
          <w:sz w:val="17"/>
          <w:szCs w:val="17"/>
          <w:u w:val="single" w:color="auto"/>
          <w:color w:val="auto"/>
        </w:rPr>
        <w:t>Operating Account</w:t>
      </w:r>
      <w:r>
        <w:rPr>
          <w:rFonts w:ascii="Arial" w:cs="Arial" w:eastAsia="Arial" w:hAnsi="Arial"/>
          <w:sz w:val="17"/>
          <w:szCs w:val="17"/>
          <w:color w:val="auto"/>
        </w:rPr>
        <w:t>.</w:t>
      </w:r>
    </w:p>
    <w:p>
      <w:pPr>
        <w:spacing w:after="0" w:line="159" w:lineRule="exact"/>
        <w:rPr>
          <w:sz w:val="20"/>
          <w:szCs w:val="20"/>
          <w:color w:val="auto"/>
        </w:rPr>
      </w:pPr>
    </w:p>
    <w:p>
      <w:pPr>
        <w:jc w:val="both"/>
        <w:ind w:right="20" w:firstLine="585"/>
        <w:spacing w:after="0" w:line="284" w:lineRule="auto"/>
        <w:rPr>
          <w:sz w:val="20"/>
          <w:szCs w:val="20"/>
          <w:color w:val="auto"/>
        </w:rPr>
      </w:pPr>
      <w:r>
        <w:rPr>
          <w:rFonts w:ascii="Arial" w:cs="Arial" w:eastAsia="Arial" w:hAnsi="Arial"/>
          <w:sz w:val="18"/>
          <w:szCs w:val="18"/>
          <w:color w:val="auto"/>
        </w:rPr>
        <w:t>For the term of the Loan, including any extensions, the Borrower shall maintain (or cause to be maintained) all operating accounts for the Property with the Lender. The Borrower hereby authorizes the Lender to deduct from such accounts (to the extent not precluded by laws) if deemed necessary by the Lender such sums as are necessary to pay delinquent accrued and unpaid interest on the Loan to the extent the same is not paid when due, and to pay any other amounts due under the Loan Documents while any Event of Default exists.</w:t>
      </w:r>
    </w:p>
    <w:p>
      <w:pPr>
        <w:spacing w:after="0" w:line="92"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4.7</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5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4.8</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5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4.9</w:t>
      </w:r>
      <w:r>
        <w:rPr>
          <w:sz w:val="20"/>
          <w:szCs w:val="20"/>
          <w:color w:val="auto"/>
        </w:rPr>
        <w:tab/>
      </w:r>
      <w:r>
        <w:rPr>
          <w:rFonts w:ascii="Arial" w:cs="Arial" w:eastAsia="Arial" w:hAnsi="Arial"/>
          <w:sz w:val="17"/>
          <w:szCs w:val="17"/>
          <w:u w:val="single" w:color="auto"/>
          <w:color w:val="auto"/>
        </w:rPr>
        <w:t>Financial Statements.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Borrower shall furnish or cause to be furnished to the Lender:</w:t>
      </w:r>
    </w:p>
    <w:p>
      <w:pPr>
        <w:spacing w:after="0" w:line="159" w:lineRule="exact"/>
        <w:rPr>
          <w:sz w:val="20"/>
          <w:szCs w:val="20"/>
          <w:color w:val="auto"/>
        </w:rPr>
      </w:pPr>
    </w:p>
    <w:p>
      <w:pPr>
        <w:jc w:val="both"/>
        <w:ind w:firstLine="1167"/>
        <w:spacing w:after="0" w:line="262" w:lineRule="auto"/>
        <w:tabs>
          <w:tab w:leader="none" w:pos="1667" w:val="left"/>
        </w:tabs>
        <w:numPr>
          <w:ilvl w:val="0"/>
          <w:numId w:val="318"/>
        </w:numPr>
        <w:rPr>
          <w:rFonts w:ascii="Arial" w:cs="Arial" w:eastAsia="Arial" w:hAnsi="Arial"/>
          <w:sz w:val="19"/>
          <w:szCs w:val="19"/>
          <w:color w:val="auto"/>
        </w:rPr>
      </w:pPr>
      <w:r>
        <w:rPr>
          <w:rFonts w:ascii="Arial" w:cs="Arial" w:eastAsia="Arial" w:hAnsi="Arial"/>
          <w:sz w:val="19"/>
          <w:szCs w:val="19"/>
          <w:color w:val="auto"/>
        </w:rPr>
        <w:t>as soon as available but in no event more than one hundred eighty (80) days after year end, annual company-prepared financial statements for the Borrower, Guarantor and the Property. Such annual financial statements shall be accompanied by a certified rent roll for the Property and a certification of an authorized officer or member of the Borrower having responsibility for financial matters that such statements have been prepared under such person’s supervision and fairly present, in all material respects, the financial position and results of operations of the Borrower and the Property for the period presented therein;</w:t>
      </w:r>
    </w:p>
    <w:p>
      <w:pPr>
        <w:spacing w:after="0" w:line="110" w:lineRule="exact"/>
        <w:rPr>
          <w:rFonts w:ascii="Arial" w:cs="Arial" w:eastAsia="Arial" w:hAnsi="Arial"/>
          <w:sz w:val="19"/>
          <w:szCs w:val="19"/>
          <w:color w:val="auto"/>
        </w:rPr>
      </w:pPr>
    </w:p>
    <w:p>
      <w:pPr>
        <w:jc w:val="both"/>
        <w:ind w:right="20" w:firstLine="1167"/>
        <w:spacing w:after="0" w:line="270" w:lineRule="auto"/>
        <w:tabs>
          <w:tab w:leader="none" w:pos="1597" w:val="left"/>
        </w:tabs>
        <w:numPr>
          <w:ilvl w:val="0"/>
          <w:numId w:val="318"/>
        </w:numPr>
        <w:rPr>
          <w:rFonts w:ascii="Arial" w:cs="Arial" w:eastAsia="Arial" w:hAnsi="Arial"/>
          <w:sz w:val="19"/>
          <w:szCs w:val="19"/>
          <w:color w:val="auto"/>
        </w:rPr>
      </w:pPr>
      <w:r>
        <w:rPr>
          <w:rFonts w:ascii="Arial" w:cs="Arial" w:eastAsia="Arial" w:hAnsi="Arial"/>
          <w:sz w:val="19"/>
          <w:szCs w:val="19"/>
          <w:color w:val="auto"/>
        </w:rPr>
        <w:t>as soon as available but in no event more than one hundred eighty (180) days after year end, audited financial statements of the Guarantor, which statements shall be prepared in accordance with GAAP, and shall include a balance sheet and a statement of income and expenses for the year then ended and shall be certified as true and correct by the Guarantor;</w:t>
      </w:r>
    </w:p>
    <w:p>
      <w:pPr>
        <w:spacing w:after="0" w:line="102" w:lineRule="exact"/>
        <w:rPr>
          <w:rFonts w:ascii="Arial" w:cs="Arial" w:eastAsia="Arial" w:hAnsi="Arial"/>
          <w:sz w:val="19"/>
          <w:szCs w:val="19"/>
          <w:color w:val="auto"/>
        </w:rPr>
      </w:pPr>
    </w:p>
    <w:p>
      <w:pPr>
        <w:ind w:right="20" w:firstLine="1167"/>
        <w:spacing w:after="0" w:line="315" w:lineRule="auto"/>
        <w:tabs>
          <w:tab w:leader="none" w:pos="171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promptly upon the Lender’s request but in no event more than thirty (30) days after Lender’s request therefor, such additional financial statements or additional information regarding the business, financial or corporate affairs of Borrower, Guarantor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60"/>
          </w:cols>
          <w:pgMar w:left="320" w:top="1301" w:right="319" w:bottom="1440" w:gutter="0" w:footer="0" w:header="0"/>
        </w:sectPr>
      </w:pPr>
    </w:p>
    <w:bookmarkStart w:id="433" w:name="page434"/>
    <w:bookmarkEnd w:id="433"/>
    <w:p>
      <w:pPr>
        <w:spacing w:after="0"/>
        <w:rPr>
          <w:sz w:val="20"/>
          <w:szCs w:val="20"/>
          <w:color w:val="auto"/>
        </w:rPr>
      </w:pPr>
      <w:r>
        <w:rPr>
          <w:rFonts w:ascii="Arial" w:cs="Arial" w:eastAsia="Arial" w:hAnsi="Arial"/>
          <w:sz w:val="19"/>
          <w:szCs w:val="19"/>
          <w:color w:val="auto"/>
        </w:rPr>
        <w:t>Property or compliance with the terms of the Loan Documents, as Lender may from time to time reasonably request.</w:t>
      </w:r>
    </w:p>
    <w:p>
      <w:pPr>
        <w:spacing w:after="0" w:line="159"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4.10</w:t>
      </w:r>
      <w:r>
        <w:rPr>
          <w:sz w:val="20"/>
          <w:szCs w:val="20"/>
          <w:color w:val="auto"/>
        </w:rPr>
        <w:tab/>
      </w:r>
      <w:r>
        <w:rPr>
          <w:rFonts w:ascii="Arial" w:cs="Arial" w:eastAsia="Arial" w:hAnsi="Arial"/>
          <w:sz w:val="16"/>
          <w:szCs w:val="16"/>
          <w:u w:val="single" w:color="auto"/>
          <w:color w:val="auto"/>
        </w:rPr>
        <w:t>Leases.</w:t>
      </w:r>
    </w:p>
    <w:p>
      <w:pPr>
        <w:spacing w:after="0" w:line="159" w:lineRule="exact"/>
        <w:rPr>
          <w:sz w:val="20"/>
          <w:szCs w:val="20"/>
          <w:color w:val="auto"/>
        </w:rPr>
      </w:pPr>
    </w:p>
    <w:p>
      <w:pPr>
        <w:jc w:val="both"/>
        <w:ind w:firstLine="1167"/>
        <w:spacing w:after="0" w:line="277" w:lineRule="auto"/>
        <w:tabs>
          <w:tab w:leader="none" w:pos="160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Borrower and Guarantor shall maintain the Expensify Lease in effect at all times during the Loan term, and any default by Borrower or Guarantor under the Expensify Lease that continues beyond any applicable notice and cure periods provided therein shall be an Event of Default. All subleases of the premises or any portion of the premises subject to the Expensify Lease shall be subject to the prior review and approval of the Lender in its sole and absolute; provided however that Lender shall not unreasonably withhold its approval for any subleases for less than fifty percent (50%) of the rentable square footage of such premises, calculated in the aggregate for all subleases then in effect. All such subleases shall contain such commercially reasonable provisions as Lender may require.</w:t>
      </w:r>
    </w:p>
    <w:p>
      <w:pPr>
        <w:spacing w:after="0" w:line="101" w:lineRule="exact"/>
        <w:rPr>
          <w:rFonts w:ascii="Arial" w:cs="Arial" w:eastAsia="Arial" w:hAnsi="Arial"/>
          <w:sz w:val="18"/>
          <w:szCs w:val="18"/>
          <w:color w:val="auto"/>
        </w:rPr>
      </w:pPr>
    </w:p>
    <w:p>
      <w:pPr>
        <w:ind w:left="1620" w:hanging="453"/>
        <w:spacing w:after="0"/>
        <w:tabs>
          <w:tab w:leader="none" w:pos="162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Borrower shall submit executed copies of all subleases to the Lender within seven (7) Business Days of the execution</w:t>
      </w:r>
    </w:p>
    <w:p>
      <w:pPr>
        <w:spacing w:after="0" w:line="5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of the same.</w:t>
      </w:r>
    </w:p>
    <w:p>
      <w:pPr>
        <w:spacing w:after="0" w:line="143" w:lineRule="exact"/>
        <w:rPr>
          <w:rFonts w:ascii="Arial" w:cs="Arial" w:eastAsia="Arial" w:hAnsi="Arial"/>
          <w:sz w:val="17"/>
          <w:szCs w:val="17"/>
          <w:color w:val="auto"/>
        </w:rPr>
      </w:pPr>
    </w:p>
    <w:p>
      <w:pPr>
        <w:jc w:val="both"/>
        <w:ind w:right="20" w:firstLine="1167"/>
        <w:spacing w:after="0" w:line="272" w:lineRule="auto"/>
        <w:tabs>
          <w:tab w:leader="none" w:pos="159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Borrower shall (i) observe and perform all obligations imposed by the Expensify Lease or any subleases, if applicable, and will not do or permit to be done anything to impair the security thereof; (ii) use its best efforts to enforce or secure, or cause to be enforced or secured, the performance of each and every obligation and undertaking under the Expensify Lease or any subleases, if applicable, and will appear in and defend, at the Borrower’s sole cost and expense, any action or proceeding arising under, or in any manner connected with the Expensify Lease or any subleases, if applicable; (iii) not collect any of the rents more than thirty (30) days in advance of the time when the same become due under the terms of the Expensify Lease; (iv) not discount any future accruing rents; (v) without the prior written consent of the Lender, to be granted or withheld in Lender’s sole and absolute discretion, not execute any assignment of the Expensify Lease or the rents therefrom; (vi) not modify the rent, the term, the demised premises or the common area maintenance charges under the Expensify Lease, or add or modify any option or right of first refusal to purchase all or any portion of the Property or any present or future interest therein, or surrender, cancel or terminate the Expensify Lease, without the prior written consent of Lender, to be granted or withheld in Lender’s sole and absolute discretion; and (vii) execute and deliver, at the request of the Lender, all such assignments of the Expensify Lease for security purposes as the Lender may from time to time require.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NEGATIVE COVENANTS</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5.1</w:t>
      </w:r>
      <w:r>
        <w:rPr>
          <w:sz w:val="20"/>
          <w:szCs w:val="20"/>
          <w:color w:val="auto"/>
        </w:rPr>
        <w:tab/>
      </w:r>
      <w:r>
        <w:rPr>
          <w:rFonts w:ascii="Arial" w:cs="Arial" w:eastAsia="Arial" w:hAnsi="Arial"/>
          <w:sz w:val="17"/>
          <w:szCs w:val="17"/>
          <w:u w:val="single" w:color="auto"/>
          <w:color w:val="auto"/>
        </w:rPr>
        <w:t>Other Liens; Transfers; “Due-on-Sale”; etc.</w:t>
      </w:r>
    </w:p>
    <w:p>
      <w:pPr>
        <w:spacing w:after="0" w:line="159"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9"/>
          <w:szCs w:val="19"/>
          <w:color w:val="auto"/>
        </w:rPr>
        <w:t>The Borrower shall not, without the prior written consent of the Lender, create or permit to be created or remain with respect to the Property or any part thereof or income therefrom, any mortgage, pledge, lien, encumbrance or charge, or security interest, or conditional sale or other title retention agreement, whether prior or subordinate to the lien of the Loan Documents, other than in connection with the Loan Documents or as otherwise provided or permitted therein. The Borrower shall not, without the prior written consent of the Lender, make, create, permit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60"/>
          </w:cols>
          <w:pgMar w:left="320" w:top="1301" w:right="319" w:bottom="1440" w:gutter="0" w:footer="0" w:header="0"/>
        </w:sectPr>
      </w:pPr>
    </w:p>
    <w:bookmarkStart w:id="434" w:name="page435"/>
    <w:bookmarkEnd w:id="434"/>
    <w:p>
      <w:pPr>
        <w:jc w:val="both"/>
        <w:spacing w:after="0" w:line="286" w:lineRule="auto"/>
        <w:rPr>
          <w:sz w:val="20"/>
          <w:szCs w:val="20"/>
          <w:color w:val="auto"/>
        </w:rPr>
      </w:pPr>
      <w:r>
        <w:rPr>
          <w:rFonts w:ascii="Arial" w:cs="Arial" w:eastAsia="Arial" w:hAnsi="Arial"/>
          <w:sz w:val="19"/>
          <w:szCs w:val="19"/>
          <w:color w:val="auto"/>
        </w:rPr>
        <w:t>consent to any conveyance, sale, assignment or transfer of the Property or any part thereof, other than in connection with the Loan Documents or as otherwise provided or permitted therein.</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5.2</w:t>
      </w:r>
      <w:r>
        <w:rPr>
          <w:sz w:val="20"/>
          <w:szCs w:val="20"/>
          <w:color w:val="auto"/>
        </w:rPr>
        <w:tab/>
      </w:r>
      <w:r>
        <w:rPr>
          <w:rFonts w:ascii="Arial" w:cs="Arial" w:eastAsia="Arial" w:hAnsi="Arial"/>
          <w:sz w:val="17"/>
          <w:szCs w:val="17"/>
          <w:u w:val="single" w:color="auto"/>
          <w:color w:val="auto"/>
        </w:rPr>
        <w:t>Impairment of Security.</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Borrower shall take no action which shall impair in any manner the value of the Property or the validity, priority or security of the Deed of Trust.</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5.3</w:t>
      </w:r>
      <w:r>
        <w:rPr>
          <w:sz w:val="20"/>
          <w:szCs w:val="20"/>
          <w:color w:val="auto"/>
        </w:rPr>
        <w:tab/>
      </w:r>
      <w:r>
        <w:rPr>
          <w:rFonts w:ascii="Arial" w:cs="Arial" w:eastAsia="Arial" w:hAnsi="Arial"/>
          <w:sz w:val="17"/>
          <w:szCs w:val="17"/>
          <w:u w:val="single" w:color="auto"/>
          <w:color w:val="auto"/>
        </w:rPr>
        <w:t>Conditional Sales.</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Borrower shall not incorporate in the Improvements any property acquired under a conditional sales contract, or lease, or as to which the vendor retains title or a security interest, without the prior written consent of the Lender.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EVENTS OF DEFAULT</w:t>
      </w:r>
    </w:p>
    <w:p>
      <w:pPr>
        <w:spacing w:after="0" w:line="143"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terms “Event(s) of Default”, as used in this Agreement shall mean the occurrence or happening, from time to time, of any one or more of the following:</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6.1</w:t>
      </w:r>
      <w:r>
        <w:rPr>
          <w:sz w:val="20"/>
          <w:szCs w:val="20"/>
          <w:color w:val="auto"/>
        </w:rPr>
        <w:tab/>
      </w:r>
      <w:r>
        <w:rPr>
          <w:rFonts w:ascii="Arial" w:cs="Arial" w:eastAsia="Arial" w:hAnsi="Arial"/>
          <w:sz w:val="17"/>
          <w:szCs w:val="17"/>
          <w:u w:val="single" w:color="auto"/>
          <w:color w:val="auto"/>
        </w:rPr>
        <w:t>Failure to Pay</w:t>
      </w:r>
      <w:r>
        <w:rPr>
          <w:rFonts w:ascii="Arial" w:cs="Arial" w:eastAsia="Arial" w:hAnsi="Arial"/>
          <w:sz w:val="17"/>
          <w:szCs w:val="17"/>
          <w:color w:val="auto"/>
        </w:rPr>
        <w:t>.</w:t>
      </w:r>
    </w:p>
    <w:p>
      <w:pPr>
        <w:spacing w:after="0" w:line="159"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9"/>
          <w:szCs w:val="19"/>
          <w:color w:val="auto"/>
        </w:rPr>
        <w:t>The occurrence of any of the following: (i) the Borrower shall fail to pay the Obligations in full on the Maturity Date (as defined in the Note); (ii) the Borrower shall fail to pay when due any payment of interest on the Loan or of principal or principal and interest (other than as described in clause (i) above) which is not cured within any cure period made applicable thereto by the terms of the Note; or (iii) the Borrower shall fail to pay any other amount owed to the Lender under this Agreement or otherwise under any of the other Loan Documents within ten (10) days after written notice that the same is due.</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6.2</w:t>
      </w:r>
      <w:r>
        <w:rPr>
          <w:sz w:val="20"/>
          <w:szCs w:val="20"/>
          <w:color w:val="auto"/>
        </w:rPr>
        <w:tab/>
      </w:r>
      <w:r>
        <w:rPr>
          <w:rFonts w:ascii="Arial" w:cs="Arial" w:eastAsia="Arial" w:hAnsi="Arial"/>
          <w:sz w:val="17"/>
          <w:szCs w:val="17"/>
          <w:u w:val="single" w:color="auto"/>
          <w:color w:val="auto"/>
        </w:rPr>
        <w:t>Defaults Under Other Loan Documents.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Any default or event of default (as defined therein) shall occur under the Note or any of the other Loan Documents.</w:t>
      </w:r>
    </w:p>
    <w:p>
      <w:pPr>
        <w:spacing w:after="0" w:line="15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6.3</w:t>
      </w:r>
      <w:r>
        <w:rPr>
          <w:sz w:val="20"/>
          <w:szCs w:val="20"/>
          <w:color w:val="auto"/>
        </w:rPr>
        <w:tab/>
      </w:r>
      <w:r>
        <w:rPr>
          <w:rFonts w:ascii="Arial" w:cs="Arial" w:eastAsia="Arial" w:hAnsi="Arial"/>
          <w:sz w:val="17"/>
          <w:szCs w:val="17"/>
          <w:u w:val="single" w:color="auto"/>
          <w:color w:val="auto"/>
        </w:rPr>
        <w:t>Representations and Warranties.</w:t>
      </w:r>
    </w:p>
    <w:p>
      <w:pPr>
        <w:spacing w:after="0" w:line="159" w:lineRule="exact"/>
        <w:rPr>
          <w:sz w:val="20"/>
          <w:szCs w:val="20"/>
          <w:color w:val="auto"/>
        </w:rPr>
      </w:pPr>
    </w:p>
    <w:p>
      <w:pPr>
        <w:jc w:val="both"/>
        <w:ind w:firstLine="585"/>
        <w:spacing w:after="0" w:line="315" w:lineRule="auto"/>
        <w:rPr>
          <w:sz w:val="20"/>
          <w:szCs w:val="20"/>
          <w:color w:val="auto"/>
        </w:rPr>
      </w:pPr>
      <w:r>
        <w:rPr>
          <w:rFonts w:ascii="Arial" w:cs="Arial" w:eastAsia="Arial" w:hAnsi="Arial"/>
          <w:sz w:val="18"/>
          <w:szCs w:val="18"/>
          <w:color w:val="auto"/>
        </w:rPr>
        <w:t>Any representation or warranty contained in this Agreement, or in any other document, certificate or opinion delivered to the Lender in connection with the Loan, shall prove at any time to be incorrect or misleading in any material respect either on the date when made.</w:t>
      </w:r>
    </w:p>
    <w:p>
      <w:pPr>
        <w:spacing w:after="0" w:line="66"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6.4</w:t>
      </w:r>
      <w:r>
        <w:rPr>
          <w:sz w:val="20"/>
          <w:szCs w:val="20"/>
          <w:color w:val="auto"/>
        </w:rPr>
        <w:tab/>
      </w:r>
      <w:r>
        <w:rPr>
          <w:rFonts w:ascii="Arial" w:cs="Arial" w:eastAsia="Arial" w:hAnsi="Arial"/>
          <w:sz w:val="17"/>
          <w:szCs w:val="17"/>
          <w:u w:val="single" w:color="auto"/>
          <w:color w:val="auto"/>
        </w:rPr>
        <w:t>Compliance with Covenants.</w:t>
      </w:r>
    </w:p>
    <w:p>
      <w:pPr>
        <w:spacing w:after="0" w:line="159" w:lineRule="exact"/>
        <w:rPr>
          <w:sz w:val="20"/>
          <w:szCs w:val="20"/>
          <w:color w:val="auto"/>
        </w:rPr>
      </w:pPr>
    </w:p>
    <w:p>
      <w:pPr>
        <w:jc w:val="both"/>
        <w:ind w:firstLine="585"/>
        <w:spacing w:after="0" w:line="284" w:lineRule="auto"/>
        <w:rPr>
          <w:sz w:val="20"/>
          <w:szCs w:val="20"/>
          <w:color w:val="auto"/>
        </w:rPr>
      </w:pPr>
      <w:r>
        <w:rPr>
          <w:rFonts w:ascii="Arial" w:cs="Arial" w:eastAsia="Arial" w:hAnsi="Arial"/>
          <w:sz w:val="18"/>
          <w:szCs w:val="18"/>
          <w:color w:val="auto"/>
        </w:rPr>
        <w:t>The Borrower shall fail to comply with the terms of any covenant or agreement contained in this Agreement, and such breach is not cured within thirty (30) days after Notice, or if such breach cannot be cured within thirty (30) days, the Borrower shall have such additional time as is reasonably necessary to cure such breach so long as the Borrower commences to cure the breach within said 30-day period and delinquently pursues the cure thereafter, but in no event shall the Borrower have more than ninety (90) total days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1301" w:right="339" w:bottom="1440" w:gutter="0" w:footer="0" w:header="0"/>
        </w:sectPr>
      </w:pPr>
    </w:p>
    <w:bookmarkStart w:id="435" w:name="page436"/>
    <w:bookmarkEnd w:id="435"/>
    <w:p>
      <w:pPr>
        <w:ind w:left="580"/>
        <w:spacing w:after="0"/>
        <w:tabs>
          <w:tab w:leader="none" w:pos="1640" w:val="left"/>
        </w:tabs>
        <w:rPr>
          <w:sz w:val="20"/>
          <w:szCs w:val="20"/>
          <w:color w:val="auto"/>
        </w:rPr>
      </w:pPr>
      <w:r>
        <w:rPr>
          <w:rFonts w:ascii="Arial" w:cs="Arial" w:eastAsia="Arial" w:hAnsi="Arial"/>
          <w:sz w:val="19"/>
          <w:szCs w:val="19"/>
          <w:color w:val="auto"/>
        </w:rPr>
        <w:t>Section 6.5</w:t>
      </w:r>
      <w:r>
        <w:rPr>
          <w:sz w:val="20"/>
          <w:szCs w:val="20"/>
          <w:color w:val="auto"/>
        </w:rPr>
        <w:tab/>
      </w:r>
      <w:r>
        <w:rPr>
          <w:rFonts w:ascii="Arial" w:cs="Arial" w:eastAsia="Arial" w:hAnsi="Arial"/>
          <w:sz w:val="17"/>
          <w:szCs w:val="17"/>
          <w:u w:val="single" w:color="auto"/>
          <w:color w:val="auto"/>
        </w:rPr>
        <w:t>Damage to Improvements.</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At any time the Improvements are substantially damaged or destroyed by fire or other casualty and the Lender determines in good faith that the Improvements cannot be restored and completed in accordance with the terms and provisions of the Deed of Trust.</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6.6</w:t>
      </w:r>
      <w:r>
        <w:rPr>
          <w:sz w:val="20"/>
          <w:szCs w:val="20"/>
          <w:color w:val="auto"/>
        </w:rPr>
        <w:tab/>
      </w:r>
      <w:r>
        <w:rPr>
          <w:rFonts w:ascii="Arial" w:cs="Arial" w:eastAsia="Arial" w:hAnsi="Arial"/>
          <w:sz w:val="17"/>
          <w:szCs w:val="17"/>
          <w:u w:val="single" w:color="auto"/>
          <w:color w:val="auto"/>
        </w:rPr>
        <w:t>Mechanic’s Lien.</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A lien for the performance of work or the supply of materials which is filed against the Land remains unsatisfied or unbonded for a period of twenty (20) days after the date Borrower receives a copy of the filing thereof.</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6.7</w:t>
      </w:r>
      <w:r>
        <w:rPr>
          <w:sz w:val="20"/>
          <w:szCs w:val="20"/>
          <w:color w:val="auto"/>
        </w:rPr>
        <w:tab/>
      </w:r>
      <w:r>
        <w:rPr>
          <w:rFonts w:ascii="Arial" w:cs="Arial" w:eastAsia="Arial" w:hAnsi="Arial"/>
          <w:sz w:val="17"/>
          <w:szCs w:val="17"/>
          <w:u w:val="single" w:color="auto"/>
          <w:color w:val="auto"/>
        </w:rPr>
        <w:t>Cross Default.</w:t>
      </w:r>
    </w:p>
    <w:p>
      <w:pPr>
        <w:spacing w:after="0" w:line="159"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9"/>
          <w:szCs w:val="19"/>
          <w:color w:val="auto"/>
        </w:rPr>
        <w:t>Any Event of Default by Guarantor under that certain Loan and Security Agreement dated May 24, 2018 by and among Lender and Guarantor, as amended by the First Amendment to Loan and Security Agreement dated November 16, 2018, and as further amended by the Second Amendment to Loan and Security Agreement dated as of the date hereof (as may be further amended, supplemented, modified, or extended, the “</w:t>
      </w:r>
      <w:r>
        <w:rPr>
          <w:rFonts w:ascii="Arial" w:cs="Arial" w:eastAsia="Arial" w:hAnsi="Arial"/>
          <w:sz w:val="19"/>
          <w:szCs w:val="19"/>
          <w:b w:val="1"/>
          <w:bCs w:val="1"/>
          <w:i w:val="1"/>
          <w:iCs w:val="1"/>
          <w:color w:val="auto"/>
        </w:rPr>
        <w:t>Senior Facility</w:t>
      </w:r>
      <w:r>
        <w:rPr>
          <w:rFonts w:ascii="Arial" w:cs="Arial" w:eastAsia="Arial" w:hAnsi="Arial"/>
          <w:sz w:val="19"/>
          <w:szCs w:val="19"/>
          <w:color w:val="auto"/>
        </w:rPr>
        <w:t>”) or any default by Borrower or Guarantor under any existing or future financing agreement with Lender or its affiliates, successors, or assigns.</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6.8</w:t>
      </w:r>
      <w:r>
        <w:rPr>
          <w:sz w:val="20"/>
          <w:szCs w:val="20"/>
          <w:color w:val="auto"/>
        </w:rPr>
        <w:tab/>
      </w:r>
      <w:r>
        <w:rPr>
          <w:rFonts w:ascii="Arial" w:cs="Arial" w:eastAsia="Arial" w:hAnsi="Arial"/>
          <w:sz w:val="17"/>
          <w:szCs w:val="17"/>
          <w:u w:val="single" w:color="auto"/>
          <w:color w:val="auto"/>
        </w:rPr>
        <w:t>Insurance Obligations.</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Any failure by Borrower to perform or comply with any of the terms and conditions set forth in Section 4.3 (Insurance) or 4.4 (Flood Insurance).</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6.9</w:t>
      </w:r>
      <w:r>
        <w:rPr>
          <w:sz w:val="20"/>
          <w:szCs w:val="20"/>
          <w:color w:val="auto"/>
        </w:rPr>
        <w:tab/>
      </w:r>
      <w:r>
        <w:rPr>
          <w:rFonts w:ascii="Arial" w:cs="Arial" w:eastAsia="Arial" w:hAnsi="Arial"/>
          <w:sz w:val="17"/>
          <w:szCs w:val="17"/>
          <w:u w:val="single" w:color="auto"/>
          <w:color w:val="auto"/>
        </w:rPr>
        <w:t>Change in Zoning or Public Restriction.</w:t>
      </w:r>
    </w:p>
    <w:p>
      <w:pPr>
        <w:spacing w:after="0" w:line="159" w:lineRule="exact"/>
        <w:rPr>
          <w:sz w:val="20"/>
          <w:szCs w:val="20"/>
          <w:color w:val="auto"/>
        </w:rPr>
      </w:pPr>
    </w:p>
    <w:p>
      <w:pPr>
        <w:jc w:val="both"/>
        <w:ind w:right="20" w:firstLine="585"/>
        <w:spacing w:after="0" w:line="305" w:lineRule="auto"/>
        <w:rPr>
          <w:sz w:val="20"/>
          <w:szCs w:val="20"/>
          <w:color w:val="auto"/>
        </w:rPr>
      </w:pPr>
      <w:r>
        <w:rPr>
          <w:rFonts w:ascii="Arial" w:cs="Arial" w:eastAsia="Arial" w:hAnsi="Arial"/>
          <w:sz w:val="17"/>
          <w:szCs w:val="17"/>
          <w:color w:val="auto"/>
        </w:rPr>
        <w:t>Any change in any zoning ordinance or regulation or any other public restriction is enacted, adopted or implemented, that limits or defines the uses which may be made of the Property such that the present or intended use of the Property, as specified in the Loan Documents, would be in violation of such zoning ordinance or regulation or public restriction, as changed, unless the Borrower obtains a variance or other relief from such zoning laws within ninety (90) days thereafter or the Property is otherwise “grandfathered” as a legal, non-conforming use.</w:t>
      </w:r>
    </w:p>
    <w:p>
      <w:pPr>
        <w:spacing w:after="0" w:line="7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6.10</w:t>
      </w:r>
      <w:r>
        <w:rPr>
          <w:sz w:val="20"/>
          <w:szCs w:val="20"/>
          <w:color w:val="auto"/>
        </w:rPr>
        <w:tab/>
      </w:r>
      <w:r>
        <w:rPr>
          <w:rFonts w:ascii="Arial" w:cs="Arial" w:eastAsia="Arial" w:hAnsi="Arial"/>
          <w:sz w:val="17"/>
          <w:szCs w:val="17"/>
          <w:u w:val="single" w:color="auto"/>
          <w:color w:val="auto"/>
        </w:rPr>
        <w:t>Voluntary Bankruptcy.</w:t>
      </w:r>
    </w:p>
    <w:p>
      <w:pPr>
        <w:spacing w:after="0" w:line="159"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The Borrower or Guarantor (a) applies for, or consents in writing to, the appointment of a receiver, trustee or liquidator of Borrower, Guarantor or of the Property or of all or substantially all of Borrower’s or Guarantor’s other assets, or (b) files a voluntary petition in bankruptcy or admits in writing its inability to pay its debts as they become due, or (c) makes a general assignment for the benefit of creditors (other than Lender), or (d) files a petition or an answer seeking a reorganization or an arrangement with creditors (other than Lender) or takes advantage of any bankruptcy or insolvency law, or (e) files an answer admitting the material allegations of a petition filed against Borrower or the Guarantor in any bankruptcy, reorganization or insolvency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60"/>
          </w:cols>
          <w:pgMar w:left="320" w:top="1301" w:right="319" w:bottom="1440" w:gutter="0" w:footer="0" w:header="0"/>
        </w:sectPr>
      </w:pPr>
    </w:p>
    <w:bookmarkStart w:id="436" w:name="page437"/>
    <w:bookmarkEnd w:id="436"/>
    <w:p>
      <w:pPr>
        <w:ind w:left="580"/>
        <w:spacing w:after="0"/>
        <w:tabs>
          <w:tab w:leader="none" w:pos="1720" w:val="left"/>
        </w:tabs>
        <w:rPr>
          <w:sz w:val="20"/>
          <w:szCs w:val="20"/>
          <w:color w:val="auto"/>
        </w:rPr>
      </w:pPr>
      <w:r>
        <w:rPr>
          <w:rFonts w:ascii="Arial" w:cs="Arial" w:eastAsia="Arial" w:hAnsi="Arial"/>
          <w:sz w:val="19"/>
          <w:szCs w:val="19"/>
          <w:color w:val="auto"/>
        </w:rPr>
        <w:t>Section 6.11</w:t>
      </w:r>
      <w:r>
        <w:rPr>
          <w:sz w:val="20"/>
          <w:szCs w:val="20"/>
          <w:color w:val="auto"/>
        </w:rPr>
        <w:tab/>
      </w:r>
      <w:r>
        <w:rPr>
          <w:rFonts w:ascii="Arial" w:cs="Arial" w:eastAsia="Arial" w:hAnsi="Arial"/>
          <w:sz w:val="18"/>
          <w:szCs w:val="18"/>
          <w:u w:val="single" w:color="auto"/>
          <w:color w:val="auto"/>
        </w:rPr>
        <w:t>Involuntary Bankruptcy, etc.</w:t>
      </w:r>
    </w:p>
    <w:p>
      <w:pPr>
        <w:spacing w:after="0" w:line="159" w:lineRule="exact"/>
        <w:rPr>
          <w:sz w:val="20"/>
          <w:szCs w:val="20"/>
          <w:color w:val="auto"/>
        </w:rPr>
      </w:pPr>
    </w:p>
    <w:p>
      <w:pPr>
        <w:jc w:val="both"/>
        <w:ind w:right="20" w:firstLine="585"/>
        <w:spacing w:after="0" w:line="264" w:lineRule="auto"/>
        <w:rPr>
          <w:sz w:val="20"/>
          <w:szCs w:val="20"/>
          <w:color w:val="auto"/>
        </w:rPr>
      </w:pPr>
      <w:r>
        <w:rPr>
          <w:rFonts w:ascii="Arial" w:cs="Arial" w:eastAsia="Arial" w:hAnsi="Arial"/>
          <w:sz w:val="19"/>
          <w:szCs w:val="19"/>
          <w:color w:val="auto"/>
        </w:rPr>
        <w:t>An order, judgment or decree is entered by any court of competent jurisdiction on the application of a creditor adjudicating Borrower or Guarantor as bankrupt or insolvent, or appointing a receiver, trustee or liquidator of Borrower, Guarantor or of the Property, or of all or substantially all of Borrower’s other assets, and such order, judgment or decree continues unstayed and in effect for a period of ninety (90) days from the date entered.</w:t>
      </w:r>
    </w:p>
    <w:p>
      <w:pPr>
        <w:spacing w:after="0" w:line="11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6.12</w:t>
      </w:r>
      <w:r>
        <w:rPr>
          <w:sz w:val="20"/>
          <w:szCs w:val="20"/>
          <w:color w:val="auto"/>
        </w:rPr>
        <w:tab/>
      </w:r>
      <w:r>
        <w:rPr>
          <w:rFonts w:ascii="Arial" w:cs="Arial" w:eastAsia="Arial" w:hAnsi="Arial"/>
          <w:sz w:val="17"/>
          <w:szCs w:val="17"/>
          <w:u w:val="single" w:color="auto"/>
          <w:color w:val="auto"/>
        </w:rPr>
        <w:t>Execution; Attachment.</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Any execution or attachment is levied against the Property, and such execution or attachment is not set aside, discharged or stayed within sixty (60) days after the same is levied.</w:t>
      </w:r>
    </w:p>
    <w:p>
      <w:pPr>
        <w:spacing w:after="0" w:line="8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6.13</w:t>
      </w:r>
      <w:r>
        <w:rPr>
          <w:sz w:val="20"/>
          <w:szCs w:val="20"/>
          <w:color w:val="auto"/>
        </w:rPr>
        <w:tab/>
      </w:r>
      <w:r>
        <w:rPr>
          <w:rFonts w:ascii="Arial" w:cs="Arial" w:eastAsia="Arial" w:hAnsi="Arial"/>
          <w:sz w:val="17"/>
          <w:szCs w:val="17"/>
          <w:u w:val="single" w:color="auto"/>
          <w:color w:val="auto"/>
        </w:rPr>
        <w:t>Judgment.</w:t>
      </w:r>
    </w:p>
    <w:p>
      <w:pPr>
        <w:spacing w:after="0" w:line="159" w:lineRule="exact"/>
        <w:rPr>
          <w:sz w:val="20"/>
          <w:szCs w:val="20"/>
          <w:color w:val="auto"/>
        </w:rPr>
      </w:pPr>
    </w:p>
    <w:p>
      <w:pPr>
        <w:jc w:val="both"/>
        <w:ind w:right="20" w:firstLine="585"/>
        <w:spacing w:after="0" w:line="264" w:lineRule="auto"/>
        <w:rPr>
          <w:sz w:val="20"/>
          <w:szCs w:val="20"/>
          <w:color w:val="auto"/>
        </w:rPr>
      </w:pPr>
      <w:r>
        <w:rPr>
          <w:rFonts w:ascii="Arial" w:cs="Arial" w:eastAsia="Arial" w:hAnsi="Arial"/>
          <w:sz w:val="19"/>
          <w:szCs w:val="19"/>
          <w:color w:val="auto"/>
        </w:rPr>
        <w:t>Unless adequately covered by insurance in the opinion of Lender, the entry of any one or more final judgments for the payment of money involving more than $100,000 against Borrower and the failure by Borrower or to discharge the same, or cause it to be discharged, or bonded off to Lender’s satisfaction, within sixty (60) days from the date of the order, decree or process under which or pursuant to which such judgment was entered.</w:t>
      </w:r>
    </w:p>
    <w:p>
      <w:pPr>
        <w:spacing w:after="0" w:line="11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6.14</w:t>
      </w:r>
      <w:r>
        <w:rPr>
          <w:sz w:val="20"/>
          <w:szCs w:val="20"/>
          <w:color w:val="auto"/>
        </w:rPr>
        <w:tab/>
      </w:r>
      <w:r>
        <w:rPr>
          <w:rFonts w:ascii="Arial" w:cs="Arial" w:eastAsia="Arial" w:hAnsi="Arial"/>
          <w:sz w:val="17"/>
          <w:szCs w:val="17"/>
          <w:u w:val="single" w:color="auto"/>
          <w:color w:val="auto"/>
        </w:rPr>
        <w:t>Change in Business Status.</w:t>
      </w:r>
    </w:p>
    <w:p>
      <w:pPr>
        <w:spacing w:after="0" w:line="159"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9"/>
          <w:szCs w:val="19"/>
          <w:color w:val="auto"/>
        </w:rPr>
        <w:t>Unless the written consent of Lender is previously obtained, the sale of all or substantially all of the business assets of Borrower, or the commencement of any proceeding to dissolve or liquidate Borrower and the same is not dismissed within thirty (30) days, or the occurrence of any change in the form of business entity through which Borrower presently conducts its business, or, the occurrence of any merger or consolidation involving Borrower.</w:t>
      </w:r>
    </w:p>
    <w:p>
      <w:pPr>
        <w:spacing w:after="0" w:line="11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6.15</w:t>
      </w:r>
      <w:r>
        <w:rPr>
          <w:sz w:val="20"/>
          <w:szCs w:val="20"/>
          <w:color w:val="auto"/>
        </w:rPr>
        <w:tab/>
      </w:r>
      <w:r>
        <w:rPr>
          <w:rFonts w:ascii="Arial" w:cs="Arial" w:eastAsia="Arial" w:hAnsi="Arial"/>
          <w:sz w:val="17"/>
          <w:szCs w:val="17"/>
          <w:u w:val="single" w:color="auto"/>
          <w:color w:val="auto"/>
        </w:rPr>
        <w:t>Dissolution of the Borrower, etc.</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Borrower is dissolved either pursuant to the provisions of its operating agreement, by operation of law, or in any other manner, voluntarily or otherwise.</w:t>
      </w:r>
    </w:p>
    <w:p>
      <w:pPr>
        <w:spacing w:after="0" w:line="8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6.16</w:t>
      </w:r>
      <w:r>
        <w:rPr>
          <w:sz w:val="20"/>
          <w:szCs w:val="20"/>
          <w:color w:val="auto"/>
        </w:rPr>
        <w:tab/>
      </w:r>
      <w:r>
        <w:rPr>
          <w:rFonts w:ascii="Arial" w:cs="Arial" w:eastAsia="Arial" w:hAnsi="Arial"/>
          <w:sz w:val="17"/>
          <w:szCs w:val="17"/>
          <w:u w:val="single" w:color="auto"/>
          <w:color w:val="auto"/>
        </w:rPr>
        <w:t>Special Purpose.</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 xml:space="preserve">Borrower or Guarantor takes or permits any action that would result in Borrower not being in compliance with the representations, warranties and covenants set forth in </w:t>
      </w:r>
      <w:r>
        <w:rPr>
          <w:rFonts w:ascii="Arial" w:cs="Arial" w:eastAsia="Arial" w:hAnsi="Arial"/>
          <w:sz w:val="19"/>
          <w:szCs w:val="19"/>
          <w:u w:val="single" w:color="auto"/>
          <w:color w:val="auto"/>
        </w:rPr>
        <w:t>Section 3.13</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60"/>
          </w:cols>
          <w:pgMar w:left="320" w:top="1301" w:right="319" w:bottom="1440" w:gutter="0" w:footer="0" w:header="0"/>
        </w:sectPr>
      </w:pPr>
    </w:p>
    <w:bookmarkStart w:id="437" w:name="page438"/>
    <w:bookmarkEnd w:id="437"/>
    <w:p>
      <w:pPr>
        <w:jc w:val="center"/>
        <w:spacing w:after="0"/>
        <w:rPr>
          <w:sz w:val="20"/>
          <w:szCs w:val="20"/>
          <w:color w:val="auto"/>
        </w:rPr>
      </w:pPr>
      <w:r>
        <w:rPr>
          <w:rFonts w:ascii="Arial" w:cs="Arial" w:eastAsia="Arial" w:hAnsi="Arial"/>
          <w:sz w:val="19"/>
          <w:szCs w:val="19"/>
          <w:color w:val="auto"/>
        </w:rPr>
        <w:t>ARTICLE VII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REMEDIES ON DEFAULT</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7.1</w:t>
      </w:r>
      <w:r>
        <w:rPr>
          <w:sz w:val="20"/>
          <w:szCs w:val="20"/>
          <w:color w:val="auto"/>
        </w:rPr>
        <w:tab/>
      </w:r>
      <w:r>
        <w:rPr>
          <w:rFonts w:ascii="Arial" w:cs="Arial" w:eastAsia="Arial" w:hAnsi="Arial"/>
          <w:sz w:val="17"/>
          <w:szCs w:val="17"/>
          <w:u w:val="single" w:color="auto"/>
          <w:color w:val="auto"/>
        </w:rPr>
        <w:t>Acceleration; Remedies on Default.</w:t>
      </w:r>
    </w:p>
    <w:p>
      <w:pPr>
        <w:spacing w:after="0" w:line="159"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Without limiting any other provision of the Agreement or any of the other Loan Documents, if an Event of Default occurs, the Lender may exercise any one or more of the following rights and remedies (all of which rights and remedies, as well as the Lender’s other rights and remedies, shall be cumulative):</w:t>
      </w:r>
    </w:p>
    <w:p>
      <w:pPr>
        <w:spacing w:after="0" w:line="103" w:lineRule="exact"/>
        <w:rPr>
          <w:sz w:val="20"/>
          <w:szCs w:val="20"/>
          <w:color w:val="auto"/>
        </w:rPr>
      </w:pPr>
    </w:p>
    <w:p>
      <w:pPr>
        <w:jc w:val="both"/>
        <w:ind w:right="20" w:firstLine="1167"/>
        <w:spacing w:after="0" w:line="262" w:lineRule="auto"/>
        <w:tabs>
          <w:tab w:leader="none" w:pos="1592" w:val="left"/>
        </w:tabs>
        <w:numPr>
          <w:ilvl w:val="0"/>
          <w:numId w:val="320"/>
        </w:numPr>
        <w:rPr>
          <w:rFonts w:ascii="Arial" w:cs="Arial" w:eastAsia="Arial" w:hAnsi="Arial"/>
          <w:sz w:val="19"/>
          <w:szCs w:val="19"/>
          <w:color w:val="auto"/>
        </w:rPr>
      </w:pPr>
      <w:r>
        <w:rPr>
          <w:rFonts w:ascii="Arial" w:cs="Arial" w:eastAsia="Arial" w:hAnsi="Arial"/>
          <w:sz w:val="19"/>
          <w:szCs w:val="19"/>
          <w:color w:val="auto"/>
        </w:rPr>
        <w:t>Accelerate the maturity of the Loan and declare the unpaid principal of the Loan, the interest accrued thereon and all other amounts payable hereunder or under the Loan Documents immediately due and payable, whereupon all amounts payable hereunder, under the Note or under any other Loan Document shall automatically be forthwith due and payable, without presentment, demand, protest or further notice of any kind, all of which are hereby expressly waived by the Borrower, with such payment being together with any unaccrued interest or prepayment penalties as may otherwise apply at the time of acceleration;</w:t>
      </w:r>
    </w:p>
    <w:p>
      <w:pPr>
        <w:spacing w:after="0" w:line="110" w:lineRule="exact"/>
        <w:rPr>
          <w:rFonts w:ascii="Arial" w:cs="Arial" w:eastAsia="Arial" w:hAnsi="Arial"/>
          <w:sz w:val="19"/>
          <w:szCs w:val="19"/>
          <w:color w:val="auto"/>
        </w:rPr>
      </w:pPr>
    </w:p>
    <w:p>
      <w:pPr>
        <w:jc w:val="both"/>
        <w:ind w:right="20" w:firstLine="1167"/>
        <w:spacing w:after="0" w:line="262" w:lineRule="auto"/>
        <w:tabs>
          <w:tab w:leader="none" w:pos="1621" w:val="left"/>
        </w:tabs>
        <w:numPr>
          <w:ilvl w:val="0"/>
          <w:numId w:val="320"/>
        </w:numPr>
        <w:rPr>
          <w:rFonts w:ascii="Arial" w:cs="Arial" w:eastAsia="Arial" w:hAnsi="Arial"/>
          <w:sz w:val="19"/>
          <w:szCs w:val="19"/>
          <w:color w:val="auto"/>
        </w:rPr>
      </w:pPr>
      <w:r>
        <w:rPr>
          <w:rFonts w:ascii="Arial" w:cs="Arial" w:eastAsia="Arial" w:hAnsi="Arial"/>
          <w:sz w:val="19"/>
          <w:szCs w:val="19"/>
          <w:color w:val="auto"/>
        </w:rPr>
        <w:t>Enforce the provisions of this Agreement by legal proceedings for the specific performance of any covenant or agreement contained herein or for the enforcement of any other appropriate legal or equitable remedy. The Lender may recover damages caused by any breach by the Borrower or Guarantor of the provisions of this Agreement or any of the other Loan Documents, including court costs, reasonable attorneys’ fees and other out-of-pocket costs and expenses incurred in the enforcement of the obligations of the Borrower or Guarantor hereunder; and</w:t>
      </w:r>
    </w:p>
    <w:p>
      <w:pPr>
        <w:spacing w:after="0" w:line="110" w:lineRule="exact"/>
        <w:rPr>
          <w:rFonts w:ascii="Arial" w:cs="Arial" w:eastAsia="Arial" w:hAnsi="Arial"/>
          <w:sz w:val="19"/>
          <w:szCs w:val="19"/>
          <w:color w:val="auto"/>
        </w:rPr>
      </w:pPr>
    </w:p>
    <w:p>
      <w:pPr>
        <w:ind w:right="20" w:firstLine="1167"/>
        <w:spacing w:after="0" w:line="286" w:lineRule="auto"/>
        <w:tabs>
          <w:tab w:leader="none" w:pos="168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Exercise all other rights and remedies which the Lender may have under the Deed of Trust, or any of the other Loan Documents or under applicable law.</w:t>
      </w:r>
    </w:p>
    <w:p>
      <w:pPr>
        <w:spacing w:after="0" w:line="88"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Upon any Event of Default occurring by reason of an Event of Default under Section 6.10, Section 6.11 or 6.12, the Obligations shall automatically become due and payable without any declaration or other action by the Lender, and the default rate of interest shall be automatically and immediately applicable under the Note.</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7.2</w:t>
      </w:r>
      <w:r>
        <w:rPr>
          <w:sz w:val="20"/>
          <w:szCs w:val="20"/>
          <w:color w:val="auto"/>
        </w:rPr>
        <w:tab/>
      </w:r>
      <w:r>
        <w:rPr>
          <w:rFonts w:ascii="Arial" w:cs="Arial" w:eastAsia="Arial" w:hAnsi="Arial"/>
          <w:sz w:val="17"/>
          <w:szCs w:val="17"/>
          <w:u w:val="single" w:color="auto"/>
          <w:color w:val="auto"/>
        </w:rPr>
        <w:t>No Conditions Precedent to Exercise of Remedies.</w:t>
      </w:r>
    </w:p>
    <w:p>
      <w:pPr>
        <w:spacing w:after="0" w:line="159" w:lineRule="exact"/>
        <w:rPr>
          <w:sz w:val="20"/>
          <w:szCs w:val="20"/>
          <w:color w:val="auto"/>
        </w:rPr>
      </w:pPr>
    </w:p>
    <w:p>
      <w:pPr>
        <w:jc w:val="both"/>
        <w:ind w:right="20" w:firstLine="585"/>
        <w:spacing w:after="0" w:line="259" w:lineRule="auto"/>
        <w:rPr>
          <w:sz w:val="20"/>
          <w:szCs w:val="20"/>
          <w:color w:val="auto"/>
        </w:rPr>
      </w:pPr>
      <w:r>
        <w:rPr>
          <w:rFonts w:ascii="Arial" w:cs="Arial" w:eastAsia="Arial" w:hAnsi="Arial"/>
          <w:sz w:val="19"/>
          <w:szCs w:val="19"/>
          <w:color w:val="auto"/>
        </w:rPr>
        <w:t>The Borrower shall not be relieved of any obligation by reason of the failure of the Lender to comply with any request of the Borrower or of any other person to take action to foreclose on the Property under the Deed of Trust or otherwise to enforce any provision of the Loan Documents, or by reason of the release, regardless of consideration, of all or any part of the Property, or by reason of any agreement or stipulation between any subsequent owner of the Property and the Lender extending the time of payment or modifying the terms of the Loan Documents without first having obtained the consent of the Borrower; and in the latter event, the Borrower shall continue to be liable to make payments according to the terms of any such extension or modification agreement, unless expressly released and discharged in writing by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60"/>
          </w:cols>
          <w:pgMar w:left="320" w:top="1301" w:right="319" w:bottom="1440" w:gutter="0" w:footer="0" w:header="0"/>
        </w:sectPr>
      </w:pPr>
    </w:p>
    <w:bookmarkStart w:id="438" w:name="page439"/>
    <w:bookmarkEnd w:id="438"/>
    <w:p>
      <w:pPr>
        <w:ind w:left="580"/>
        <w:spacing w:after="0"/>
        <w:tabs>
          <w:tab w:leader="none" w:pos="1640" w:val="left"/>
        </w:tabs>
        <w:rPr>
          <w:sz w:val="20"/>
          <w:szCs w:val="20"/>
          <w:color w:val="auto"/>
        </w:rPr>
      </w:pPr>
      <w:r>
        <w:rPr>
          <w:rFonts w:ascii="Arial" w:cs="Arial" w:eastAsia="Arial" w:hAnsi="Arial"/>
          <w:sz w:val="19"/>
          <w:szCs w:val="19"/>
          <w:color w:val="auto"/>
        </w:rPr>
        <w:t>Section 7.3</w:t>
      </w:r>
      <w:r>
        <w:rPr>
          <w:sz w:val="20"/>
          <w:szCs w:val="20"/>
          <w:color w:val="auto"/>
        </w:rPr>
        <w:tab/>
      </w:r>
      <w:r>
        <w:rPr>
          <w:rFonts w:ascii="Arial" w:cs="Arial" w:eastAsia="Arial" w:hAnsi="Arial"/>
          <w:sz w:val="17"/>
          <w:szCs w:val="17"/>
          <w:u w:val="single" w:color="auto"/>
          <w:color w:val="auto"/>
        </w:rPr>
        <w:t>Remedies Cumulative and Concurrent.</w:t>
      </w:r>
    </w:p>
    <w:p>
      <w:pPr>
        <w:spacing w:after="0" w:line="159"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No remedy herein conferred upon or reserved to the Lender is intended to be exclusive of any other remedies provided for in the Loan Documents, and each and every such remedy shall be cumulative, and shall be in addition to every other remedy given hereunder, or under the Loan Documents, or now or hereafter existing at law or in equity or by statute. Every right, power and remedy given by the Loan Documents to the Lender shall be concurrent and may be pursued separately, successively or together against the Borrower or the Property or any part thereof, and every right, power and remedy given by the Loan Documents may be exercised from time to time as often as may be deemed expedient by the Lender.</w:t>
      </w:r>
    </w:p>
    <w:p>
      <w:pPr>
        <w:spacing w:after="0" w:line="1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7.4</w:t>
      </w:r>
      <w:r>
        <w:rPr>
          <w:sz w:val="20"/>
          <w:szCs w:val="20"/>
          <w:color w:val="auto"/>
        </w:rPr>
        <w:tab/>
      </w:r>
      <w:r>
        <w:rPr>
          <w:rFonts w:ascii="Arial" w:cs="Arial" w:eastAsia="Arial" w:hAnsi="Arial"/>
          <w:sz w:val="17"/>
          <w:szCs w:val="17"/>
          <w:u w:val="single" w:color="auto"/>
          <w:color w:val="auto"/>
        </w:rPr>
        <w:t>Strict Performance.</w:t>
      </w:r>
    </w:p>
    <w:p>
      <w:pPr>
        <w:spacing w:after="0" w:line="159"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No delay or omission of the Lender to exercise any right, power or remedy accruing upon the happening of an Event of Default shall impair any such right, power or remedy or shall be construed to be a waiver of any such Event of Default or any acquiescence therein. No delay or omission on the part of the Lender to exercise any option for acceleration of the maturity of the Obligations, or for foreclosure of the Deed of Trust following any Event of Default as aforesaid, or any other option granted to the Lender hereunder in any one or more instances, or the acceptance by the Lender of any partial payment on account of the Obligations shall constitute a waiver of any such Event of Default and each such option shall remain continuously in full force and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MISCELLANEOUS</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8.1</w:t>
      </w:r>
      <w:r>
        <w:rPr>
          <w:sz w:val="20"/>
          <w:szCs w:val="20"/>
          <w:color w:val="auto"/>
        </w:rPr>
        <w:tab/>
      </w:r>
      <w:r>
        <w:rPr>
          <w:rFonts w:ascii="Arial" w:cs="Arial" w:eastAsia="Arial" w:hAnsi="Arial"/>
          <w:sz w:val="17"/>
          <w:szCs w:val="17"/>
          <w:u w:val="single" w:color="auto"/>
          <w:color w:val="auto"/>
        </w:rPr>
        <w:t>No Warranty by Lender.</w:t>
      </w:r>
    </w:p>
    <w:p>
      <w:pPr>
        <w:spacing w:after="0" w:line="159"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9"/>
          <w:szCs w:val="19"/>
          <w:color w:val="auto"/>
        </w:rPr>
        <w:t>By accepting or approving anything required to be observed, performed or fulfilled by the Borrower or to be given to the Lender pursuant to this Agreement, including, without limitation, any certificate, balance sheet, statement of profit and loss or other financial statement, Survey, receipt, appraisal or insurance policy, the Lender shall not be deemed to have warranted or represented the sufficiency, legality, effectiveness or legal effect of the same, or of any term, provision or condition thereof and any such acceptance or approval thereof shall not be or constitute any warranty or representation with respect thereto by the Lender.</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8.2</w:t>
      </w:r>
      <w:r>
        <w:rPr>
          <w:sz w:val="20"/>
          <w:szCs w:val="20"/>
          <w:color w:val="auto"/>
        </w:rPr>
        <w:tab/>
      </w:r>
      <w:r>
        <w:rPr>
          <w:rFonts w:ascii="Arial" w:cs="Arial" w:eastAsia="Arial" w:hAnsi="Arial"/>
          <w:sz w:val="18"/>
          <w:szCs w:val="18"/>
          <w:u w:val="single" w:color="auto"/>
          <w:color w:val="auto"/>
        </w:rPr>
        <w:t>Liability of Lender.</w:t>
      </w:r>
    </w:p>
    <w:p>
      <w:pPr>
        <w:spacing w:after="0" w:line="159"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The Lender shall not be liable for any act or omission by it pursuant to the provisions of this Agreement in the absence of fraud or gross negligence. The Lender shall incur no liability to the Borrower or any other party in connection with the acts or omissions of the Lender in reliance upon any certificate or other paper believed by the Lender to be genuine or with respect to any other thing which the Lender may do or refrain from doing, unless such act or omission amounts to fraud or gross negligence. In connection with the performance of its duties pursuant to this Agreement, the Lender may consult with counsel of its own selection, and anything which the Lender may do or refrain from doing, in good faith, in reliance upon the opinion of such counsel shall be full justification and protection to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60"/>
          </w:cols>
          <w:pgMar w:left="320" w:top="1301" w:right="319" w:bottom="1440" w:gutter="0" w:footer="0" w:header="0"/>
        </w:sectPr>
      </w:pPr>
    </w:p>
    <w:bookmarkStart w:id="439" w:name="page440"/>
    <w:bookmarkEnd w:id="439"/>
    <w:p>
      <w:pPr>
        <w:ind w:left="580"/>
        <w:spacing w:after="0"/>
        <w:tabs>
          <w:tab w:leader="none" w:pos="1640" w:val="left"/>
        </w:tabs>
        <w:rPr>
          <w:sz w:val="20"/>
          <w:szCs w:val="20"/>
          <w:color w:val="auto"/>
        </w:rPr>
      </w:pPr>
      <w:r>
        <w:rPr>
          <w:rFonts w:ascii="Arial" w:cs="Arial" w:eastAsia="Arial" w:hAnsi="Arial"/>
          <w:sz w:val="19"/>
          <w:szCs w:val="19"/>
          <w:color w:val="auto"/>
        </w:rPr>
        <w:t>Section 8.3</w:t>
      </w:r>
      <w:r>
        <w:rPr>
          <w:sz w:val="20"/>
          <w:szCs w:val="20"/>
          <w:color w:val="auto"/>
        </w:rPr>
        <w:tab/>
      </w:r>
      <w:r>
        <w:rPr>
          <w:rFonts w:ascii="Arial" w:cs="Arial" w:eastAsia="Arial" w:hAnsi="Arial"/>
          <w:sz w:val="17"/>
          <w:szCs w:val="17"/>
          <w:u w:val="single" w:color="auto"/>
          <w:color w:val="auto"/>
        </w:rPr>
        <w:t>No Partnership.</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Nothing contained in this Agreement shall be construed in a manner to create any relationship between the Borrower and the Lender other than the relationship of borrower and lender and the Borrower and the Lender shall not be considered partners or co-venturers for any purpose on account of this Agreement.</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8.4</w:t>
      </w:r>
      <w:r>
        <w:rPr>
          <w:sz w:val="20"/>
          <w:szCs w:val="20"/>
          <w:color w:val="auto"/>
        </w:rPr>
        <w:tab/>
      </w:r>
      <w:r>
        <w:rPr>
          <w:rFonts w:ascii="Arial" w:cs="Arial" w:eastAsia="Arial" w:hAnsi="Arial"/>
          <w:sz w:val="17"/>
          <w:szCs w:val="17"/>
          <w:u w:val="single" w:color="auto"/>
          <w:color w:val="auto"/>
        </w:rPr>
        <w:t>Severability.</w:t>
      </w:r>
    </w:p>
    <w:p>
      <w:pPr>
        <w:spacing w:after="0" w:line="159" w:lineRule="exact"/>
        <w:rPr>
          <w:sz w:val="20"/>
          <w:szCs w:val="20"/>
          <w:color w:val="auto"/>
        </w:rPr>
      </w:pPr>
    </w:p>
    <w:p>
      <w:pPr>
        <w:jc w:val="both"/>
        <w:ind w:firstLine="585"/>
        <w:spacing w:after="0" w:line="260" w:lineRule="auto"/>
        <w:rPr>
          <w:sz w:val="20"/>
          <w:szCs w:val="20"/>
          <w:color w:val="auto"/>
        </w:rPr>
      </w:pPr>
      <w:r>
        <w:rPr>
          <w:rFonts w:ascii="Arial" w:cs="Arial" w:eastAsia="Arial" w:hAnsi="Arial"/>
          <w:sz w:val="19"/>
          <w:szCs w:val="19"/>
          <w:color w:val="auto"/>
        </w:rPr>
        <w:t>In the event any one or more of the provisions of this Agreement shall for any reason be held to be invalid, illegal or unenforceable, in whole or in part or in any other respect, or in the event any one or more of the provisions of any of the Loan Documents operates or would prospectively operate to invalidate this Agreement, then and in either of those events, at the option of the Lender, such provision or provisions only shall be held for naught and shall not affect any other provision of the Note or of any of the other Loan Documents or the validity of the remaining Obligations and the remaining provisions of the Note and the Loan Documents shall remain operative and in full force and effect and shall in no way be affected, prejudiced or disturbed thereby.</w:t>
      </w:r>
    </w:p>
    <w:p>
      <w:pPr>
        <w:spacing w:after="0" w:line="1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8.5</w:t>
      </w:r>
      <w:r>
        <w:rPr>
          <w:sz w:val="20"/>
          <w:szCs w:val="20"/>
          <w:color w:val="auto"/>
        </w:rPr>
        <w:tab/>
      </w:r>
      <w:r>
        <w:rPr>
          <w:rFonts w:ascii="Arial" w:cs="Arial" w:eastAsia="Arial" w:hAnsi="Arial"/>
          <w:sz w:val="17"/>
          <w:szCs w:val="17"/>
          <w:u w:val="single" w:color="auto"/>
          <w:color w:val="auto"/>
        </w:rPr>
        <w:t>Successors and Assigns.</w:t>
      </w:r>
    </w:p>
    <w:p>
      <w:pPr>
        <w:spacing w:after="0" w:line="159"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9"/>
          <w:szCs w:val="19"/>
          <w:color w:val="auto"/>
        </w:rPr>
        <w:t>Each and every one of the covenants, terms, provisions and conditions of this Agreement and the Loan Documents shall apply to, bind and inure to the benefit of the Borrower, its successors and those assigns of the Borrower consented to in writing by the Lender, and shall apply to, bind and inure to the benefit of the Lender and the endorsees, transferees, successors and assigns of the Lender, and all persons claiming under or through any of them.</w:t>
      </w:r>
    </w:p>
    <w:p>
      <w:pPr>
        <w:spacing w:after="0" w:line="110"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8.6</w:t>
      </w:r>
      <w:r>
        <w:rPr>
          <w:sz w:val="20"/>
          <w:szCs w:val="20"/>
          <w:color w:val="auto"/>
        </w:rPr>
        <w:tab/>
      </w:r>
      <w:r>
        <w:rPr>
          <w:rFonts w:ascii="Arial" w:cs="Arial" w:eastAsia="Arial" w:hAnsi="Arial"/>
          <w:sz w:val="18"/>
          <w:szCs w:val="18"/>
          <w:u w:val="single" w:color="auto"/>
          <w:color w:val="auto"/>
        </w:rPr>
        <w:t>Modification; Waiver.</w:t>
      </w:r>
    </w:p>
    <w:p>
      <w:pPr>
        <w:spacing w:after="0" w:line="159"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9"/>
          <w:szCs w:val="19"/>
          <w:color w:val="auto"/>
        </w:rPr>
        <w:t>None of the terms or provisions of this Agreement may be changed, waived, modified, discharged or terminated except by instrument in writing executed by the party or parties against whom enforcement of the change, waiver, modification, discharge or termination is asserted. None of the terms or provisions of this Agreement shall be deemed to have been abrogated or waived by reason of any failure or failures to enforce the same.</w:t>
      </w:r>
    </w:p>
    <w:p>
      <w:pPr>
        <w:spacing w:after="0" w:line="110"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8.7</w:t>
      </w:r>
      <w:r>
        <w:rPr>
          <w:sz w:val="20"/>
          <w:szCs w:val="20"/>
          <w:color w:val="auto"/>
        </w:rPr>
        <w:tab/>
      </w:r>
      <w:r>
        <w:rPr>
          <w:rFonts w:ascii="Arial" w:cs="Arial" w:eastAsia="Arial" w:hAnsi="Arial"/>
          <w:sz w:val="18"/>
          <w:szCs w:val="18"/>
          <w:u w:val="single" w:color="auto"/>
          <w:color w:val="auto"/>
        </w:rPr>
        <w:t>Third Parties; Benefit.</w:t>
      </w:r>
    </w:p>
    <w:p>
      <w:pPr>
        <w:spacing w:after="0" w:line="159" w:lineRule="exact"/>
        <w:rPr>
          <w:sz w:val="20"/>
          <w:szCs w:val="20"/>
          <w:color w:val="auto"/>
        </w:rPr>
      </w:pPr>
    </w:p>
    <w:p>
      <w:pPr>
        <w:jc w:val="both"/>
        <w:ind w:firstLine="585"/>
        <w:spacing w:after="0" w:line="296" w:lineRule="auto"/>
        <w:rPr>
          <w:sz w:val="20"/>
          <w:szCs w:val="20"/>
          <w:color w:val="auto"/>
        </w:rPr>
      </w:pPr>
      <w:r>
        <w:rPr>
          <w:rFonts w:ascii="Arial" w:cs="Arial" w:eastAsia="Arial" w:hAnsi="Arial"/>
          <w:sz w:val="17"/>
          <w:szCs w:val="17"/>
          <w:color w:val="auto"/>
        </w:rPr>
        <w:t>All conditions to the obligation of the Lender to make advances hereunder are imposed solely and exclusively for the benefit of the Lender and its assigns and no other persons shall have standing to require satisfaction of such conditions in accordance with their terms or be entitled to assume that the Lender will refuse to make advances in the absence of strict compliance with any or all thereof and no other person shall, under any circumstances, be deemed to be the beneficiary of such conditions, any or all of which may be freely waived in whole or in part by the Lender at any time in the sole and absolute exercise of its discretion. The terms and provisions of this Agreement are for the benefit of the parties hereto and, except as herein specifically provided, no other person shall have any right or cause of action on account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1301" w:right="339" w:bottom="1440" w:gutter="0" w:footer="0" w:header="0"/>
        </w:sectPr>
      </w:pPr>
    </w:p>
    <w:bookmarkStart w:id="440" w:name="page441"/>
    <w:bookmarkEnd w:id="440"/>
    <w:p>
      <w:pPr>
        <w:ind w:left="580"/>
        <w:spacing w:after="0"/>
        <w:tabs>
          <w:tab w:leader="none" w:pos="1640" w:val="left"/>
        </w:tabs>
        <w:rPr>
          <w:sz w:val="20"/>
          <w:szCs w:val="20"/>
          <w:color w:val="auto"/>
        </w:rPr>
      </w:pPr>
      <w:r>
        <w:rPr>
          <w:rFonts w:ascii="Arial" w:cs="Arial" w:eastAsia="Arial" w:hAnsi="Arial"/>
          <w:sz w:val="19"/>
          <w:szCs w:val="19"/>
          <w:color w:val="auto"/>
        </w:rPr>
        <w:t>Section 8.8</w:t>
      </w:r>
      <w:r>
        <w:rPr>
          <w:sz w:val="20"/>
          <w:szCs w:val="20"/>
          <w:color w:val="auto"/>
        </w:rPr>
        <w:tab/>
      </w:r>
      <w:r>
        <w:rPr>
          <w:rFonts w:ascii="Arial" w:cs="Arial" w:eastAsia="Arial" w:hAnsi="Arial"/>
          <w:sz w:val="18"/>
          <w:szCs w:val="18"/>
          <w:u w:val="single" w:color="auto"/>
          <w:color w:val="auto"/>
        </w:rPr>
        <w:t>Conditions; Verification.</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Any condition of this Agreement which requires the submission of evidence of the existence or non-existence of a specified fact or facts implies as a condition to the existence or non-existence, as the case may be, of such fact or facts that the Lender shall, at all times, be free independently to establish to its satisfaction and in its absolute discretion such existence or non-existence.</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8.9</w:t>
      </w:r>
      <w:r>
        <w:rPr>
          <w:sz w:val="20"/>
          <w:szCs w:val="20"/>
          <w:color w:val="auto"/>
        </w:rPr>
        <w:tab/>
      </w:r>
      <w:r>
        <w:rPr>
          <w:rFonts w:ascii="Arial" w:cs="Arial" w:eastAsia="Arial" w:hAnsi="Arial"/>
          <w:sz w:val="17"/>
          <w:szCs w:val="17"/>
          <w:u w:val="single" w:color="auto"/>
          <w:color w:val="auto"/>
        </w:rPr>
        <w:t>Captions and Headings.</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captions and headings contained in this Agreement are included herein for convenience of reference only and shall not be considered a part hereof and are not in any way intended to limit or enlarge the terms hereof.</w:t>
      </w:r>
    </w:p>
    <w:p>
      <w:pPr>
        <w:spacing w:after="0" w:line="8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8.10</w:t>
      </w:r>
      <w:r>
        <w:rPr>
          <w:sz w:val="20"/>
          <w:szCs w:val="20"/>
          <w:color w:val="auto"/>
        </w:rPr>
        <w:tab/>
      </w:r>
      <w:r>
        <w:rPr>
          <w:rFonts w:ascii="Arial" w:cs="Arial" w:eastAsia="Arial" w:hAnsi="Arial"/>
          <w:sz w:val="17"/>
          <w:szCs w:val="17"/>
          <w:u w:val="single" w:color="auto"/>
          <w:color w:val="auto"/>
        </w:rPr>
        <w:t>Counterparts; Electronic Execution of Documents.</w:t>
      </w:r>
    </w:p>
    <w:p>
      <w:pPr>
        <w:spacing w:after="0" w:line="159" w:lineRule="exact"/>
        <w:rPr>
          <w:sz w:val="20"/>
          <w:szCs w:val="20"/>
          <w:color w:val="auto"/>
        </w:rPr>
      </w:pPr>
    </w:p>
    <w:p>
      <w:pPr>
        <w:jc w:val="both"/>
        <w:ind w:firstLine="585"/>
        <w:spacing w:after="0" w:line="258" w:lineRule="auto"/>
        <w:rPr>
          <w:sz w:val="20"/>
          <w:szCs w:val="20"/>
          <w:color w:val="auto"/>
        </w:rPr>
      </w:pPr>
      <w:r>
        <w:rPr>
          <w:rFonts w:ascii="Arial" w:cs="Arial" w:eastAsia="Arial" w:hAnsi="Arial"/>
          <w:sz w:val="19"/>
          <w:szCs w:val="19"/>
          <w:color w:val="auto"/>
        </w:rPr>
        <w:t>This Agreement may be executed in any number of counterparts and by different parties on separate counterparts, each of which, when executed and delivered, is an original, and all taken together, constitute one Agreement.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Delivery of an executed counterpart of a signature page of any Loan Document by electronic means including by email delivery of a “.pdf” format data file shall be effective as delivery of an original executed counterpart of such Loan Document.</w:t>
      </w:r>
    </w:p>
    <w:p>
      <w:pPr>
        <w:spacing w:after="0" w:line="118"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9"/>
          <w:szCs w:val="19"/>
          <w:color w:val="auto"/>
        </w:rPr>
        <w:t>Section 8.11</w:t>
      </w:r>
      <w:r>
        <w:rPr>
          <w:sz w:val="20"/>
          <w:szCs w:val="20"/>
          <w:color w:val="auto"/>
        </w:rPr>
        <w:tab/>
      </w:r>
      <w:r>
        <w:rPr>
          <w:rFonts w:ascii="Arial" w:cs="Arial" w:eastAsia="Arial" w:hAnsi="Arial"/>
          <w:sz w:val="17"/>
          <w:szCs w:val="17"/>
          <w:u w:val="single" w:color="auto"/>
          <w:color w:val="auto"/>
        </w:rPr>
        <w:t>Notices.</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Any notice, demand, request or other communication which either party may desire to give to the other with respect to this Agreement, shall be deemed to have been properly given if in writing and delivered by hand, sent by overnight courier or mailed by certified mail, postage prepaid, addressed as follows:</w:t>
      </w:r>
    </w:p>
    <w:p>
      <w:pPr>
        <w:sectPr>
          <w:pgSz w:w="11900" w:h="16838" w:orient="portrait"/>
          <w:cols w:equalWidth="0" w:num="1">
            <w:col w:w="11240"/>
          </w:cols>
          <w:pgMar w:left="320" w:top="1301" w:right="339" w:bottom="1440" w:gutter="0" w:footer="0" w:header="0"/>
        </w:sectPr>
      </w:pP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Borrower and</w:t>
      </w:r>
    </w:p>
    <w:p>
      <w:pPr>
        <w:spacing w:after="0" w:line="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Guarantor: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Expensify, Inc.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88 Kearny Street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 94108</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Attn: David Barrett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Attention: Financial Officer</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Email:</w:t>
      </w:r>
    </w:p>
    <w:p>
      <w:pPr>
        <w:spacing w:after="0" w:line="143" w:lineRule="exact"/>
        <w:rPr>
          <w:sz w:val="20"/>
          <w:szCs w:val="20"/>
          <w:color w:val="auto"/>
        </w:rPr>
      </w:pPr>
    </w:p>
    <w:p>
      <w:pPr>
        <w:sectPr>
          <w:pgSz w:w="11900" w:h="16838" w:orient="portrait"/>
          <w:cols w:equalWidth="0" w:num="2">
            <w:col w:w="2240" w:space="680"/>
            <w:col w:w="8320"/>
          </w:cols>
          <w:pgMar w:left="320" w:top="1301" w:right="33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Silicon Legal Strategy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201 Mission Street, Suite 800</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San Francisco, California 94105</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Attn: Andre Gharakhanian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Email:</w:t>
      </w:r>
    </w:p>
    <w:p>
      <w:pPr>
        <w:spacing w:after="0" w:line="200" w:lineRule="exact"/>
        <w:rPr>
          <w:sz w:val="20"/>
          <w:szCs w:val="20"/>
          <w:color w:val="auto"/>
        </w:rPr>
      </w:pPr>
    </w:p>
    <w:p>
      <w:pPr>
        <w:sectPr>
          <w:pgSz w:w="11900" w:h="16838" w:orient="portrait"/>
          <w:cols w:equalWidth="0" w:num="2">
            <w:col w:w="2360" w:space="540"/>
            <w:col w:w="8340"/>
          </w:cols>
          <w:pgMar w:left="320" w:top="13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301" w:right="339" w:bottom="1440" w:gutter="0" w:footer="0" w:header="0"/>
          <w:type w:val="continuous"/>
        </w:sectPr>
      </w:pPr>
    </w:p>
    <w:bookmarkStart w:id="441" w:name="page442"/>
    <w:bookmarkEnd w:id="441"/>
    <w:p>
      <w:pPr>
        <w:jc w:val="center"/>
        <w:ind w:left="760"/>
        <w:spacing w:after="0"/>
        <w:rPr>
          <w:sz w:val="20"/>
          <w:szCs w:val="20"/>
          <w:color w:val="auto"/>
        </w:rPr>
      </w:pPr>
      <w:r>
        <w:rPr>
          <w:rFonts w:ascii="Arial" w:cs="Arial" w:eastAsia="Arial" w:hAnsi="Arial"/>
          <w:sz w:val="18"/>
          <w:szCs w:val="18"/>
          <w:color w:val="auto"/>
        </w:rPr>
        <w:t>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CIBC Innovation Banking</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40 King S. West, Suite 5702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Toronto, Ontario</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M5H 3Y2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Email:</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Attention: Mark McQueen, President and Executive Managing Director</w:t>
      </w:r>
    </w:p>
    <w:p>
      <w:pPr>
        <w:spacing w:after="0" w:line="166" w:lineRule="exact"/>
        <w:rPr>
          <w:sz w:val="20"/>
          <w:szCs w:val="20"/>
          <w:color w:val="auto"/>
        </w:rPr>
      </w:pPr>
    </w:p>
    <w:p>
      <w:pPr>
        <w:sectPr>
          <w:pgSz w:w="11900" w:h="16838" w:orient="portrait"/>
          <w:cols w:equalWidth="0" w:num="2">
            <w:col w:w="2180" w:space="720"/>
            <w:col w:w="8360"/>
          </w:cols>
          <w:pgMar w:left="320" w:top="1302" w:right="319" w:bottom="1440" w:gutter="0" w:footer="0" w:header="0"/>
        </w:sectPr>
      </w:pPr>
    </w:p>
    <w:p>
      <w:pPr>
        <w:ind w:left="11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Cooley LLP</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3175 Hanover Street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 94304</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Attn: Cynthia Bai</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Email:</w:t>
      </w:r>
    </w:p>
    <w:p>
      <w:pPr>
        <w:spacing w:after="0" w:line="143" w:lineRule="exact"/>
        <w:rPr>
          <w:sz w:val="20"/>
          <w:szCs w:val="20"/>
          <w:color w:val="auto"/>
        </w:rPr>
      </w:pPr>
    </w:p>
    <w:p>
      <w:pPr>
        <w:sectPr>
          <w:pgSz w:w="11900" w:h="16838" w:orient="portrait"/>
          <w:cols w:equalWidth="0" w:num="2">
            <w:col w:w="2360" w:space="540"/>
            <w:col w:w="8360"/>
          </w:cols>
          <w:pgMar w:left="320" w:top="1302" w:right="319" w:bottom="1440" w:gutter="0" w:footer="0" w:header="0"/>
          <w:type w:val="continuous"/>
        </w:sectPr>
      </w:pPr>
    </w:p>
    <w:p>
      <w:pPr>
        <w:jc w:val="both"/>
        <w:ind w:firstLine="585"/>
        <w:spacing w:after="0" w:line="270" w:lineRule="auto"/>
        <w:rPr>
          <w:sz w:val="20"/>
          <w:szCs w:val="20"/>
          <w:color w:val="auto"/>
        </w:rPr>
      </w:pPr>
      <w:r>
        <w:rPr>
          <w:rFonts w:ascii="Arial" w:cs="Arial" w:eastAsia="Arial" w:hAnsi="Arial"/>
          <w:sz w:val="19"/>
          <w:szCs w:val="19"/>
          <w:color w:val="auto"/>
        </w:rPr>
        <w:t>Any of the parties hereto may designate a change of address by notice in writing to the other parties. Whenever in this Agreement the giving of notice by mail or otherwise is required, the giving of such notice may be waived in writing by the person or persons entitled to receive such notice.</w:t>
      </w:r>
    </w:p>
    <w:p>
      <w:pPr>
        <w:spacing w:after="0" w:line="103"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8.12</w:t>
      </w:r>
      <w:r>
        <w:rPr>
          <w:sz w:val="20"/>
          <w:szCs w:val="20"/>
          <w:color w:val="auto"/>
        </w:rPr>
        <w:tab/>
      </w:r>
      <w:r>
        <w:rPr>
          <w:rFonts w:ascii="Arial" w:cs="Arial" w:eastAsia="Arial" w:hAnsi="Arial"/>
          <w:sz w:val="18"/>
          <w:szCs w:val="18"/>
          <w:u w:val="single" w:color="auto"/>
          <w:color w:val="auto"/>
        </w:rPr>
        <w:t>Applicable Law.</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This Agreement shall be governed by and construed, interpreted and enforced in accordance with the laws of the State of New York (without giving effect to New York’s principles of conflicts of law).</w:t>
      </w:r>
    </w:p>
    <w:p>
      <w:pPr>
        <w:spacing w:after="0" w:line="8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8.13</w:t>
      </w:r>
      <w:r>
        <w:rPr>
          <w:sz w:val="20"/>
          <w:szCs w:val="20"/>
          <w:color w:val="auto"/>
        </w:rPr>
        <w:tab/>
      </w:r>
      <w:r>
        <w:rPr>
          <w:rFonts w:ascii="Arial" w:cs="Arial" w:eastAsia="Arial" w:hAnsi="Arial"/>
          <w:sz w:val="17"/>
          <w:szCs w:val="17"/>
          <w:u w:val="single" w:color="auto"/>
          <w:color w:val="auto"/>
        </w:rPr>
        <w:t>Time of Essence.</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Time shall be of the essence for each and every provision of this Agreement of which time is an element.</w:t>
      </w:r>
    </w:p>
    <w:p>
      <w:pPr>
        <w:spacing w:after="0" w:line="159"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60"/>
          </w:cols>
          <w:pgMar w:left="320" w:top="1302" w:right="319" w:bottom="1440" w:gutter="0" w:footer="0" w:header="0"/>
          <w:type w:val="continuous"/>
        </w:sectPr>
      </w:pPr>
    </w:p>
    <w:bookmarkStart w:id="442" w:name="page443"/>
    <w:bookmarkEnd w:id="442"/>
    <w:p>
      <w:pPr>
        <w:ind w:firstLine="585"/>
        <w:spacing w:after="0" w:line="286" w:lineRule="auto"/>
        <w:rPr>
          <w:sz w:val="20"/>
          <w:szCs w:val="20"/>
          <w:color w:val="auto"/>
        </w:rPr>
      </w:pPr>
      <w:r>
        <w:rPr>
          <w:rFonts w:ascii="Arial" w:cs="Arial" w:eastAsia="Arial" w:hAnsi="Arial"/>
          <w:sz w:val="19"/>
          <w:szCs w:val="19"/>
          <w:color w:val="auto"/>
        </w:rPr>
        <w:t>IN WITNESS WHEREOF, the Borrower and the Lender have caused this Agreement to be executed under seal as of the day and year first above written.</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040" w:type="dxa"/>
            <w:vAlign w:val="bottom"/>
          </w:tcPr>
          <w:p>
            <w:pPr>
              <w:spacing w:after="0"/>
              <w:rPr>
                <w:sz w:val="20"/>
                <w:szCs w:val="20"/>
                <w:color w:val="auto"/>
              </w:rPr>
            </w:pPr>
            <w:r>
              <w:rPr>
                <w:rFonts w:ascii="Arial" w:cs="Arial" w:eastAsia="Arial" w:hAnsi="Arial"/>
                <w:sz w:val="19"/>
                <w:szCs w:val="19"/>
                <w:color w:val="auto"/>
              </w:rPr>
              <w:t>BORROWER:</w:t>
            </w:r>
          </w:p>
        </w:tc>
        <w:tc>
          <w:tcPr>
            <w:tcW w:w="8160" w:type="dxa"/>
            <w:vAlign w:val="bottom"/>
            <w:gridSpan w:val="5"/>
          </w:tcPr>
          <w:p>
            <w:pPr>
              <w:ind w:left="1760"/>
              <w:spacing w:after="0"/>
              <w:rPr>
                <w:sz w:val="20"/>
                <w:szCs w:val="20"/>
                <w:color w:val="auto"/>
              </w:rPr>
            </w:pPr>
            <w:r>
              <w:rPr>
                <w:rFonts w:ascii="Arial" w:cs="Arial" w:eastAsia="Arial" w:hAnsi="Arial"/>
                <w:sz w:val="19"/>
                <w:szCs w:val="19"/>
                <w:color w:val="auto"/>
              </w:rPr>
              <w:t>401 SW 5TH LLC, a Delaware limited liability company</w:t>
            </w:r>
          </w:p>
        </w:tc>
      </w:tr>
      <w:tr>
        <w:trPr>
          <w:trHeight w:val="475"/>
        </w:trPr>
        <w:tc>
          <w:tcPr>
            <w:tcW w:w="3040" w:type="dxa"/>
            <w:vAlign w:val="bottom"/>
          </w:tcPr>
          <w:p>
            <w:pPr>
              <w:spacing w:after="0"/>
              <w:rPr>
                <w:sz w:val="24"/>
                <w:szCs w:val="24"/>
                <w:color w:val="auto"/>
              </w:rPr>
            </w:pPr>
          </w:p>
        </w:tc>
        <w:tc>
          <w:tcPr>
            <w:tcW w:w="2340" w:type="dxa"/>
            <w:vAlign w:val="bottom"/>
          </w:tcPr>
          <w:p>
            <w:pPr>
              <w:ind w:left="1760"/>
              <w:spacing w:after="0"/>
              <w:rPr>
                <w:sz w:val="20"/>
                <w:szCs w:val="20"/>
                <w:color w:val="auto"/>
              </w:rPr>
            </w:pPr>
            <w:r>
              <w:rPr>
                <w:rFonts w:ascii="Arial" w:cs="Arial" w:eastAsia="Arial" w:hAnsi="Arial"/>
                <w:sz w:val="19"/>
                <w:szCs w:val="19"/>
                <w:color w:val="auto"/>
              </w:rPr>
              <w:t>By:</w:t>
            </w:r>
          </w:p>
        </w:tc>
        <w:tc>
          <w:tcPr>
            <w:tcW w:w="5820" w:type="dxa"/>
            <w:vAlign w:val="bottom"/>
            <w:gridSpan w:val="4"/>
          </w:tcPr>
          <w:p>
            <w:pPr>
              <w:ind w:left="20"/>
              <w:spacing w:after="0"/>
              <w:rPr>
                <w:sz w:val="20"/>
                <w:szCs w:val="20"/>
                <w:color w:val="auto"/>
              </w:rPr>
            </w:pPr>
            <w:r>
              <w:rPr>
                <w:rFonts w:ascii="Arial" w:cs="Arial" w:eastAsia="Arial" w:hAnsi="Arial"/>
                <w:sz w:val="19"/>
                <w:szCs w:val="19"/>
                <w:color w:val="auto"/>
                <w:w w:val="97"/>
              </w:rPr>
              <w:t>Expensify, Inc., a Delaware corporation, its sole manager and member</w:t>
            </w:r>
          </w:p>
        </w:tc>
      </w:tr>
      <w:tr>
        <w:trPr>
          <w:trHeight w:val="872"/>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By:</w:t>
            </w: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Barrett</w:t>
            </w:r>
          </w:p>
        </w:tc>
        <w:tc>
          <w:tcPr>
            <w:tcW w:w="1080" w:type="dxa"/>
            <w:vAlign w:val="bottom"/>
            <w:tcBorders>
              <w:bottom w:val="single" w:sz="8" w:color="auto"/>
            </w:tcBorders>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9"/>
                <w:szCs w:val="19"/>
                <w:color w:val="auto"/>
              </w:rPr>
              <w:t>(SEAL)</w:t>
            </w:r>
          </w:p>
        </w:tc>
      </w:tr>
      <w:tr>
        <w:trPr>
          <w:trHeight w:val="265"/>
        </w:trPr>
        <w:tc>
          <w:tcPr>
            <w:tcW w:w="30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760" w:type="dxa"/>
            <w:vAlign w:val="bottom"/>
          </w:tcPr>
          <w:p>
            <w:pPr>
              <w:ind w:left="20"/>
              <w:spacing w:after="0"/>
              <w:rPr>
                <w:sz w:val="20"/>
                <w:szCs w:val="20"/>
                <w:color w:val="auto"/>
              </w:rPr>
            </w:pPr>
            <w:r>
              <w:rPr>
                <w:rFonts w:ascii="Arial" w:cs="Arial" w:eastAsia="Arial" w:hAnsi="Arial"/>
                <w:sz w:val="19"/>
                <w:szCs w:val="19"/>
                <w:color w:val="auto"/>
              </w:rPr>
              <w:t>David Barrett, CEO</w:t>
            </w:r>
          </w:p>
        </w:tc>
        <w:tc>
          <w:tcPr>
            <w:tcW w:w="10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1060"/>
        </w:trPr>
        <w:tc>
          <w:tcPr>
            <w:tcW w:w="3040" w:type="dxa"/>
            <w:vAlign w:val="bottom"/>
          </w:tcPr>
          <w:p>
            <w:pPr>
              <w:spacing w:after="0"/>
              <w:rPr>
                <w:sz w:val="20"/>
                <w:szCs w:val="20"/>
                <w:color w:val="auto"/>
              </w:rPr>
            </w:pPr>
            <w:r>
              <w:rPr>
                <w:rFonts w:ascii="Arial" w:cs="Arial" w:eastAsia="Arial" w:hAnsi="Arial"/>
                <w:sz w:val="19"/>
                <w:szCs w:val="19"/>
                <w:color w:val="auto"/>
              </w:rPr>
              <w:t>GUARANTOR:</w:t>
            </w:r>
          </w:p>
        </w:tc>
        <w:tc>
          <w:tcPr>
            <w:tcW w:w="6040" w:type="dxa"/>
            <w:vAlign w:val="bottom"/>
            <w:gridSpan w:val="3"/>
          </w:tcPr>
          <w:p>
            <w:pPr>
              <w:ind w:left="1760"/>
              <w:spacing w:after="0"/>
              <w:rPr>
                <w:sz w:val="20"/>
                <w:szCs w:val="20"/>
                <w:color w:val="auto"/>
              </w:rPr>
            </w:pPr>
            <w:r>
              <w:rPr>
                <w:rFonts w:ascii="Arial" w:cs="Arial" w:eastAsia="Arial" w:hAnsi="Arial"/>
                <w:sz w:val="19"/>
                <w:szCs w:val="19"/>
                <w:color w:val="auto"/>
              </w:rPr>
              <w:t>EXPENSIFY, INC., a Delaware corporation</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72"/>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By:</w:t>
            </w: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Barrett</w:t>
            </w:r>
          </w:p>
        </w:tc>
        <w:tc>
          <w:tcPr>
            <w:tcW w:w="1080" w:type="dxa"/>
            <w:vAlign w:val="bottom"/>
            <w:tcBorders>
              <w:bottom w:val="single" w:sz="8" w:color="auto"/>
            </w:tcBorders>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9"/>
                <w:szCs w:val="19"/>
                <w:color w:val="auto"/>
              </w:rPr>
              <w:t>(SEAL)</w:t>
            </w:r>
          </w:p>
        </w:tc>
      </w:tr>
      <w:tr>
        <w:trPr>
          <w:trHeight w:val="265"/>
        </w:trPr>
        <w:tc>
          <w:tcPr>
            <w:tcW w:w="30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Name:</w:t>
            </w:r>
          </w:p>
        </w:tc>
        <w:tc>
          <w:tcPr>
            <w:tcW w:w="2760" w:type="dxa"/>
            <w:vAlign w:val="bottom"/>
          </w:tcPr>
          <w:p>
            <w:pPr>
              <w:ind w:left="20"/>
              <w:spacing w:after="0"/>
              <w:rPr>
                <w:sz w:val="20"/>
                <w:szCs w:val="20"/>
                <w:color w:val="auto"/>
              </w:rPr>
            </w:pPr>
            <w:r>
              <w:rPr>
                <w:rFonts w:ascii="Arial" w:cs="Arial" w:eastAsia="Arial" w:hAnsi="Arial"/>
                <w:sz w:val="19"/>
                <w:szCs w:val="19"/>
                <w:color w:val="auto"/>
              </w:rPr>
              <w:t>David Barrett</w:t>
            </w:r>
          </w:p>
        </w:tc>
        <w:tc>
          <w:tcPr>
            <w:tcW w:w="10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0"/>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Title:</w:t>
            </w:r>
          </w:p>
        </w:tc>
        <w:tc>
          <w:tcPr>
            <w:tcW w:w="4880" w:type="dxa"/>
            <w:vAlign w:val="bottom"/>
            <w:gridSpan w:val="3"/>
          </w:tcPr>
          <w:p>
            <w:pPr>
              <w:ind w:left="20"/>
              <w:spacing w:after="0"/>
              <w:rPr>
                <w:sz w:val="20"/>
                <w:szCs w:val="20"/>
                <w:color w:val="auto"/>
              </w:rPr>
            </w:pPr>
            <w:r>
              <w:rPr>
                <w:rFonts w:ascii="Arial" w:cs="Arial" w:eastAsia="Arial" w:hAnsi="Arial"/>
                <w:sz w:val="19"/>
                <w:szCs w:val="19"/>
                <w:color w:val="auto"/>
              </w:rPr>
              <w:t>President and Chief Executive Officer</w:t>
            </w:r>
          </w:p>
        </w:tc>
      </w:tr>
      <w:tr>
        <w:trPr>
          <w:trHeight w:val="865"/>
        </w:trPr>
        <w:tc>
          <w:tcPr>
            <w:tcW w:w="3040" w:type="dxa"/>
            <w:vAlign w:val="bottom"/>
          </w:tcPr>
          <w:p>
            <w:pPr>
              <w:spacing w:after="0"/>
              <w:rPr>
                <w:sz w:val="20"/>
                <w:szCs w:val="20"/>
                <w:color w:val="auto"/>
              </w:rPr>
            </w:pPr>
            <w:r>
              <w:rPr>
                <w:rFonts w:ascii="Arial" w:cs="Arial" w:eastAsia="Arial" w:hAnsi="Arial"/>
                <w:sz w:val="19"/>
                <w:szCs w:val="19"/>
                <w:color w:val="auto"/>
              </w:rPr>
              <w:t>LENDER:</w:t>
            </w:r>
          </w:p>
        </w:tc>
        <w:tc>
          <w:tcPr>
            <w:tcW w:w="6040" w:type="dxa"/>
            <w:vAlign w:val="bottom"/>
            <w:gridSpan w:val="3"/>
          </w:tcPr>
          <w:p>
            <w:pPr>
              <w:ind w:left="1760"/>
              <w:spacing w:after="0"/>
              <w:rPr>
                <w:sz w:val="20"/>
                <w:szCs w:val="20"/>
                <w:color w:val="auto"/>
              </w:rPr>
            </w:pPr>
            <w:r>
              <w:rPr>
                <w:rFonts w:ascii="Arial" w:cs="Arial" w:eastAsia="Arial" w:hAnsi="Arial"/>
                <w:sz w:val="19"/>
                <w:szCs w:val="19"/>
                <w:color w:val="auto"/>
              </w:rPr>
              <w:t>CANADIAN IMPERIAL BANK OF COMMERCE</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72"/>
        </w:trPr>
        <w:tc>
          <w:tcPr>
            <w:tcW w:w="3040" w:type="dxa"/>
            <w:vAlign w:val="bottom"/>
          </w:tcPr>
          <w:p>
            <w:pPr>
              <w:spacing w:after="0"/>
              <w:rPr>
                <w:sz w:val="24"/>
                <w:szCs w:val="24"/>
                <w:color w:val="auto"/>
              </w:rPr>
            </w:pPr>
          </w:p>
        </w:tc>
        <w:tc>
          <w:tcPr>
            <w:tcW w:w="2340" w:type="dxa"/>
            <w:vAlign w:val="bottom"/>
          </w:tcPr>
          <w:p>
            <w:pPr>
              <w:ind w:left="1760"/>
              <w:spacing w:after="0"/>
              <w:rPr>
                <w:sz w:val="20"/>
                <w:szCs w:val="20"/>
                <w:color w:val="auto"/>
              </w:rPr>
            </w:pPr>
            <w:r>
              <w:rPr>
                <w:rFonts w:ascii="Arial" w:cs="Arial" w:eastAsia="Arial" w:hAnsi="Arial"/>
                <w:sz w:val="19"/>
                <w:szCs w:val="19"/>
                <w:color w:val="auto"/>
              </w:rPr>
              <w:t>By:</w:t>
            </w:r>
          </w:p>
        </w:tc>
        <w:tc>
          <w:tcPr>
            <w:tcW w:w="370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Mark McQueen</w:t>
            </w:r>
          </w:p>
        </w:tc>
        <w:tc>
          <w:tcPr>
            <w:tcW w:w="2120" w:type="dxa"/>
            <w:vAlign w:val="bottom"/>
            <w:gridSpan w:val="2"/>
          </w:tcPr>
          <w:p>
            <w:pPr>
              <w:ind w:left="20"/>
              <w:spacing w:after="0"/>
              <w:rPr>
                <w:sz w:val="20"/>
                <w:szCs w:val="20"/>
                <w:color w:val="auto"/>
              </w:rPr>
            </w:pPr>
            <w:r>
              <w:rPr>
                <w:rFonts w:ascii="Arial" w:cs="Arial" w:eastAsia="Arial" w:hAnsi="Arial"/>
                <w:sz w:val="19"/>
                <w:szCs w:val="19"/>
                <w:color w:val="auto"/>
              </w:rPr>
              <w:t>(SEAL)</w:t>
            </w:r>
          </w:p>
        </w:tc>
      </w:tr>
      <w:tr>
        <w:trPr>
          <w:trHeight w:val="265"/>
        </w:trPr>
        <w:tc>
          <w:tcPr>
            <w:tcW w:w="30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Name:</w:t>
            </w:r>
          </w:p>
        </w:tc>
        <w:tc>
          <w:tcPr>
            <w:tcW w:w="2760" w:type="dxa"/>
            <w:vAlign w:val="bottom"/>
          </w:tcPr>
          <w:p>
            <w:pPr>
              <w:ind w:left="20"/>
              <w:spacing w:after="0"/>
              <w:rPr>
                <w:sz w:val="20"/>
                <w:szCs w:val="20"/>
                <w:color w:val="auto"/>
              </w:rPr>
            </w:pPr>
            <w:r>
              <w:rPr>
                <w:rFonts w:ascii="Arial" w:cs="Arial" w:eastAsia="Arial" w:hAnsi="Arial"/>
                <w:sz w:val="19"/>
                <w:szCs w:val="19"/>
                <w:color w:val="auto"/>
              </w:rPr>
              <w:t>Mark McQueen</w:t>
            </w:r>
          </w:p>
        </w:tc>
        <w:tc>
          <w:tcPr>
            <w:tcW w:w="10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64"/>
        </w:trPr>
        <w:tc>
          <w:tcPr>
            <w:tcW w:w="30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Title:</w:t>
            </w:r>
          </w:p>
        </w:tc>
        <w:tc>
          <w:tcPr>
            <w:tcW w:w="4880" w:type="dxa"/>
            <w:vAlign w:val="bottom"/>
            <w:gridSpan w:val="3"/>
          </w:tcPr>
          <w:p>
            <w:pPr>
              <w:ind w:left="20"/>
              <w:spacing w:after="0"/>
              <w:rPr>
                <w:sz w:val="20"/>
                <w:szCs w:val="20"/>
                <w:color w:val="auto"/>
              </w:rPr>
            </w:pPr>
            <w:r>
              <w:rPr>
                <w:rFonts w:ascii="Arial" w:cs="Arial" w:eastAsia="Arial" w:hAnsi="Arial"/>
                <w:sz w:val="19"/>
                <w:szCs w:val="19"/>
                <w:color w:val="auto"/>
                <w:w w:val="94"/>
              </w:rPr>
              <w:t>President and Executive Managing Director, CIBC Innovation</w:t>
            </w:r>
          </w:p>
        </w:tc>
      </w:tr>
      <w:tr>
        <w:trPr>
          <w:trHeight w:val="248"/>
        </w:trPr>
        <w:tc>
          <w:tcPr>
            <w:tcW w:w="30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760" w:type="dxa"/>
            <w:vAlign w:val="bottom"/>
          </w:tcPr>
          <w:p>
            <w:pPr>
              <w:ind w:left="20"/>
              <w:spacing w:after="0"/>
              <w:rPr>
                <w:sz w:val="20"/>
                <w:szCs w:val="20"/>
                <w:color w:val="auto"/>
              </w:rPr>
            </w:pPr>
            <w:r>
              <w:rPr>
                <w:rFonts w:ascii="Arial" w:cs="Arial" w:eastAsia="Arial" w:hAnsi="Arial"/>
                <w:sz w:val="19"/>
                <w:szCs w:val="19"/>
                <w:color w:val="auto"/>
              </w:rPr>
              <w:t>Banking</w:t>
            </w: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279"/>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9"/>
                <w:szCs w:val="19"/>
                <w:color w:val="auto"/>
              </w:rPr>
              <w:t>32</w:t>
            </w:r>
          </w:p>
        </w:tc>
        <w:tc>
          <w:tcPr>
            <w:tcW w:w="2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40"/>
          </w:cols>
          <w:pgMar w:left="320" w:top="1301" w:right="339" w:bottom="1440" w:gutter="0" w:footer="0" w:header="0"/>
        </w:sectPr>
      </w:pPr>
    </w:p>
    <w:bookmarkStart w:id="443" w:name="page444"/>
    <w:bookmarkEnd w:id="443"/>
    <w:p>
      <w:pPr>
        <w:jc w:val="right"/>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070707"/>
        </w:rPr>
        <w:t>EXPENSIFY, INC.</w:t>
      </w:r>
    </w:p>
    <w:p>
      <w:pPr>
        <w:spacing w:after="0" w:line="25" w:lineRule="exact"/>
        <w:rPr>
          <w:sz w:val="20"/>
          <w:szCs w:val="20"/>
          <w:color w:val="auto"/>
        </w:rPr>
      </w:pPr>
    </w:p>
    <w:p>
      <w:pPr>
        <w:ind w:left="4660"/>
        <w:spacing w:after="0"/>
        <w:rPr>
          <w:sz w:val="20"/>
          <w:szCs w:val="20"/>
          <w:color w:val="auto"/>
        </w:rPr>
      </w:pPr>
      <w:r>
        <w:rPr>
          <w:rFonts w:ascii="Arial" w:cs="Arial" w:eastAsia="Arial" w:hAnsi="Arial"/>
          <w:sz w:val="18"/>
          <w:szCs w:val="18"/>
          <w:color w:val="070707"/>
        </w:rPr>
        <w:t>548 Market Street, #61434</w:t>
      </w:r>
    </w:p>
    <w:p>
      <w:pPr>
        <w:ind w:left="4700"/>
        <w:spacing w:after="0"/>
        <w:rPr>
          <w:sz w:val="20"/>
          <w:szCs w:val="20"/>
          <w:color w:val="auto"/>
        </w:rPr>
      </w:pPr>
      <w:r>
        <w:rPr>
          <w:rFonts w:ascii="Arial" w:cs="Arial" w:eastAsia="Arial" w:hAnsi="Arial"/>
          <w:sz w:val="18"/>
          <w:szCs w:val="18"/>
          <w:color w:val="070707"/>
        </w:rPr>
        <w:t>San Francisco, CA 94104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070707"/>
        </w:rPr>
        <w:t>April 29, 2009</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color w:val="070707"/>
        </w:rPr>
        <w:t>David Barrett</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070707"/>
        </w:rPr>
        <w:t>548 Market Street, #61434</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070707"/>
        </w:rPr>
        <w:t>San Francisco, CA 94104</w:t>
      </w:r>
    </w:p>
    <w:p>
      <w:pPr>
        <w:spacing w:after="0" w:line="234" w:lineRule="exact"/>
        <w:rPr>
          <w:sz w:val="20"/>
          <w:szCs w:val="20"/>
          <w:color w:val="auto"/>
        </w:rPr>
      </w:pPr>
    </w:p>
    <w:p>
      <w:pPr>
        <w:ind w:left="1100"/>
        <w:spacing w:after="0"/>
        <w:tabs>
          <w:tab w:leader="none" w:pos="422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b w:val="1"/>
          <w:bCs w:val="1"/>
          <w:u w:val="single" w:color="auto"/>
          <w:color w:val="auto"/>
        </w:rPr>
        <w:t>EMPLOYMENT AGREEMENT</w:t>
      </w: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070707"/>
        </w:rPr>
        <w:t>Dear David:</w:t>
      </w:r>
    </w:p>
    <w:p>
      <w:pPr>
        <w:spacing w:after="0" w:line="208" w:lineRule="exact"/>
        <w:rPr>
          <w:sz w:val="20"/>
          <w:szCs w:val="20"/>
          <w:color w:val="auto"/>
        </w:rPr>
      </w:pPr>
    </w:p>
    <w:p>
      <w:pPr>
        <w:ind w:right="280" w:firstLine="585"/>
        <w:spacing w:after="0" w:line="270" w:lineRule="auto"/>
        <w:rPr>
          <w:sz w:val="20"/>
          <w:szCs w:val="20"/>
          <w:color w:val="auto"/>
        </w:rPr>
      </w:pPr>
      <w:r>
        <w:rPr>
          <w:rFonts w:ascii="Arial" w:cs="Arial" w:eastAsia="Arial" w:hAnsi="Arial"/>
          <w:sz w:val="19"/>
          <w:szCs w:val="19"/>
          <w:color w:val="070707"/>
        </w:rPr>
        <w:t>On behalf of Expensify, Inc., a Delaware corporation (the "</w:t>
      </w:r>
      <w:r>
        <w:rPr>
          <w:rFonts w:ascii="Arial" w:cs="Arial" w:eastAsia="Arial" w:hAnsi="Arial"/>
          <w:sz w:val="19"/>
          <w:szCs w:val="19"/>
          <w:u w:val="single" w:color="auto"/>
          <w:color w:val="070707"/>
        </w:rPr>
        <w:t>Company</w:t>
      </w:r>
      <w:r>
        <w:rPr>
          <w:rFonts w:ascii="Arial" w:cs="Arial" w:eastAsia="Arial" w:hAnsi="Arial"/>
          <w:sz w:val="19"/>
          <w:szCs w:val="19"/>
          <w:color w:val="070707"/>
        </w:rPr>
        <w:t>"), I am pleased to offer you the positions of President and Chief Executive Officer of the Company. Your employment by the Company shall be governed by the following terms and conditions (this "</w:t>
      </w:r>
      <w:r>
        <w:rPr>
          <w:rFonts w:ascii="Arial" w:cs="Arial" w:eastAsia="Arial" w:hAnsi="Arial"/>
          <w:sz w:val="19"/>
          <w:szCs w:val="19"/>
          <w:u w:val="single" w:color="auto"/>
          <w:color w:val="070707"/>
        </w:rPr>
        <w:t>Agreement</w:t>
      </w:r>
      <w:r>
        <w:rPr>
          <w:rFonts w:ascii="Arial" w:cs="Arial" w:eastAsia="Arial" w:hAnsi="Arial"/>
          <w:sz w:val="19"/>
          <w:szCs w:val="19"/>
          <w:color w:val="070707"/>
        </w:rPr>
        <w:t>"):</w:t>
      </w:r>
    </w:p>
    <w:p>
      <w:pPr>
        <w:spacing w:after="0" w:line="146" w:lineRule="exact"/>
        <w:rPr>
          <w:sz w:val="20"/>
          <w:szCs w:val="20"/>
          <w:color w:val="auto"/>
        </w:rPr>
      </w:pPr>
    </w:p>
    <w:p>
      <w:pPr>
        <w:ind w:left="1160" w:hanging="578"/>
        <w:spacing w:after="0"/>
        <w:tabs>
          <w:tab w:leader="none" w:pos="1160" w:val="left"/>
        </w:tabs>
        <w:numPr>
          <w:ilvl w:val="0"/>
          <w:numId w:val="321"/>
        </w:numPr>
        <w:rPr>
          <w:rFonts w:ascii="Arial" w:cs="Arial" w:eastAsia="Arial" w:hAnsi="Arial"/>
          <w:sz w:val="19"/>
          <w:szCs w:val="19"/>
          <w:color w:val="070707"/>
        </w:rPr>
      </w:pPr>
      <w:r>
        <w:rPr>
          <w:rFonts w:ascii="Arial" w:cs="Arial" w:eastAsia="Arial" w:hAnsi="Arial"/>
          <w:sz w:val="19"/>
          <w:szCs w:val="19"/>
          <w:b w:val="1"/>
          <w:bCs w:val="1"/>
          <w:u w:val="single" w:color="auto"/>
          <w:color w:val="auto"/>
        </w:rPr>
        <w:t>Duties and Scope of Employment.</w:t>
      </w:r>
    </w:p>
    <w:p>
      <w:pPr>
        <w:spacing w:after="0" w:line="207" w:lineRule="exact"/>
        <w:rPr>
          <w:rFonts w:ascii="Arial" w:cs="Arial" w:eastAsia="Arial" w:hAnsi="Arial"/>
          <w:sz w:val="19"/>
          <w:szCs w:val="19"/>
          <w:color w:val="070707"/>
        </w:rPr>
      </w:pPr>
    </w:p>
    <w:p>
      <w:pPr>
        <w:ind w:right="320" w:firstLine="582"/>
        <w:spacing w:after="0" w:line="263" w:lineRule="auto"/>
        <w:tabs>
          <w:tab w:leader="none" w:pos="1169" w:val="left"/>
        </w:tabs>
        <w:numPr>
          <w:ilvl w:val="0"/>
          <w:numId w:val="321"/>
        </w:numPr>
        <w:rPr>
          <w:rFonts w:ascii="Arial" w:cs="Arial" w:eastAsia="Arial" w:hAnsi="Arial"/>
          <w:sz w:val="19"/>
          <w:szCs w:val="19"/>
          <w:color w:val="070707"/>
        </w:rPr>
      </w:pPr>
      <w:r>
        <w:rPr>
          <w:rFonts w:ascii="Arial" w:cs="Arial" w:eastAsia="Arial" w:hAnsi="Arial"/>
          <w:sz w:val="19"/>
          <w:szCs w:val="19"/>
          <w:b w:val="1"/>
          <w:bCs w:val="1"/>
          <w:u w:val="single" w:color="auto"/>
          <w:color w:val="070707"/>
        </w:rPr>
        <w:t>Position</w:t>
      </w:r>
      <w:r>
        <w:rPr>
          <w:rFonts w:ascii="Arial" w:cs="Arial" w:eastAsia="Arial" w:hAnsi="Arial"/>
          <w:sz w:val="19"/>
          <w:szCs w:val="19"/>
          <w:b w:val="1"/>
          <w:bCs w:val="1"/>
          <w:color w:val="070707"/>
        </w:rPr>
        <w:t xml:space="preserve">. </w:t>
      </w:r>
      <w:r>
        <w:rPr>
          <w:rFonts w:ascii="Arial" w:cs="Arial" w:eastAsia="Arial" w:hAnsi="Arial"/>
          <w:sz w:val="19"/>
          <w:szCs w:val="19"/>
          <w:color w:val="070707"/>
        </w:rPr>
        <w:t>For the term of your employment under this Agreement (your "Employment"), the Company agrees to employ you</w:t>
      </w:r>
      <w:r>
        <w:rPr>
          <w:rFonts w:ascii="Arial" w:cs="Arial" w:eastAsia="Arial" w:hAnsi="Arial"/>
          <w:sz w:val="19"/>
          <w:szCs w:val="19"/>
          <w:b w:val="1"/>
          <w:bCs w:val="1"/>
          <w:color w:val="070707"/>
        </w:rPr>
        <w:t xml:space="preserve"> </w:t>
      </w:r>
      <w:r>
        <w:rPr>
          <w:rFonts w:ascii="Arial" w:cs="Arial" w:eastAsia="Arial" w:hAnsi="Arial"/>
          <w:sz w:val="19"/>
          <w:szCs w:val="19"/>
          <w:color w:val="070707"/>
        </w:rPr>
        <w:t>in the positions of President and Chief Executive Offic</w:t>
      </w:r>
      <w:r>
        <w:rPr>
          <w:rFonts w:ascii="Arial" w:cs="Arial" w:eastAsia="Arial" w:hAnsi="Arial"/>
          <w:sz w:val="19"/>
          <w:szCs w:val="19"/>
          <w:color w:val="0B0B0B"/>
        </w:rPr>
        <w:t>er, reporting to the</w:t>
      </w:r>
      <w:r>
        <w:rPr>
          <w:rFonts w:ascii="Arial" w:cs="Arial" w:eastAsia="Arial" w:hAnsi="Arial"/>
          <w:sz w:val="19"/>
          <w:szCs w:val="19"/>
          <w:color w:val="070707"/>
        </w:rPr>
        <w:t xml:space="preserve"> Company's Board of Directors (the "</w:t>
      </w:r>
      <w:r>
        <w:rPr>
          <w:rFonts w:ascii="Arial" w:cs="Arial" w:eastAsia="Arial" w:hAnsi="Arial"/>
          <w:sz w:val="19"/>
          <w:szCs w:val="19"/>
          <w:u w:val="single" w:color="auto"/>
          <w:color w:val="070707"/>
        </w:rPr>
        <w:t>Board</w:t>
      </w:r>
      <w:r>
        <w:rPr>
          <w:rFonts w:ascii="Arial" w:cs="Arial" w:eastAsia="Arial" w:hAnsi="Arial"/>
          <w:sz w:val="19"/>
          <w:szCs w:val="19"/>
          <w:color w:val="070707"/>
        </w:rPr>
        <w:t>"). You will be working out of the Company</w:t>
      </w:r>
      <w:r>
        <w:rPr>
          <w:rFonts w:ascii="Arial" w:cs="Arial" w:eastAsia="Arial" w:hAnsi="Arial"/>
          <w:sz w:val="19"/>
          <w:szCs w:val="19"/>
          <w:color w:val="232323"/>
        </w:rPr>
        <w:t>'</w:t>
      </w:r>
      <w:r>
        <w:rPr>
          <w:rFonts w:ascii="Arial" w:cs="Arial" w:eastAsia="Arial" w:hAnsi="Arial"/>
          <w:sz w:val="19"/>
          <w:szCs w:val="19"/>
          <w:color w:val="070707"/>
        </w:rPr>
        <w:t>s office in the San Francisco Bay Area although you understand and agree that you may be required to travel from time to time for business reasons. You will perform the duties and have the responsibilities and authority customarily performed and held by an employee in your position.</w:t>
      </w:r>
    </w:p>
    <w:p>
      <w:pPr>
        <w:spacing w:after="0" w:line="154" w:lineRule="exact"/>
        <w:rPr>
          <w:rFonts w:ascii="Arial" w:cs="Arial" w:eastAsia="Arial" w:hAnsi="Arial"/>
          <w:sz w:val="19"/>
          <w:szCs w:val="19"/>
          <w:color w:val="070707"/>
        </w:rPr>
      </w:pPr>
    </w:p>
    <w:p>
      <w:pPr>
        <w:ind w:right="340" w:firstLine="582"/>
        <w:spacing w:after="0" w:line="261" w:lineRule="auto"/>
        <w:tabs>
          <w:tab w:leader="none" w:pos="1169" w:val="left"/>
        </w:tabs>
        <w:numPr>
          <w:ilvl w:val="0"/>
          <w:numId w:val="321"/>
        </w:numPr>
        <w:rPr>
          <w:rFonts w:ascii="Arial" w:cs="Arial" w:eastAsia="Arial" w:hAnsi="Arial"/>
          <w:sz w:val="19"/>
          <w:szCs w:val="19"/>
          <w:color w:val="070707"/>
        </w:rPr>
      </w:pPr>
      <w:r>
        <w:rPr>
          <w:rFonts w:ascii="Arial" w:cs="Arial" w:eastAsia="Arial" w:hAnsi="Arial"/>
          <w:sz w:val="19"/>
          <w:szCs w:val="19"/>
          <w:b w:val="1"/>
          <w:bCs w:val="1"/>
          <w:u w:val="single" w:color="auto"/>
          <w:color w:val="070707"/>
        </w:rPr>
        <w:t>Obligations to the Company</w:t>
      </w:r>
      <w:r>
        <w:rPr>
          <w:rFonts w:ascii="Arial" w:cs="Arial" w:eastAsia="Arial" w:hAnsi="Arial"/>
          <w:sz w:val="19"/>
          <w:szCs w:val="19"/>
          <w:b w:val="1"/>
          <w:bCs w:val="1"/>
          <w:color w:val="070707"/>
        </w:rPr>
        <w:t xml:space="preserve">. </w:t>
      </w:r>
      <w:r>
        <w:rPr>
          <w:rFonts w:ascii="Arial" w:cs="Arial" w:eastAsia="Arial" w:hAnsi="Arial"/>
          <w:sz w:val="19"/>
          <w:szCs w:val="19"/>
          <w:color w:val="070707"/>
        </w:rPr>
        <w:t>During your Employment, you shall devote your full business efforts and time to the</w:t>
      </w:r>
      <w:r>
        <w:rPr>
          <w:rFonts w:ascii="Arial" w:cs="Arial" w:eastAsia="Arial" w:hAnsi="Arial"/>
          <w:sz w:val="19"/>
          <w:szCs w:val="19"/>
          <w:b w:val="1"/>
          <w:bCs w:val="1"/>
          <w:color w:val="070707"/>
        </w:rPr>
        <w:t xml:space="preserve"> </w:t>
      </w:r>
      <w:r>
        <w:rPr>
          <w:rFonts w:ascii="Arial" w:cs="Arial" w:eastAsia="Arial" w:hAnsi="Arial"/>
          <w:sz w:val="19"/>
          <w:szCs w:val="19"/>
          <w:color w:val="070707"/>
        </w:rPr>
        <w:t>Company</w:t>
      </w:r>
      <w:r>
        <w:rPr>
          <w:rFonts w:ascii="Arial" w:cs="Arial" w:eastAsia="Arial" w:hAnsi="Arial"/>
          <w:sz w:val="19"/>
          <w:szCs w:val="19"/>
          <w:color w:val="232323"/>
        </w:rPr>
        <w:t>'</w:t>
      </w:r>
      <w:r>
        <w:rPr>
          <w:rFonts w:ascii="Arial" w:cs="Arial" w:eastAsia="Arial" w:hAnsi="Arial"/>
          <w:sz w:val="19"/>
          <w:szCs w:val="19"/>
          <w:color w:val="070707"/>
        </w:rPr>
        <w:t>s business. You may, however, serve on corporate, civic or charitable boards or committees, deliver lectures, fulfill speaking engagements or teach at educational institutions, provided that such activities do not individually or in the aggregate interfere with the performance of your duties under this Agreement or violate the terms of the Confidential Information and Invention Assignment Agreement between you and the Company. You shall comply with the Company's policies and rules, as they may be in effect from time to time during your Employment.</w:t>
      </w:r>
    </w:p>
    <w:p>
      <w:pPr>
        <w:spacing w:after="0" w:line="157" w:lineRule="exact"/>
        <w:rPr>
          <w:rFonts w:ascii="Arial" w:cs="Arial" w:eastAsia="Arial" w:hAnsi="Arial"/>
          <w:sz w:val="19"/>
          <w:szCs w:val="19"/>
          <w:color w:val="070707"/>
        </w:rPr>
      </w:pPr>
    </w:p>
    <w:p>
      <w:pPr>
        <w:ind w:right="400" w:firstLine="582"/>
        <w:spacing w:after="0" w:line="267" w:lineRule="auto"/>
        <w:tabs>
          <w:tab w:leader="none" w:pos="1169" w:val="left"/>
        </w:tabs>
        <w:numPr>
          <w:ilvl w:val="0"/>
          <w:numId w:val="321"/>
        </w:numPr>
        <w:rPr>
          <w:rFonts w:ascii="Arial" w:cs="Arial" w:eastAsia="Arial" w:hAnsi="Arial"/>
          <w:sz w:val="19"/>
          <w:szCs w:val="19"/>
          <w:color w:val="070707"/>
        </w:rPr>
      </w:pPr>
      <w:r>
        <w:rPr>
          <w:rFonts w:ascii="Arial" w:cs="Arial" w:eastAsia="Arial" w:hAnsi="Arial"/>
          <w:sz w:val="19"/>
          <w:szCs w:val="19"/>
          <w:b w:val="1"/>
          <w:bCs w:val="1"/>
          <w:u w:val="single" w:color="auto"/>
          <w:color w:val="070707"/>
        </w:rPr>
        <w:t>No Conflicting Obligations</w:t>
      </w:r>
      <w:r>
        <w:rPr>
          <w:rFonts w:ascii="Arial" w:cs="Arial" w:eastAsia="Arial" w:hAnsi="Arial"/>
          <w:sz w:val="19"/>
          <w:szCs w:val="19"/>
          <w:b w:val="1"/>
          <w:bCs w:val="1"/>
          <w:color w:val="070707"/>
        </w:rPr>
        <w:t xml:space="preserve">. </w:t>
      </w:r>
      <w:r>
        <w:rPr>
          <w:rFonts w:ascii="Arial" w:cs="Arial" w:eastAsia="Arial" w:hAnsi="Arial"/>
          <w:sz w:val="19"/>
          <w:szCs w:val="19"/>
          <w:color w:val="070707"/>
        </w:rPr>
        <w:t>You represent and warrant to the Company that you are under no obligations or commitments,</w:t>
      </w:r>
      <w:r>
        <w:rPr>
          <w:rFonts w:ascii="Arial" w:cs="Arial" w:eastAsia="Arial" w:hAnsi="Arial"/>
          <w:sz w:val="19"/>
          <w:szCs w:val="19"/>
          <w:b w:val="1"/>
          <w:bCs w:val="1"/>
          <w:color w:val="070707"/>
        </w:rPr>
        <w:t xml:space="preserve"> </w:t>
      </w:r>
      <w:r>
        <w:rPr>
          <w:rFonts w:ascii="Arial" w:cs="Arial" w:eastAsia="Arial" w:hAnsi="Arial"/>
          <w:sz w:val="19"/>
          <w:szCs w:val="19"/>
          <w:color w:val="070707"/>
        </w:rPr>
        <w:t>whether contractual or otherwise, that are inconsistent with your obligations under this Agreement. In connection with your Employment, you shall not use or disclose any trade secrets or other proprietary information or intellectual property in which you or any other person has any right, title or interest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60"/>
          </w:cols>
          <w:pgMar w:left="320" w:top="123" w:right="319" w:bottom="1440" w:gutter="0" w:footer="0" w:header="0"/>
        </w:sectPr>
      </w:pPr>
    </w:p>
    <w:bookmarkStart w:id="444" w:name="page445"/>
    <w:bookmarkEnd w:id="444"/>
    <w:p>
      <w:pPr>
        <w:ind w:right="740"/>
        <w:spacing w:after="0" w:line="286" w:lineRule="auto"/>
        <w:rPr>
          <w:sz w:val="20"/>
          <w:szCs w:val="20"/>
          <w:color w:val="auto"/>
        </w:rPr>
      </w:pPr>
      <w:r>
        <w:rPr>
          <w:rFonts w:ascii="Arial" w:cs="Arial" w:eastAsia="Arial" w:hAnsi="Arial"/>
          <w:sz w:val="19"/>
          <w:szCs w:val="19"/>
          <w:color w:val="070707"/>
        </w:rPr>
        <w:t xml:space="preserve">your Employment will not infringe or violate the rights of any other person. </w:t>
      </w:r>
      <w:r>
        <w:rPr>
          <w:rFonts w:ascii="Arial" w:cs="Arial" w:eastAsia="Arial" w:hAnsi="Arial"/>
          <w:sz w:val="19"/>
          <w:szCs w:val="19"/>
          <w:color w:val="0B0B0B"/>
        </w:rPr>
        <w:t>You represent and warrant to the Company that you have</w:t>
      </w:r>
      <w:r>
        <w:rPr>
          <w:rFonts w:ascii="Arial" w:cs="Arial" w:eastAsia="Arial" w:hAnsi="Arial"/>
          <w:sz w:val="19"/>
          <w:szCs w:val="19"/>
          <w:color w:val="070707"/>
        </w:rPr>
        <w:t xml:space="preserve"> </w:t>
      </w:r>
      <w:r>
        <w:rPr>
          <w:rFonts w:ascii="Arial" w:cs="Arial" w:eastAsia="Arial" w:hAnsi="Arial"/>
          <w:sz w:val="19"/>
          <w:szCs w:val="19"/>
          <w:color w:val="0B0B0B"/>
        </w:rPr>
        <w:t>returned all propert</w:t>
      </w:r>
      <w:r>
        <w:rPr>
          <w:rFonts w:ascii="Arial" w:cs="Arial" w:eastAsia="Arial" w:hAnsi="Arial"/>
          <w:sz w:val="19"/>
          <w:szCs w:val="19"/>
          <w:color w:val="212121"/>
        </w:rPr>
        <w:t>y</w:t>
      </w:r>
      <w:r>
        <w:rPr>
          <w:rFonts w:ascii="Arial" w:cs="Arial" w:eastAsia="Arial" w:hAnsi="Arial"/>
          <w:sz w:val="19"/>
          <w:szCs w:val="19"/>
          <w:color w:val="0B0B0B"/>
        </w:rPr>
        <w:t xml:space="preserve"> and confidential information belonging to any prior employer.</w:t>
      </w:r>
    </w:p>
    <w:p>
      <w:pPr>
        <w:spacing w:after="0" w:line="131" w:lineRule="exact"/>
        <w:rPr>
          <w:sz w:val="20"/>
          <w:szCs w:val="20"/>
          <w:color w:val="auto"/>
        </w:rPr>
      </w:pPr>
    </w:p>
    <w:p>
      <w:pPr>
        <w:ind w:right="400" w:firstLine="582"/>
        <w:spacing w:after="0" w:line="292" w:lineRule="auto"/>
        <w:tabs>
          <w:tab w:leader="none" w:pos="1169" w:val="left"/>
        </w:tabs>
        <w:numPr>
          <w:ilvl w:val="0"/>
          <w:numId w:val="322"/>
        </w:numPr>
        <w:rPr>
          <w:rFonts w:ascii="Arial" w:cs="Arial" w:eastAsia="Arial" w:hAnsi="Arial"/>
          <w:sz w:val="19"/>
          <w:szCs w:val="19"/>
          <w:color w:val="auto"/>
        </w:rPr>
      </w:pPr>
      <w:r>
        <w:rPr>
          <w:rFonts w:ascii="Arial" w:cs="Arial" w:eastAsia="Arial" w:hAnsi="Arial"/>
          <w:sz w:val="19"/>
          <w:szCs w:val="19"/>
          <w:b w:val="1"/>
          <w:bCs w:val="1"/>
          <w:u w:val="single" w:color="auto"/>
          <w:color w:val="0B0B0B"/>
        </w:rPr>
        <w:t>Commencement Date</w:t>
      </w:r>
      <w:r>
        <w:rPr>
          <w:rFonts w:ascii="Arial" w:cs="Arial" w:eastAsia="Arial" w:hAnsi="Arial"/>
          <w:sz w:val="19"/>
          <w:szCs w:val="19"/>
          <w:b w:val="1"/>
          <w:bCs w:val="1"/>
          <w:color w:val="0B0B0B"/>
        </w:rPr>
        <w:t xml:space="preserve">. </w:t>
      </w:r>
      <w:r>
        <w:rPr>
          <w:rFonts w:ascii="Arial" w:cs="Arial" w:eastAsia="Arial" w:hAnsi="Arial"/>
          <w:sz w:val="19"/>
          <w:szCs w:val="19"/>
          <w:color w:val="0B0B0B"/>
        </w:rPr>
        <w:t>You shall commence full-time Employment as soon as reasonably practicable and in no event later</w:t>
      </w:r>
      <w:r>
        <w:rPr>
          <w:rFonts w:ascii="Arial" w:cs="Arial" w:eastAsia="Arial" w:hAnsi="Arial"/>
          <w:sz w:val="19"/>
          <w:szCs w:val="19"/>
          <w:b w:val="1"/>
          <w:bCs w:val="1"/>
          <w:color w:val="0B0B0B"/>
        </w:rPr>
        <w:t xml:space="preserve"> </w:t>
      </w:r>
      <w:r>
        <w:rPr>
          <w:rFonts w:ascii="Arial" w:cs="Arial" w:eastAsia="Arial" w:hAnsi="Arial"/>
          <w:sz w:val="19"/>
          <w:szCs w:val="19"/>
          <w:color w:val="0B0B0B"/>
        </w:rPr>
        <w:t>than April 29</w:t>
      </w:r>
      <w:r>
        <w:rPr>
          <w:rFonts w:ascii="Arial" w:cs="Arial" w:eastAsia="Arial" w:hAnsi="Arial"/>
          <w:sz w:val="19"/>
          <w:szCs w:val="19"/>
          <w:color w:val="212121"/>
        </w:rPr>
        <w:t>,</w:t>
      </w:r>
      <w:r>
        <w:rPr>
          <w:rFonts w:ascii="Arial" w:cs="Arial" w:eastAsia="Arial" w:hAnsi="Arial"/>
          <w:sz w:val="19"/>
          <w:szCs w:val="19"/>
          <w:color w:val="0B0B0B"/>
        </w:rPr>
        <w:t xml:space="preserve"> 2009 (the </w:t>
      </w:r>
      <w:r>
        <w:rPr>
          <w:rFonts w:ascii="Arial" w:cs="Arial" w:eastAsia="Arial" w:hAnsi="Arial"/>
          <w:sz w:val="19"/>
          <w:szCs w:val="19"/>
          <w:color w:val="313131"/>
        </w:rPr>
        <w:t>"</w:t>
      </w:r>
      <w:r>
        <w:rPr>
          <w:rFonts w:ascii="Arial" w:cs="Arial" w:eastAsia="Arial" w:hAnsi="Arial"/>
          <w:sz w:val="19"/>
          <w:szCs w:val="19"/>
          <w:u w:val="single" w:color="auto"/>
          <w:color w:val="0B0B0B"/>
        </w:rPr>
        <w:t>Start Date</w:t>
      </w:r>
      <w:r>
        <w:rPr>
          <w:rFonts w:ascii="Arial" w:cs="Arial" w:eastAsia="Arial" w:hAnsi="Arial"/>
          <w:sz w:val="19"/>
          <w:szCs w:val="19"/>
          <w:color w:val="0B0B0B"/>
        </w:rPr>
        <w:t>")</w:t>
      </w:r>
    </w:p>
    <w:p>
      <w:pPr>
        <w:spacing w:after="0" w:line="125" w:lineRule="exact"/>
        <w:rPr>
          <w:rFonts w:ascii="Arial" w:cs="Arial" w:eastAsia="Arial" w:hAnsi="Arial"/>
          <w:sz w:val="19"/>
          <w:szCs w:val="19"/>
          <w:color w:val="auto"/>
        </w:rPr>
      </w:pPr>
    </w:p>
    <w:p>
      <w:pPr>
        <w:jc w:val="both"/>
        <w:ind w:right="220" w:firstLine="582"/>
        <w:spacing w:after="0" w:line="307" w:lineRule="auto"/>
        <w:tabs>
          <w:tab w:leader="none" w:pos="1169" w:val="left"/>
        </w:tabs>
        <w:numPr>
          <w:ilvl w:val="0"/>
          <w:numId w:val="322"/>
        </w:numPr>
        <w:rPr>
          <w:rFonts w:ascii="Arial" w:cs="Arial" w:eastAsia="Arial" w:hAnsi="Arial"/>
          <w:sz w:val="17"/>
          <w:szCs w:val="17"/>
          <w:color w:val="auto"/>
        </w:rPr>
      </w:pPr>
      <w:r>
        <w:rPr>
          <w:rFonts w:ascii="Arial" w:cs="Arial" w:eastAsia="Arial" w:hAnsi="Arial"/>
          <w:sz w:val="17"/>
          <w:szCs w:val="17"/>
          <w:b w:val="1"/>
          <w:bCs w:val="1"/>
          <w:u w:val="single" w:color="auto"/>
          <w:color w:val="0B0B0B"/>
        </w:rPr>
        <w:t>Compensation</w:t>
      </w:r>
      <w:r>
        <w:rPr>
          <w:rFonts w:ascii="Arial" w:cs="Arial" w:eastAsia="Arial" w:hAnsi="Arial"/>
          <w:sz w:val="17"/>
          <w:szCs w:val="17"/>
          <w:b w:val="1"/>
          <w:bCs w:val="1"/>
          <w:color w:val="0B0B0B"/>
        </w:rPr>
        <w:t xml:space="preserve">. </w:t>
      </w:r>
      <w:r>
        <w:rPr>
          <w:rFonts w:ascii="Arial" w:cs="Arial" w:eastAsia="Arial" w:hAnsi="Arial"/>
          <w:sz w:val="17"/>
          <w:szCs w:val="17"/>
          <w:color w:val="0B0B0B"/>
        </w:rPr>
        <w:t>The Company shall pay you as compensation for your services an initial base salary at a gross annual rate of</w:t>
      </w:r>
      <w:r>
        <w:rPr>
          <w:rFonts w:ascii="Arial" w:cs="Arial" w:eastAsia="Arial" w:hAnsi="Arial"/>
          <w:sz w:val="17"/>
          <w:szCs w:val="17"/>
          <w:b w:val="1"/>
          <w:bCs w:val="1"/>
          <w:color w:val="0B0B0B"/>
        </w:rPr>
        <w:t xml:space="preserve"> </w:t>
      </w:r>
      <w:r>
        <w:rPr>
          <w:rFonts w:ascii="Arial" w:cs="Arial" w:eastAsia="Arial" w:hAnsi="Arial"/>
          <w:sz w:val="17"/>
          <w:szCs w:val="17"/>
          <w:color w:val="0B0B0B"/>
        </w:rPr>
        <w:t>$88,000. Such salary shall be payable in accordance with the Company's standard payroll procedures. The annual compensation specified in this Section 2, together with any modifications in such compensation that the Company may make from time to time</w:t>
      </w:r>
      <w:r>
        <w:rPr>
          <w:rFonts w:ascii="Arial" w:cs="Arial" w:eastAsia="Arial" w:hAnsi="Arial"/>
          <w:sz w:val="17"/>
          <w:szCs w:val="17"/>
          <w:color w:val="212121"/>
        </w:rPr>
        <w:t>,</w:t>
      </w:r>
      <w:r>
        <w:rPr>
          <w:rFonts w:ascii="Arial" w:cs="Arial" w:eastAsia="Arial" w:hAnsi="Arial"/>
          <w:sz w:val="17"/>
          <w:szCs w:val="17"/>
          <w:color w:val="0B0B0B"/>
        </w:rPr>
        <w:t xml:space="preserve"> is referred to in this Agreement as </w:t>
      </w:r>
      <w:r>
        <w:rPr>
          <w:rFonts w:ascii="Arial" w:cs="Arial" w:eastAsia="Arial" w:hAnsi="Arial"/>
          <w:sz w:val="17"/>
          <w:szCs w:val="17"/>
          <w:color w:val="313131"/>
        </w:rPr>
        <w:t>"</w:t>
      </w:r>
      <w:r>
        <w:rPr>
          <w:rFonts w:ascii="Arial" w:cs="Arial" w:eastAsia="Arial" w:hAnsi="Arial"/>
          <w:sz w:val="17"/>
          <w:szCs w:val="17"/>
          <w:u w:val="single" w:color="auto"/>
          <w:color w:val="0B0B0B"/>
        </w:rPr>
        <w:t>Base Salary</w:t>
      </w:r>
      <w:r>
        <w:rPr>
          <w:rFonts w:ascii="Arial" w:cs="Arial" w:eastAsia="Arial" w:hAnsi="Arial"/>
          <w:sz w:val="17"/>
          <w:szCs w:val="17"/>
          <w:color w:val="0B0B0B"/>
        </w:rPr>
        <w:t>.</w:t>
      </w:r>
      <w:r>
        <w:rPr>
          <w:rFonts w:ascii="Arial" w:cs="Arial" w:eastAsia="Arial" w:hAnsi="Arial"/>
          <w:sz w:val="17"/>
          <w:szCs w:val="17"/>
          <w:color w:val="212121"/>
        </w:rPr>
        <w:t>"</w:t>
      </w:r>
      <w:r>
        <w:rPr>
          <w:rFonts w:ascii="Arial" w:cs="Arial" w:eastAsia="Arial" w:hAnsi="Arial"/>
          <w:sz w:val="17"/>
          <w:szCs w:val="17"/>
          <w:color w:val="0B0B0B"/>
        </w:rPr>
        <w:t xml:space="preserve"> The Board or any Compensation Committee of the Board shall review your Base Salar</w:t>
      </w:r>
      <w:r>
        <w:rPr>
          <w:rFonts w:ascii="Arial" w:cs="Arial" w:eastAsia="Arial" w:hAnsi="Arial"/>
          <w:sz w:val="17"/>
          <w:szCs w:val="17"/>
          <w:color w:val="212121"/>
        </w:rPr>
        <w:t>y</w:t>
      </w:r>
      <w:r>
        <w:rPr>
          <w:rFonts w:ascii="Arial" w:cs="Arial" w:eastAsia="Arial" w:hAnsi="Arial"/>
          <w:sz w:val="17"/>
          <w:szCs w:val="17"/>
          <w:color w:val="0B0B0B"/>
        </w:rPr>
        <w:t xml:space="preserve"> at least annually.</w:t>
      </w:r>
    </w:p>
    <w:p>
      <w:pPr>
        <w:spacing w:after="0" w:line="120" w:lineRule="exact"/>
        <w:rPr>
          <w:rFonts w:ascii="Arial" w:cs="Arial" w:eastAsia="Arial" w:hAnsi="Arial"/>
          <w:sz w:val="17"/>
          <w:szCs w:val="17"/>
          <w:color w:val="auto"/>
        </w:rPr>
      </w:pPr>
    </w:p>
    <w:p>
      <w:pPr>
        <w:ind w:right="140" w:firstLine="582"/>
        <w:spacing w:after="0" w:line="281" w:lineRule="auto"/>
        <w:tabs>
          <w:tab w:leader="none" w:pos="1169"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0B0B0B"/>
        </w:rPr>
        <w:t>Vacation/PTO and Employee Benefits</w:t>
      </w:r>
      <w:r>
        <w:rPr>
          <w:rFonts w:ascii="Arial" w:cs="Arial" w:eastAsia="Arial" w:hAnsi="Arial"/>
          <w:sz w:val="18"/>
          <w:szCs w:val="18"/>
          <w:b w:val="1"/>
          <w:bCs w:val="1"/>
          <w:color w:val="0B0B0B"/>
        </w:rPr>
        <w:t xml:space="preserve">. </w:t>
      </w:r>
      <w:r>
        <w:rPr>
          <w:rFonts w:ascii="Arial" w:cs="Arial" w:eastAsia="Arial" w:hAnsi="Arial"/>
          <w:sz w:val="18"/>
          <w:szCs w:val="18"/>
          <w:color w:val="0B0B0B"/>
        </w:rPr>
        <w:t>During your Employment, you shall be eligible to accrue up to 15 da</w:t>
      </w:r>
      <w:r>
        <w:rPr>
          <w:rFonts w:ascii="Arial" w:cs="Arial" w:eastAsia="Arial" w:hAnsi="Arial"/>
          <w:sz w:val="18"/>
          <w:szCs w:val="18"/>
          <w:color w:val="212121"/>
        </w:rPr>
        <w:t>y</w:t>
      </w:r>
      <w:r>
        <w:rPr>
          <w:rFonts w:ascii="Arial" w:cs="Arial" w:eastAsia="Arial" w:hAnsi="Arial"/>
          <w:sz w:val="18"/>
          <w:szCs w:val="18"/>
          <w:color w:val="0B0B0B"/>
        </w:rPr>
        <w:t>s of paid</w:t>
      </w:r>
      <w:r>
        <w:rPr>
          <w:rFonts w:ascii="Arial" w:cs="Arial" w:eastAsia="Arial" w:hAnsi="Arial"/>
          <w:sz w:val="18"/>
          <w:szCs w:val="18"/>
          <w:b w:val="1"/>
          <w:bCs w:val="1"/>
          <w:color w:val="0B0B0B"/>
        </w:rPr>
        <w:t xml:space="preserve"> </w:t>
      </w:r>
      <w:r>
        <w:rPr>
          <w:rFonts w:ascii="Arial" w:cs="Arial" w:eastAsia="Arial" w:hAnsi="Arial"/>
          <w:sz w:val="18"/>
          <w:szCs w:val="18"/>
          <w:color w:val="0B0B0B"/>
        </w:rPr>
        <w:t>vacation</w:t>
      </w:r>
      <w:r>
        <w:rPr>
          <w:rFonts w:ascii="Arial" w:cs="Arial" w:eastAsia="Arial" w:hAnsi="Arial"/>
          <w:sz w:val="18"/>
          <w:szCs w:val="18"/>
          <w:color w:val="212121"/>
        </w:rPr>
        <w:t>/</w:t>
      </w:r>
      <w:r>
        <w:rPr>
          <w:rFonts w:ascii="Arial" w:cs="Arial" w:eastAsia="Arial" w:hAnsi="Arial"/>
          <w:sz w:val="18"/>
          <w:szCs w:val="18"/>
          <w:color w:val="0B0B0B"/>
        </w:rPr>
        <w:t xml:space="preserve"> paid time off</w:t>
      </w:r>
      <w:r>
        <w:rPr>
          <w:rFonts w:ascii="Arial" w:cs="Arial" w:eastAsia="Arial" w:hAnsi="Arial"/>
          <w:sz w:val="18"/>
          <w:szCs w:val="18"/>
          <w:color w:val="212121"/>
        </w:rPr>
        <w:t>,</w:t>
      </w:r>
      <w:r>
        <w:rPr>
          <w:rFonts w:ascii="Arial" w:cs="Arial" w:eastAsia="Arial" w:hAnsi="Arial"/>
          <w:sz w:val="18"/>
          <w:szCs w:val="18"/>
          <w:color w:val="0B0B0B"/>
        </w:rPr>
        <w:t xml:space="preserve"> pro-rated for the remainder of this calendar year</w:t>
      </w:r>
      <w:r>
        <w:rPr>
          <w:rFonts w:ascii="Arial" w:cs="Arial" w:eastAsia="Arial" w:hAnsi="Arial"/>
          <w:sz w:val="18"/>
          <w:szCs w:val="18"/>
          <w:color w:val="313131"/>
        </w:rPr>
        <w:t>,</w:t>
      </w:r>
      <w:r>
        <w:rPr>
          <w:rFonts w:ascii="Arial" w:cs="Arial" w:eastAsia="Arial" w:hAnsi="Arial"/>
          <w:sz w:val="18"/>
          <w:szCs w:val="18"/>
          <w:color w:val="0B0B0B"/>
        </w:rPr>
        <w:t xml:space="preserve"> in accord</w:t>
      </w:r>
      <w:r>
        <w:rPr>
          <w:rFonts w:ascii="Arial" w:cs="Arial" w:eastAsia="Arial" w:hAnsi="Arial"/>
          <w:sz w:val="18"/>
          <w:szCs w:val="18"/>
          <w:color w:val="212121"/>
        </w:rPr>
        <w:t>a</w:t>
      </w:r>
      <w:r>
        <w:rPr>
          <w:rFonts w:ascii="Arial" w:cs="Arial" w:eastAsia="Arial" w:hAnsi="Arial"/>
          <w:sz w:val="18"/>
          <w:szCs w:val="18"/>
          <w:color w:val="0B0B0B"/>
        </w:rPr>
        <w:t xml:space="preserve">nce with the Company's vacation/ paid time off policy, as it may be amended from time to time. During </w:t>
      </w:r>
      <w:r>
        <w:rPr>
          <w:rFonts w:ascii="Arial" w:cs="Arial" w:eastAsia="Arial" w:hAnsi="Arial"/>
          <w:sz w:val="18"/>
          <w:szCs w:val="18"/>
          <w:color w:val="212121"/>
        </w:rPr>
        <w:t>y</w:t>
      </w:r>
      <w:r>
        <w:rPr>
          <w:rFonts w:ascii="Arial" w:cs="Arial" w:eastAsia="Arial" w:hAnsi="Arial"/>
          <w:sz w:val="18"/>
          <w:szCs w:val="18"/>
          <w:color w:val="0B0B0B"/>
        </w:rPr>
        <w:t>our Employment</w:t>
      </w:r>
      <w:r>
        <w:rPr>
          <w:rFonts w:ascii="Arial" w:cs="Arial" w:eastAsia="Arial" w:hAnsi="Arial"/>
          <w:sz w:val="18"/>
          <w:szCs w:val="18"/>
          <w:color w:val="212121"/>
        </w:rPr>
        <w:t>,</w:t>
      </w:r>
      <w:r>
        <w:rPr>
          <w:rFonts w:ascii="Arial" w:cs="Arial" w:eastAsia="Arial" w:hAnsi="Arial"/>
          <w:sz w:val="18"/>
          <w:szCs w:val="18"/>
          <w:color w:val="0B0B0B"/>
        </w:rPr>
        <w:t xml:space="preserve"> you shall be eligible to participate in the employee benefit plans maintained by the Company and generally available to similarly situated employees of the Company</w:t>
      </w:r>
      <w:r>
        <w:rPr>
          <w:rFonts w:ascii="Arial" w:cs="Arial" w:eastAsia="Arial" w:hAnsi="Arial"/>
          <w:sz w:val="18"/>
          <w:szCs w:val="18"/>
          <w:color w:val="313131"/>
        </w:rPr>
        <w:t>,</w:t>
      </w:r>
      <w:r>
        <w:rPr>
          <w:rFonts w:ascii="Arial" w:cs="Arial" w:eastAsia="Arial" w:hAnsi="Arial"/>
          <w:sz w:val="18"/>
          <w:szCs w:val="18"/>
          <w:color w:val="0B0B0B"/>
        </w:rPr>
        <w:t xml:space="preserve"> subject in each case to the gen</w:t>
      </w:r>
      <w:r>
        <w:rPr>
          <w:rFonts w:ascii="Arial" w:cs="Arial" w:eastAsia="Arial" w:hAnsi="Arial"/>
          <w:sz w:val="18"/>
          <w:szCs w:val="18"/>
          <w:color w:val="212121"/>
        </w:rPr>
        <w:t>e</w:t>
      </w:r>
      <w:r>
        <w:rPr>
          <w:rFonts w:ascii="Arial" w:cs="Arial" w:eastAsia="Arial" w:hAnsi="Arial"/>
          <w:sz w:val="18"/>
          <w:szCs w:val="18"/>
          <w:color w:val="0B0B0B"/>
        </w:rPr>
        <w:t>rally applicable terms and conditions of the plan in question and to the determinations of an</w:t>
      </w:r>
      <w:r>
        <w:rPr>
          <w:rFonts w:ascii="Arial" w:cs="Arial" w:eastAsia="Arial" w:hAnsi="Arial"/>
          <w:sz w:val="18"/>
          <w:szCs w:val="18"/>
          <w:color w:val="212121"/>
        </w:rPr>
        <w:t>y</w:t>
      </w:r>
      <w:r>
        <w:rPr>
          <w:rFonts w:ascii="Arial" w:cs="Arial" w:eastAsia="Arial" w:hAnsi="Arial"/>
          <w:sz w:val="18"/>
          <w:szCs w:val="18"/>
          <w:color w:val="0B0B0B"/>
        </w:rPr>
        <w:t xml:space="preserve"> person or committee administering such plan</w:t>
      </w:r>
      <w:r>
        <w:rPr>
          <w:rFonts w:ascii="Arial" w:cs="Arial" w:eastAsia="Arial" w:hAnsi="Arial"/>
          <w:sz w:val="18"/>
          <w:szCs w:val="18"/>
          <w:color w:val="313131"/>
        </w:rPr>
        <w:t>.</w:t>
      </w:r>
    </w:p>
    <w:p>
      <w:pPr>
        <w:spacing w:after="0" w:line="140" w:lineRule="exact"/>
        <w:rPr>
          <w:rFonts w:ascii="Arial" w:cs="Arial" w:eastAsia="Arial" w:hAnsi="Arial"/>
          <w:sz w:val="18"/>
          <w:szCs w:val="18"/>
          <w:color w:val="auto"/>
        </w:rPr>
      </w:pPr>
    </w:p>
    <w:p>
      <w:pPr>
        <w:jc w:val="both"/>
        <w:ind w:right="220" w:firstLine="582"/>
        <w:spacing w:after="0" w:line="307" w:lineRule="auto"/>
        <w:tabs>
          <w:tab w:leader="none" w:pos="1169" w:val="left"/>
        </w:tabs>
        <w:numPr>
          <w:ilvl w:val="0"/>
          <w:numId w:val="322"/>
        </w:numPr>
        <w:rPr>
          <w:rFonts w:ascii="Arial" w:cs="Arial" w:eastAsia="Arial" w:hAnsi="Arial"/>
          <w:sz w:val="17"/>
          <w:szCs w:val="17"/>
          <w:color w:val="auto"/>
        </w:rPr>
      </w:pPr>
      <w:r>
        <w:rPr>
          <w:rFonts w:ascii="Arial" w:cs="Arial" w:eastAsia="Arial" w:hAnsi="Arial"/>
          <w:sz w:val="17"/>
          <w:szCs w:val="17"/>
          <w:b w:val="1"/>
          <w:bCs w:val="1"/>
          <w:u w:val="single" w:color="auto"/>
          <w:color w:val="0B0B0B"/>
        </w:rPr>
        <w:t>Business Expenses; Travel Policy</w:t>
      </w:r>
      <w:r>
        <w:rPr>
          <w:rFonts w:ascii="Arial" w:cs="Arial" w:eastAsia="Arial" w:hAnsi="Arial"/>
          <w:sz w:val="17"/>
          <w:szCs w:val="17"/>
          <w:b w:val="1"/>
          <w:bCs w:val="1"/>
          <w:color w:val="0B0B0B"/>
        </w:rPr>
        <w:t xml:space="preserve">. </w:t>
      </w:r>
      <w:r>
        <w:rPr>
          <w:rFonts w:ascii="Arial" w:cs="Arial" w:eastAsia="Arial" w:hAnsi="Arial"/>
          <w:sz w:val="17"/>
          <w:szCs w:val="17"/>
          <w:color w:val="0B0B0B"/>
        </w:rPr>
        <w:t>The Company will reimburse you for your necessary and reasonable business expenses</w:t>
      </w:r>
      <w:r>
        <w:rPr>
          <w:rFonts w:ascii="Arial" w:cs="Arial" w:eastAsia="Arial" w:hAnsi="Arial"/>
          <w:sz w:val="17"/>
          <w:szCs w:val="17"/>
          <w:b w:val="1"/>
          <w:bCs w:val="1"/>
          <w:color w:val="0B0B0B"/>
        </w:rPr>
        <w:t xml:space="preserve"> </w:t>
      </w:r>
      <w:r>
        <w:rPr>
          <w:rFonts w:ascii="Arial" w:cs="Arial" w:eastAsia="Arial" w:hAnsi="Arial"/>
          <w:sz w:val="17"/>
          <w:szCs w:val="17"/>
          <w:color w:val="0B0B0B"/>
        </w:rPr>
        <w:t>incurred in connection with your duties hereunder upon presentation of an itemized account and appropriate supporting documentation</w:t>
      </w:r>
      <w:r>
        <w:rPr>
          <w:rFonts w:ascii="Arial" w:cs="Arial" w:eastAsia="Arial" w:hAnsi="Arial"/>
          <w:sz w:val="17"/>
          <w:szCs w:val="17"/>
          <w:color w:val="212121"/>
        </w:rPr>
        <w:t>,</w:t>
      </w:r>
      <w:r>
        <w:rPr>
          <w:rFonts w:ascii="Arial" w:cs="Arial" w:eastAsia="Arial" w:hAnsi="Arial"/>
          <w:sz w:val="17"/>
          <w:szCs w:val="17"/>
          <w:color w:val="0B0B0B"/>
        </w:rPr>
        <w:t xml:space="preserve"> all in accordance with the Compan</w:t>
      </w:r>
      <w:r>
        <w:rPr>
          <w:rFonts w:ascii="Arial" w:cs="Arial" w:eastAsia="Arial" w:hAnsi="Arial"/>
          <w:sz w:val="17"/>
          <w:szCs w:val="17"/>
          <w:color w:val="212121"/>
        </w:rPr>
        <w:t>y'</w:t>
      </w:r>
      <w:r>
        <w:rPr>
          <w:rFonts w:ascii="Arial" w:cs="Arial" w:eastAsia="Arial" w:hAnsi="Arial"/>
          <w:sz w:val="17"/>
          <w:szCs w:val="17"/>
          <w:color w:val="0B0B0B"/>
        </w:rPr>
        <w:t>s generally applicable policies</w:t>
      </w:r>
      <w:r>
        <w:rPr>
          <w:rFonts w:ascii="Arial" w:cs="Arial" w:eastAsia="Arial" w:hAnsi="Arial"/>
          <w:sz w:val="17"/>
          <w:szCs w:val="17"/>
          <w:color w:val="212121"/>
        </w:rPr>
        <w:t>.</w:t>
      </w:r>
      <w:r>
        <w:rPr>
          <w:rFonts w:ascii="Arial" w:cs="Arial" w:eastAsia="Arial" w:hAnsi="Arial"/>
          <w:sz w:val="17"/>
          <w:szCs w:val="17"/>
          <w:color w:val="0B0B0B"/>
        </w:rPr>
        <w:t xml:space="preserve"> All business travel on behalf of the Company within the United States shall be economy class for up to three trips per year. Thereafter all travel shall be business class. All international tra</w:t>
      </w:r>
      <w:r>
        <w:rPr>
          <w:rFonts w:ascii="Arial" w:cs="Arial" w:eastAsia="Arial" w:hAnsi="Arial"/>
          <w:sz w:val="17"/>
          <w:szCs w:val="17"/>
          <w:color w:val="212121"/>
        </w:rPr>
        <w:t>v</w:t>
      </w:r>
      <w:r>
        <w:rPr>
          <w:rFonts w:ascii="Arial" w:cs="Arial" w:eastAsia="Arial" w:hAnsi="Arial"/>
          <w:sz w:val="17"/>
          <w:szCs w:val="17"/>
          <w:color w:val="0B0B0B"/>
        </w:rPr>
        <w:t>el shall be business class.</w:t>
      </w:r>
    </w:p>
    <w:p>
      <w:pPr>
        <w:spacing w:after="0" w:line="120" w:lineRule="exact"/>
        <w:rPr>
          <w:rFonts w:ascii="Arial" w:cs="Arial" w:eastAsia="Arial" w:hAnsi="Arial"/>
          <w:sz w:val="17"/>
          <w:szCs w:val="17"/>
          <w:color w:val="auto"/>
        </w:rPr>
      </w:pPr>
    </w:p>
    <w:p>
      <w:pPr>
        <w:ind w:left="1160" w:hanging="578"/>
        <w:spacing w:after="0"/>
        <w:tabs>
          <w:tab w:leader="none" w:pos="1160" w:val="left"/>
        </w:tabs>
        <w:numPr>
          <w:ilvl w:val="0"/>
          <w:numId w:val="322"/>
        </w:numPr>
        <w:rPr>
          <w:rFonts w:ascii="Arial" w:cs="Arial" w:eastAsia="Arial" w:hAnsi="Arial"/>
          <w:sz w:val="19"/>
          <w:szCs w:val="19"/>
          <w:color w:val="auto"/>
        </w:rPr>
      </w:pPr>
      <w:r>
        <w:rPr>
          <w:rFonts w:ascii="Arial" w:cs="Arial" w:eastAsia="Arial" w:hAnsi="Arial"/>
          <w:sz w:val="19"/>
          <w:szCs w:val="19"/>
          <w:b w:val="1"/>
          <w:bCs w:val="1"/>
          <w:u w:val="single" w:color="auto"/>
          <w:color w:val="0B0B0B"/>
        </w:rPr>
        <w:t>Termination</w:t>
      </w:r>
      <w:r>
        <w:rPr>
          <w:rFonts w:ascii="Arial" w:cs="Arial" w:eastAsia="Arial" w:hAnsi="Arial"/>
          <w:sz w:val="19"/>
          <w:szCs w:val="19"/>
          <w:b w:val="1"/>
          <w:bCs w:val="1"/>
          <w:color w:val="0B0B0B"/>
        </w:rPr>
        <w:t>.</w:t>
      </w:r>
    </w:p>
    <w:p>
      <w:pPr>
        <w:spacing w:after="0" w:line="207" w:lineRule="exact"/>
        <w:rPr>
          <w:rFonts w:ascii="Arial" w:cs="Arial" w:eastAsia="Arial" w:hAnsi="Arial"/>
          <w:sz w:val="19"/>
          <w:szCs w:val="19"/>
          <w:color w:val="auto"/>
        </w:rPr>
      </w:pPr>
    </w:p>
    <w:p>
      <w:pPr>
        <w:ind w:firstLine="2043"/>
        <w:spacing w:after="0" w:line="263" w:lineRule="auto"/>
        <w:tabs>
          <w:tab w:leader="none" w:pos="2311" w:val="left"/>
        </w:tabs>
        <w:numPr>
          <w:ilvl w:val="1"/>
          <w:numId w:val="322"/>
        </w:numPr>
        <w:rPr>
          <w:rFonts w:ascii="Arial" w:cs="Arial" w:eastAsia="Arial" w:hAnsi="Arial"/>
          <w:sz w:val="19"/>
          <w:szCs w:val="19"/>
          <w:color w:val="0B0B0B"/>
        </w:rPr>
      </w:pPr>
      <w:r>
        <w:rPr>
          <w:rFonts w:ascii="Arial" w:cs="Arial" w:eastAsia="Arial" w:hAnsi="Arial"/>
          <w:sz w:val="19"/>
          <w:szCs w:val="19"/>
          <w:b w:val="1"/>
          <w:bCs w:val="1"/>
          <w:u w:val="single" w:color="auto"/>
          <w:color w:val="0B0B0B"/>
        </w:rPr>
        <w:t>Employment at Will</w:t>
      </w:r>
      <w:r>
        <w:rPr>
          <w:rFonts w:ascii="Arial" w:cs="Arial" w:eastAsia="Arial" w:hAnsi="Arial"/>
          <w:sz w:val="19"/>
          <w:szCs w:val="19"/>
          <w:b w:val="1"/>
          <w:bCs w:val="1"/>
          <w:color w:val="0B0B0B"/>
        </w:rPr>
        <w:t xml:space="preserve">. </w:t>
      </w:r>
      <w:r>
        <w:rPr>
          <w:rFonts w:ascii="Arial" w:cs="Arial" w:eastAsia="Arial" w:hAnsi="Arial"/>
          <w:sz w:val="19"/>
          <w:szCs w:val="19"/>
          <w:color w:val="0B0B0B"/>
        </w:rPr>
        <w:t>Your Employment shall be "at will</w:t>
      </w:r>
      <w:r>
        <w:rPr>
          <w:rFonts w:ascii="Arial" w:cs="Arial" w:eastAsia="Arial" w:hAnsi="Arial"/>
          <w:sz w:val="19"/>
          <w:szCs w:val="19"/>
          <w:color w:val="212121"/>
        </w:rPr>
        <w:t>,</w:t>
      </w:r>
      <w:r>
        <w:rPr>
          <w:rFonts w:ascii="Arial" w:cs="Arial" w:eastAsia="Arial" w:hAnsi="Arial"/>
          <w:sz w:val="19"/>
          <w:szCs w:val="19"/>
          <w:color w:val="0B0B0B"/>
        </w:rPr>
        <w:t>" meaning that either you or the Company shall be</w:t>
      </w:r>
      <w:r>
        <w:rPr>
          <w:rFonts w:ascii="Arial" w:cs="Arial" w:eastAsia="Arial" w:hAnsi="Arial"/>
          <w:sz w:val="19"/>
          <w:szCs w:val="19"/>
          <w:b w:val="1"/>
          <w:bCs w:val="1"/>
          <w:color w:val="0B0B0B"/>
        </w:rPr>
        <w:t xml:space="preserve"> </w:t>
      </w:r>
      <w:r>
        <w:rPr>
          <w:rFonts w:ascii="Arial" w:cs="Arial" w:eastAsia="Arial" w:hAnsi="Arial"/>
          <w:sz w:val="19"/>
          <w:szCs w:val="19"/>
          <w:color w:val="0B0B0B"/>
        </w:rPr>
        <w:t>entitled to terminate your Employment at any time and for any reason</w:t>
      </w:r>
      <w:r>
        <w:rPr>
          <w:rFonts w:ascii="Arial" w:cs="Arial" w:eastAsia="Arial" w:hAnsi="Arial"/>
          <w:sz w:val="19"/>
          <w:szCs w:val="19"/>
          <w:color w:val="212121"/>
        </w:rPr>
        <w:t>,</w:t>
      </w:r>
      <w:r>
        <w:rPr>
          <w:rFonts w:ascii="Arial" w:cs="Arial" w:eastAsia="Arial" w:hAnsi="Arial"/>
          <w:sz w:val="19"/>
          <w:szCs w:val="19"/>
          <w:color w:val="0B0B0B"/>
        </w:rPr>
        <w:t xml:space="preserve"> with or without cause. Any contrary representations that may have been made to you shall be superseded by this Agreement. This Agreement shall constitute the full and complete agreement between you and the Company on the </w:t>
      </w:r>
      <w:r>
        <w:rPr>
          <w:rFonts w:ascii="Arial" w:cs="Arial" w:eastAsia="Arial" w:hAnsi="Arial"/>
          <w:sz w:val="19"/>
          <w:szCs w:val="19"/>
          <w:color w:val="212121"/>
        </w:rPr>
        <w:t>"</w:t>
      </w:r>
      <w:r>
        <w:rPr>
          <w:rFonts w:ascii="Arial" w:cs="Arial" w:eastAsia="Arial" w:hAnsi="Arial"/>
          <w:sz w:val="19"/>
          <w:szCs w:val="19"/>
          <w:color w:val="0B0B0B"/>
        </w:rPr>
        <w:t>at-will</w:t>
      </w:r>
      <w:r>
        <w:rPr>
          <w:rFonts w:ascii="Arial" w:cs="Arial" w:eastAsia="Arial" w:hAnsi="Arial"/>
          <w:sz w:val="19"/>
          <w:szCs w:val="19"/>
          <w:color w:val="212121"/>
        </w:rPr>
        <w:t>"</w:t>
      </w:r>
      <w:r>
        <w:rPr>
          <w:rFonts w:ascii="Arial" w:cs="Arial" w:eastAsia="Arial" w:hAnsi="Arial"/>
          <w:sz w:val="19"/>
          <w:szCs w:val="19"/>
          <w:color w:val="0B0B0B"/>
        </w:rPr>
        <w:t xml:space="preserve"> nature of your Employment</w:t>
      </w:r>
      <w:r>
        <w:rPr>
          <w:rFonts w:ascii="Arial" w:cs="Arial" w:eastAsia="Arial" w:hAnsi="Arial"/>
          <w:sz w:val="19"/>
          <w:szCs w:val="19"/>
          <w:color w:val="212121"/>
        </w:rPr>
        <w:t>,</w:t>
      </w:r>
      <w:r>
        <w:rPr>
          <w:rFonts w:ascii="Arial" w:cs="Arial" w:eastAsia="Arial" w:hAnsi="Arial"/>
          <w:sz w:val="19"/>
          <w:szCs w:val="19"/>
          <w:color w:val="0B0B0B"/>
        </w:rPr>
        <w:t xml:space="preserve"> which may only be changed in an express written agreement signed by you and a duly authorized officer of the Company.</w:t>
      </w:r>
    </w:p>
    <w:p>
      <w:pPr>
        <w:spacing w:after="0" w:line="154" w:lineRule="exact"/>
        <w:rPr>
          <w:rFonts w:ascii="Arial" w:cs="Arial" w:eastAsia="Arial" w:hAnsi="Arial"/>
          <w:sz w:val="19"/>
          <w:szCs w:val="19"/>
          <w:color w:val="0B0B0B"/>
        </w:rPr>
      </w:pPr>
    </w:p>
    <w:p>
      <w:pPr>
        <w:ind w:right="140" w:firstLine="2043"/>
        <w:spacing w:after="0" w:line="273" w:lineRule="auto"/>
        <w:tabs>
          <w:tab w:leader="none" w:pos="2322" w:val="left"/>
        </w:tabs>
        <w:numPr>
          <w:ilvl w:val="1"/>
          <w:numId w:val="322"/>
        </w:numPr>
        <w:rPr>
          <w:rFonts w:ascii="Arial" w:cs="Arial" w:eastAsia="Arial" w:hAnsi="Arial"/>
          <w:sz w:val="19"/>
          <w:szCs w:val="19"/>
          <w:color w:val="0B0B0B"/>
        </w:rPr>
      </w:pPr>
      <w:r>
        <w:rPr>
          <w:rFonts w:ascii="Arial" w:cs="Arial" w:eastAsia="Arial" w:hAnsi="Arial"/>
          <w:sz w:val="19"/>
          <w:szCs w:val="19"/>
          <w:b w:val="1"/>
          <w:bCs w:val="1"/>
          <w:u w:val="single" w:color="auto"/>
          <w:color w:val="0B0B0B"/>
        </w:rPr>
        <w:t>Rights Upon Termination</w:t>
      </w:r>
      <w:r>
        <w:rPr>
          <w:rFonts w:ascii="Arial" w:cs="Arial" w:eastAsia="Arial" w:hAnsi="Arial"/>
          <w:sz w:val="19"/>
          <w:szCs w:val="19"/>
          <w:b w:val="1"/>
          <w:bCs w:val="1"/>
          <w:color w:val="0B0B0B"/>
        </w:rPr>
        <w:t xml:space="preserve">. </w:t>
      </w:r>
      <w:r>
        <w:rPr>
          <w:rFonts w:ascii="Arial" w:cs="Arial" w:eastAsia="Arial" w:hAnsi="Arial"/>
          <w:sz w:val="19"/>
          <w:szCs w:val="19"/>
          <w:color w:val="0B0B0B"/>
        </w:rPr>
        <w:t>Except as e</w:t>
      </w:r>
      <w:r>
        <w:rPr>
          <w:rFonts w:ascii="Arial" w:cs="Arial" w:eastAsia="Arial" w:hAnsi="Arial"/>
          <w:sz w:val="19"/>
          <w:szCs w:val="19"/>
          <w:color w:val="212121"/>
        </w:rPr>
        <w:t>x</w:t>
      </w:r>
      <w:r>
        <w:rPr>
          <w:rFonts w:ascii="Arial" w:cs="Arial" w:eastAsia="Arial" w:hAnsi="Arial"/>
          <w:sz w:val="19"/>
          <w:szCs w:val="19"/>
          <w:color w:val="0B0B0B"/>
        </w:rPr>
        <w:t>pressly provided herein</w:t>
      </w:r>
      <w:r>
        <w:rPr>
          <w:rFonts w:ascii="Arial" w:cs="Arial" w:eastAsia="Arial" w:hAnsi="Arial"/>
          <w:sz w:val="19"/>
          <w:szCs w:val="19"/>
          <w:color w:val="212121"/>
        </w:rPr>
        <w:t>,</w:t>
      </w:r>
      <w:r>
        <w:rPr>
          <w:rFonts w:ascii="Arial" w:cs="Arial" w:eastAsia="Arial" w:hAnsi="Arial"/>
          <w:sz w:val="19"/>
          <w:szCs w:val="19"/>
          <w:b w:val="1"/>
          <w:bCs w:val="1"/>
          <w:color w:val="0B0B0B"/>
        </w:rPr>
        <w:t xml:space="preserve"> </w:t>
      </w:r>
      <w:r>
        <w:rPr>
          <w:rFonts w:ascii="Arial" w:cs="Arial" w:eastAsia="Arial" w:hAnsi="Arial"/>
          <w:sz w:val="19"/>
          <w:szCs w:val="19"/>
          <w:color w:val="0B0B0B"/>
        </w:rPr>
        <w:t>as well as pursuant to any Common Stock</w:t>
      </w:r>
      <w:r>
        <w:rPr>
          <w:rFonts w:ascii="Arial" w:cs="Arial" w:eastAsia="Arial" w:hAnsi="Arial"/>
          <w:sz w:val="19"/>
          <w:szCs w:val="19"/>
          <w:b w:val="1"/>
          <w:bCs w:val="1"/>
          <w:color w:val="0B0B0B"/>
        </w:rPr>
        <w:t xml:space="preserve"> </w:t>
      </w:r>
      <w:r>
        <w:rPr>
          <w:rFonts w:ascii="Arial" w:cs="Arial" w:eastAsia="Arial" w:hAnsi="Arial"/>
          <w:sz w:val="19"/>
          <w:szCs w:val="19"/>
          <w:color w:val="0B0B0B"/>
        </w:rPr>
        <w:t>Purchase Agreement or Stock Restriction Agreement entered into between you and the Company, upon the termination of your Employment</w:t>
      </w:r>
      <w:r>
        <w:rPr>
          <w:rFonts w:ascii="Arial" w:cs="Arial" w:eastAsia="Arial" w:hAnsi="Arial"/>
          <w:sz w:val="19"/>
          <w:szCs w:val="19"/>
          <w:color w:val="212121"/>
        </w:rPr>
        <w:t>,</w:t>
      </w:r>
      <w:r>
        <w:rPr>
          <w:rFonts w:ascii="Arial" w:cs="Arial" w:eastAsia="Arial" w:hAnsi="Arial"/>
          <w:sz w:val="19"/>
          <w:szCs w:val="19"/>
          <w:color w:val="0B0B0B"/>
        </w:rPr>
        <w:t xml:space="preserve">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140"/>
          </w:cols>
          <w:pgMar w:left="320" w:top="1301" w:right="439" w:bottom="1440" w:gutter="0" w:footer="0" w:header="0"/>
        </w:sectPr>
      </w:pPr>
    </w:p>
    <w:bookmarkStart w:id="445" w:name="page446"/>
    <w:bookmarkEnd w:id="445"/>
    <w:p>
      <w:pPr>
        <w:ind w:right="260"/>
        <w:spacing w:after="0" w:line="286" w:lineRule="auto"/>
        <w:rPr>
          <w:sz w:val="20"/>
          <w:szCs w:val="20"/>
          <w:color w:val="auto"/>
        </w:rPr>
      </w:pPr>
      <w:r>
        <w:rPr>
          <w:rFonts w:ascii="Arial" w:cs="Arial" w:eastAsia="Arial" w:hAnsi="Arial"/>
          <w:sz w:val="19"/>
          <w:szCs w:val="19"/>
          <w:color w:val="0B0B0B"/>
        </w:rPr>
        <w:t>shall only be entitled to the compensation and benefits earned and the reimbursements described in this Agreement for the period preceding the effective date of the termination.</w:t>
      </w:r>
    </w:p>
    <w:p>
      <w:pPr>
        <w:spacing w:after="0" w:line="131" w:lineRule="exact"/>
        <w:rPr>
          <w:sz w:val="20"/>
          <w:szCs w:val="20"/>
          <w:color w:val="auto"/>
        </w:rPr>
      </w:pPr>
    </w:p>
    <w:p>
      <w:pPr>
        <w:ind w:left="1160" w:hanging="578"/>
        <w:spacing w:after="0"/>
        <w:tabs>
          <w:tab w:leader="none" w:pos="1160" w:val="left"/>
        </w:tabs>
        <w:numPr>
          <w:ilvl w:val="0"/>
          <w:numId w:val="323"/>
        </w:numPr>
        <w:rPr>
          <w:rFonts w:ascii="Arial" w:cs="Arial" w:eastAsia="Arial" w:hAnsi="Arial"/>
          <w:sz w:val="19"/>
          <w:szCs w:val="19"/>
          <w:color w:val="auto"/>
        </w:rPr>
      </w:pPr>
      <w:r>
        <w:rPr>
          <w:rFonts w:ascii="Arial" w:cs="Arial" w:eastAsia="Arial" w:hAnsi="Arial"/>
          <w:sz w:val="19"/>
          <w:szCs w:val="19"/>
          <w:b w:val="1"/>
          <w:bCs w:val="1"/>
          <w:u w:val="single" w:color="auto"/>
          <w:color w:val="070707"/>
        </w:rPr>
        <w:t>Pre-Employment Conditions</w:t>
      </w:r>
      <w:r>
        <w:rPr>
          <w:rFonts w:ascii="Arial" w:cs="Arial" w:eastAsia="Arial" w:hAnsi="Arial"/>
          <w:sz w:val="19"/>
          <w:szCs w:val="19"/>
          <w:b w:val="1"/>
          <w:bCs w:val="1"/>
          <w:color w:val="070707"/>
        </w:rPr>
        <w:t>.</w:t>
      </w:r>
    </w:p>
    <w:p>
      <w:pPr>
        <w:spacing w:after="0" w:line="207" w:lineRule="exact"/>
        <w:rPr>
          <w:rFonts w:ascii="Arial" w:cs="Arial" w:eastAsia="Arial" w:hAnsi="Arial"/>
          <w:sz w:val="19"/>
          <w:szCs w:val="19"/>
          <w:color w:val="auto"/>
        </w:rPr>
      </w:pPr>
    </w:p>
    <w:p>
      <w:pPr>
        <w:ind w:firstLine="2043"/>
        <w:spacing w:after="0" w:line="267" w:lineRule="auto"/>
        <w:tabs>
          <w:tab w:leader="none" w:pos="2311" w:val="left"/>
        </w:tabs>
        <w:numPr>
          <w:ilvl w:val="1"/>
          <w:numId w:val="323"/>
        </w:numPr>
        <w:rPr>
          <w:rFonts w:ascii="Arial" w:cs="Arial" w:eastAsia="Arial" w:hAnsi="Arial"/>
          <w:sz w:val="19"/>
          <w:szCs w:val="19"/>
          <w:color w:val="070707"/>
        </w:rPr>
      </w:pPr>
      <w:r>
        <w:rPr>
          <w:rFonts w:ascii="Arial" w:cs="Arial" w:eastAsia="Arial" w:hAnsi="Arial"/>
          <w:sz w:val="19"/>
          <w:szCs w:val="19"/>
          <w:b w:val="1"/>
          <w:bCs w:val="1"/>
          <w:u w:val="single" w:color="auto"/>
          <w:color w:val="070707"/>
        </w:rPr>
        <w:t>Confidentiality Agreement</w:t>
      </w:r>
      <w:r>
        <w:rPr>
          <w:rFonts w:ascii="Arial" w:cs="Arial" w:eastAsia="Arial" w:hAnsi="Arial"/>
          <w:sz w:val="19"/>
          <w:szCs w:val="19"/>
          <w:b w:val="1"/>
          <w:bCs w:val="1"/>
          <w:color w:val="1C1C1C"/>
        </w:rPr>
        <w:t>.</w:t>
      </w:r>
      <w:r>
        <w:rPr>
          <w:rFonts w:ascii="Arial" w:cs="Arial" w:eastAsia="Arial" w:hAnsi="Arial"/>
          <w:sz w:val="19"/>
          <w:szCs w:val="19"/>
          <w:b w:val="1"/>
          <w:bCs w:val="1"/>
          <w:color w:val="070707"/>
        </w:rPr>
        <w:t xml:space="preserve"> </w:t>
      </w:r>
      <w:r>
        <w:rPr>
          <w:rFonts w:ascii="Arial" w:cs="Arial" w:eastAsia="Arial" w:hAnsi="Arial"/>
          <w:sz w:val="19"/>
          <w:szCs w:val="19"/>
          <w:color w:val="070707"/>
        </w:rPr>
        <w:t>Your acc</w:t>
      </w:r>
      <w:r>
        <w:rPr>
          <w:rFonts w:ascii="Arial" w:cs="Arial" w:eastAsia="Arial" w:hAnsi="Arial"/>
          <w:sz w:val="19"/>
          <w:szCs w:val="19"/>
          <w:color w:val="1C1C1C"/>
        </w:rPr>
        <w:t>e</w:t>
      </w:r>
      <w:r>
        <w:rPr>
          <w:rFonts w:ascii="Arial" w:cs="Arial" w:eastAsia="Arial" w:hAnsi="Arial"/>
          <w:sz w:val="19"/>
          <w:szCs w:val="19"/>
          <w:color w:val="070707"/>
        </w:rPr>
        <w:t>ptance of this offer and commencement of employment with the</w:t>
      </w:r>
      <w:r>
        <w:rPr>
          <w:rFonts w:ascii="Arial" w:cs="Arial" w:eastAsia="Arial" w:hAnsi="Arial"/>
          <w:sz w:val="19"/>
          <w:szCs w:val="19"/>
          <w:b w:val="1"/>
          <w:bCs w:val="1"/>
          <w:color w:val="070707"/>
        </w:rPr>
        <w:t xml:space="preserve"> </w:t>
      </w:r>
      <w:r>
        <w:rPr>
          <w:rFonts w:ascii="Arial" w:cs="Arial" w:eastAsia="Arial" w:hAnsi="Arial"/>
          <w:sz w:val="19"/>
          <w:szCs w:val="19"/>
          <w:color w:val="070707"/>
        </w:rPr>
        <w:t>Company is contingent upon the execution, and delivery to an officer of the Company</w:t>
      </w:r>
      <w:r>
        <w:rPr>
          <w:rFonts w:ascii="Arial" w:cs="Arial" w:eastAsia="Arial" w:hAnsi="Arial"/>
          <w:sz w:val="19"/>
          <w:szCs w:val="19"/>
          <w:color w:val="1C1C1C"/>
        </w:rPr>
        <w:t>,</w:t>
      </w:r>
      <w:r>
        <w:rPr>
          <w:rFonts w:ascii="Arial" w:cs="Arial" w:eastAsia="Arial" w:hAnsi="Arial"/>
          <w:sz w:val="19"/>
          <w:szCs w:val="19"/>
          <w:color w:val="070707"/>
        </w:rPr>
        <w:t xml:space="preserve"> of the </w:t>
      </w:r>
      <w:r>
        <w:rPr>
          <w:rFonts w:ascii="Arial" w:cs="Arial" w:eastAsia="Arial" w:hAnsi="Arial"/>
          <w:sz w:val="19"/>
          <w:szCs w:val="19"/>
          <w:color w:val="0B0B0B"/>
        </w:rPr>
        <w:t>Company's</w:t>
      </w:r>
      <w:r>
        <w:rPr>
          <w:rFonts w:ascii="Arial" w:cs="Arial" w:eastAsia="Arial" w:hAnsi="Arial"/>
          <w:sz w:val="19"/>
          <w:szCs w:val="19"/>
          <w:color w:val="070707"/>
        </w:rPr>
        <w:t xml:space="preserve"> Confidential Information and In</w:t>
      </w:r>
      <w:r>
        <w:rPr>
          <w:rFonts w:ascii="Arial" w:cs="Arial" w:eastAsia="Arial" w:hAnsi="Arial"/>
          <w:sz w:val="19"/>
          <w:szCs w:val="19"/>
          <w:color w:val="1C1C1C"/>
        </w:rPr>
        <w:t>v</w:t>
      </w:r>
      <w:r>
        <w:rPr>
          <w:rFonts w:ascii="Arial" w:cs="Arial" w:eastAsia="Arial" w:hAnsi="Arial"/>
          <w:sz w:val="19"/>
          <w:szCs w:val="19"/>
          <w:color w:val="070707"/>
        </w:rPr>
        <w:t xml:space="preserve">ention Assignment Agreement, a copy of which is enclosed for your review and execution (the </w:t>
      </w:r>
      <w:r>
        <w:rPr>
          <w:rFonts w:ascii="Arial" w:cs="Arial" w:eastAsia="Arial" w:hAnsi="Arial"/>
          <w:sz w:val="19"/>
          <w:szCs w:val="19"/>
          <w:color w:val="1C1C1C"/>
        </w:rPr>
        <w:t>"</w:t>
      </w:r>
      <w:r>
        <w:rPr>
          <w:rFonts w:ascii="Arial" w:cs="Arial" w:eastAsia="Arial" w:hAnsi="Arial"/>
          <w:sz w:val="19"/>
          <w:szCs w:val="19"/>
          <w:u w:val="single" w:color="auto"/>
          <w:color w:val="070707"/>
        </w:rPr>
        <w:t>Confidentiality Agreement</w:t>
      </w:r>
      <w:r>
        <w:rPr>
          <w:rFonts w:ascii="Arial" w:cs="Arial" w:eastAsia="Arial" w:hAnsi="Arial"/>
          <w:sz w:val="19"/>
          <w:szCs w:val="19"/>
          <w:color w:val="070707"/>
        </w:rPr>
        <w:t>")</w:t>
      </w:r>
      <w:r>
        <w:rPr>
          <w:rFonts w:ascii="Arial" w:cs="Arial" w:eastAsia="Arial" w:hAnsi="Arial"/>
          <w:sz w:val="19"/>
          <w:szCs w:val="19"/>
          <w:color w:val="1C1C1C"/>
        </w:rPr>
        <w:t>,</w:t>
      </w:r>
      <w:r>
        <w:rPr>
          <w:rFonts w:ascii="Arial" w:cs="Arial" w:eastAsia="Arial" w:hAnsi="Arial"/>
          <w:sz w:val="19"/>
          <w:szCs w:val="19"/>
          <w:color w:val="070707"/>
        </w:rPr>
        <w:t xml:space="preserve"> prior to or on your Start Date.</w:t>
      </w:r>
    </w:p>
    <w:p>
      <w:pPr>
        <w:spacing w:after="0" w:line="148" w:lineRule="exact"/>
        <w:rPr>
          <w:rFonts w:ascii="Arial" w:cs="Arial" w:eastAsia="Arial" w:hAnsi="Arial"/>
          <w:sz w:val="19"/>
          <w:szCs w:val="19"/>
          <w:color w:val="070707"/>
        </w:rPr>
      </w:pPr>
    </w:p>
    <w:p>
      <w:pPr>
        <w:ind w:right="560" w:firstLine="2043"/>
        <w:spacing w:after="0" w:line="292" w:lineRule="auto"/>
        <w:tabs>
          <w:tab w:leader="none" w:pos="2322" w:val="left"/>
        </w:tabs>
        <w:numPr>
          <w:ilvl w:val="1"/>
          <w:numId w:val="323"/>
        </w:numPr>
        <w:rPr>
          <w:rFonts w:ascii="Arial" w:cs="Arial" w:eastAsia="Arial" w:hAnsi="Arial"/>
          <w:sz w:val="19"/>
          <w:szCs w:val="19"/>
          <w:color w:val="070707"/>
        </w:rPr>
      </w:pPr>
      <w:r>
        <w:rPr>
          <w:rFonts w:ascii="Arial" w:cs="Arial" w:eastAsia="Arial" w:hAnsi="Arial"/>
          <w:sz w:val="19"/>
          <w:szCs w:val="19"/>
          <w:b w:val="1"/>
          <w:bCs w:val="1"/>
          <w:u w:val="single" w:color="auto"/>
          <w:color w:val="070707"/>
        </w:rPr>
        <w:t>Right to Work</w:t>
      </w:r>
      <w:r>
        <w:rPr>
          <w:rFonts w:ascii="Arial" w:cs="Arial" w:eastAsia="Arial" w:hAnsi="Arial"/>
          <w:sz w:val="19"/>
          <w:szCs w:val="19"/>
          <w:b w:val="1"/>
          <w:bCs w:val="1"/>
          <w:color w:val="070707"/>
        </w:rPr>
        <w:t xml:space="preserve">. </w:t>
      </w:r>
      <w:r>
        <w:rPr>
          <w:rFonts w:ascii="Arial" w:cs="Arial" w:eastAsia="Arial" w:hAnsi="Arial"/>
          <w:sz w:val="19"/>
          <w:szCs w:val="19"/>
          <w:color w:val="070707"/>
        </w:rPr>
        <w:t>For purposes of federal immigration</w:t>
      </w:r>
      <w:r>
        <w:rPr>
          <w:rFonts w:ascii="Arial" w:cs="Arial" w:eastAsia="Arial" w:hAnsi="Arial"/>
          <w:sz w:val="19"/>
          <w:szCs w:val="19"/>
          <w:b w:val="1"/>
          <w:bCs w:val="1"/>
          <w:color w:val="070707"/>
        </w:rPr>
        <w:t xml:space="preserve"> </w:t>
      </w:r>
      <w:r>
        <w:rPr>
          <w:rFonts w:ascii="Arial" w:cs="Arial" w:eastAsia="Arial" w:hAnsi="Arial"/>
          <w:sz w:val="19"/>
          <w:szCs w:val="19"/>
          <w:color w:val="0B0B0B"/>
        </w:rPr>
        <w:t>law</w:t>
      </w:r>
      <w:r>
        <w:rPr>
          <w:rFonts w:ascii="Arial" w:cs="Arial" w:eastAsia="Arial" w:hAnsi="Arial"/>
          <w:sz w:val="19"/>
          <w:szCs w:val="19"/>
          <w:color w:val="070707"/>
        </w:rPr>
        <w:t>, you will be required to provide to the Company</w:t>
      </w:r>
      <w:r>
        <w:rPr>
          <w:rFonts w:ascii="Arial" w:cs="Arial" w:eastAsia="Arial" w:hAnsi="Arial"/>
          <w:sz w:val="19"/>
          <w:szCs w:val="19"/>
          <w:b w:val="1"/>
          <w:bCs w:val="1"/>
          <w:color w:val="070707"/>
        </w:rPr>
        <w:t xml:space="preserve"> </w:t>
      </w:r>
      <w:r>
        <w:rPr>
          <w:rFonts w:ascii="Arial" w:cs="Arial" w:eastAsia="Arial" w:hAnsi="Arial"/>
          <w:sz w:val="19"/>
          <w:szCs w:val="19"/>
          <w:color w:val="070707"/>
        </w:rPr>
        <w:t>documentary evidence of your identity and eligibility for employment in the United States</w:t>
      </w:r>
      <w:r>
        <w:rPr>
          <w:rFonts w:ascii="Arial" w:cs="Arial" w:eastAsia="Arial" w:hAnsi="Arial"/>
          <w:sz w:val="19"/>
          <w:szCs w:val="19"/>
          <w:color w:val="1C1C1C"/>
        </w:rPr>
        <w:t>.</w:t>
      </w:r>
    </w:p>
    <w:p>
      <w:pPr>
        <w:spacing w:after="0" w:line="125" w:lineRule="exact"/>
        <w:rPr>
          <w:rFonts w:ascii="Arial" w:cs="Arial" w:eastAsia="Arial" w:hAnsi="Arial"/>
          <w:sz w:val="19"/>
          <w:szCs w:val="19"/>
          <w:color w:val="070707"/>
        </w:rPr>
      </w:pPr>
    </w:p>
    <w:p>
      <w:pPr>
        <w:ind w:left="1160" w:hanging="578"/>
        <w:spacing w:after="0"/>
        <w:tabs>
          <w:tab w:leader="none" w:pos="1160" w:val="left"/>
        </w:tabs>
        <w:numPr>
          <w:ilvl w:val="0"/>
          <w:numId w:val="323"/>
        </w:numPr>
        <w:rPr>
          <w:rFonts w:ascii="Arial" w:cs="Arial" w:eastAsia="Arial" w:hAnsi="Arial"/>
          <w:sz w:val="19"/>
          <w:szCs w:val="19"/>
          <w:color w:val="auto"/>
        </w:rPr>
      </w:pPr>
      <w:r>
        <w:rPr>
          <w:rFonts w:ascii="Arial" w:cs="Arial" w:eastAsia="Arial" w:hAnsi="Arial"/>
          <w:sz w:val="19"/>
          <w:szCs w:val="19"/>
          <w:b w:val="1"/>
          <w:bCs w:val="1"/>
          <w:u w:val="single" w:color="auto"/>
          <w:color w:val="070707"/>
        </w:rPr>
        <w:t>Successors</w:t>
      </w:r>
      <w:r>
        <w:rPr>
          <w:rFonts w:ascii="Arial" w:cs="Arial" w:eastAsia="Arial" w:hAnsi="Arial"/>
          <w:sz w:val="19"/>
          <w:szCs w:val="19"/>
          <w:b w:val="1"/>
          <w:bCs w:val="1"/>
          <w:color w:val="070707"/>
        </w:rPr>
        <w:t>.</w:t>
      </w:r>
    </w:p>
    <w:p>
      <w:pPr>
        <w:spacing w:after="0" w:line="207" w:lineRule="exact"/>
        <w:rPr>
          <w:rFonts w:ascii="Arial" w:cs="Arial" w:eastAsia="Arial" w:hAnsi="Arial"/>
          <w:sz w:val="19"/>
          <w:szCs w:val="19"/>
          <w:color w:val="auto"/>
        </w:rPr>
      </w:pPr>
    </w:p>
    <w:p>
      <w:pPr>
        <w:ind w:right="80" w:firstLine="2043"/>
        <w:spacing w:after="0" w:line="267" w:lineRule="auto"/>
        <w:tabs>
          <w:tab w:leader="none" w:pos="2311" w:val="left"/>
        </w:tabs>
        <w:numPr>
          <w:ilvl w:val="1"/>
          <w:numId w:val="323"/>
        </w:numPr>
        <w:rPr>
          <w:rFonts w:ascii="Arial" w:cs="Arial" w:eastAsia="Arial" w:hAnsi="Arial"/>
          <w:sz w:val="19"/>
          <w:szCs w:val="19"/>
          <w:color w:val="070707"/>
        </w:rPr>
      </w:pPr>
      <w:r>
        <w:rPr>
          <w:rFonts w:ascii="Arial" w:cs="Arial" w:eastAsia="Arial" w:hAnsi="Arial"/>
          <w:sz w:val="19"/>
          <w:szCs w:val="19"/>
          <w:b w:val="1"/>
          <w:bCs w:val="1"/>
          <w:u w:val="single" w:color="auto"/>
          <w:color w:val="070707"/>
        </w:rPr>
        <w:t>Company's Successors</w:t>
      </w:r>
      <w:r>
        <w:rPr>
          <w:rFonts w:ascii="Arial" w:cs="Arial" w:eastAsia="Arial" w:hAnsi="Arial"/>
          <w:sz w:val="19"/>
          <w:szCs w:val="19"/>
          <w:b w:val="1"/>
          <w:bCs w:val="1"/>
          <w:color w:val="070707"/>
        </w:rPr>
        <w:t xml:space="preserve">. </w:t>
      </w:r>
      <w:r>
        <w:rPr>
          <w:rFonts w:ascii="Arial" w:cs="Arial" w:eastAsia="Arial" w:hAnsi="Arial"/>
          <w:sz w:val="19"/>
          <w:szCs w:val="19"/>
          <w:color w:val="070707"/>
        </w:rPr>
        <w:t>This Agreement shall be</w:t>
      </w:r>
      <w:r>
        <w:rPr>
          <w:rFonts w:ascii="Arial" w:cs="Arial" w:eastAsia="Arial" w:hAnsi="Arial"/>
          <w:sz w:val="19"/>
          <w:szCs w:val="19"/>
          <w:b w:val="1"/>
          <w:bCs w:val="1"/>
          <w:color w:val="070707"/>
        </w:rPr>
        <w:t xml:space="preserve"> </w:t>
      </w:r>
      <w:r>
        <w:rPr>
          <w:rFonts w:ascii="Arial" w:cs="Arial" w:eastAsia="Arial" w:hAnsi="Arial"/>
          <w:sz w:val="19"/>
          <w:szCs w:val="19"/>
          <w:color w:val="0B0B0B"/>
        </w:rPr>
        <w:t>binding</w:t>
      </w:r>
      <w:r>
        <w:rPr>
          <w:rFonts w:ascii="Arial" w:cs="Arial" w:eastAsia="Arial" w:hAnsi="Arial"/>
          <w:sz w:val="19"/>
          <w:szCs w:val="19"/>
          <w:b w:val="1"/>
          <w:bCs w:val="1"/>
          <w:color w:val="070707"/>
        </w:rPr>
        <w:t xml:space="preserve"> </w:t>
      </w:r>
      <w:r>
        <w:rPr>
          <w:rFonts w:ascii="Arial" w:cs="Arial" w:eastAsia="Arial" w:hAnsi="Arial"/>
          <w:sz w:val="19"/>
          <w:szCs w:val="19"/>
          <w:color w:val="070707"/>
        </w:rPr>
        <w:t>upon any successor (whether direct or indirect and</w:t>
      </w:r>
      <w:r>
        <w:rPr>
          <w:rFonts w:ascii="Arial" w:cs="Arial" w:eastAsia="Arial" w:hAnsi="Arial"/>
          <w:sz w:val="19"/>
          <w:szCs w:val="19"/>
          <w:b w:val="1"/>
          <w:bCs w:val="1"/>
          <w:color w:val="070707"/>
        </w:rPr>
        <w:t xml:space="preserve"> </w:t>
      </w:r>
      <w:r>
        <w:rPr>
          <w:rFonts w:ascii="Arial" w:cs="Arial" w:eastAsia="Arial" w:hAnsi="Arial"/>
          <w:sz w:val="19"/>
          <w:szCs w:val="19"/>
          <w:color w:val="070707"/>
        </w:rPr>
        <w:t>whether by purchase, lease, merger</w:t>
      </w:r>
      <w:r>
        <w:rPr>
          <w:rFonts w:ascii="Arial" w:cs="Arial" w:eastAsia="Arial" w:hAnsi="Arial"/>
          <w:sz w:val="19"/>
          <w:szCs w:val="19"/>
          <w:color w:val="1C1C1C"/>
        </w:rPr>
        <w:t>,</w:t>
      </w:r>
      <w:r>
        <w:rPr>
          <w:rFonts w:ascii="Arial" w:cs="Arial" w:eastAsia="Arial" w:hAnsi="Arial"/>
          <w:sz w:val="19"/>
          <w:szCs w:val="19"/>
          <w:color w:val="070707"/>
        </w:rPr>
        <w:t xml:space="preserve"> consolidation, liquidation or otherwise) to all or substantially all of the Company's business and/or assets. For all purposes under this Agreement</w:t>
      </w:r>
      <w:r>
        <w:rPr>
          <w:rFonts w:ascii="Arial" w:cs="Arial" w:eastAsia="Arial" w:hAnsi="Arial"/>
          <w:sz w:val="19"/>
          <w:szCs w:val="19"/>
          <w:color w:val="1C1C1C"/>
        </w:rPr>
        <w:t>,</w:t>
      </w:r>
      <w:r>
        <w:rPr>
          <w:rFonts w:ascii="Arial" w:cs="Arial" w:eastAsia="Arial" w:hAnsi="Arial"/>
          <w:sz w:val="19"/>
          <w:szCs w:val="19"/>
          <w:color w:val="070707"/>
        </w:rPr>
        <w:t xml:space="preserve"> the term </w:t>
      </w:r>
      <w:r>
        <w:rPr>
          <w:rFonts w:ascii="Arial" w:cs="Arial" w:eastAsia="Arial" w:hAnsi="Arial"/>
          <w:sz w:val="19"/>
          <w:szCs w:val="19"/>
          <w:color w:val="1C1C1C"/>
        </w:rPr>
        <w:t>"</w:t>
      </w:r>
      <w:r>
        <w:rPr>
          <w:rFonts w:ascii="Arial" w:cs="Arial" w:eastAsia="Arial" w:hAnsi="Arial"/>
          <w:sz w:val="19"/>
          <w:szCs w:val="19"/>
          <w:u w:val="single" w:color="auto"/>
          <w:color w:val="070707"/>
        </w:rPr>
        <w:t>Company</w:t>
      </w:r>
      <w:r>
        <w:rPr>
          <w:rFonts w:ascii="Arial" w:cs="Arial" w:eastAsia="Arial" w:hAnsi="Arial"/>
          <w:sz w:val="19"/>
          <w:szCs w:val="19"/>
          <w:color w:val="070707"/>
        </w:rPr>
        <w:t>" shall include any successor to the Company's business or assets that becomes bound by this Agreement.</w:t>
      </w:r>
    </w:p>
    <w:p>
      <w:pPr>
        <w:spacing w:after="0" w:line="148" w:lineRule="exact"/>
        <w:rPr>
          <w:rFonts w:ascii="Arial" w:cs="Arial" w:eastAsia="Arial" w:hAnsi="Arial"/>
          <w:sz w:val="19"/>
          <w:szCs w:val="19"/>
          <w:color w:val="070707"/>
        </w:rPr>
      </w:pPr>
    </w:p>
    <w:p>
      <w:pPr>
        <w:ind w:right="720" w:firstLine="2043"/>
        <w:spacing w:after="0" w:line="355" w:lineRule="auto"/>
        <w:tabs>
          <w:tab w:leader="none" w:pos="2322" w:val="left"/>
        </w:tabs>
        <w:numPr>
          <w:ilvl w:val="1"/>
          <w:numId w:val="323"/>
        </w:numPr>
        <w:rPr>
          <w:rFonts w:ascii="Arial" w:cs="Arial" w:eastAsia="Arial" w:hAnsi="Arial"/>
          <w:sz w:val="17"/>
          <w:szCs w:val="17"/>
          <w:color w:val="070707"/>
        </w:rPr>
      </w:pPr>
      <w:r>
        <w:rPr>
          <w:rFonts w:ascii="Arial" w:cs="Arial" w:eastAsia="Arial" w:hAnsi="Arial"/>
          <w:sz w:val="17"/>
          <w:szCs w:val="17"/>
          <w:b w:val="1"/>
          <w:bCs w:val="1"/>
          <w:u w:val="single" w:color="auto"/>
          <w:color w:val="070707"/>
        </w:rPr>
        <w:t>Your Successors</w:t>
      </w:r>
      <w:r>
        <w:rPr>
          <w:rFonts w:ascii="Arial" w:cs="Arial" w:eastAsia="Arial" w:hAnsi="Arial"/>
          <w:sz w:val="17"/>
          <w:szCs w:val="17"/>
          <w:b w:val="1"/>
          <w:bCs w:val="1"/>
          <w:color w:val="070707"/>
        </w:rPr>
        <w:t xml:space="preserve">. </w:t>
      </w:r>
      <w:r>
        <w:rPr>
          <w:rFonts w:ascii="Arial" w:cs="Arial" w:eastAsia="Arial" w:hAnsi="Arial"/>
          <w:sz w:val="17"/>
          <w:szCs w:val="17"/>
          <w:color w:val="070707"/>
        </w:rPr>
        <w:t>This Agreement and all of your rights hereunder shall inure to the benefit of, and be</w:t>
      </w:r>
      <w:r>
        <w:rPr>
          <w:rFonts w:ascii="Arial" w:cs="Arial" w:eastAsia="Arial" w:hAnsi="Arial"/>
          <w:sz w:val="17"/>
          <w:szCs w:val="17"/>
          <w:b w:val="1"/>
          <w:bCs w:val="1"/>
          <w:color w:val="070707"/>
        </w:rPr>
        <w:t xml:space="preserve"> </w:t>
      </w:r>
      <w:r>
        <w:rPr>
          <w:rFonts w:ascii="Arial" w:cs="Arial" w:eastAsia="Arial" w:hAnsi="Arial"/>
          <w:sz w:val="17"/>
          <w:szCs w:val="17"/>
          <w:color w:val="070707"/>
        </w:rPr>
        <w:t xml:space="preserve">enforceable by, your personal or legal </w:t>
      </w:r>
      <w:r>
        <w:rPr>
          <w:rFonts w:ascii="Arial" w:cs="Arial" w:eastAsia="Arial" w:hAnsi="Arial"/>
          <w:sz w:val="17"/>
          <w:szCs w:val="17"/>
          <w:color w:val="0B0B0B"/>
        </w:rPr>
        <w:t>representatives</w:t>
      </w:r>
      <w:r>
        <w:rPr>
          <w:rFonts w:ascii="Arial" w:cs="Arial" w:eastAsia="Arial" w:hAnsi="Arial"/>
          <w:sz w:val="17"/>
          <w:szCs w:val="17"/>
          <w:color w:val="070707"/>
        </w:rPr>
        <w:t>, executors</w:t>
      </w:r>
      <w:r>
        <w:rPr>
          <w:rFonts w:ascii="Arial" w:cs="Arial" w:eastAsia="Arial" w:hAnsi="Arial"/>
          <w:sz w:val="17"/>
          <w:szCs w:val="17"/>
          <w:color w:val="1C1C1C"/>
        </w:rPr>
        <w:t>,</w:t>
      </w:r>
      <w:r>
        <w:rPr>
          <w:rFonts w:ascii="Arial" w:cs="Arial" w:eastAsia="Arial" w:hAnsi="Arial"/>
          <w:sz w:val="17"/>
          <w:szCs w:val="17"/>
          <w:color w:val="070707"/>
        </w:rPr>
        <w:t xml:space="preserve"> administrators, successors</w:t>
      </w:r>
      <w:r>
        <w:rPr>
          <w:rFonts w:ascii="Arial" w:cs="Arial" w:eastAsia="Arial" w:hAnsi="Arial"/>
          <w:sz w:val="17"/>
          <w:szCs w:val="17"/>
          <w:color w:val="1C1C1C"/>
        </w:rPr>
        <w:t>,</w:t>
      </w:r>
      <w:r>
        <w:rPr>
          <w:rFonts w:ascii="Arial" w:cs="Arial" w:eastAsia="Arial" w:hAnsi="Arial"/>
          <w:sz w:val="17"/>
          <w:szCs w:val="17"/>
          <w:color w:val="070707"/>
        </w:rPr>
        <w:t xml:space="preserve"> heirs</w:t>
      </w:r>
      <w:r>
        <w:rPr>
          <w:rFonts w:ascii="Arial" w:cs="Arial" w:eastAsia="Arial" w:hAnsi="Arial"/>
          <w:sz w:val="17"/>
          <w:szCs w:val="17"/>
          <w:color w:val="1C1C1C"/>
        </w:rPr>
        <w:t>,</w:t>
      </w:r>
      <w:r>
        <w:rPr>
          <w:rFonts w:ascii="Arial" w:cs="Arial" w:eastAsia="Arial" w:hAnsi="Arial"/>
          <w:sz w:val="17"/>
          <w:szCs w:val="17"/>
          <w:color w:val="070707"/>
        </w:rPr>
        <w:t xml:space="preserve"> distributees</w:t>
      </w:r>
      <w:r>
        <w:rPr>
          <w:rFonts w:ascii="Arial" w:cs="Arial" w:eastAsia="Arial" w:hAnsi="Arial"/>
          <w:sz w:val="17"/>
          <w:szCs w:val="17"/>
          <w:color w:val="1C1C1C"/>
        </w:rPr>
        <w:t>,</w:t>
      </w:r>
      <w:r>
        <w:rPr>
          <w:rFonts w:ascii="Arial" w:cs="Arial" w:eastAsia="Arial" w:hAnsi="Arial"/>
          <w:sz w:val="17"/>
          <w:szCs w:val="17"/>
          <w:color w:val="070707"/>
        </w:rPr>
        <w:t xml:space="preserve"> devisees and legatees.</w:t>
      </w:r>
    </w:p>
    <w:p>
      <w:pPr>
        <w:spacing w:after="0" w:line="79" w:lineRule="exact"/>
        <w:rPr>
          <w:rFonts w:ascii="Arial" w:cs="Arial" w:eastAsia="Arial" w:hAnsi="Arial"/>
          <w:sz w:val="17"/>
          <w:szCs w:val="17"/>
          <w:color w:val="070707"/>
        </w:rPr>
      </w:pPr>
    </w:p>
    <w:p>
      <w:pPr>
        <w:ind w:left="1160" w:hanging="578"/>
        <w:spacing w:after="0"/>
        <w:tabs>
          <w:tab w:leader="none" w:pos="1160" w:val="left"/>
        </w:tabs>
        <w:numPr>
          <w:ilvl w:val="0"/>
          <w:numId w:val="323"/>
        </w:numPr>
        <w:rPr>
          <w:rFonts w:ascii="Arial" w:cs="Arial" w:eastAsia="Arial" w:hAnsi="Arial"/>
          <w:sz w:val="19"/>
          <w:szCs w:val="19"/>
          <w:color w:val="auto"/>
        </w:rPr>
      </w:pPr>
      <w:r>
        <w:rPr>
          <w:rFonts w:ascii="Arial" w:cs="Arial" w:eastAsia="Arial" w:hAnsi="Arial"/>
          <w:sz w:val="19"/>
          <w:szCs w:val="19"/>
          <w:b w:val="1"/>
          <w:bCs w:val="1"/>
          <w:u w:val="single" w:color="auto"/>
          <w:color w:val="070707"/>
        </w:rPr>
        <w:t>Miscellaneous Provisions</w:t>
      </w:r>
      <w:r>
        <w:rPr>
          <w:rFonts w:ascii="Arial" w:cs="Arial" w:eastAsia="Arial" w:hAnsi="Arial"/>
          <w:sz w:val="19"/>
          <w:szCs w:val="19"/>
          <w:b w:val="1"/>
          <w:bCs w:val="1"/>
          <w:color w:val="070707"/>
        </w:rPr>
        <w:t>.</w:t>
      </w:r>
    </w:p>
    <w:p>
      <w:pPr>
        <w:spacing w:after="0" w:line="207" w:lineRule="exact"/>
        <w:rPr>
          <w:rFonts w:ascii="Arial" w:cs="Arial" w:eastAsia="Arial" w:hAnsi="Arial"/>
          <w:sz w:val="19"/>
          <w:szCs w:val="19"/>
          <w:color w:val="auto"/>
        </w:rPr>
      </w:pPr>
    </w:p>
    <w:p>
      <w:pPr>
        <w:ind w:firstLine="2043"/>
        <w:spacing w:after="0" w:line="295" w:lineRule="auto"/>
        <w:tabs>
          <w:tab w:leader="none" w:pos="2311" w:val="left"/>
        </w:tabs>
        <w:numPr>
          <w:ilvl w:val="1"/>
          <w:numId w:val="323"/>
        </w:numPr>
        <w:rPr>
          <w:rFonts w:ascii="Arial" w:cs="Arial" w:eastAsia="Arial" w:hAnsi="Arial"/>
          <w:sz w:val="18"/>
          <w:szCs w:val="18"/>
          <w:color w:val="070707"/>
        </w:rPr>
      </w:pPr>
      <w:r>
        <w:rPr>
          <w:rFonts w:ascii="Arial" w:cs="Arial" w:eastAsia="Arial" w:hAnsi="Arial"/>
          <w:sz w:val="18"/>
          <w:szCs w:val="18"/>
          <w:b w:val="1"/>
          <w:bCs w:val="1"/>
          <w:u w:val="single" w:color="auto"/>
          <w:color w:val="070707"/>
        </w:rPr>
        <w:t>Indemnification</w:t>
      </w:r>
      <w:r>
        <w:rPr>
          <w:rFonts w:ascii="Arial" w:cs="Arial" w:eastAsia="Arial" w:hAnsi="Arial"/>
          <w:sz w:val="18"/>
          <w:szCs w:val="18"/>
          <w:b w:val="1"/>
          <w:bCs w:val="1"/>
          <w:color w:val="070707"/>
        </w:rPr>
        <w:t xml:space="preserve">. </w:t>
      </w:r>
      <w:r>
        <w:rPr>
          <w:rFonts w:ascii="Arial" w:cs="Arial" w:eastAsia="Arial" w:hAnsi="Arial"/>
          <w:sz w:val="18"/>
          <w:szCs w:val="18"/>
          <w:color w:val="070707"/>
        </w:rPr>
        <w:t>The Company shall indemnify you to the maximum extent permitted by applicable law and the</w:t>
      </w:r>
      <w:r>
        <w:rPr>
          <w:rFonts w:ascii="Arial" w:cs="Arial" w:eastAsia="Arial" w:hAnsi="Arial"/>
          <w:sz w:val="18"/>
          <w:szCs w:val="18"/>
          <w:b w:val="1"/>
          <w:bCs w:val="1"/>
          <w:color w:val="070707"/>
        </w:rPr>
        <w:t xml:space="preserve"> </w:t>
      </w:r>
      <w:r>
        <w:rPr>
          <w:rFonts w:ascii="Arial" w:cs="Arial" w:eastAsia="Arial" w:hAnsi="Arial"/>
          <w:sz w:val="18"/>
          <w:szCs w:val="18"/>
          <w:color w:val="070707"/>
        </w:rPr>
        <w:t>Company's Bylaws with respect to your service and you shall also be covered under a directors and officers liability insurance policy paid for by the Company to the extent that the Company maintains such a liability insurance policy now or in the future.</w:t>
      </w:r>
    </w:p>
    <w:p>
      <w:pPr>
        <w:spacing w:after="0" w:line="125" w:lineRule="exact"/>
        <w:rPr>
          <w:rFonts w:ascii="Arial" w:cs="Arial" w:eastAsia="Arial" w:hAnsi="Arial"/>
          <w:sz w:val="18"/>
          <w:szCs w:val="18"/>
          <w:color w:val="070707"/>
        </w:rPr>
      </w:pPr>
    </w:p>
    <w:p>
      <w:pPr>
        <w:jc w:val="both"/>
        <w:ind w:right="220" w:firstLine="2043"/>
        <w:spacing w:after="0" w:line="263" w:lineRule="auto"/>
        <w:tabs>
          <w:tab w:leader="none" w:pos="2322" w:val="left"/>
        </w:tabs>
        <w:numPr>
          <w:ilvl w:val="1"/>
          <w:numId w:val="323"/>
        </w:numPr>
        <w:rPr>
          <w:rFonts w:ascii="Arial" w:cs="Arial" w:eastAsia="Arial" w:hAnsi="Arial"/>
          <w:sz w:val="19"/>
          <w:szCs w:val="19"/>
          <w:color w:val="070707"/>
        </w:rPr>
      </w:pPr>
      <w:r>
        <w:rPr>
          <w:rFonts w:ascii="Arial" w:cs="Arial" w:eastAsia="Arial" w:hAnsi="Arial"/>
          <w:sz w:val="19"/>
          <w:szCs w:val="19"/>
          <w:b w:val="1"/>
          <w:bCs w:val="1"/>
          <w:u w:val="single" w:color="auto"/>
          <w:color w:val="070707"/>
        </w:rPr>
        <w:t>Notice</w:t>
      </w:r>
      <w:r>
        <w:rPr>
          <w:rFonts w:ascii="Arial" w:cs="Arial" w:eastAsia="Arial" w:hAnsi="Arial"/>
          <w:sz w:val="19"/>
          <w:szCs w:val="19"/>
          <w:b w:val="1"/>
          <w:bCs w:val="1"/>
          <w:color w:val="070707"/>
        </w:rPr>
        <w:t xml:space="preserve">. </w:t>
      </w:r>
      <w:r>
        <w:rPr>
          <w:rFonts w:ascii="Arial" w:cs="Arial" w:eastAsia="Arial" w:hAnsi="Arial"/>
          <w:sz w:val="19"/>
          <w:szCs w:val="19"/>
          <w:color w:val="070707"/>
        </w:rPr>
        <w:t>Notices and all other communications contemplated by this Agreement shall be in writing and shall be</w:t>
      </w:r>
      <w:r>
        <w:rPr>
          <w:rFonts w:ascii="Arial" w:cs="Arial" w:eastAsia="Arial" w:hAnsi="Arial"/>
          <w:sz w:val="19"/>
          <w:szCs w:val="19"/>
          <w:b w:val="1"/>
          <w:bCs w:val="1"/>
          <w:color w:val="070707"/>
        </w:rPr>
        <w:t xml:space="preserve"> </w:t>
      </w:r>
      <w:r>
        <w:rPr>
          <w:rFonts w:ascii="Arial" w:cs="Arial" w:eastAsia="Arial" w:hAnsi="Arial"/>
          <w:sz w:val="19"/>
          <w:szCs w:val="19"/>
          <w:color w:val="070707"/>
        </w:rPr>
        <w:t>deemed to have been duly given when personally delivered or when mailed by U.S</w:t>
      </w:r>
      <w:r>
        <w:rPr>
          <w:rFonts w:ascii="Arial" w:cs="Arial" w:eastAsia="Arial" w:hAnsi="Arial"/>
          <w:sz w:val="19"/>
          <w:szCs w:val="19"/>
          <w:color w:val="1C1C1C"/>
        </w:rPr>
        <w:t>.</w:t>
      </w:r>
      <w:r>
        <w:rPr>
          <w:rFonts w:ascii="Arial" w:cs="Arial" w:eastAsia="Arial" w:hAnsi="Arial"/>
          <w:sz w:val="19"/>
          <w:szCs w:val="19"/>
          <w:color w:val="070707"/>
        </w:rPr>
        <w:t xml:space="preserve"> registered or certified mail</w:t>
      </w:r>
      <w:r>
        <w:rPr>
          <w:rFonts w:ascii="Arial" w:cs="Arial" w:eastAsia="Arial" w:hAnsi="Arial"/>
          <w:sz w:val="19"/>
          <w:szCs w:val="19"/>
          <w:color w:val="1C1C1C"/>
        </w:rPr>
        <w:t>,</w:t>
      </w:r>
      <w:r>
        <w:rPr>
          <w:rFonts w:ascii="Arial" w:cs="Arial" w:eastAsia="Arial" w:hAnsi="Arial"/>
          <w:sz w:val="19"/>
          <w:szCs w:val="19"/>
          <w:color w:val="070707"/>
        </w:rPr>
        <w:t xml:space="preserve"> return receipt requested and postage prepaid. In your case</w:t>
      </w:r>
      <w:r>
        <w:rPr>
          <w:rFonts w:ascii="Arial" w:cs="Arial" w:eastAsia="Arial" w:hAnsi="Arial"/>
          <w:sz w:val="19"/>
          <w:szCs w:val="19"/>
          <w:color w:val="1C1C1C"/>
        </w:rPr>
        <w:t>,</w:t>
      </w:r>
      <w:r>
        <w:rPr>
          <w:rFonts w:ascii="Arial" w:cs="Arial" w:eastAsia="Arial" w:hAnsi="Arial"/>
          <w:sz w:val="19"/>
          <w:szCs w:val="19"/>
          <w:color w:val="070707"/>
        </w:rPr>
        <w:t xml:space="preserve"> mailed notices shall be addressed to you at the home address that you most recently communicated to the Company in writing</w:t>
      </w:r>
      <w:r>
        <w:rPr>
          <w:rFonts w:ascii="Arial" w:cs="Arial" w:eastAsia="Arial" w:hAnsi="Arial"/>
          <w:sz w:val="19"/>
          <w:szCs w:val="19"/>
          <w:color w:val="1C1C1C"/>
        </w:rPr>
        <w:t>.</w:t>
      </w:r>
      <w:r>
        <w:rPr>
          <w:rFonts w:ascii="Arial" w:cs="Arial" w:eastAsia="Arial" w:hAnsi="Arial"/>
          <w:sz w:val="19"/>
          <w:szCs w:val="19"/>
          <w:color w:val="070707"/>
        </w:rPr>
        <w:t xml:space="preserve"> In the case of the Company</w:t>
      </w:r>
      <w:r>
        <w:rPr>
          <w:rFonts w:ascii="Arial" w:cs="Arial" w:eastAsia="Arial" w:hAnsi="Arial"/>
          <w:sz w:val="19"/>
          <w:szCs w:val="19"/>
          <w:color w:val="1C1C1C"/>
        </w:rPr>
        <w:t>,</w:t>
      </w:r>
      <w:r>
        <w:rPr>
          <w:rFonts w:ascii="Arial" w:cs="Arial" w:eastAsia="Arial" w:hAnsi="Arial"/>
          <w:sz w:val="19"/>
          <w:szCs w:val="19"/>
          <w:color w:val="070707"/>
        </w:rPr>
        <w:t xml:space="preserve"> mailed notices shall be addressed to its corporate headquarters</w:t>
      </w:r>
      <w:r>
        <w:rPr>
          <w:rFonts w:ascii="Arial" w:cs="Arial" w:eastAsia="Arial" w:hAnsi="Arial"/>
          <w:sz w:val="19"/>
          <w:szCs w:val="19"/>
          <w:color w:val="1C1C1C"/>
        </w:rPr>
        <w:t>,</w:t>
      </w:r>
      <w:r>
        <w:rPr>
          <w:rFonts w:ascii="Arial" w:cs="Arial" w:eastAsia="Arial" w:hAnsi="Arial"/>
          <w:sz w:val="19"/>
          <w:szCs w:val="19"/>
          <w:color w:val="070707"/>
        </w:rPr>
        <w:t xml:space="preserve"> and all notices shall be directed to the attention of its Secretary.</w:t>
      </w:r>
    </w:p>
    <w:p>
      <w:pPr>
        <w:spacing w:after="0" w:line="154" w:lineRule="exact"/>
        <w:rPr>
          <w:rFonts w:ascii="Arial" w:cs="Arial" w:eastAsia="Arial" w:hAnsi="Arial"/>
          <w:sz w:val="19"/>
          <w:szCs w:val="19"/>
          <w:color w:val="070707"/>
        </w:rPr>
      </w:pPr>
    </w:p>
    <w:p>
      <w:pPr>
        <w:ind w:right="40" w:firstLine="2043"/>
        <w:spacing w:after="0" w:line="322" w:lineRule="auto"/>
        <w:tabs>
          <w:tab w:leader="none" w:pos="2311" w:val="left"/>
        </w:tabs>
        <w:numPr>
          <w:ilvl w:val="1"/>
          <w:numId w:val="323"/>
        </w:numPr>
        <w:rPr>
          <w:rFonts w:ascii="Arial" w:cs="Arial" w:eastAsia="Arial" w:hAnsi="Arial"/>
          <w:sz w:val="18"/>
          <w:szCs w:val="18"/>
          <w:color w:val="070707"/>
        </w:rPr>
      </w:pPr>
      <w:r>
        <w:rPr>
          <w:rFonts w:ascii="Arial" w:cs="Arial" w:eastAsia="Arial" w:hAnsi="Arial"/>
          <w:sz w:val="18"/>
          <w:szCs w:val="18"/>
          <w:b w:val="1"/>
          <w:bCs w:val="1"/>
          <w:u w:val="single" w:color="auto"/>
          <w:color w:val="070707"/>
        </w:rPr>
        <w:t>Modifications and Waivers</w:t>
      </w:r>
      <w:r>
        <w:rPr>
          <w:rFonts w:ascii="Arial" w:cs="Arial" w:eastAsia="Arial" w:hAnsi="Arial"/>
          <w:sz w:val="18"/>
          <w:szCs w:val="18"/>
          <w:b w:val="1"/>
          <w:bCs w:val="1"/>
          <w:color w:val="070707"/>
        </w:rPr>
        <w:t xml:space="preserve">. </w:t>
      </w:r>
      <w:r>
        <w:rPr>
          <w:rFonts w:ascii="Arial" w:cs="Arial" w:eastAsia="Arial" w:hAnsi="Arial"/>
          <w:sz w:val="18"/>
          <w:szCs w:val="18"/>
          <w:color w:val="070707"/>
        </w:rPr>
        <w:t>No provision of this Agreement shall be modified, waived or discharged unless the</w:t>
      </w:r>
      <w:r>
        <w:rPr>
          <w:rFonts w:ascii="Arial" w:cs="Arial" w:eastAsia="Arial" w:hAnsi="Arial"/>
          <w:sz w:val="18"/>
          <w:szCs w:val="18"/>
          <w:b w:val="1"/>
          <w:bCs w:val="1"/>
          <w:color w:val="070707"/>
        </w:rPr>
        <w:t xml:space="preserve"> </w:t>
      </w:r>
      <w:r>
        <w:rPr>
          <w:rFonts w:ascii="Arial" w:cs="Arial" w:eastAsia="Arial" w:hAnsi="Arial"/>
          <w:sz w:val="18"/>
          <w:szCs w:val="18"/>
          <w:color w:val="070707"/>
        </w:rPr>
        <w:t>modification, waiver or discharge is agreed to in writing and signed by you and by an authorized officer of the Company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140"/>
          </w:cols>
          <w:pgMar w:left="320" w:top="1301" w:right="439" w:bottom="1440" w:gutter="0" w:footer="0" w:header="0"/>
        </w:sectPr>
      </w:pPr>
    </w:p>
    <w:bookmarkStart w:id="446" w:name="page447"/>
    <w:bookmarkEnd w:id="446"/>
    <w:p>
      <w:pPr>
        <w:ind w:right="140"/>
        <w:spacing w:after="0" w:line="286" w:lineRule="auto"/>
        <w:rPr>
          <w:sz w:val="20"/>
          <w:szCs w:val="20"/>
          <w:color w:val="auto"/>
        </w:rPr>
      </w:pPr>
      <w:r>
        <w:rPr>
          <w:rFonts w:ascii="Arial" w:cs="Arial" w:eastAsia="Arial" w:hAnsi="Arial"/>
          <w:sz w:val="19"/>
          <w:szCs w:val="19"/>
          <w:color w:val="070707"/>
        </w:rPr>
        <w:t>than you). No waiver by either party of any breach of</w:t>
      </w:r>
      <w:r>
        <w:rPr>
          <w:rFonts w:ascii="Arial" w:cs="Arial" w:eastAsia="Arial" w:hAnsi="Arial"/>
          <w:sz w:val="19"/>
          <w:szCs w:val="19"/>
          <w:color w:val="1C1C1C"/>
        </w:rPr>
        <w:t>,</w:t>
      </w:r>
      <w:r>
        <w:rPr>
          <w:rFonts w:ascii="Arial" w:cs="Arial" w:eastAsia="Arial" w:hAnsi="Arial"/>
          <w:sz w:val="19"/>
          <w:szCs w:val="19"/>
          <w:color w:val="070707"/>
        </w:rPr>
        <w:t xml:space="preserve"> or of compliance with</w:t>
      </w:r>
      <w:r>
        <w:rPr>
          <w:rFonts w:ascii="Arial" w:cs="Arial" w:eastAsia="Arial" w:hAnsi="Arial"/>
          <w:sz w:val="19"/>
          <w:szCs w:val="19"/>
          <w:color w:val="1C1C1C"/>
        </w:rPr>
        <w:t>,</w:t>
      </w:r>
      <w:r>
        <w:rPr>
          <w:rFonts w:ascii="Arial" w:cs="Arial" w:eastAsia="Arial" w:hAnsi="Arial"/>
          <w:sz w:val="19"/>
          <w:szCs w:val="19"/>
          <w:color w:val="070707"/>
        </w:rPr>
        <w:t xml:space="preserve"> any condition or provision of this Agreement by the other party shall be considered a waiver of any other condition or provision or of the same condition or provision at another time.</w:t>
      </w:r>
    </w:p>
    <w:p>
      <w:pPr>
        <w:spacing w:after="0" w:line="131" w:lineRule="exact"/>
        <w:rPr>
          <w:sz w:val="20"/>
          <w:szCs w:val="20"/>
          <w:color w:val="auto"/>
        </w:rPr>
      </w:pPr>
    </w:p>
    <w:p>
      <w:pPr>
        <w:ind w:firstLine="2043"/>
        <w:spacing w:after="0" w:line="267" w:lineRule="auto"/>
        <w:tabs>
          <w:tab w:leader="none" w:pos="2322" w:val="left"/>
        </w:tabs>
        <w:numPr>
          <w:ilvl w:val="0"/>
          <w:numId w:val="324"/>
        </w:numPr>
        <w:rPr>
          <w:rFonts w:ascii="Arial" w:cs="Arial" w:eastAsia="Arial" w:hAnsi="Arial"/>
          <w:sz w:val="19"/>
          <w:szCs w:val="19"/>
          <w:color w:val="070707"/>
        </w:rPr>
      </w:pPr>
      <w:r>
        <w:rPr>
          <w:rFonts w:ascii="Arial" w:cs="Arial" w:eastAsia="Arial" w:hAnsi="Arial"/>
          <w:sz w:val="19"/>
          <w:szCs w:val="19"/>
          <w:b w:val="1"/>
          <w:bCs w:val="1"/>
          <w:u w:val="single" w:color="auto"/>
          <w:color w:val="070707"/>
        </w:rPr>
        <w:t>Whole Agreement</w:t>
      </w:r>
      <w:r>
        <w:rPr>
          <w:rFonts w:ascii="Arial" w:cs="Arial" w:eastAsia="Arial" w:hAnsi="Arial"/>
          <w:sz w:val="19"/>
          <w:szCs w:val="19"/>
          <w:b w:val="1"/>
          <w:bCs w:val="1"/>
          <w:color w:val="070707"/>
        </w:rPr>
        <w:t xml:space="preserve">. </w:t>
      </w:r>
      <w:r>
        <w:rPr>
          <w:rFonts w:ascii="Arial" w:cs="Arial" w:eastAsia="Arial" w:hAnsi="Arial"/>
          <w:sz w:val="19"/>
          <w:szCs w:val="19"/>
          <w:color w:val="070707"/>
        </w:rPr>
        <w:t>No other agreements, representations or understandings (whether oral or written and</w:t>
      </w:r>
      <w:r>
        <w:rPr>
          <w:rFonts w:ascii="Arial" w:cs="Arial" w:eastAsia="Arial" w:hAnsi="Arial"/>
          <w:sz w:val="19"/>
          <w:szCs w:val="19"/>
          <w:b w:val="1"/>
          <w:bCs w:val="1"/>
          <w:color w:val="070707"/>
        </w:rPr>
        <w:t xml:space="preserve"> </w:t>
      </w:r>
      <w:r>
        <w:rPr>
          <w:rFonts w:ascii="Arial" w:cs="Arial" w:eastAsia="Arial" w:hAnsi="Arial"/>
          <w:sz w:val="19"/>
          <w:szCs w:val="19"/>
          <w:color w:val="070707"/>
        </w:rPr>
        <w:t>whether express or implied) which are not expressly set forth in this Agreement have been made or entered into by either party with respect to the subject matter hereof</w:t>
      </w:r>
      <w:r>
        <w:rPr>
          <w:rFonts w:ascii="Arial" w:cs="Arial" w:eastAsia="Arial" w:hAnsi="Arial"/>
          <w:sz w:val="19"/>
          <w:szCs w:val="19"/>
          <w:color w:val="212121"/>
        </w:rPr>
        <w:t>.</w:t>
      </w:r>
      <w:r>
        <w:rPr>
          <w:rFonts w:ascii="Arial" w:cs="Arial" w:eastAsia="Arial" w:hAnsi="Arial"/>
          <w:sz w:val="19"/>
          <w:szCs w:val="19"/>
          <w:color w:val="070707"/>
        </w:rPr>
        <w:t xml:space="preserve"> This Agreement and the Confidentiality Agreement contain the entire understanding of the parties with respect to the subject matter hereof.</w:t>
      </w:r>
    </w:p>
    <w:p>
      <w:pPr>
        <w:spacing w:after="0" w:line="148" w:lineRule="exact"/>
        <w:rPr>
          <w:rFonts w:ascii="Arial" w:cs="Arial" w:eastAsia="Arial" w:hAnsi="Arial"/>
          <w:sz w:val="19"/>
          <w:szCs w:val="19"/>
          <w:color w:val="070707"/>
        </w:rPr>
      </w:pPr>
    </w:p>
    <w:p>
      <w:pPr>
        <w:ind w:right="300" w:firstLine="2043"/>
        <w:spacing w:after="0" w:line="292" w:lineRule="auto"/>
        <w:tabs>
          <w:tab w:leader="none" w:pos="2311" w:val="left"/>
        </w:tabs>
        <w:numPr>
          <w:ilvl w:val="0"/>
          <w:numId w:val="324"/>
        </w:numPr>
        <w:rPr>
          <w:rFonts w:ascii="Arial" w:cs="Arial" w:eastAsia="Arial" w:hAnsi="Arial"/>
          <w:sz w:val="19"/>
          <w:szCs w:val="19"/>
          <w:color w:val="070707"/>
        </w:rPr>
      </w:pPr>
      <w:r>
        <w:rPr>
          <w:rFonts w:ascii="Arial" w:cs="Arial" w:eastAsia="Arial" w:hAnsi="Arial"/>
          <w:sz w:val="19"/>
          <w:szCs w:val="19"/>
          <w:b w:val="1"/>
          <w:bCs w:val="1"/>
          <w:u w:val="single" w:color="auto"/>
          <w:color w:val="070707"/>
        </w:rPr>
        <w:t>Withholding Taxes</w:t>
      </w:r>
      <w:r>
        <w:rPr>
          <w:rFonts w:ascii="Arial" w:cs="Arial" w:eastAsia="Arial" w:hAnsi="Arial"/>
          <w:sz w:val="19"/>
          <w:szCs w:val="19"/>
          <w:b w:val="1"/>
          <w:bCs w:val="1"/>
          <w:color w:val="070707"/>
        </w:rPr>
        <w:t xml:space="preserve">. </w:t>
      </w:r>
      <w:r>
        <w:rPr>
          <w:rFonts w:ascii="Arial" w:cs="Arial" w:eastAsia="Arial" w:hAnsi="Arial"/>
          <w:sz w:val="19"/>
          <w:szCs w:val="19"/>
          <w:color w:val="070707"/>
        </w:rPr>
        <w:t>All payments made under this Agreement shall be subject to reduction to reflect taxes or</w:t>
      </w:r>
      <w:r>
        <w:rPr>
          <w:rFonts w:ascii="Arial" w:cs="Arial" w:eastAsia="Arial" w:hAnsi="Arial"/>
          <w:sz w:val="19"/>
          <w:szCs w:val="19"/>
          <w:b w:val="1"/>
          <w:bCs w:val="1"/>
          <w:color w:val="070707"/>
        </w:rPr>
        <w:t xml:space="preserve"> </w:t>
      </w:r>
      <w:r>
        <w:rPr>
          <w:rFonts w:ascii="Arial" w:cs="Arial" w:eastAsia="Arial" w:hAnsi="Arial"/>
          <w:sz w:val="19"/>
          <w:szCs w:val="19"/>
          <w:color w:val="070707"/>
        </w:rPr>
        <w:t>other charges required to be withheld by law</w:t>
      </w:r>
      <w:r>
        <w:rPr>
          <w:rFonts w:ascii="Arial" w:cs="Arial" w:eastAsia="Arial" w:hAnsi="Arial"/>
          <w:sz w:val="19"/>
          <w:szCs w:val="19"/>
          <w:color w:val="212121"/>
        </w:rPr>
        <w:t>.</w:t>
      </w:r>
    </w:p>
    <w:p>
      <w:pPr>
        <w:spacing w:after="0" w:line="125" w:lineRule="exact"/>
        <w:rPr>
          <w:rFonts w:ascii="Arial" w:cs="Arial" w:eastAsia="Arial" w:hAnsi="Arial"/>
          <w:sz w:val="19"/>
          <w:szCs w:val="19"/>
          <w:color w:val="070707"/>
        </w:rPr>
      </w:pPr>
    </w:p>
    <w:p>
      <w:pPr>
        <w:ind w:firstLine="2043"/>
        <w:spacing w:after="0" w:line="259" w:lineRule="auto"/>
        <w:tabs>
          <w:tab w:leader="none" w:pos="2289" w:val="left"/>
        </w:tabs>
        <w:numPr>
          <w:ilvl w:val="0"/>
          <w:numId w:val="324"/>
        </w:numPr>
        <w:rPr>
          <w:rFonts w:ascii="Arial" w:cs="Arial" w:eastAsia="Arial" w:hAnsi="Arial"/>
          <w:sz w:val="19"/>
          <w:szCs w:val="19"/>
          <w:color w:val="070707"/>
        </w:rPr>
      </w:pPr>
      <w:r>
        <w:rPr>
          <w:rFonts w:ascii="Arial" w:cs="Arial" w:eastAsia="Arial" w:hAnsi="Arial"/>
          <w:sz w:val="19"/>
          <w:szCs w:val="19"/>
          <w:b w:val="1"/>
          <w:bCs w:val="1"/>
          <w:u w:val="single" w:color="auto"/>
          <w:color w:val="070707"/>
        </w:rPr>
        <w:t>Choice of Law and Severability</w:t>
      </w:r>
      <w:r>
        <w:rPr>
          <w:rFonts w:ascii="Arial" w:cs="Arial" w:eastAsia="Arial" w:hAnsi="Arial"/>
          <w:sz w:val="19"/>
          <w:szCs w:val="19"/>
          <w:b w:val="1"/>
          <w:bCs w:val="1"/>
          <w:color w:val="070707"/>
        </w:rPr>
        <w:t xml:space="preserve">. </w:t>
      </w:r>
      <w:r>
        <w:rPr>
          <w:rFonts w:ascii="Arial" w:cs="Arial" w:eastAsia="Arial" w:hAnsi="Arial"/>
          <w:sz w:val="19"/>
          <w:szCs w:val="19"/>
          <w:color w:val="070707"/>
        </w:rPr>
        <w:t>This Agreement shall be interpreted in accordance with the laws of the State of</w:t>
      </w:r>
      <w:r>
        <w:rPr>
          <w:rFonts w:ascii="Arial" w:cs="Arial" w:eastAsia="Arial" w:hAnsi="Arial"/>
          <w:sz w:val="19"/>
          <w:szCs w:val="19"/>
          <w:b w:val="1"/>
          <w:bCs w:val="1"/>
          <w:color w:val="070707"/>
        </w:rPr>
        <w:t xml:space="preserve"> </w:t>
      </w:r>
      <w:r>
        <w:rPr>
          <w:rFonts w:ascii="Arial" w:cs="Arial" w:eastAsia="Arial" w:hAnsi="Arial"/>
          <w:sz w:val="19"/>
          <w:szCs w:val="19"/>
          <w:color w:val="070707"/>
        </w:rPr>
        <w:t>California without giving effect to provisions governing the choice of law. If any provision of this Agreement becomes or is deemed invalid</w:t>
      </w:r>
      <w:r>
        <w:rPr>
          <w:rFonts w:ascii="Arial" w:cs="Arial" w:eastAsia="Arial" w:hAnsi="Arial"/>
          <w:sz w:val="19"/>
          <w:szCs w:val="19"/>
          <w:color w:val="212121"/>
        </w:rPr>
        <w:t>,</w:t>
      </w:r>
      <w:r>
        <w:rPr>
          <w:rFonts w:ascii="Arial" w:cs="Arial" w:eastAsia="Arial" w:hAnsi="Arial"/>
          <w:sz w:val="19"/>
          <w:szCs w:val="19"/>
          <w:color w:val="070707"/>
        </w:rPr>
        <w:t xml:space="preserve"> illegal or unenforceable in any applicable jurisdiction by reason of the scope</w:t>
      </w:r>
      <w:r>
        <w:rPr>
          <w:rFonts w:ascii="Arial" w:cs="Arial" w:eastAsia="Arial" w:hAnsi="Arial"/>
          <w:sz w:val="19"/>
          <w:szCs w:val="19"/>
          <w:color w:val="212121"/>
        </w:rPr>
        <w:t>,</w:t>
      </w:r>
      <w:r>
        <w:rPr>
          <w:rFonts w:ascii="Arial" w:cs="Arial" w:eastAsia="Arial" w:hAnsi="Arial"/>
          <w:sz w:val="19"/>
          <w:szCs w:val="19"/>
          <w:color w:val="070707"/>
        </w:rPr>
        <w:t xml:space="preserve"> extent or duration of its coverage</w:t>
      </w:r>
      <w:r>
        <w:rPr>
          <w:rFonts w:ascii="Arial" w:cs="Arial" w:eastAsia="Arial" w:hAnsi="Arial"/>
          <w:sz w:val="19"/>
          <w:szCs w:val="19"/>
          <w:color w:val="212121"/>
        </w:rPr>
        <w:t>,</w:t>
      </w:r>
      <w:r>
        <w:rPr>
          <w:rFonts w:ascii="Arial" w:cs="Arial" w:eastAsia="Arial" w:hAnsi="Arial"/>
          <w:sz w:val="19"/>
          <w:szCs w:val="19"/>
          <w:color w:val="070707"/>
        </w:rPr>
        <w:t xml:space="preserv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w:t>
      </w:r>
      <w:r>
        <w:rPr>
          <w:rFonts w:ascii="Arial" w:cs="Arial" w:eastAsia="Arial" w:hAnsi="Arial"/>
          <w:sz w:val="19"/>
          <w:szCs w:val="19"/>
          <w:color w:val="212121"/>
        </w:rPr>
        <w:t>,</w:t>
      </w:r>
      <w:r>
        <w:rPr>
          <w:rFonts w:ascii="Arial" w:cs="Arial" w:eastAsia="Arial" w:hAnsi="Arial"/>
          <w:sz w:val="19"/>
          <w:szCs w:val="19"/>
          <w:color w:val="070707"/>
        </w:rPr>
        <w:t xml:space="preserve"> the </w:t>
      </w:r>
      <w:r>
        <w:rPr>
          <w:rFonts w:ascii="Arial" w:cs="Arial" w:eastAsia="Arial" w:hAnsi="Arial"/>
          <w:sz w:val="19"/>
          <w:szCs w:val="19"/>
          <w:color w:val="212121"/>
        </w:rPr>
        <w:t>"</w:t>
      </w:r>
      <w:r>
        <w:rPr>
          <w:rFonts w:ascii="Arial" w:cs="Arial" w:eastAsia="Arial" w:hAnsi="Arial"/>
          <w:sz w:val="19"/>
          <w:szCs w:val="19"/>
          <w:u w:val="single" w:color="auto"/>
          <w:color w:val="070707"/>
        </w:rPr>
        <w:t>Law</w:t>
      </w:r>
      <w:r>
        <w:rPr>
          <w:rFonts w:ascii="Arial" w:cs="Arial" w:eastAsia="Arial" w:hAnsi="Arial"/>
          <w:sz w:val="19"/>
          <w:szCs w:val="19"/>
          <w:color w:val="212121"/>
        </w:rPr>
        <w:t>"</w:t>
      </w:r>
      <w:r>
        <w:rPr>
          <w:rFonts w:ascii="Arial" w:cs="Arial" w:eastAsia="Arial" w:hAnsi="Arial"/>
          <w:sz w:val="19"/>
          <w:szCs w:val="19"/>
          <w:color w:val="070707"/>
        </w:rPr>
        <w:t>) then that provision shall be curtailed or limited only to the minimum extent necessary to bring the provision into compliance with the Law</w:t>
      </w:r>
      <w:r>
        <w:rPr>
          <w:rFonts w:ascii="Arial" w:cs="Arial" w:eastAsia="Arial" w:hAnsi="Arial"/>
          <w:sz w:val="19"/>
          <w:szCs w:val="19"/>
          <w:color w:val="212121"/>
        </w:rPr>
        <w:t>.</w:t>
      </w:r>
      <w:r>
        <w:rPr>
          <w:rFonts w:ascii="Arial" w:cs="Arial" w:eastAsia="Arial" w:hAnsi="Arial"/>
          <w:sz w:val="19"/>
          <w:szCs w:val="19"/>
          <w:color w:val="070707"/>
        </w:rPr>
        <w:t xml:space="preserve"> All the other terms and provisions of this Agreement shall continue in full force and effect without impairment or limitation.</w:t>
      </w:r>
    </w:p>
    <w:p>
      <w:pPr>
        <w:spacing w:after="0" w:line="155" w:lineRule="exact"/>
        <w:rPr>
          <w:rFonts w:ascii="Arial" w:cs="Arial" w:eastAsia="Arial" w:hAnsi="Arial"/>
          <w:sz w:val="19"/>
          <w:szCs w:val="19"/>
          <w:color w:val="070707"/>
        </w:rPr>
      </w:pPr>
    </w:p>
    <w:p>
      <w:pPr>
        <w:ind w:right="160" w:firstLine="2043"/>
        <w:spacing w:after="0" w:line="319" w:lineRule="auto"/>
        <w:tabs>
          <w:tab w:leader="none" w:pos="2322" w:val="left"/>
        </w:tabs>
        <w:numPr>
          <w:ilvl w:val="0"/>
          <w:numId w:val="324"/>
        </w:numPr>
        <w:rPr>
          <w:rFonts w:ascii="Arial" w:cs="Arial" w:eastAsia="Arial" w:hAnsi="Arial"/>
          <w:sz w:val="17"/>
          <w:szCs w:val="17"/>
          <w:color w:val="070707"/>
        </w:rPr>
      </w:pPr>
      <w:r>
        <w:rPr>
          <w:rFonts w:ascii="Arial" w:cs="Arial" w:eastAsia="Arial" w:hAnsi="Arial"/>
          <w:sz w:val="17"/>
          <w:szCs w:val="17"/>
          <w:b w:val="1"/>
          <w:bCs w:val="1"/>
          <w:u w:val="single" w:color="auto"/>
          <w:color w:val="070707"/>
        </w:rPr>
        <w:t>No Assignment</w:t>
      </w:r>
      <w:r>
        <w:rPr>
          <w:rFonts w:ascii="Arial" w:cs="Arial" w:eastAsia="Arial" w:hAnsi="Arial"/>
          <w:sz w:val="17"/>
          <w:szCs w:val="17"/>
          <w:b w:val="1"/>
          <w:bCs w:val="1"/>
          <w:color w:val="070707"/>
        </w:rPr>
        <w:t xml:space="preserve">. </w:t>
      </w:r>
      <w:r>
        <w:rPr>
          <w:rFonts w:ascii="Arial" w:cs="Arial" w:eastAsia="Arial" w:hAnsi="Arial"/>
          <w:sz w:val="17"/>
          <w:szCs w:val="17"/>
          <w:color w:val="070707"/>
        </w:rPr>
        <w:t>This Agreement and all of your rights and obligations hereunder are personal to you and may</w:t>
      </w:r>
      <w:r>
        <w:rPr>
          <w:rFonts w:ascii="Arial" w:cs="Arial" w:eastAsia="Arial" w:hAnsi="Arial"/>
          <w:sz w:val="17"/>
          <w:szCs w:val="17"/>
          <w:b w:val="1"/>
          <w:bCs w:val="1"/>
          <w:color w:val="070707"/>
        </w:rPr>
        <w:t xml:space="preserve"> </w:t>
      </w:r>
      <w:r>
        <w:rPr>
          <w:rFonts w:ascii="Arial" w:cs="Arial" w:eastAsia="Arial" w:hAnsi="Arial"/>
          <w:sz w:val="17"/>
          <w:szCs w:val="17"/>
          <w:color w:val="070707"/>
        </w:rPr>
        <w:t>not be transferred or assigned by you at any time</w:t>
      </w:r>
      <w:r>
        <w:rPr>
          <w:rFonts w:ascii="Arial" w:cs="Arial" w:eastAsia="Arial" w:hAnsi="Arial"/>
          <w:sz w:val="17"/>
          <w:szCs w:val="17"/>
          <w:color w:val="212121"/>
        </w:rPr>
        <w:t>.</w:t>
      </w:r>
      <w:r>
        <w:rPr>
          <w:rFonts w:ascii="Arial" w:cs="Arial" w:eastAsia="Arial" w:hAnsi="Arial"/>
          <w:sz w:val="17"/>
          <w:szCs w:val="17"/>
          <w:color w:val="070707"/>
        </w:rPr>
        <w:t xml:space="preserve"> The Company may assign its rights under this Agreement to any entity that assumes the Company</w:t>
      </w:r>
      <w:r>
        <w:rPr>
          <w:rFonts w:ascii="Arial" w:cs="Arial" w:eastAsia="Arial" w:hAnsi="Arial"/>
          <w:sz w:val="17"/>
          <w:szCs w:val="17"/>
          <w:color w:val="212121"/>
        </w:rPr>
        <w:t>'</w:t>
      </w:r>
      <w:r>
        <w:rPr>
          <w:rFonts w:ascii="Arial" w:cs="Arial" w:eastAsia="Arial" w:hAnsi="Arial"/>
          <w:sz w:val="17"/>
          <w:szCs w:val="17"/>
          <w:color w:val="070707"/>
        </w:rPr>
        <w:t>s obligations hereunder in connection with any sale or transfer of all or a substantial portion of the Company's assets to such entity</w:t>
      </w:r>
      <w:r>
        <w:rPr>
          <w:rFonts w:ascii="Arial" w:cs="Arial" w:eastAsia="Arial" w:hAnsi="Arial"/>
          <w:sz w:val="17"/>
          <w:szCs w:val="17"/>
          <w:color w:val="212121"/>
        </w:rPr>
        <w:t>.</w:t>
      </w:r>
    </w:p>
    <w:p>
      <w:pPr>
        <w:spacing w:after="0" w:line="109" w:lineRule="exact"/>
        <w:rPr>
          <w:rFonts w:ascii="Arial" w:cs="Arial" w:eastAsia="Arial" w:hAnsi="Arial"/>
          <w:sz w:val="17"/>
          <w:szCs w:val="17"/>
          <w:color w:val="070707"/>
        </w:rPr>
      </w:pPr>
    </w:p>
    <w:p>
      <w:pPr>
        <w:ind w:right="60" w:firstLine="2043"/>
        <w:spacing w:after="0" w:line="292" w:lineRule="auto"/>
        <w:tabs>
          <w:tab w:leader="none" w:pos="2322" w:val="left"/>
        </w:tabs>
        <w:numPr>
          <w:ilvl w:val="0"/>
          <w:numId w:val="324"/>
        </w:numPr>
        <w:rPr>
          <w:rFonts w:ascii="Arial" w:cs="Arial" w:eastAsia="Arial" w:hAnsi="Arial"/>
          <w:sz w:val="19"/>
          <w:szCs w:val="19"/>
          <w:color w:val="070707"/>
        </w:rPr>
      </w:pPr>
      <w:r>
        <w:rPr>
          <w:rFonts w:ascii="Arial" w:cs="Arial" w:eastAsia="Arial" w:hAnsi="Arial"/>
          <w:sz w:val="19"/>
          <w:szCs w:val="19"/>
          <w:b w:val="1"/>
          <w:bCs w:val="1"/>
          <w:u w:val="single" w:color="auto"/>
          <w:color w:val="070707"/>
        </w:rPr>
        <w:t>Counterparts</w:t>
      </w:r>
      <w:r>
        <w:rPr>
          <w:rFonts w:ascii="Arial" w:cs="Arial" w:eastAsia="Arial" w:hAnsi="Arial"/>
          <w:sz w:val="19"/>
          <w:szCs w:val="19"/>
          <w:b w:val="1"/>
          <w:bCs w:val="1"/>
          <w:color w:val="070707"/>
        </w:rPr>
        <w:t xml:space="preserve">. </w:t>
      </w:r>
      <w:r>
        <w:rPr>
          <w:rFonts w:ascii="Arial" w:cs="Arial" w:eastAsia="Arial" w:hAnsi="Arial"/>
          <w:sz w:val="19"/>
          <w:szCs w:val="19"/>
          <w:color w:val="070707"/>
        </w:rPr>
        <w:t>This Agreement may be executed in two or more counterparts</w:t>
      </w:r>
      <w:r>
        <w:rPr>
          <w:rFonts w:ascii="Arial" w:cs="Arial" w:eastAsia="Arial" w:hAnsi="Arial"/>
          <w:sz w:val="19"/>
          <w:szCs w:val="19"/>
          <w:color w:val="212121"/>
        </w:rPr>
        <w:t>,</w:t>
      </w:r>
      <w:r>
        <w:rPr>
          <w:rFonts w:ascii="Arial" w:cs="Arial" w:eastAsia="Arial" w:hAnsi="Arial"/>
          <w:sz w:val="19"/>
          <w:szCs w:val="19"/>
          <w:b w:val="1"/>
          <w:bCs w:val="1"/>
          <w:color w:val="070707"/>
        </w:rPr>
        <w:t xml:space="preserve"> </w:t>
      </w:r>
      <w:r>
        <w:rPr>
          <w:rFonts w:ascii="Arial" w:cs="Arial" w:eastAsia="Arial" w:hAnsi="Arial"/>
          <w:sz w:val="19"/>
          <w:szCs w:val="19"/>
          <w:color w:val="070707"/>
        </w:rPr>
        <w:t>each of which shall be deemed an</w:t>
      </w:r>
      <w:r>
        <w:rPr>
          <w:rFonts w:ascii="Arial" w:cs="Arial" w:eastAsia="Arial" w:hAnsi="Arial"/>
          <w:sz w:val="19"/>
          <w:szCs w:val="19"/>
          <w:b w:val="1"/>
          <w:bCs w:val="1"/>
          <w:color w:val="070707"/>
        </w:rPr>
        <w:t xml:space="preserve"> </w:t>
      </w:r>
      <w:r>
        <w:rPr>
          <w:rFonts w:ascii="Arial" w:cs="Arial" w:eastAsia="Arial" w:hAnsi="Arial"/>
          <w:sz w:val="19"/>
          <w:szCs w:val="19"/>
          <w:color w:val="070707"/>
        </w:rPr>
        <w:t>original</w:t>
      </w:r>
      <w:r>
        <w:rPr>
          <w:rFonts w:ascii="Arial" w:cs="Arial" w:eastAsia="Arial" w:hAnsi="Arial"/>
          <w:sz w:val="19"/>
          <w:szCs w:val="19"/>
          <w:color w:val="212121"/>
        </w:rPr>
        <w:t>,</w:t>
      </w:r>
      <w:r>
        <w:rPr>
          <w:rFonts w:ascii="Arial" w:cs="Arial" w:eastAsia="Arial" w:hAnsi="Arial"/>
          <w:sz w:val="19"/>
          <w:szCs w:val="19"/>
          <w:color w:val="070707"/>
        </w:rPr>
        <w:t xml:space="preserve"> but all of which together shall constitute one and the same instrument.</w:t>
      </w: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070707"/>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160"/>
          </w:cols>
          <w:pgMar w:left="320" w:top="1301" w:right="419" w:bottom="1440" w:gutter="0" w:footer="0" w:header="0"/>
        </w:sectPr>
      </w:pPr>
    </w:p>
    <w:bookmarkStart w:id="447" w:name="page448"/>
    <w:bookmarkEnd w:id="447"/>
    <w:p>
      <w:pPr>
        <w:ind w:firstLine="585"/>
        <w:spacing w:after="0" w:line="270" w:lineRule="auto"/>
        <w:rPr>
          <w:sz w:val="20"/>
          <w:szCs w:val="20"/>
          <w:color w:val="auto"/>
        </w:rPr>
      </w:pPr>
      <w:r>
        <w:rPr>
          <w:rFonts w:ascii="Arial" w:cs="Arial" w:eastAsia="Arial" w:hAnsi="Arial"/>
          <w:sz w:val="19"/>
          <w:szCs w:val="19"/>
          <w:color w:val="auto"/>
        </w:rPr>
        <w:t>We are all delighted to be able to extend you this offer and look forward to working with you. To indicate your acceptance of the Company's offer, please sign and date this letter in the space provided below and return it to me, along with a signed and dated original copy of the Confidentiality Agreement.</w:t>
      </w:r>
    </w:p>
    <w:p>
      <w:pPr>
        <w:spacing w:after="0" w:line="200"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Very truly yours,</w:t>
      </w:r>
    </w:p>
    <w:p>
      <w:pPr>
        <w:spacing w:after="0" w:line="305" w:lineRule="exact"/>
        <w:rPr>
          <w:sz w:val="20"/>
          <w:szCs w:val="20"/>
          <w:color w:val="auto"/>
        </w:rPr>
      </w:pPr>
    </w:p>
    <w:p>
      <w:pPr>
        <w:jc w:val="center"/>
        <w:ind w:left="340"/>
        <w:spacing w:after="0"/>
        <w:rPr>
          <w:sz w:val="20"/>
          <w:szCs w:val="20"/>
          <w:color w:val="auto"/>
        </w:rPr>
      </w:pPr>
      <w:r>
        <w:rPr>
          <w:rFonts w:ascii="Arial" w:cs="Arial" w:eastAsia="Arial" w:hAnsi="Arial"/>
          <w:sz w:val="19"/>
          <w:szCs w:val="19"/>
          <w:color w:val="auto"/>
        </w:rPr>
        <w:t>EXPENSIFY, INC.</w:t>
      </w:r>
    </w:p>
    <w:p>
      <w:pPr>
        <w:spacing w:after="0" w:line="305" w:lineRule="exact"/>
        <w:rPr>
          <w:sz w:val="20"/>
          <w:szCs w:val="20"/>
          <w:color w:val="auto"/>
        </w:rPr>
      </w:pPr>
    </w:p>
    <w:p>
      <w:pPr>
        <w:ind w:left="5040"/>
        <w:spacing w:after="0"/>
        <w:tabs>
          <w:tab w:leader="none" w:pos="5580" w:val="left"/>
        </w:tabs>
        <w:rPr>
          <w:sz w:val="20"/>
          <w:szCs w:val="20"/>
          <w:color w:val="auto"/>
        </w:rPr>
      </w:pPr>
      <w:r>
        <w:rPr>
          <w:rFonts w:ascii="Arial" w:cs="Arial" w:eastAsia="Arial" w:hAnsi="Arial"/>
          <w:sz w:val="19"/>
          <w:szCs w:val="19"/>
          <w:color w:val="auto"/>
        </w:rPr>
        <w:t>By:</w:t>
        <w:tab/>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27940</wp:posOffset>
            </wp:positionV>
            <wp:extent cx="359600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596005" cy="7620"/>
                    </a:xfrm>
                    <a:prstGeom prst="rect">
                      <a:avLst/>
                    </a:prstGeom>
                    <a:noFill/>
                  </pic:spPr>
                </pic:pic>
              </a:graphicData>
            </a:graphic>
          </wp:anchor>
        </w:drawing>
      </w:r>
    </w:p>
    <w:p>
      <w:pPr>
        <w:spacing w:after="0" w:line="54" w:lineRule="exact"/>
        <w:rPr>
          <w:sz w:val="20"/>
          <w:szCs w:val="20"/>
          <w:color w:val="auto"/>
        </w:rPr>
      </w:pPr>
    </w:p>
    <w:p>
      <w:pPr>
        <w:ind w:left="7980"/>
        <w:spacing w:after="0"/>
        <w:rPr>
          <w:sz w:val="20"/>
          <w:szCs w:val="20"/>
          <w:color w:val="auto"/>
        </w:rPr>
      </w:pPr>
      <w:r>
        <w:rPr>
          <w:rFonts w:ascii="Arial" w:cs="Arial" w:eastAsia="Arial" w:hAnsi="Arial"/>
          <w:sz w:val="19"/>
          <w:szCs w:val="19"/>
          <w:color w:val="auto"/>
        </w:rPr>
        <w:t>(Signature)</w:t>
      </w:r>
    </w:p>
    <w:p>
      <w:pPr>
        <w:spacing w:after="0" w:line="62" w:lineRule="exact"/>
        <w:rPr>
          <w:sz w:val="20"/>
          <w:szCs w:val="20"/>
          <w:color w:val="auto"/>
        </w:rPr>
      </w:pPr>
    </w:p>
    <w:p>
      <w:pPr>
        <w:ind w:left="5040"/>
        <w:spacing w:after="0"/>
        <w:tabs>
          <w:tab w:leader="none" w:pos="594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27940</wp:posOffset>
            </wp:positionV>
            <wp:extent cx="337185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71850" cy="7620"/>
                    </a:xfrm>
                    <a:prstGeom prst="rect">
                      <a:avLst/>
                    </a:prstGeom>
                    <a:noFill/>
                  </pic:spPr>
                </pic:pic>
              </a:graphicData>
            </a:graphic>
          </wp:anchor>
        </w:drawing>
      </w:r>
    </w:p>
    <w:p>
      <w:pPr>
        <w:spacing w:after="0" w:line="285" w:lineRule="exact"/>
        <w:rPr>
          <w:sz w:val="20"/>
          <w:szCs w:val="20"/>
          <w:color w:val="auto"/>
        </w:rPr>
      </w:pPr>
    </w:p>
    <w:p>
      <w:pPr>
        <w:ind w:left="5040"/>
        <w:spacing w:after="0"/>
        <w:tabs>
          <w:tab w:leader="none" w:pos="59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Director</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ACCEPTED AND AGREED:</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DAVID BARRETT</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337185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71850" cy="762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2009/4/29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337185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71850" cy="762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Attachment A: Confidential Information and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160"/>
          </w:cols>
          <w:pgMar w:left="320" w:top="1301" w:right="419" w:bottom="1440" w:gutter="0" w:footer="0" w:header="0"/>
        </w:sectPr>
      </w:pPr>
    </w:p>
    <w:bookmarkStart w:id="448" w:name="page449"/>
    <w:bookmarkEnd w:id="448"/>
    <w:p>
      <w:pPr>
        <w:jc w:val="center"/>
        <w:ind w:right="19"/>
        <w:spacing w:after="0"/>
        <w:rPr>
          <w:sz w:val="20"/>
          <w:szCs w:val="20"/>
          <w:color w:val="auto"/>
        </w:rPr>
      </w:pPr>
      <w:r>
        <w:rPr>
          <w:rFonts w:ascii="Arial" w:cs="Arial" w:eastAsia="Arial" w:hAnsi="Arial"/>
          <w:sz w:val="18"/>
          <w:szCs w:val="18"/>
          <w:b w:val="1"/>
          <w:bCs w:val="1"/>
          <w:u w:val="single" w:color="auto"/>
          <w:color w:val="040404"/>
        </w:rPr>
        <w:t>ATTACHMEN</w:t>
      </w:r>
      <w:r>
        <w:rPr>
          <w:rFonts w:ascii="Arial" w:cs="Arial" w:eastAsia="Arial" w:hAnsi="Arial"/>
          <w:sz w:val="18"/>
          <w:szCs w:val="18"/>
          <w:b w:val="1"/>
          <w:bCs w:val="1"/>
          <w:u w:val="single" w:color="auto"/>
          <w:color w:val="141414"/>
        </w:rPr>
        <w:t>T</w:t>
      </w:r>
      <w:r>
        <w:rPr>
          <w:rFonts w:ascii="Arial" w:cs="Arial" w:eastAsia="Arial" w:hAnsi="Arial"/>
          <w:sz w:val="18"/>
          <w:szCs w:val="18"/>
          <w:b w:val="1"/>
          <w:bCs w:val="1"/>
          <w:u w:val="single" w:color="auto"/>
          <w:color w:val="040404"/>
        </w:rPr>
        <w:t xml:space="preserve"> 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40404"/>
        </w:rPr>
        <w:t>CONFIDENTIAL INFORMATION AND INVENTION ASSIGNMENT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141414"/>
        </w:rPr>
        <w:t>(See A</w:t>
      </w:r>
      <w:r>
        <w:rPr>
          <w:rFonts w:ascii="Arial" w:cs="Arial" w:eastAsia="Arial" w:hAnsi="Arial"/>
          <w:sz w:val="19"/>
          <w:szCs w:val="19"/>
          <w:i w:val="1"/>
          <w:iCs w:val="1"/>
          <w:color w:val="040404"/>
        </w:rPr>
        <w:t>tt</w:t>
      </w:r>
      <w:r>
        <w:rPr>
          <w:rFonts w:ascii="Arial" w:cs="Arial" w:eastAsia="Arial" w:hAnsi="Arial"/>
          <w:sz w:val="19"/>
          <w:szCs w:val="19"/>
          <w:i w:val="1"/>
          <w:iCs w:val="1"/>
          <w:color w:val="141414"/>
        </w:rPr>
        <w:t>ac</w:t>
      </w:r>
      <w:r>
        <w:rPr>
          <w:rFonts w:ascii="Arial" w:cs="Arial" w:eastAsia="Arial" w:hAnsi="Arial"/>
          <w:sz w:val="19"/>
          <w:szCs w:val="19"/>
          <w:i w:val="1"/>
          <w:iCs w:val="1"/>
          <w:color w:val="040404"/>
        </w:rPr>
        <w:t>h</w:t>
      </w:r>
      <w:r>
        <w:rPr>
          <w:rFonts w:ascii="Arial" w:cs="Arial" w:eastAsia="Arial" w:hAnsi="Arial"/>
          <w:sz w:val="19"/>
          <w:szCs w:val="19"/>
          <w:i w:val="1"/>
          <w:iCs w:val="1"/>
          <w:color w:val="141414"/>
        </w:rPr>
        <w:t>e</w:t>
      </w:r>
      <w:r>
        <w:rPr>
          <w:rFonts w:ascii="Arial" w:cs="Arial" w:eastAsia="Arial" w:hAnsi="Arial"/>
          <w:sz w:val="19"/>
          <w:szCs w:val="19"/>
          <w:i w:val="1"/>
          <w:iCs w:val="1"/>
          <w:color w:val="040404"/>
        </w:rPr>
        <w:t>d</w:t>
      </w:r>
      <w:r>
        <w:rPr>
          <w:rFonts w:ascii="Arial" w:cs="Arial" w:eastAsia="Arial" w:hAnsi="Arial"/>
          <w:sz w:val="19"/>
          <w:szCs w:val="19"/>
          <w:i w:val="1"/>
          <w:iCs w:val="1"/>
          <w:color w:val="141414"/>
        </w:rPr>
        <w:t>)</w:t>
      </w:r>
    </w:p>
    <w:p>
      <w:pPr>
        <w:sectPr>
          <w:pgSz w:w="11900" w:h="16838" w:orient="portrait"/>
          <w:cols w:equalWidth="0" w:num="1">
            <w:col w:w="9019"/>
          </w:cols>
          <w:pgMar w:left="1440" w:top="1288" w:right="1440" w:bottom="1440" w:gutter="0" w:footer="0" w:header="0"/>
        </w:sectPr>
      </w:pPr>
    </w:p>
    <w:bookmarkStart w:id="449" w:name="page450"/>
    <w:bookmarkEnd w:id="449"/>
    <w:p>
      <w:pPr>
        <w:jc w:val="right"/>
        <w:spacing w:after="0"/>
        <w:rPr>
          <w:sz w:val="20"/>
          <w:szCs w:val="20"/>
          <w:color w:val="auto"/>
        </w:rPr>
      </w:pPr>
      <w:r>
        <w:rPr>
          <w:rFonts w:ascii="Arial" w:cs="Arial" w:eastAsia="Arial" w:hAnsi="Arial"/>
          <w:sz w:val="16"/>
          <w:szCs w:val="16"/>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070707"/>
        </w:rPr>
        <w:t>Expensify, INC.</w:t>
      </w:r>
    </w:p>
    <w:p>
      <w:pPr>
        <w:spacing w:after="0" w:line="25" w:lineRule="exact"/>
        <w:rPr>
          <w:sz w:val="20"/>
          <w:szCs w:val="20"/>
          <w:color w:val="auto"/>
        </w:rPr>
      </w:pPr>
    </w:p>
    <w:p>
      <w:pPr>
        <w:ind w:left="4660"/>
        <w:spacing w:after="0"/>
        <w:rPr>
          <w:sz w:val="20"/>
          <w:szCs w:val="20"/>
          <w:color w:val="auto"/>
        </w:rPr>
      </w:pPr>
      <w:r>
        <w:rPr>
          <w:rFonts w:ascii="Arial" w:cs="Arial" w:eastAsia="Arial" w:hAnsi="Arial"/>
          <w:sz w:val="18"/>
          <w:szCs w:val="18"/>
          <w:color w:val="070707"/>
        </w:rPr>
        <w:t>548 Market Street, #61434</w:t>
      </w:r>
    </w:p>
    <w:p>
      <w:pPr>
        <w:ind w:left="4700"/>
        <w:spacing w:after="0"/>
        <w:rPr>
          <w:sz w:val="20"/>
          <w:szCs w:val="20"/>
          <w:color w:val="auto"/>
        </w:rPr>
      </w:pPr>
      <w:r>
        <w:rPr>
          <w:rFonts w:ascii="Arial" w:cs="Arial" w:eastAsia="Arial" w:hAnsi="Arial"/>
          <w:sz w:val="18"/>
          <w:szCs w:val="18"/>
          <w:color w:val="070707"/>
        </w:rPr>
        <w:t>San Francisco, CA 94104</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70707"/>
        </w:rPr>
        <w:t>February 4th, 2013</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070707"/>
        </w:rPr>
        <w:t>Ryan Schaffer</w:t>
      </w:r>
    </w:p>
    <w:p>
      <w:pPr>
        <w:spacing w:after="0" w:line="193"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070707"/>
        </w:rPr>
        <w:t>Re:</w:t>
      </w:r>
      <w:r>
        <w:rPr>
          <w:sz w:val="20"/>
          <w:szCs w:val="20"/>
          <w:color w:val="auto"/>
        </w:rPr>
        <w:tab/>
      </w:r>
      <w:r>
        <w:rPr>
          <w:rFonts w:ascii="Arial" w:cs="Arial" w:eastAsia="Arial" w:hAnsi="Arial"/>
          <w:sz w:val="21"/>
          <w:szCs w:val="21"/>
          <w:b w:val="1"/>
          <w:bCs w:val="1"/>
          <w:u w:val="single" w:color="auto"/>
          <w:color w:val="070707"/>
        </w:rPr>
        <w:t>EMPLOYMENT AGREEMENT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070707"/>
        </w:rPr>
        <w:t>Dear Ryan:</w:t>
      </w:r>
    </w:p>
    <w:p>
      <w:pPr>
        <w:spacing w:after="0" w:line="206" w:lineRule="exact"/>
        <w:rPr>
          <w:sz w:val="20"/>
          <w:szCs w:val="20"/>
          <w:color w:val="auto"/>
        </w:rPr>
      </w:pPr>
    </w:p>
    <w:p>
      <w:pPr>
        <w:ind w:right="960" w:firstLine="585"/>
        <w:spacing w:after="0" w:line="283" w:lineRule="auto"/>
        <w:rPr>
          <w:sz w:val="20"/>
          <w:szCs w:val="20"/>
          <w:color w:val="auto"/>
        </w:rPr>
      </w:pPr>
      <w:r>
        <w:rPr>
          <w:rFonts w:ascii="Arial" w:cs="Arial" w:eastAsia="Arial" w:hAnsi="Arial"/>
          <w:sz w:val="16"/>
          <w:szCs w:val="16"/>
          <w:color w:val="070707"/>
        </w:rPr>
        <w:t>On behalf of E</w:t>
      </w:r>
      <w:r>
        <w:rPr>
          <w:rFonts w:ascii="Arial" w:cs="Arial" w:eastAsia="Arial" w:hAnsi="Arial"/>
          <w:sz w:val="16"/>
          <w:szCs w:val="16"/>
          <w:color w:val="1F1F1F"/>
        </w:rPr>
        <w:t>x</w:t>
      </w:r>
      <w:r>
        <w:rPr>
          <w:rFonts w:ascii="Arial" w:cs="Arial" w:eastAsia="Arial" w:hAnsi="Arial"/>
          <w:sz w:val="16"/>
          <w:szCs w:val="16"/>
          <w:color w:val="070707"/>
        </w:rPr>
        <w:t>pensify, Inc</w:t>
      </w:r>
      <w:r>
        <w:rPr>
          <w:rFonts w:ascii="Arial" w:cs="Arial" w:eastAsia="Arial" w:hAnsi="Arial"/>
          <w:sz w:val="16"/>
          <w:szCs w:val="16"/>
          <w:color w:val="1F1F1F"/>
        </w:rPr>
        <w:t>.</w:t>
      </w:r>
      <w:r>
        <w:rPr>
          <w:rFonts w:ascii="Arial" w:cs="Arial" w:eastAsia="Arial" w:hAnsi="Arial"/>
          <w:sz w:val="16"/>
          <w:szCs w:val="16"/>
          <w:color w:val="070707"/>
        </w:rPr>
        <w:t>, a Delaware corporation (the "</w:t>
      </w:r>
      <w:r>
        <w:rPr>
          <w:rFonts w:ascii="Arial" w:cs="Arial" w:eastAsia="Arial" w:hAnsi="Arial"/>
          <w:sz w:val="16"/>
          <w:szCs w:val="16"/>
          <w:u w:val="single" w:color="auto"/>
          <w:color w:val="070707"/>
        </w:rPr>
        <w:t>Company</w:t>
      </w:r>
      <w:r>
        <w:rPr>
          <w:rFonts w:ascii="Arial" w:cs="Arial" w:eastAsia="Arial" w:hAnsi="Arial"/>
          <w:sz w:val="16"/>
          <w:szCs w:val="16"/>
          <w:color w:val="070707"/>
        </w:rPr>
        <w:t>)</w:t>
      </w:r>
      <w:r>
        <w:rPr>
          <w:rFonts w:ascii="Arial" w:cs="Arial" w:eastAsia="Arial" w:hAnsi="Arial"/>
          <w:sz w:val="16"/>
          <w:szCs w:val="16"/>
          <w:color w:val="1F1F1F"/>
        </w:rPr>
        <w:t>,</w:t>
      </w:r>
      <w:r>
        <w:rPr>
          <w:rFonts w:ascii="Arial" w:cs="Arial" w:eastAsia="Arial" w:hAnsi="Arial"/>
          <w:sz w:val="16"/>
          <w:szCs w:val="16"/>
          <w:color w:val="070707"/>
        </w:rPr>
        <w:t xml:space="preserve"> I am pleased to offer you the position of Marketing Jedi of the Company</w:t>
      </w:r>
      <w:r>
        <w:rPr>
          <w:rFonts w:ascii="Arial" w:cs="Arial" w:eastAsia="Arial" w:hAnsi="Arial"/>
          <w:sz w:val="16"/>
          <w:szCs w:val="16"/>
          <w:color w:val="3B3B3B"/>
        </w:rPr>
        <w:t>.</w:t>
      </w:r>
      <w:r>
        <w:rPr>
          <w:rFonts w:ascii="Arial" w:cs="Arial" w:eastAsia="Arial" w:hAnsi="Arial"/>
          <w:sz w:val="16"/>
          <w:szCs w:val="16"/>
          <w:color w:val="070707"/>
        </w:rPr>
        <w:t xml:space="preserve"> Your employment by the Company shall be governed by the following terms and conditions (this "</w:t>
      </w:r>
      <w:r>
        <w:rPr>
          <w:rFonts w:ascii="Arial" w:cs="Arial" w:eastAsia="Arial" w:hAnsi="Arial"/>
          <w:sz w:val="16"/>
          <w:szCs w:val="16"/>
          <w:u w:val="single" w:color="auto"/>
          <w:color w:val="070707"/>
        </w:rPr>
        <w:t>Agreement</w:t>
      </w:r>
      <w:r>
        <w:rPr>
          <w:rFonts w:ascii="Arial" w:cs="Arial" w:eastAsia="Arial" w:hAnsi="Arial"/>
          <w:sz w:val="16"/>
          <w:szCs w:val="16"/>
          <w:color w:val="070707"/>
        </w:rPr>
        <w:t>"):</w:t>
      </w:r>
    </w:p>
    <w:p>
      <w:pPr>
        <w:spacing w:after="0" w:line="147" w:lineRule="exact"/>
        <w:rPr>
          <w:sz w:val="20"/>
          <w:szCs w:val="20"/>
          <w:color w:val="auto"/>
        </w:rPr>
      </w:pPr>
    </w:p>
    <w:p>
      <w:pPr>
        <w:ind w:left="1160" w:hanging="651"/>
        <w:spacing w:after="0"/>
        <w:tabs>
          <w:tab w:leader="none" w:pos="1160" w:val="left"/>
        </w:tabs>
        <w:numPr>
          <w:ilvl w:val="0"/>
          <w:numId w:val="325"/>
        </w:numPr>
        <w:rPr>
          <w:rFonts w:ascii="Arial" w:cs="Arial" w:eastAsia="Arial" w:hAnsi="Arial"/>
          <w:sz w:val="16"/>
          <w:szCs w:val="16"/>
          <w:color w:val="auto"/>
        </w:rPr>
      </w:pPr>
      <w:r>
        <w:rPr>
          <w:rFonts w:ascii="Arial" w:cs="Arial" w:eastAsia="Arial" w:hAnsi="Arial"/>
          <w:sz w:val="16"/>
          <w:szCs w:val="16"/>
          <w:b w:val="1"/>
          <w:bCs w:val="1"/>
          <w:u w:val="single" w:color="auto"/>
          <w:color w:val="070707"/>
        </w:rPr>
        <w:t>Duties and Scope of Employment</w:t>
      </w:r>
      <w:r>
        <w:rPr>
          <w:rFonts w:ascii="Arial" w:cs="Arial" w:eastAsia="Arial" w:hAnsi="Arial"/>
          <w:sz w:val="16"/>
          <w:szCs w:val="16"/>
          <w:b w:val="1"/>
          <w:bCs w:val="1"/>
          <w:color w:val="070707"/>
        </w:rPr>
        <w:t>.</w:t>
      </w:r>
    </w:p>
    <w:p>
      <w:pPr>
        <w:spacing w:after="0" w:line="26" w:lineRule="exact"/>
        <w:rPr>
          <w:rFonts w:ascii="Arial" w:cs="Arial" w:eastAsia="Arial" w:hAnsi="Arial"/>
          <w:sz w:val="16"/>
          <w:szCs w:val="16"/>
          <w:color w:val="auto"/>
        </w:rPr>
      </w:pPr>
    </w:p>
    <w:p>
      <w:pPr>
        <w:ind w:right="340" w:firstLine="1167"/>
        <w:spacing w:after="0" w:line="254" w:lineRule="auto"/>
        <w:tabs>
          <w:tab w:leader="none" w:pos="1744" w:val="left"/>
        </w:tabs>
        <w:numPr>
          <w:ilvl w:val="1"/>
          <w:numId w:val="325"/>
        </w:numPr>
        <w:rPr>
          <w:rFonts w:ascii="Arial" w:cs="Arial" w:eastAsia="Arial" w:hAnsi="Arial"/>
          <w:sz w:val="16"/>
          <w:szCs w:val="16"/>
          <w:color w:val="auto"/>
        </w:rPr>
      </w:pPr>
      <w:r>
        <w:rPr>
          <w:rFonts w:ascii="Arial" w:cs="Arial" w:eastAsia="Arial" w:hAnsi="Arial"/>
          <w:sz w:val="16"/>
          <w:szCs w:val="16"/>
          <w:b w:val="1"/>
          <w:bCs w:val="1"/>
          <w:u w:val="single" w:color="auto"/>
          <w:color w:val="070707"/>
        </w:rPr>
        <w:t>Position</w:t>
      </w:r>
      <w:r>
        <w:rPr>
          <w:rFonts w:ascii="Arial" w:cs="Arial" w:eastAsia="Arial" w:hAnsi="Arial"/>
          <w:sz w:val="16"/>
          <w:szCs w:val="16"/>
          <w:b w:val="1"/>
          <w:bCs w:val="1"/>
          <w:color w:val="070707"/>
        </w:rPr>
        <w:t xml:space="preserve">. </w:t>
      </w:r>
      <w:r>
        <w:rPr>
          <w:rFonts w:ascii="Arial" w:cs="Arial" w:eastAsia="Arial" w:hAnsi="Arial"/>
          <w:sz w:val="16"/>
          <w:szCs w:val="16"/>
          <w:color w:val="070707"/>
        </w:rPr>
        <w:t>For the term of your employment under this Agreement (your</w:t>
      </w:r>
      <w:r>
        <w:rPr>
          <w:rFonts w:ascii="Arial" w:cs="Arial" w:eastAsia="Arial" w:hAnsi="Arial"/>
          <w:sz w:val="16"/>
          <w:szCs w:val="16"/>
          <w:b w:val="1"/>
          <w:bCs w:val="1"/>
          <w:color w:val="070707"/>
        </w:rPr>
        <w:t xml:space="preserve"> </w:t>
      </w:r>
      <w:r>
        <w:rPr>
          <w:rFonts w:ascii="Arial" w:cs="Arial" w:eastAsia="Arial" w:hAnsi="Arial"/>
          <w:sz w:val="16"/>
          <w:szCs w:val="16"/>
          <w:color w:val="1F1F1F"/>
        </w:rPr>
        <w:t>"</w:t>
      </w:r>
      <w:r>
        <w:rPr>
          <w:rFonts w:ascii="Arial" w:cs="Arial" w:eastAsia="Arial" w:hAnsi="Arial"/>
          <w:sz w:val="16"/>
          <w:szCs w:val="16"/>
          <w:u w:val="single" w:color="auto"/>
          <w:color w:val="070707"/>
        </w:rPr>
        <w:t>Employment"</w:t>
      </w:r>
      <w:r>
        <w:rPr>
          <w:rFonts w:ascii="Arial" w:cs="Arial" w:eastAsia="Arial" w:hAnsi="Arial"/>
          <w:sz w:val="16"/>
          <w:szCs w:val="16"/>
          <w:color w:val="070707"/>
        </w:rPr>
        <w:t>)</w:t>
      </w:r>
      <w:r>
        <w:rPr>
          <w:rFonts w:ascii="Arial" w:cs="Arial" w:eastAsia="Arial" w:hAnsi="Arial"/>
          <w:sz w:val="16"/>
          <w:szCs w:val="16"/>
          <w:color w:val="1F1F1F"/>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the Company agrees to employ you in the position</w:t>
      </w:r>
      <w:r>
        <w:rPr>
          <w:rFonts w:ascii="Arial" w:cs="Arial" w:eastAsia="Arial" w:hAnsi="Arial"/>
          <w:sz w:val="16"/>
          <w:szCs w:val="16"/>
          <w:b w:val="1"/>
          <w:bCs w:val="1"/>
          <w:color w:val="070707"/>
        </w:rPr>
        <w:t xml:space="preserve"> </w:t>
      </w:r>
      <w:r>
        <w:rPr>
          <w:rFonts w:ascii="Arial" w:cs="Arial" w:eastAsia="Arial" w:hAnsi="Arial"/>
          <w:sz w:val="16"/>
          <w:szCs w:val="16"/>
          <w:color w:val="070707"/>
        </w:rPr>
        <w:t>of Marketing Jedi or in such other position as the Company subsequently may assign to you. You will report to the Company</w:t>
      </w:r>
      <w:r>
        <w:rPr>
          <w:rFonts w:ascii="Arial" w:cs="Arial" w:eastAsia="Arial" w:hAnsi="Arial"/>
          <w:sz w:val="16"/>
          <w:szCs w:val="16"/>
          <w:color w:val="1F1F1F"/>
        </w:rPr>
        <w:t>'</w:t>
      </w:r>
      <w:r>
        <w:rPr>
          <w:rFonts w:ascii="Arial" w:cs="Arial" w:eastAsia="Arial" w:hAnsi="Arial"/>
          <w:sz w:val="16"/>
          <w:szCs w:val="16"/>
          <w:color w:val="070707"/>
        </w:rPr>
        <w:t>s Chief Executive Officer or to such other person as the Company subsequently may determine</w:t>
      </w:r>
      <w:r>
        <w:rPr>
          <w:rFonts w:ascii="Arial" w:cs="Arial" w:eastAsia="Arial" w:hAnsi="Arial"/>
          <w:sz w:val="16"/>
          <w:szCs w:val="16"/>
          <w:color w:val="1F1F1F"/>
        </w:rPr>
        <w:t>.</w:t>
      </w:r>
      <w:r>
        <w:rPr>
          <w:rFonts w:ascii="Arial" w:cs="Arial" w:eastAsia="Arial" w:hAnsi="Arial"/>
          <w:sz w:val="16"/>
          <w:szCs w:val="16"/>
          <w:color w:val="070707"/>
        </w:rPr>
        <w:t xml:space="preserve"> You will be working out of the Company's office in San Francisco. You will perform the duties and have the responsibilities and authority customarily performed and held by an employee in your position or as otherwise may be assigned or delegated to you by the Company's Chief E</w:t>
      </w:r>
      <w:r>
        <w:rPr>
          <w:rFonts w:ascii="Arial" w:cs="Arial" w:eastAsia="Arial" w:hAnsi="Arial"/>
          <w:sz w:val="16"/>
          <w:szCs w:val="16"/>
          <w:color w:val="1F1F1F"/>
        </w:rPr>
        <w:t>x</w:t>
      </w:r>
      <w:r>
        <w:rPr>
          <w:rFonts w:ascii="Arial" w:cs="Arial" w:eastAsia="Arial" w:hAnsi="Arial"/>
          <w:sz w:val="16"/>
          <w:szCs w:val="16"/>
          <w:color w:val="070707"/>
        </w:rPr>
        <w:t>ecutive Officer</w:t>
      </w:r>
      <w:r>
        <w:rPr>
          <w:rFonts w:ascii="Arial" w:cs="Arial" w:eastAsia="Arial" w:hAnsi="Arial"/>
          <w:sz w:val="16"/>
          <w:szCs w:val="16"/>
          <w:color w:val="3B3B3B"/>
        </w:rPr>
        <w:t>.</w:t>
      </w:r>
    </w:p>
    <w:p>
      <w:pPr>
        <w:ind w:right="140" w:firstLine="1167"/>
        <w:spacing w:after="0" w:line="271" w:lineRule="auto"/>
        <w:tabs>
          <w:tab w:leader="none" w:pos="1754" w:val="left"/>
        </w:tabs>
        <w:numPr>
          <w:ilvl w:val="1"/>
          <w:numId w:val="325"/>
        </w:numPr>
        <w:rPr>
          <w:rFonts w:ascii="Arial" w:cs="Arial" w:eastAsia="Arial" w:hAnsi="Arial"/>
          <w:sz w:val="15"/>
          <w:szCs w:val="15"/>
          <w:color w:val="auto"/>
        </w:rPr>
      </w:pPr>
      <w:r>
        <w:rPr>
          <w:rFonts w:ascii="Arial" w:cs="Arial" w:eastAsia="Arial" w:hAnsi="Arial"/>
          <w:sz w:val="15"/>
          <w:szCs w:val="15"/>
          <w:b w:val="1"/>
          <w:bCs w:val="1"/>
          <w:u w:val="single" w:color="auto"/>
          <w:color w:val="070707"/>
        </w:rPr>
        <w:t>Obligations to the Company</w:t>
      </w:r>
      <w:r>
        <w:rPr>
          <w:rFonts w:ascii="Arial" w:cs="Arial" w:eastAsia="Arial" w:hAnsi="Arial"/>
          <w:sz w:val="15"/>
          <w:szCs w:val="15"/>
          <w:b w:val="1"/>
          <w:bCs w:val="1"/>
          <w:color w:val="070707"/>
        </w:rPr>
        <w:t xml:space="preserve">. </w:t>
      </w:r>
      <w:r>
        <w:rPr>
          <w:rFonts w:ascii="Arial" w:cs="Arial" w:eastAsia="Arial" w:hAnsi="Arial"/>
          <w:sz w:val="15"/>
          <w:szCs w:val="15"/>
          <w:color w:val="070707"/>
        </w:rPr>
        <w:t>During your Employment, you shall devote your full business efforts and time to the Company. During your</w:t>
      </w:r>
      <w:r>
        <w:rPr>
          <w:rFonts w:ascii="Arial" w:cs="Arial" w:eastAsia="Arial" w:hAnsi="Arial"/>
          <w:sz w:val="15"/>
          <w:szCs w:val="15"/>
          <w:b w:val="1"/>
          <w:bCs w:val="1"/>
          <w:color w:val="070707"/>
        </w:rPr>
        <w:t xml:space="preserve"> </w:t>
      </w:r>
      <w:r>
        <w:rPr>
          <w:rFonts w:ascii="Arial" w:cs="Arial" w:eastAsia="Arial" w:hAnsi="Arial"/>
          <w:sz w:val="15"/>
          <w:szCs w:val="15"/>
          <w:color w:val="070707"/>
        </w:rPr>
        <w:t>Employment</w:t>
      </w:r>
      <w:r>
        <w:rPr>
          <w:rFonts w:ascii="Arial" w:cs="Arial" w:eastAsia="Arial" w:hAnsi="Arial"/>
          <w:sz w:val="15"/>
          <w:szCs w:val="15"/>
          <w:color w:val="1F1F1F"/>
        </w:rPr>
        <w:t>,</w:t>
      </w:r>
      <w:r>
        <w:rPr>
          <w:rFonts w:ascii="Arial" w:cs="Arial" w:eastAsia="Arial" w:hAnsi="Arial"/>
          <w:sz w:val="15"/>
          <w:szCs w:val="15"/>
          <w:color w:val="070707"/>
        </w:rPr>
        <w:t xml:space="preserve"> without the prior written approval of the Company</w:t>
      </w:r>
      <w:r>
        <w:rPr>
          <w:rFonts w:ascii="Arial" w:cs="Arial" w:eastAsia="Arial" w:hAnsi="Arial"/>
          <w:sz w:val="15"/>
          <w:szCs w:val="15"/>
          <w:color w:val="1F1F1F"/>
        </w:rPr>
        <w:t>'</w:t>
      </w:r>
      <w:r>
        <w:rPr>
          <w:rFonts w:ascii="Arial" w:cs="Arial" w:eastAsia="Arial" w:hAnsi="Arial"/>
          <w:sz w:val="15"/>
          <w:szCs w:val="15"/>
          <w:color w:val="070707"/>
        </w:rPr>
        <w:t>s Chief Executive Officer, you shall not render services in any capacity to any other person or entity and shall not act as a sole proprietor or partner of any other person or entity or own more than five percent of the stock of any other corporation</w:t>
      </w:r>
      <w:r>
        <w:rPr>
          <w:rFonts w:ascii="Arial" w:cs="Arial" w:eastAsia="Arial" w:hAnsi="Arial"/>
          <w:sz w:val="15"/>
          <w:szCs w:val="15"/>
          <w:color w:val="3B3B3B"/>
        </w:rPr>
        <w:t>.</w:t>
      </w:r>
      <w:r>
        <w:rPr>
          <w:rFonts w:ascii="Arial" w:cs="Arial" w:eastAsia="Arial" w:hAnsi="Arial"/>
          <w:sz w:val="15"/>
          <w:szCs w:val="15"/>
          <w:color w:val="070707"/>
        </w:rPr>
        <w:t xml:space="preserve"> Notwithstanding the foregoing, you may serve on corporate, civic or charitable boards or committees, deliver lectures, fulfill speaking engagements, teach at educational institutions</w:t>
      </w:r>
      <w:r>
        <w:rPr>
          <w:rFonts w:ascii="Arial" w:cs="Arial" w:eastAsia="Arial" w:hAnsi="Arial"/>
          <w:sz w:val="15"/>
          <w:szCs w:val="15"/>
          <w:color w:val="1F1F1F"/>
        </w:rPr>
        <w:t>,</w:t>
      </w:r>
      <w:r>
        <w:rPr>
          <w:rFonts w:ascii="Arial" w:cs="Arial" w:eastAsia="Arial" w:hAnsi="Arial"/>
          <w:sz w:val="15"/>
          <w:szCs w:val="15"/>
          <w:color w:val="070707"/>
        </w:rPr>
        <w:t xml:space="preserve"> or manage personal investments without such advance written consent, provided that such activities do not individually or in the aggregate interfere with the performance of your duties under this Agreement. You shall comply with the Company</w:t>
      </w:r>
      <w:r>
        <w:rPr>
          <w:rFonts w:ascii="Arial" w:cs="Arial" w:eastAsia="Arial" w:hAnsi="Arial"/>
          <w:sz w:val="15"/>
          <w:szCs w:val="15"/>
          <w:color w:val="1F1F1F"/>
        </w:rPr>
        <w:t>'</w:t>
      </w:r>
      <w:r>
        <w:rPr>
          <w:rFonts w:ascii="Arial" w:cs="Arial" w:eastAsia="Arial" w:hAnsi="Arial"/>
          <w:sz w:val="15"/>
          <w:szCs w:val="15"/>
          <w:color w:val="070707"/>
        </w:rPr>
        <w:t>s policies and rules</w:t>
      </w:r>
      <w:r>
        <w:rPr>
          <w:rFonts w:ascii="Arial" w:cs="Arial" w:eastAsia="Arial" w:hAnsi="Arial"/>
          <w:sz w:val="15"/>
          <w:szCs w:val="15"/>
          <w:color w:val="1F1F1F"/>
        </w:rPr>
        <w:t>,</w:t>
      </w:r>
      <w:r>
        <w:rPr>
          <w:rFonts w:ascii="Arial" w:cs="Arial" w:eastAsia="Arial" w:hAnsi="Arial"/>
          <w:sz w:val="15"/>
          <w:szCs w:val="15"/>
          <w:color w:val="070707"/>
        </w:rPr>
        <w:t xml:space="preserve"> as they may be in effect from time to time during your Employment.</w:t>
      </w:r>
    </w:p>
    <w:p>
      <w:pPr>
        <w:ind w:right="320" w:firstLine="1167"/>
        <w:spacing w:after="0" w:line="254" w:lineRule="auto"/>
        <w:tabs>
          <w:tab w:leader="none" w:pos="1744" w:val="left"/>
        </w:tabs>
        <w:numPr>
          <w:ilvl w:val="1"/>
          <w:numId w:val="325"/>
        </w:numPr>
        <w:rPr>
          <w:rFonts w:ascii="Arial" w:cs="Arial" w:eastAsia="Arial" w:hAnsi="Arial"/>
          <w:sz w:val="16"/>
          <w:szCs w:val="16"/>
          <w:color w:val="auto"/>
        </w:rPr>
      </w:pPr>
      <w:r>
        <w:rPr>
          <w:rFonts w:ascii="Arial" w:cs="Arial" w:eastAsia="Arial" w:hAnsi="Arial"/>
          <w:sz w:val="16"/>
          <w:szCs w:val="16"/>
          <w:b w:val="1"/>
          <w:bCs w:val="1"/>
          <w:u w:val="single" w:color="auto"/>
          <w:color w:val="070707"/>
        </w:rPr>
        <w:t>No Conflicting Obligations</w:t>
      </w:r>
      <w:r>
        <w:rPr>
          <w:rFonts w:ascii="Arial" w:cs="Arial" w:eastAsia="Arial" w:hAnsi="Arial"/>
          <w:sz w:val="16"/>
          <w:szCs w:val="16"/>
          <w:b w:val="1"/>
          <w:bCs w:val="1"/>
          <w:color w:val="070707"/>
        </w:rPr>
        <w:t xml:space="preserve">. </w:t>
      </w:r>
      <w:r>
        <w:rPr>
          <w:rFonts w:ascii="Arial" w:cs="Arial" w:eastAsia="Arial" w:hAnsi="Arial"/>
          <w:sz w:val="16"/>
          <w:szCs w:val="16"/>
          <w:color w:val="070707"/>
        </w:rPr>
        <w:t>You represent and warrant to the Company that you are under no obligations or commitments, whether</w:t>
      </w:r>
      <w:r>
        <w:rPr>
          <w:rFonts w:ascii="Arial" w:cs="Arial" w:eastAsia="Arial" w:hAnsi="Arial"/>
          <w:sz w:val="16"/>
          <w:szCs w:val="16"/>
          <w:b w:val="1"/>
          <w:bCs w:val="1"/>
          <w:color w:val="070707"/>
        </w:rPr>
        <w:t xml:space="preserve"> </w:t>
      </w:r>
      <w:r>
        <w:rPr>
          <w:rFonts w:ascii="Arial" w:cs="Arial" w:eastAsia="Arial" w:hAnsi="Arial"/>
          <w:sz w:val="16"/>
          <w:szCs w:val="16"/>
          <w:color w:val="070707"/>
        </w:rPr>
        <w:t>contractual or otherwise</w:t>
      </w:r>
      <w:r>
        <w:rPr>
          <w:rFonts w:ascii="Arial" w:cs="Arial" w:eastAsia="Arial" w:hAnsi="Arial"/>
          <w:sz w:val="16"/>
          <w:szCs w:val="16"/>
          <w:color w:val="1F1F1F"/>
        </w:rPr>
        <w:t>,</w:t>
      </w:r>
      <w:r>
        <w:rPr>
          <w:rFonts w:ascii="Arial" w:cs="Arial" w:eastAsia="Arial" w:hAnsi="Arial"/>
          <w:sz w:val="16"/>
          <w:szCs w:val="16"/>
          <w:color w:val="070707"/>
        </w:rPr>
        <w:t xml:space="preserve"> that are inconsistent with your obligations under this Agreement. In connection with your Employment, you shall not use or disclose any trade secrets or other proprietary information or intellectual property in which you or any other person has any right, title or interest and your Employment will not infringe or violate the rights of any other person. You represent and warrant to the Company that you have returned all property and confidential information belonging to any prior employer</w:t>
      </w:r>
      <w:r>
        <w:rPr>
          <w:rFonts w:ascii="Arial" w:cs="Arial" w:eastAsia="Arial" w:hAnsi="Arial"/>
          <w:sz w:val="16"/>
          <w:szCs w:val="16"/>
          <w:color w:val="1F1F1F"/>
        </w:rPr>
        <w:t>.</w:t>
      </w:r>
    </w:p>
    <w:p>
      <w:pPr>
        <w:ind w:left="1760" w:hanging="593"/>
        <w:spacing w:after="0"/>
        <w:tabs>
          <w:tab w:leader="none" w:pos="1760" w:val="left"/>
        </w:tabs>
        <w:numPr>
          <w:ilvl w:val="1"/>
          <w:numId w:val="325"/>
        </w:numPr>
        <w:rPr>
          <w:rFonts w:ascii="Arial" w:cs="Arial" w:eastAsia="Arial" w:hAnsi="Arial"/>
          <w:sz w:val="15"/>
          <w:szCs w:val="15"/>
          <w:color w:val="auto"/>
        </w:rPr>
      </w:pPr>
      <w:r>
        <w:rPr>
          <w:rFonts w:ascii="Arial" w:cs="Arial" w:eastAsia="Arial" w:hAnsi="Arial"/>
          <w:sz w:val="15"/>
          <w:szCs w:val="15"/>
          <w:b w:val="1"/>
          <w:bCs w:val="1"/>
          <w:u w:val="single" w:color="auto"/>
          <w:color w:val="070707"/>
        </w:rPr>
        <w:t>Commencement Date</w:t>
      </w:r>
      <w:r>
        <w:rPr>
          <w:rFonts w:ascii="Arial" w:cs="Arial" w:eastAsia="Arial" w:hAnsi="Arial"/>
          <w:sz w:val="15"/>
          <w:szCs w:val="15"/>
          <w:b w:val="1"/>
          <w:bCs w:val="1"/>
          <w:color w:val="070707"/>
        </w:rPr>
        <w:t xml:space="preserve">.  </w:t>
      </w:r>
      <w:r>
        <w:rPr>
          <w:rFonts w:ascii="Arial" w:cs="Arial" w:eastAsia="Arial" w:hAnsi="Arial"/>
          <w:sz w:val="15"/>
          <w:szCs w:val="15"/>
          <w:color w:val="070707"/>
        </w:rPr>
        <w:t>You shall commence full-time Employment as soon as reasonably practicable and in no event later than March</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070707"/>
        </w:rPr>
        <w:t>11th, 2013</w:t>
      </w:r>
      <w:r>
        <w:rPr>
          <w:rFonts w:ascii="Arial" w:cs="Arial" w:eastAsia="Arial" w:hAnsi="Arial"/>
          <w:sz w:val="16"/>
          <w:szCs w:val="16"/>
          <w:color w:val="262626"/>
        </w:rPr>
        <w:t>.</w:t>
      </w:r>
    </w:p>
    <w:p>
      <w:pPr>
        <w:spacing w:after="0" w:line="11" w:lineRule="exact"/>
        <w:rPr>
          <w:sz w:val="20"/>
          <w:szCs w:val="20"/>
          <w:color w:val="auto"/>
        </w:rPr>
      </w:pPr>
    </w:p>
    <w:p>
      <w:pPr>
        <w:ind w:left="1160" w:hanging="578"/>
        <w:spacing w:after="0"/>
        <w:tabs>
          <w:tab w:leader="none" w:pos="1160" w:val="left"/>
        </w:tabs>
        <w:numPr>
          <w:ilvl w:val="0"/>
          <w:numId w:val="326"/>
        </w:numPr>
        <w:rPr>
          <w:rFonts w:ascii="Arial" w:cs="Arial" w:eastAsia="Arial" w:hAnsi="Arial"/>
          <w:sz w:val="16"/>
          <w:szCs w:val="16"/>
          <w:color w:val="auto"/>
        </w:rPr>
      </w:pPr>
      <w:r>
        <w:rPr>
          <w:rFonts w:ascii="Arial" w:cs="Arial" w:eastAsia="Arial" w:hAnsi="Arial"/>
          <w:sz w:val="16"/>
          <w:szCs w:val="16"/>
          <w:b w:val="1"/>
          <w:bCs w:val="1"/>
          <w:u w:val="single" w:color="auto"/>
          <w:color w:val="070707"/>
        </w:rPr>
        <w:t>Cash and Incentive Compensation</w:t>
      </w:r>
      <w:r>
        <w:rPr>
          <w:rFonts w:ascii="Arial" w:cs="Arial" w:eastAsia="Arial" w:hAnsi="Arial"/>
          <w:sz w:val="16"/>
          <w:szCs w:val="16"/>
          <w:b w:val="1"/>
          <w:bCs w:val="1"/>
          <w:color w:val="070707"/>
        </w:rPr>
        <w:t>.</w:t>
      </w:r>
    </w:p>
    <w:p>
      <w:pPr>
        <w:spacing w:after="0" w:line="10" w:lineRule="exact"/>
        <w:rPr>
          <w:rFonts w:ascii="Arial" w:cs="Arial" w:eastAsia="Arial" w:hAnsi="Arial"/>
          <w:sz w:val="16"/>
          <w:szCs w:val="16"/>
          <w:color w:val="auto"/>
        </w:rPr>
      </w:pPr>
    </w:p>
    <w:p>
      <w:pPr>
        <w:ind w:right="140" w:firstLine="1169"/>
        <w:spacing w:after="0" w:line="261" w:lineRule="auto"/>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070707"/>
        </w:rPr>
        <w:t>Salary</w:t>
      </w:r>
      <w:r>
        <w:rPr>
          <w:rFonts w:ascii="Arial" w:cs="Arial" w:eastAsia="Arial" w:hAnsi="Arial"/>
          <w:sz w:val="16"/>
          <w:szCs w:val="16"/>
          <w:b w:val="1"/>
          <w:bCs w:val="1"/>
          <w:color w:val="070707"/>
        </w:rPr>
        <w:t>.</w:t>
      </w:r>
      <w:r>
        <w:rPr>
          <w:rFonts w:ascii="Arial" w:cs="Arial" w:eastAsia="Arial" w:hAnsi="Arial"/>
          <w:sz w:val="16"/>
          <w:szCs w:val="16"/>
          <w:color w:val="auto"/>
        </w:rPr>
        <w:t xml:space="preserve"> </w:t>
      </w:r>
      <w:r>
        <w:rPr>
          <w:rFonts w:ascii="Arial" w:cs="Arial" w:eastAsia="Arial" w:hAnsi="Arial"/>
          <w:sz w:val="16"/>
          <w:szCs w:val="16"/>
          <w:color w:val="070707"/>
        </w:rPr>
        <w:t>The Company shall pay you as compensation for your services an initial base salary at a gross annual rate of $80,000</w:t>
      </w:r>
      <w:r>
        <w:rPr>
          <w:rFonts w:ascii="Arial" w:cs="Arial" w:eastAsia="Arial" w:hAnsi="Arial"/>
          <w:sz w:val="16"/>
          <w:szCs w:val="16"/>
          <w:color w:val="262626"/>
        </w:rPr>
        <w:t>.</w:t>
      </w:r>
      <w:r>
        <w:rPr>
          <w:rFonts w:ascii="Arial" w:cs="Arial" w:eastAsia="Arial" w:hAnsi="Arial"/>
          <w:sz w:val="16"/>
          <w:szCs w:val="16"/>
          <w:color w:val="auto"/>
        </w:rPr>
        <w:t xml:space="preserve"> </w:t>
      </w:r>
      <w:r>
        <w:rPr>
          <w:rFonts w:ascii="Arial" w:cs="Arial" w:eastAsia="Arial" w:hAnsi="Arial"/>
          <w:sz w:val="16"/>
          <w:szCs w:val="16"/>
          <w:color w:val="070707"/>
        </w:rPr>
        <w:t>Such salary</w:t>
      </w:r>
      <w:r>
        <w:rPr>
          <w:rFonts w:ascii="Arial" w:cs="Arial" w:eastAsia="Arial" w:hAnsi="Arial"/>
          <w:sz w:val="16"/>
          <w:szCs w:val="16"/>
          <w:color w:val="auto"/>
        </w:rPr>
        <w:t xml:space="preserve"> </w:t>
      </w:r>
      <w:r>
        <w:rPr>
          <w:rFonts w:ascii="Arial" w:cs="Arial" w:eastAsia="Arial" w:hAnsi="Arial"/>
          <w:sz w:val="16"/>
          <w:szCs w:val="16"/>
          <w:color w:val="070707"/>
        </w:rPr>
        <w:t>shall be payable in accordance with the Company</w:t>
      </w:r>
      <w:r>
        <w:rPr>
          <w:rFonts w:ascii="Arial" w:cs="Arial" w:eastAsia="Arial" w:hAnsi="Arial"/>
          <w:sz w:val="16"/>
          <w:szCs w:val="16"/>
          <w:color w:val="262626"/>
        </w:rPr>
        <w:t>'</w:t>
      </w:r>
      <w:r>
        <w:rPr>
          <w:rFonts w:ascii="Arial" w:cs="Arial" w:eastAsia="Arial" w:hAnsi="Arial"/>
          <w:sz w:val="16"/>
          <w:szCs w:val="16"/>
          <w:color w:val="070707"/>
        </w:rPr>
        <w:t>s standard payroll procedures. The annual compensation specified in this subsection a</w:t>
      </w:r>
      <w:r>
        <w:rPr>
          <w:rFonts w:ascii="Arial" w:cs="Arial" w:eastAsia="Arial" w:hAnsi="Arial"/>
          <w:sz w:val="16"/>
          <w:szCs w:val="16"/>
          <w:color w:val="262626"/>
        </w:rPr>
        <w:t>,</w:t>
      </w:r>
      <w:r>
        <w:rPr>
          <w:rFonts w:ascii="Arial" w:cs="Arial" w:eastAsia="Arial" w:hAnsi="Arial"/>
          <w:sz w:val="16"/>
          <w:szCs w:val="16"/>
          <w:color w:val="070707"/>
        </w:rPr>
        <w:t xml:space="preserve"> together with any modifications in such compensation that the Company may make from time to time</w:t>
      </w:r>
      <w:r>
        <w:rPr>
          <w:rFonts w:ascii="Arial" w:cs="Arial" w:eastAsia="Arial" w:hAnsi="Arial"/>
          <w:sz w:val="16"/>
          <w:szCs w:val="16"/>
          <w:color w:val="262626"/>
        </w:rPr>
        <w:t>,</w:t>
      </w:r>
      <w:r>
        <w:rPr>
          <w:rFonts w:ascii="Arial" w:cs="Arial" w:eastAsia="Arial" w:hAnsi="Arial"/>
          <w:sz w:val="16"/>
          <w:szCs w:val="16"/>
          <w:color w:val="070707"/>
        </w:rPr>
        <w:t xml:space="preserve"> is referred to in this Agreement as </w:t>
      </w:r>
      <w:r>
        <w:rPr>
          <w:rFonts w:ascii="Arial" w:cs="Arial" w:eastAsia="Arial" w:hAnsi="Arial"/>
          <w:sz w:val="16"/>
          <w:szCs w:val="16"/>
          <w:color w:val="262626"/>
        </w:rPr>
        <w:t>"</w:t>
      </w:r>
      <w:r>
        <w:rPr>
          <w:rFonts w:ascii="Arial" w:cs="Arial" w:eastAsia="Arial" w:hAnsi="Arial"/>
          <w:sz w:val="16"/>
          <w:szCs w:val="16"/>
          <w:u w:val="single" w:color="auto"/>
          <w:color w:val="070707"/>
        </w:rPr>
        <w:t>Base Salary</w:t>
      </w:r>
      <w:r>
        <w:rPr>
          <w:rFonts w:ascii="Arial" w:cs="Arial" w:eastAsia="Arial" w:hAnsi="Arial"/>
          <w:sz w:val="16"/>
          <w:szCs w:val="16"/>
          <w:color w:val="3F3F3F"/>
        </w:rPr>
        <w:t>.</w:t>
      </w:r>
      <w:r>
        <w:rPr>
          <w:rFonts w:ascii="Arial" w:cs="Arial" w:eastAsia="Arial" w:hAnsi="Arial"/>
          <w:sz w:val="16"/>
          <w:szCs w:val="16"/>
          <w:color w:val="070707"/>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60"/>
          </w:cols>
          <w:pgMar w:left="320" w:top="122" w:right="319" w:bottom="1440" w:gutter="0" w:footer="0" w:header="0"/>
        </w:sectPr>
      </w:pPr>
    </w:p>
    <w:bookmarkStart w:id="450" w:name="page451"/>
    <w:bookmarkEnd w:id="450"/>
    <w:p>
      <w:pPr>
        <w:jc w:val="both"/>
        <w:ind w:firstLine="1167"/>
        <w:spacing w:after="0" w:line="261" w:lineRule="auto"/>
        <w:tabs>
          <w:tab w:leader="none" w:pos="1754" w:val="left"/>
        </w:tabs>
        <w:numPr>
          <w:ilvl w:val="1"/>
          <w:numId w:val="327"/>
        </w:numPr>
        <w:rPr>
          <w:rFonts w:ascii="Arial" w:cs="Arial" w:eastAsia="Arial" w:hAnsi="Arial"/>
          <w:sz w:val="16"/>
          <w:szCs w:val="16"/>
          <w:color w:val="auto"/>
        </w:rPr>
      </w:pPr>
      <w:r>
        <w:rPr>
          <w:rFonts w:ascii="Arial" w:cs="Arial" w:eastAsia="Arial" w:hAnsi="Arial"/>
          <w:sz w:val="16"/>
          <w:szCs w:val="16"/>
          <w:b w:val="1"/>
          <w:bCs w:val="1"/>
          <w:u w:val="single" w:color="auto"/>
          <w:color w:val="070707"/>
        </w:rPr>
        <w:t>Vacation/PTO and Employee Benefits</w:t>
      </w:r>
      <w:r>
        <w:rPr>
          <w:rFonts w:ascii="Arial" w:cs="Arial" w:eastAsia="Arial" w:hAnsi="Arial"/>
          <w:sz w:val="16"/>
          <w:szCs w:val="16"/>
          <w:b w:val="1"/>
          <w:bCs w:val="1"/>
          <w:color w:val="070707"/>
        </w:rPr>
        <w:t xml:space="preserve">. </w:t>
      </w:r>
      <w:r>
        <w:rPr>
          <w:rFonts w:ascii="Arial" w:cs="Arial" w:eastAsia="Arial" w:hAnsi="Arial"/>
          <w:sz w:val="16"/>
          <w:szCs w:val="16"/>
          <w:color w:val="070707"/>
        </w:rPr>
        <w:t>During your Employment, you shall be eligible to participate in the employee benefit plans maintained</w:t>
      </w:r>
      <w:r>
        <w:rPr>
          <w:rFonts w:ascii="Arial" w:cs="Arial" w:eastAsia="Arial" w:hAnsi="Arial"/>
          <w:sz w:val="16"/>
          <w:szCs w:val="16"/>
          <w:b w:val="1"/>
          <w:bCs w:val="1"/>
          <w:color w:val="070707"/>
        </w:rPr>
        <w:t xml:space="preserve"> </w:t>
      </w:r>
      <w:r>
        <w:rPr>
          <w:rFonts w:ascii="Arial" w:cs="Arial" w:eastAsia="Arial" w:hAnsi="Arial"/>
          <w:sz w:val="16"/>
          <w:szCs w:val="16"/>
          <w:color w:val="070707"/>
        </w:rPr>
        <w:t>by the Company and generally available to similarly situated employees of the Company, subject in each case to the generally applicable terms and conditions of the plan in question and to the determinations of any person or committee administering such plan</w:t>
      </w:r>
      <w:r>
        <w:rPr>
          <w:rFonts w:ascii="Arial" w:cs="Arial" w:eastAsia="Arial" w:hAnsi="Arial"/>
          <w:sz w:val="16"/>
          <w:szCs w:val="16"/>
          <w:color w:val="262626"/>
        </w:rPr>
        <w:t>.</w:t>
      </w:r>
    </w:p>
    <w:p>
      <w:pPr>
        <w:ind w:right="300" w:firstLine="582"/>
        <w:spacing w:after="0" w:line="290" w:lineRule="auto"/>
        <w:tabs>
          <w:tab w:leader="none" w:pos="1169" w:val="left"/>
        </w:tabs>
        <w:numPr>
          <w:ilvl w:val="0"/>
          <w:numId w:val="328"/>
        </w:numPr>
        <w:rPr>
          <w:rFonts w:ascii="Arial" w:cs="Arial" w:eastAsia="Arial" w:hAnsi="Arial"/>
          <w:sz w:val="14"/>
          <w:szCs w:val="14"/>
          <w:color w:val="auto"/>
        </w:rPr>
      </w:pPr>
      <w:r>
        <w:rPr>
          <w:rFonts w:ascii="Arial" w:cs="Arial" w:eastAsia="Arial" w:hAnsi="Arial"/>
          <w:sz w:val="14"/>
          <w:szCs w:val="14"/>
          <w:b w:val="1"/>
          <w:bCs w:val="1"/>
          <w:u w:val="single" w:color="auto"/>
          <w:color w:val="auto"/>
        </w:rPr>
        <w:t>Business Expenses</w:t>
      </w:r>
      <w:r>
        <w:rPr>
          <w:rFonts w:ascii="Arial" w:cs="Arial" w:eastAsia="Arial" w:hAnsi="Arial"/>
          <w:sz w:val="14"/>
          <w:szCs w:val="14"/>
          <w:b w:val="1"/>
          <w:bCs w:val="1"/>
          <w:color w:val="auto"/>
        </w:rPr>
        <w:t xml:space="preserve"> </w:t>
      </w:r>
      <w:r>
        <w:rPr>
          <w:rFonts w:ascii="Arial" w:cs="Arial" w:eastAsia="Arial" w:hAnsi="Arial"/>
          <w:sz w:val="14"/>
          <w:szCs w:val="14"/>
          <w:color w:val="070707"/>
        </w:rPr>
        <w:t>The Company will reimburse you for your necessary and reasonable business expenses incurred in connection with your duties</w:t>
      </w:r>
      <w:r>
        <w:rPr>
          <w:rFonts w:ascii="Arial" w:cs="Arial" w:eastAsia="Arial" w:hAnsi="Arial"/>
          <w:sz w:val="14"/>
          <w:szCs w:val="14"/>
          <w:b w:val="1"/>
          <w:bCs w:val="1"/>
          <w:color w:val="auto"/>
        </w:rPr>
        <w:t xml:space="preserve"> </w:t>
      </w:r>
      <w:r>
        <w:rPr>
          <w:rFonts w:ascii="Arial" w:cs="Arial" w:eastAsia="Arial" w:hAnsi="Arial"/>
          <w:sz w:val="14"/>
          <w:szCs w:val="14"/>
          <w:color w:val="070707"/>
        </w:rPr>
        <w:t>hereunder upon presentation of an itemized account and appropriate supporting documentation, all in accordance with the Company</w:t>
      </w:r>
      <w:r>
        <w:rPr>
          <w:rFonts w:ascii="Arial" w:cs="Arial" w:eastAsia="Arial" w:hAnsi="Arial"/>
          <w:sz w:val="14"/>
          <w:szCs w:val="14"/>
          <w:color w:val="262626"/>
        </w:rPr>
        <w:t>'</w:t>
      </w:r>
      <w:r>
        <w:rPr>
          <w:rFonts w:ascii="Arial" w:cs="Arial" w:eastAsia="Arial" w:hAnsi="Arial"/>
          <w:sz w:val="14"/>
          <w:szCs w:val="14"/>
          <w:color w:val="070707"/>
        </w:rPr>
        <w:t>s generally applicable policies</w:t>
      </w:r>
      <w:r>
        <w:rPr>
          <w:rFonts w:ascii="Arial" w:cs="Arial" w:eastAsia="Arial" w:hAnsi="Arial"/>
          <w:sz w:val="14"/>
          <w:szCs w:val="14"/>
          <w:color w:val="3F3F3F"/>
        </w:rPr>
        <w:t>.</w:t>
      </w:r>
    </w:p>
    <w:p>
      <w:pPr>
        <w:ind w:left="1160" w:hanging="578"/>
        <w:spacing w:after="0"/>
        <w:tabs>
          <w:tab w:leader="none" w:pos="1160" w:val="left"/>
        </w:tabs>
        <w:numPr>
          <w:ilvl w:val="0"/>
          <w:numId w:val="328"/>
        </w:numPr>
        <w:rPr>
          <w:rFonts w:ascii="Arial" w:cs="Arial" w:eastAsia="Arial" w:hAnsi="Arial"/>
          <w:sz w:val="16"/>
          <w:szCs w:val="16"/>
          <w:color w:val="auto"/>
        </w:rPr>
      </w:pPr>
      <w:r>
        <w:rPr>
          <w:rFonts w:ascii="Arial" w:cs="Arial" w:eastAsia="Arial" w:hAnsi="Arial"/>
          <w:sz w:val="16"/>
          <w:szCs w:val="16"/>
          <w:b w:val="1"/>
          <w:bCs w:val="1"/>
          <w:u w:val="single" w:color="auto"/>
          <w:color w:val="070707"/>
        </w:rPr>
        <w:t>Termination</w:t>
      </w:r>
      <w:r>
        <w:rPr>
          <w:rFonts w:ascii="Arial" w:cs="Arial" w:eastAsia="Arial" w:hAnsi="Arial"/>
          <w:sz w:val="16"/>
          <w:szCs w:val="16"/>
          <w:b w:val="1"/>
          <w:bCs w:val="1"/>
          <w:color w:val="070707"/>
        </w:rPr>
        <w:t>.</w:t>
      </w:r>
    </w:p>
    <w:p>
      <w:pPr>
        <w:spacing w:after="0" w:line="10" w:lineRule="exact"/>
        <w:rPr>
          <w:rFonts w:ascii="Arial" w:cs="Arial" w:eastAsia="Arial" w:hAnsi="Arial"/>
          <w:sz w:val="16"/>
          <w:szCs w:val="16"/>
          <w:color w:val="auto"/>
        </w:rPr>
      </w:pPr>
    </w:p>
    <w:p>
      <w:pPr>
        <w:ind w:right="160" w:firstLine="1167"/>
        <w:spacing w:after="0" w:line="254" w:lineRule="auto"/>
        <w:tabs>
          <w:tab w:leader="none" w:pos="1744" w:val="left"/>
        </w:tabs>
        <w:numPr>
          <w:ilvl w:val="1"/>
          <w:numId w:val="328"/>
        </w:numPr>
        <w:rPr>
          <w:rFonts w:ascii="Arial" w:cs="Arial" w:eastAsia="Arial" w:hAnsi="Arial"/>
          <w:sz w:val="16"/>
          <w:szCs w:val="16"/>
          <w:color w:val="auto"/>
        </w:rPr>
      </w:pPr>
      <w:r>
        <w:rPr>
          <w:rFonts w:ascii="Arial" w:cs="Arial" w:eastAsia="Arial" w:hAnsi="Arial"/>
          <w:sz w:val="16"/>
          <w:szCs w:val="16"/>
          <w:b w:val="1"/>
          <w:bCs w:val="1"/>
          <w:u w:val="single" w:color="auto"/>
          <w:color w:val="070707"/>
        </w:rPr>
        <w:t>Employment at</w:t>
      </w:r>
      <w:r>
        <w:rPr>
          <w:rFonts w:ascii="Arial" w:cs="Arial" w:eastAsia="Arial" w:hAnsi="Arial"/>
          <w:sz w:val="16"/>
          <w:szCs w:val="16"/>
          <w:b w:val="1"/>
          <w:bCs w:val="1"/>
          <w:color w:val="070707"/>
        </w:rPr>
        <w:t xml:space="preserve"> </w:t>
      </w:r>
      <w:r>
        <w:rPr>
          <w:rFonts w:ascii="Arial" w:cs="Arial" w:eastAsia="Arial" w:hAnsi="Arial"/>
          <w:sz w:val="17"/>
          <w:szCs w:val="17"/>
          <w:b w:val="1"/>
          <w:bCs w:val="1"/>
          <w:u w:val="single" w:color="auto"/>
          <w:color w:val="070707"/>
        </w:rPr>
        <w:t>Will</w:t>
      </w:r>
      <w:r>
        <w:rPr>
          <w:rFonts w:ascii="Arial" w:cs="Arial" w:eastAsia="Arial" w:hAnsi="Arial"/>
          <w:sz w:val="16"/>
          <w:szCs w:val="16"/>
          <w:b w:val="1"/>
          <w:bCs w:val="1"/>
          <w:color w:val="070707"/>
        </w:rPr>
        <w:t xml:space="preserve"> </w:t>
      </w:r>
      <w:r>
        <w:rPr>
          <w:rFonts w:ascii="Arial" w:cs="Arial" w:eastAsia="Arial" w:hAnsi="Arial"/>
          <w:sz w:val="16"/>
          <w:szCs w:val="16"/>
          <w:color w:val="070707"/>
        </w:rPr>
        <w:t>Yom</w:t>
      </w:r>
      <w:r>
        <w:rPr>
          <w:rFonts w:ascii="Arial" w:cs="Arial" w:eastAsia="Arial" w:hAnsi="Arial"/>
          <w:sz w:val="16"/>
          <w:szCs w:val="16"/>
          <w:color w:val="3F3F3F"/>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Employment shall be</w:t>
      </w:r>
      <w:r>
        <w:rPr>
          <w:rFonts w:ascii="Arial" w:cs="Arial" w:eastAsia="Arial" w:hAnsi="Arial"/>
          <w:sz w:val="16"/>
          <w:szCs w:val="16"/>
          <w:b w:val="1"/>
          <w:bCs w:val="1"/>
          <w:color w:val="070707"/>
        </w:rPr>
        <w:t xml:space="preserve"> </w:t>
      </w:r>
      <w:r>
        <w:rPr>
          <w:rFonts w:ascii="Arial" w:cs="Arial" w:eastAsia="Arial" w:hAnsi="Arial"/>
          <w:sz w:val="16"/>
          <w:szCs w:val="16"/>
          <w:color w:val="262626"/>
        </w:rPr>
        <w:t>"</w:t>
      </w:r>
      <w:r>
        <w:rPr>
          <w:rFonts w:ascii="Arial" w:cs="Arial" w:eastAsia="Arial" w:hAnsi="Arial"/>
          <w:sz w:val="16"/>
          <w:szCs w:val="16"/>
          <w:color w:val="070707"/>
        </w:rPr>
        <w:t>at will</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meaning that either you or the Company shall be entitled to terminate your</w:t>
      </w:r>
      <w:r>
        <w:rPr>
          <w:rFonts w:ascii="Arial" w:cs="Arial" w:eastAsia="Arial" w:hAnsi="Arial"/>
          <w:sz w:val="16"/>
          <w:szCs w:val="16"/>
          <w:b w:val="1"/>
          <w:bCs w:val="1"/>
          <w:color w:val="070707"/>
        </w:rPr>
        <w:t xml:space="preserve"> </w:t>
      </w:r>
      <w:r>
        <w:rPr>
          <w:rFonts w:ascii="Arial" w:cs="Arial" w:eastAsia="Arial" w:hAnsi="Arial"/>
          <w:sz w:val="16"/>
          <w:szCs w:val="16"/>
          <w:color w:val="070707"/>
        </w:rPr>
        <w:t>Employment at any time and for any reason</w:t>
      </w:r>
      <w:r>
        <w:rPr>
          <w:rFonts w:ascii="Arial" w:cs="Arial" w:eastAsia="Arial" w:hAnsi="Arial"/>
          <w:sz w:val="16"/>
          <w:szCs w:val="16"/>
          <w:color w:val="262626"/>
        </w:rPr>
        <w:t>,</w:t>
      </w:r>
      <w:r>
        <w:rPr>
          <w:rFonts w:ascii="Arial" w:cs="Arial" w:eastAsia="Arial" w:hAnsi="Arial"/>
          <w:sz w:val="16"/>
          <w:szCs w:val="16"/>
          <w:color w:val="070707"/>
        </w:rPr>
        <w:t xml:space="preserve"> with or without Cause</w:t>
      </w:r>
      <w:r>
        <w:rPr>
          <w:rFonts w:ascii="Arial" w:cs="Arial" w:eastAsia="Arial" w:hAnsi="Arial"/>
          <w:sz w:val="16"/>
          <w:szCs w:val="16"/>
          <w:color w:val="262626"/>
        </w:rPr>
        <w:t>.</w:t>
      </w:r>
      <w:r>
        <w:rPr>
          <w:rFonts w:ascii="Arial" w:cs="Arial" w:eastAsia="Arial" w:hAnsi="Arial"/>
          <w:sz w:val="16"/>
          <w:szCs w:val="16"/>
          <w:color w:val="070707"/>
        </w:rPr>
        <w:t xml:space="preserve"> Any contrary representations that may have been made to you shall be superseded by this Agreement</w:t>
      </w:r>
      <w:r>
        <w:rPr>
          <w:rFonts w:ascii="Arial" w:cs="Arial" w:eastAsia="Arial" w:hAnsi="Arial"/>
          <w:sz w:val="16"/>
          <w:szCs w:val="16"/>
          <w:color w:val="262626"/>
        </w:rPr>
        <w:t>.</w:t>
      </w:r>
      <w:r>
        <w:rPr>
          <w:rFonts w:ascii="Arial" w:cs="Arial" w:eastAsia="Arial" w:hAnsi="Arial"/>
          <w:sz w:val="16"/>
          <w:szCs w:val="16"/>
          <w:color w:val="070707"/>
        </w:rPr>
        <w:t xml:space="preserve"> This Agreement shall constitute the full and complete agreement between you and the Company on the "at-will" nature of your Employment, which may only be changed in an express written agreement signed by you and a duly authorized officer of the Company</w:t>
      </w:r>
      <w:r>
        <w:rPr>
          <w:rFonts w:ascii="Arial" w:cs="Arial" w:eastAsia="Arial" w:hAnsi="Arial"/>
          <w:sz w:val="16"/>
          <w:szCs w:val="16"/>
          <w:color w:val="3F3F3F"/>
        </w:rPr>
        <w:t>.</w:t>
      </w:r>
    </w:p>
    <w:p>
      <w:pPr>
        <w:ind w:left="1760" w:hanging="593"/>
        <w:spacing w:after="0"/>
        <w:tabs>
          <w:tab w:leader="none" w:pos="1760" w:val="left"/>
        </w:tabs>
        <w:numPr>
          <w:ilvl w:val="1"/>
          <w:numId w:val="328"/>
        </w:numPr>
        <w:rPr>
          <w:rFonts w:ascii="Arial" w:cs="Arial" w:eastAsia="Arial" w:hAnsi="Arial"/>
          <w:sz w:val="16"/>
          <w:szCs w:val="16"/>
          <w:color w:val="auto"/>
        </w:rPr>
      </w:pPr>
      <w:r>
        <w:rPr>
          <w:rFonts w:ascii="Arial" w:cs="Arial" w:eastAsia="Arial" w:hAnsi="Arial"/>
          <w:sz w:val="16"/>
          <w:szCs w:val="16"/>
          <w:b w:val="1"/>
          <w:bCs w:val="1"/>
          <w:u w:val="single" w:color="auto"/>
          <w:color w:val="070707"/>
        </w:rPr>
        <w:t>Rights Upon Termination</w:t>
      </w:r>
      <w:r>
        <w:rPr>
          <w:rFonts w:ascii="Arial" w:cs="Arial" w:eastAsia="Arial" w:hAnsi="Arial"/>
          <w:sz w:val="16"/>
          <w:szCs w:val="16"/>
          <w:b w:val="1"/>
          <w:bCs w:val="1"/>
          <w:color w:val="070707"/>
        </w:rPr>
        <w:t xml:space="preserve">.  </w:t>
      </w:r>
      <w:r>
        <w:rPr>
          <w:rFonts w:ascii="Arial" w:cs="Arial" w:eastAsia="Arial" w:hAnsi="Arial"/>
          <w:sz w:val="16"/>
          <w:szCs w:val="16"/>
          <w:color w:val="070707"/>
        </w:rPr>
        <w:t>Except as expressly provided in Section 6</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upon</w:t>
      </w:r>
    </w:p>
    <w:p>
      <w:pPr>
        <w:spacing w:after="0" w:line="1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070707"/>
        </w:rPr>
        <w:t>the termination of your Employment</w:t>
      </w:r>
      <w:r>
        <w:rPr>
          <w:rFonts w:ascii="Arial" w:cs="Arial" w:eastAsia="Arial" w:hAnsi="Arial"/>
          <w:sz w:val="16"/>
          <w:szCs w:val="16"/>
          <w:color w:val="262626"/>
        </w:rPr>
        <w:t>,</w:t>
      </w:r>
      <w:r>
        <w:rPr>
          <w:rFonts w:ascii="Arial" w:cs="Arial" w:eastAsia="Arial" w:hAnsi="Arial"/>
          <w:sz w:val="16"/>
          <w:szCs w:val="16"/>
          <w:color w:val="070707"/>
        </w:rPr>
        <w:t xml:space="preserve"> you shall only be entitled to the compensation and benefits eamed and the reimbursements described in this Agreement for the period preceding the effective date of the termination</w:t>
      </w:r>
    </w:p>
    <w:p>
      <w:pPr>
        <w:ind w:left="1160" w:hanging="578"/>
        <w:spacing w:after="0"/>
        <w:tabs>
          <w:tab w:leader="none" w:pos="1160" w:val="left"/>
        </w:tabs>
        <w:numPr>
          <w:ilvl w:val="0"/>
          <w:numId w:val="329"/>
        </w:numPr>
        <w:rPr>
          <w:rFonts w:ascii="Arial" w:cs="Arial" w:eastAsia="Arial" w:hAnsi="Arial"/>
          <w:sz w:val="16"/>
          <w:szCs w:val="16"/>
          <w:color w:val="auto"/>
        </w:rPr>
      </w:pPr>
      <w:r>
        <w:rPr>
          <w:rFonts w:ascii="Arial" w:cs="Arial" w:eastAsia="Arial" w:hAnsi="Arial"/>
          <w:sz w:val="16"/>
          <w:szCs w:val="16"/>
          <w:b w:val="1"/>
          <w:bCs w:val="1"/>
          <w:u w:val="single" w:color="auto"/>
          <w:color w:val="070707"/>
        </w:rPr>
        <w:t>Pre-Employment Conditions</w:t>
      </w:r>
    </w:p>
    <w:p>
      <w:pPr>
        <w:spacing w:after="0" w:line="11" w:lineRule="exact"/>
        <w:rPr>
          <w:sz w:val="20"/>
          <w:szCs w:val="20"/>
          <w:color w:val="auto"/>
        </w:rPr>
      </w:pPr>
    </w:p>
    <w:p>
      <w:pPr>
        <w:jc w:val="both"/>
        <w:ind w:right="260" w:firstLine="1169"/>
        <w:spacing w:after="0" w:line="25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070707"/>
        </w:rPr>
        <w:t>Confidentiality Agreement</w:t>
      </w:r>
      <w:r>
        <w:rPr>
          <w:rFonts w:ascii="Arial" w:cs="Arial" w:eastAsia="Arial" w:hAnsi="Arial"/>
          <w:sz w:val="16"/>
          <w:szCs w:val="16"/>
          <w:b w:val="1"/>
          <w:bCs w:val="1"/>
          <w:color w:val="070707"/>
        </w:rPr>
        <w:t>.</w:t>
      </w:r>
      <w:r>
        <w:rPr>
          <w:rFonts w:ascii="Arial" w:cs="Arial" w:eastAsia="Arial" w:hAnsi="Arial"/>
          <w:sz w:val="16"/>
          <w:szCs w:val="16"/>
          <w:color w:val="auto"/>
        </w:rPr>
        <w:t xml:space="preserve"> </w:t>
      </w:r>
      <w:r>
        <w:rPr>
          <w:rFonts w:ascii="Arial" w:cs="Arial" w:eastAsia="Arial" w:hAnsi="Arial"/>
          <w:sz w:val="16"/>
          <w:szCs w:val="16"/>
          <w:color w:val="070707"/>
        </w:rPr>
        <w:t>Your acceptance of this offer and commencement of employment with the Company is contingent upon</w:t>
      </w:r>
      <w:r>
        <w:rPr>
          <w:rFonts w:ascii="Arial" w:cs="Arial" w:eastAsia="Arial" w:hAnsi="Arial"/>
          <w:sz w:val="16"/>
          <w:szCs w:val="16"/>
          <w:color w:val="auto"/>
        </w:rPr>
        <w:t xml:space="preserve"> </w:t>
      </w:r>
      <w:r>
        <w:rPr>
          <w:rFonts w:ascii="Arial" w:cs="Arial" w:eastAsia="Arial" w:hAnsi="Arial"/>
          <w:sz w:val="16"/>
          <w:szCs w:val="16"/>
          <w:color w:val="070707"/>
        </w:rPr>
        <w:t>the execution</w:t>
      </w:r>
      <w:r>
        <w:rPr>
          <w:rFonts w:ascii="Arial" w:cs="Arial" w:eastAsia="Arial" w:hAnsi="Arial"/>
          <w:sz w:val="16"/>
          <w:szCs w:val="16"/>
          <w:color w:val="262626"/>
        </w:rPr>
        <w:t>,</w:t>
      </w:r>
      <w:r>
        <w:rPr>
          <w:rFonts w:ascii="Arial" w:cs="Arial" w:eastAsia="Arial" w:hAnsi="Arial"/>
          <w:sz w:val="16"/>
          <w:szCs w:val="16"/>
          <w:color w:val="070707"/>
        </w:rPr>
        <w:t xml:space="preserve"> and delivery to an officer of the Company, of the Company's Confidential Information and Invention Assignment Agreement</w:t>
      </w:r>
      <w:r>
        <w:rPr>
          <w:rFonts w:ascii="Arial" w:cs="Arial" w:eastAsia="Arial" w:hAnsi="Arial"/>
          <w:sz w:val="16"/>
          <w:szCs w:val="16"/>
          <w:color w:val="262626"/>
        </w:rPr>
        <w:t>,</w:t>
      </w:r>
      <w:r>
        <w:rPr>
          <w:rFonts w:ascii="Arial" w:cs="Arial" w:eastAsia="Arial" w:hAnsi="Arial"/>
          <w:sz w:val="16"/>
          <w:szCs w:val="16"/>
          <w:color w:val="070707"/>
        </w:rPr>
        <w:t xml:space="preserve"> a copy of which is enclosed for your review and execution (the “</w:t>
      </w:r>
      <w:r>
        <w:rPr>
          <w:rFonts w:ascii="Arial" w:cs="Arial" w:eastAsia="Arial" w:hAnsi="Arial"/>
          <w:sz w:val="16"/>
          <w:szCs w:val="16"/>
          <w:u w:val="single" w:color="auto"/>
          <w:color w:val="070707"/>
        </w:rPr>
        <w:t>Confidentiality Agreement</w:t>
      </w:r>
      <w:r>
        <w:rPr>
          <w:rFonts w:ascii="Arial" w:cs="Arial" w:eastAsia="Arial" w:hAnsi="Arial"/>
          <w:sz w:val="16"/>
          <w:szCs w:val="16"/>
          <w:color w:val="070707"/>
        </w:rPr>
        <w:t>”)</w:t>
      </w:r>
      <w:r>
        <w:rPr>
          <w:rFonts w:ascii="Arial" w:cs="Arial" w:eastAsia="Arial" w:hAnsi="Arial"/>
          <w:sz w:val="16"/>
          <w:szCs w:val="16"/>
          <w:color w:val="262626"/>
        </w:rPr>
        <w:t>,</w:t>
      </w:r>
      <w:r>
        <w:rPr>
          <w:rFonts w:ascii="Arial" w:cs="Arial" w:eastAsia="Arial" w:hAnsi="Arial"/>
          <w:sz w:val="16"/>
          <w:szCs w:val="16"/>
          <w:color w:val="070707"/>
        </w:rPr>
        <w:t xml:space="preserve"> prior to or on your Start Date</w:t>
      </w:r>
      <w:r>
        <w:rPr>
          <w:rFonts w:ascii="Arial" w:cs="Arial" w:eastAsia="Arial" w:hAnsi="Arial"/>
          <w:sz w:val="16"/>
          <w:szCs w:val="16"/>
          <w:color w:val="262626"/>
        </w:rPr>
        <w:t>.</w:t>
      </w:r>
    </w:p>
    <w:p>
      <w:pPr>
        <w:ind w:right="20" w:firstLine="1167"/>
        <w:spacing w:after="0" w:line="254" w:lineRule="auto"/>
        <w:tabs>
          <w:tab w:leader="none" w:pos="1754" w:val="left"/>
        </w:tabs>
        <w:numPr>
          <w:ilvl w:val="1"/>
          <w:numId w:val="330"/>
        </w:numPr>
        <w:rPr>
          <w:rFonts w:ascii="Arial" w:cs="Arial" w:eastAsia="Arial" w:hAnsi="Arial"/>
          <w:sz w:val="16"/>
          <w:szCs w:val="16"/>
          <w:color w:val="auto"/>
        </w:rPr>
      </w:pPr>
      <w:r>
        <w:rPr>
          <w:rFonts w:ascii="Arial" w:cs="Arial" w:eastAsia="Arial" w:hAnsi="Arial"/>
          <w:sz w:val="16"/>
          <w:szCs w:val="16"/>
          <w:b w:val="1"/>
          <w:bCs w:val="1"/>
          <w:u w:val="single" w:color="auto"/>
          <w:color w:val="070707"/>
        </w:rPr>
        <w:t>Right to Work</w:t>
      </w:r>
      <w:r>
        <w:rPr>
          <w:rFonts w:ascii="Arial" w:cs="Arial" w:eastAsia="Arial" w:hAnsi="Arial"/>
          <w:sz w:val="16"/>
          <w:szCs w:val="16"/>
          <w:b w:val="1"/>
          <w:bCs w:val="1"/>
          <w:color w:val="070707"/>
        </w:rPr>
        <w:t xml:space="preserve"> </w:t>
      </w:r>
      <w:r>
        <w:rPr>
          <w:rFonts w:ascii="Arial" w:cs="Arial" w:eastAsia="Arial" w:hAnsi="Arial"/>
          <w:sz w:val="16"/>
          <w:szCs w:val="16"/>
          <w:color w:val="070707"/>
        </w:rPr>
        <w:t>For purposes of federal immigration law</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you will be required to provide to the Company documentary evidence of your identity</w:t>
      </w:r>
      <w:r>
        <w:rPr>
          <w:rFonts w:ascii="Arial" w:cs="Arial" w:eastAsia="Arial" w:hAnsi="Arial"/>
          <w:sz w:val="16"/>
          <w:szCs w:val="16"/>
          <w:b w:val="1"/>
          <w:bCs w:val="1"/>
          <w:color w:val="070707"/>
        </w:rPr>
        <w:t xml:space="preserve"> </w:t>
      </w:r>
      <w:r>
        <w:rPr>
          <w:rFonts w:ascii="Arial" w:cs="Arial" w:eastAsia="Arial" w:hAnsi="Arial"/>
          <w:sz w:val="16"/>
          <w:szCs w:val="16"/>
          <w:color w:val="070707"/>
        </w:rPr>
        <w:t>and eligibility for employment in the United States</w:t>
      </w:r>
      <w:r>
        <w:rPr>
          <w:rFonts w:ascii="Arial" w:cs="Arial" w:eastAsia="Arial" w:hAnsi="Arial"/>
          <w:sz w:val="16"/>
          <w:szCs w:val="16"/>
          <w:color w:val="262626"/>
        </w:rPr>
        <w:t>.</w:t>
      </w:r>
      <w:r>
        <w:rPr>
          <w:rFonts w:ascii="Arial" w:cs="Arial" w:eastAsia="Arial" w:hAnsi="Arial"/>
          <w:sz w:val="16"/>
          <w:szCs w:val="16"/>
          <w:color w:val="070707"/>
        </w:rPr>
        <w:t xml:space="preserve"> Such documentation must be provided to us within three (3) business days of your Strut Date, or our employment relationship with you may be tenninated.</w:t>
      </w:r>
    </w:p>
    <w:p>
      <w:pPr>
        <w:ind w:left="1160" w:hanging="578"/>
        <w:spacing w:after="0"/>
        <w:tabs>
          <w:tab w:leader="none" w:pos="1160" w:val="left"/>
        </w:tabs>
        <w:numPr>
          <w:ilvl w:val="0"/>
          <w:numId w:val="331"/>
        </w:numPr>
        <w:rPr>
          <w:rFonts w:ascii="Arial" w:cs="Arial" w:eastAsia="Arial" w:hAnsi="Arial"/>
          <w:sz w:val="16"/>
          <w:szCs w:val="16"/>
          <w:color w:val="auto"/>
        </w:rPr>
      </w:pPr>
      <w:r>
        <w:rPr>
          <w:rFonts w:ascii="Arial" w:cs="Arial" w:eastAsia="Arial" w:hAnsi="Arial"/>
          <w:sz w:val="16"/>
          <w:szCs w:val="16"/>
          <w:b w:val="1"/>
          <w:bCs w:val="1"/>
          <w:u w:val="single" w:color="auto"/>
          <w:color w:val="070707"/>
        </w:rPr>
        <w:t>Successors</w:t>
      </w:r>
      <w:r>
        <w:rPr>
          <w:rFonts w:ascii="Arial" w:cs="Arial" w:eastAsia="Arial" w:hAnsi="Arial"/>
          <w:sz w:val="16"/>
          <w:szCs w:val="16"/>
          <w:b w:val="1"/>
          <w:bCs w:val="1"/>
          <w:color w:val="070707"/>
        </w:rPr>
        <w:t>.</w:t>
      </w:r>
    </w:p>
    <w:p>
      <w:pPr>
        <w:spacing w:after="0" w:line="10" w:lineRule="exact"/>
        <w:rPr>
          <w:rFonts w:ascii="Arial" w:cs="Arial" w:eastAsia="Arial" w:hAnsi="Arial"/>
          <w:sz w:val="16"/>
          <w:szCs w:val="16"/>
          <w:color w:val="auto"/>
        </w:rPr>
      </w:pPr>
    </w:p>
    <w:p>
      <w:pPr>
        <w:ind w:right="500" w:firstLine="1167"/>
        <w:spacing w:after="0" w:line="254" w:lineRule="auto"/>
        <w:tabs>
          <w:tab w:leader="none" w:pos="1744" w:val="left"/>
        </w:tabs>
        <w:numPr>
          <w:ilvl w:val="1"/>
          <w:numId w:val="331"/>
        </w:numPr>
        <w:rPr>
          <w:rFonts w:ascii="Arial" w:cs="Arial" w:eastAsia="Arial" w:hAnsi="Arial"/>
          <w:sz w:val="16"/>
          <w:szCs w:val="16"/>
          <w:color w:val="auto"/>
        </w:rPr>
      </w:pPr>
      <w:r>
        <w:rPr>
          <w:rFonts w:ascii="Arial" w:cs="Arial" w:eastAsia="Arial" w:hAnsi="Arial"/>
          <w:sz w:val="16"/>
          <w:szCs w:val="16"/>
          <w:b w:val="1"/>
          <w:bCs w:val="1"/>
          <w:u w:val="single" w:color="auto"/>
          <w:color w:val="070707"/>
        </w:rPr>
        <w:t>Company's Successors</w:t>
      </w:r>
      <w:r>
        <w:rPr>
          <w:rFonts w:ascii="Arial" w:cs="Arial" w:eastAsia="Arial" w:hAnsi="Arial"/>
          <w:sz w:val="16"/>
          <w:szCs w:val="16"/>
          <w:b w:val="1"/>
          <w:bCs w:val="1"/>
          <w:color w:val="070707"/>
        </w:rPr>
        <w:t xml:space="preserve"> </w:t>
      </w:r>
      <w:r>
        <w:rPr>
          <w:rFonts w:ascii="Arial" w:cs="Arial" w:eastAsia="Arial" w:hAnsi="Arial"/>
          <w:sz w:val="16"/>
          <w:szCs w:val="16"/>
          <w:color w:val="070707"/>
        </w:rPr>
        <w:t>This Agreement shall be binding upon any successor (whether direct or indirect and whether by purchase</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lease</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merger, consolidation, liquidation or otherwise) to all or substantially all of the Company's business and/or assets</w:t>
      </w:r>
      <w:r>
        <w:rPr>
          <w:rFonts w:ascii="Arial" w:cs="Arial" w:eastAsia="Arial" w:hAnsi="Arial"/>
          <w:sz w:val="16"/>
          <w:szCs w:val="16"/>
          <w:color w:val="262626"/>
        </w:rPr>
        <w:t>.</w:t>
      </w:r>
      <w:r>
        <w:rPr>
          <w:rFonts w:ascii="Arial" w:cs="Arial" w:eastAsia="Arial" w:hAnsi="Arial"/>
          <w:sz w:val="16"/>
          <w:szCs w:val="16"/>
          <w:color w:val="070707"/>
        </w:rPr>
        <w:t xml:space="preserve"> For all purposes under this Agreement, the term "</w:t>
      </w:r>
      <w:r>
        <w:rPr>
          <w:rFonts w:ascii="Arial" w:cs="Arial" w:eastAsia="Arial" w:hAnsi="Arial"/>
          <w:sz w:val="16"/>
          <w:szCs w:val="16"/>
          <w:u w:val="single" w:color="auto"/>
          <w:color w:val="070707"/>
        </w:rPr>
        <w:t>Company</w:t>
      </w:r>
      <w:r>
        <w:rPr>
          <w:rFonts w:ascii="Arial" w:cs="Arial" w:eastAsia="Arial" w:hAnsi="Arial"/>
          <w:sz w:val="16"/>
          <w:szCs w:val="16"/>
          <w:color w:val="070707"/>
        </w:rPr>
        <w:t>" shall include any successor to the Company</w:t>
      </w:r>
      <w:r>
        <w:rPr>
          <w:rFonts w:ascii="Arial" w:cs="Arial" w:eastAsia="Arial" w:hAnsi="Arial"/>
          <w:sz w:val="16"/>
          <w:szCs w:val="16"/>
          <w:color w:val="262626"/>
        </w:rPr>
        <w:t>'</w:t>
      </w:r>
      <w:r>
        <w:rPr>
          <w:rFonts w:ascii="Arial" w:cs="Arial" w:eastAsia="Arial" w:hAnsi="Arial"/>
          <w:sz w:val="16"/>
          <w:szCs w:val="16"/>
          <w:color w:val="070707"/>
        </w:rPr>
        <w:t xml:space="preserve">s business or assets </w:t>
      </w:r>
      <w:r>
        <w:rPr>
          <w:rFonts w:ascii="Arial" w:cs="Arial" w:eastAsia="Arial" w:hAnsi="Arial"/>
          <w:sz w:val="16"/>
          <w:szCs w:val="16"/>
          <w:color w:val="040404"/>
        </w:rPr>
        <w:t>that becomes bound by this Agreement.</w:t>
      </w:r>
    </w:p>
    <w:p>
      <w:pPr>
        <w:ind w:right="260" w:firstLine="1167"/>
        <w:spacing w:after="0" w:line="254" w:lineRule="auto"/>
        <w:tabs>
          <w:tab w:leader="none" w:pos="1754" w:val="left"/>
        </w:tabs>
        <w:numPr>
          <w:ilvl w:val="1"/>
          <w:numId w:val="331"/>
        </w:numPr>
        <w:rPr>
          <w:rFonts w:ascii="Arial" w:cs="Arial" w:eastAsia="Arial" w:hAnsi="Arial"/>
          <w:sz w:val="16"/>
          <w:szCs w:val="16"/>
          <w:color w:val="auto"/>
        </w:rPr>
      </w:pPr>
      <w:r>
        <w:rPr>
          <w:rFonts w:ascii="Arial" w:cs="Arial" w:eastAsia="Arial" w:hAnsi="Arial"/>
          <w:sz w:val="16"/>
          <w:szCs w:val="16"/>
          <w:b w:val="1"/>
          <w:bCs w:val="1"/>
          <w:u w:val="single" w:color="auto"/>
          <w:color w:val="040404"/>
        </w:rPr>
        <w:t>Your Successors</w:t>
      </w:r>
      <w:r>
        <w:rPr>
          <w:rFonts w:ascii="Arial" w:cs="Arial" w:eastAsia="Arial" w:hAnsi="Arial"/>
          <w:sz w:val="16"/>
          <w:szCs w:val="16"/>
          <w:b w:val="1"/>
          <w:bCs w:val="1"/>
          <w:color w:val="040404"/>
        </w:rPr>
        <w:t xml:space="preserve"> </w:t>
      </w:r>
      <w:r>
        <w:rPr>
          <w:rFonts w:ascii="Arial" w:cs="Arial" w:eastAsia="Arial" w:hAnsi="Arial"/>
          <w:sz w:val="16"/>
          <w:szCs w:val="16"/>
          <w:color w:val="040404"/>
        </w:rPr>
        <w:t>This Agreement and all of your rights hereunder shall inure to the benefit of</w:t>
      </w:r>
      <w:r>
        <w:rPr>
          <w:rFonts w:ascii="Arial" w:cs="Arial" w:eastAsia="Arial" w:hAnsi="Arial"/>
          <w:sz w:val="16"/>
          <w:szCs w:val="16"/>
          <w:color w:val="1C1C1C"/>
        </w:rPr>
        <w:t>,</w:t>
      </w:r>
      <w:r>
        <w:rPr>
          <w:rFonts w:ascii="Arial" w:cs="Arial" w:eastAsia="Arial" w:hAnsi="Arial"/>
          <w:sz w:val="16"/>
          <w:szCs w:val="16"/>
          <w:b w:val="1"/>
          <w:bCs w:val="1"/>
          <w:color w:val="040404"/>
        </w:rPr>
        <w:t xml:space="preserve"> </w:t>
      </w:r>
      <w:r>
        <w:rPr>
          <w:rFonts w:ascii="Arial" w:cs="Arial" w:eastAsia="Arial" w:hAnsi="Arial"/>
          <w:sz w:val="16"/>
          <w:szCs w:val="16"/>
          <w:color w:val="040404"/>
        </w:rPr>
        <w:t>and be enforceable by</w:t>
      </w:r>
      <w:r>
        <w:rPr>
          <w:rFonts w:ascii="Arial" w:cs="Arial" w:eastAsia="Arial" w:hAnsi="Arial"/>
          <w:sz w:val="16"/>
          <w:szCs w:val="16"/>
          <w:color w:val="1C1C1C"/>
        </w:rPr>
        <w:t>,</w:t>
      </w:r>
      <w:r>
        <w:rPr>
          <w:rFonts w:ascii="Arial" w:cs="Arial" w:eastAsia="Arial" w:hAnsi="Arial"/>
          <w:sz w:val="16"/>
          <w:szCs w:val="16"/>
          <w:b w:val="1"/>
          <w:bCs w:val="1"/>
          <w:color w:val="040404"/>
        </w:rPr>
        <w:t xml:space="preserve"> </w:t>
      </w:r>
      <w:r>
        <w:rPr>
          <w:rFonts w:ascii="Arial" w:cs="Arial" w:eastAsia="Arial" w:hAnsi="Arial"/>
          <w:sz w:val="16"/>
          <w:szCs w:val="16"/>
          <w:color w:val="040404"/>
        </w:rPr>
        <w:t>your personal or</w:t>
      </w:r>
      <w:r>
        <w:rPr>
          <w:rFonts w:ascii="Arial" w:cs="Arial" w:eastAsia="Arial" w:hAnsi="Arial"/>
          <w:sz w:val="16"/>
          <w:szCs w:val="16"/>
          <w:b w:val="1"/>
          <w:bCs w:val="1"/>
          <w:color w:val="040404"/>
        </w:rPr>
        <w:t xml:space="preserve"> </w:t>
      </w:r>
      <w:r>
        <w:rPr>
          <w:rFonts w:ascii="Arial" w:cs="Arial" w:eastAsia="Arial" w:hAnsi="Arial"/>
          <w:sz w:val="16"/>
          <w:szCs w:val="16"/>
          <w:color w:val="040404"/>
        </w:rPr>
        <w:t>legal representatives</w:t>
      </w:r>
      <w:r>
        <w:rPr>
          <w:rFonts w:ascii="Arial" w:cs="Arial" w:eastAsia="Arial" w:hAnsi="Arial"/>
          <w:sz w:val="16"/>
          <w:szCs w:val="16"/>
          <w:color w:val="1C1C1C"/>
        </w:rPr>
        <w:t>,</w:t>
      </w:r>
      <w:r>
        <w:rPr>
          <w:rFonts w:ascii="Arial" w:cs="Arial" w:eastAsia="Arial" w:hAnsi="Arial"/>
          <w:sz w:val="16"/>
          <w:szCs w:val="16"/>
          <w:color w:val="040404"/>
        </w:rPr>
        <w:t xml:space="preserve"> executors</w:t>
      </w:r>
      <w:r>
        <w:rPr>
          <w:rFonts w:ascii="Arial" w:cs="Arial" w:eastAsia="Arial" w:hAnsi="Arial"/>
          <w:sz w:val="16"/>
          <w:szCs w:val="16"/>
          <w:color w:val="1C1C1C"/>
        </w:rPr>
        <w:t>,</w:t>
      </w:r>
      <w:r>
        <w:rPr>
          <w:rFonts w:ascii="Arial" w:cs="Arial" w:eastAsia="Arial" w:hAnsi="Arial"/>
          <w:sz w:val="16"/>
          <w:szCs w:val="16"/>
          <w:color w:val="040404"/>
        </w:rPr>
        <w:t xml:space="preserve"> administrators</w:t>
      </w:r>
      <w:r>
        <w:rPr>
          <w:rFonts w:ascii="Arial" w:cs="Arial" w:eastAsia="Arial" w:hAnsi="Arial"/>
          <w:sz w:val="16"/>
          <w:szCs w:val="16"/>
          <w:color w:val="1C1C1C"/>
        </w:rPr>
        <w:t>,</w:t>
      </w:r>
      <w:r>
        <w:rPr>
          <w:rFonts w:ascii="Arial" w:cs="Arial" w:eastAsia="Arial" w:hAnsi="Arial"/>
          <w:sz w:val="16"/>
          <w:szCs w:val="16"/>
          <w:color w:val="040404"/>
        </w:rPr>
        <w:t xml:space="preserve"> successors</w:t>
      </w:r>
      <w:r>
        <w:rPr>
          <w:rFonts w:ascii="Arial" w:cs="Arial" w:eastAsia="Arial" w:hAnsi="Arial"/>
          <w:sz w:val="16"/>
          <w:szCs w:val="16"/>
          <w:color w:val="1C1C1C"/>
        </w:rPr>
        <w:t>,</w:t>
      </w:r>
      <w:r>
        <w:rPr>
          <w:rFonts w:ascii="Arial" w:cs="Arial" w:eastAsia="Arial" w:hAnsi="Arial"/>
          <w:sz w:val="16"/>
          <w:szCs w:val="16"/>
          <w:color w:val="040404"/>
        </w:rPr>
        <w:t xml:space="preserve"> heirs, distributees, devisees and legatees</w:t>
      </w:r>
      <w:r>
        <w:rPr>
          <w:rFonts w:ascii="Arial" w:cs="Arial" w:eastAsia="Arial" w:hAnsi="Arial"/>
          <w:sz w:val="16"/>
          <w:szCs w:val="16"/>
          <w:color w:val="414141"/>
        </w:rPr>
        <w:t>.</w:t>
      </w:r>
    </w:p>
    <w:p>
      <w:pPr>
        <w:ind w:left="1160" w:hanging="578"/>
        <w:spacing w:after="0"/>
        <w:tabs>
          <w:tab w:leader="none" w:pos="1160" w:val="left"/>
        </w:tabs>
        <w:numPr>
          <w:ilvl w:val="0"/>
          <w:numId w:val="331"/>
        </w:numPr>
        <w:rPr>
          <w:rFonts w:ascii="Arial" w:cs="Arial" w:eastAsia="Arial" w:hAnsi="Arial"/>
          <w:sz w:val="16"/>
          <w:szCs w:val="16"/>
          <w:color w:val="auto"/>
        </w:rPr>
      </w:pPr>
      <w:r>
        <w:rPr>
          <w:rFonts w:ascii="Arial" w:cs="Arial" w:eastAsia="Arial" w:hAnsi="Arial"/>
          <w:sz w:val="16"/>
          <w:szCs w:val="16"/>
          <w:b w:val="1"/>
          <w:bCs w:val="1"/>
          <w:u w:val="single" w:color="auto"/>
          <w:color w:val="040404"/>
        </w:rPr>
        <w:t>Miscellaneous Provisions</w:t>
      </w:r>
      <w:r>
        <w:rPr>
          <w:rFonts w:ascii="Arial" w:cs="Arial" w:eastAsia="Arial" w:hAnsi="Arial"/>
          <w:sz w:val="16"/>
          <w:szCs w:val="16"/>
          <w:b w:val="1"/>
          <w:bCs w:val="1"/>
          <w:color w:val="040404"/>
        </w:rPr>
        <w:t>.</w:t>
      </w:r>
    </w:p>
    <w:p>
      <w:pPr>
        <w:spacing w:after="0" w:line="10" w:lineRule="exact"/>
        <w:rPr>
          <w:rFonts w:ascii="Arial" w:cs="Arial" w:eastAsia="Arial" w:hAnsi="Arial"/>
          <w:sz w:val="16"/>
          <w:szCs w:val="16"/>
          <w:color w:val="auto"/>
        </w:rPr>
      </w:pPr>
    </w:p>
    <w:p>
      <w:pPr>
        <w:ind w:left="1740" w:hanging="573"/>
        <w:spacing w:after="0"/>
        <w:tabs>
          <w:tab w:leader="none" w:pos="1740" w:val="left"/>
        </w:tabs>
        <w:numPr>
          <w:ilvl w:val="1"/>
          <w:numId w:val="331"/>
        </w:numPr>
        <w:rPr>
          <w:rFonts w:ascii="Arial" w:cs="Arial" w:eastAsia="Arial" w:hAnsi="Arial"/>
          <w:sz w:val="15"/>
          <w:szCs w:val="15"/>
          <w:color w:val="auto"/>
        </w:rPr>
      </w:pPr>
      <w:r>
        <w:rPr>
          <w:rFonts w:ascii="Arial" w:cs="Arial" w:eastAsia="Arial" w:hAnsi="Arial"/>
          <w:sz w:val="15"/>
          <w:szCs w:val="15"/>
          <w:b w:val="1"/>
          <w:bCs w:val="1"/>
          <w:u w:val="single" w:color="auto"/>
          <w:color w:val="040404"/>
        </w:rPr>
        <w:t>Notice</w:t>
      </w:r>
      <w:r>
        <w:rPr>
          <w:rFonts w:ascii="Arial" w:cs="Arial" w:eastAsia="Arial" w:hAnsi="Arial"/>
          <w:sz w:val="15"/>
          <w:szCs w:val="15"/>
          <w:b w:val="1"/>
          <w:bCs w:val="1"/>
          <w:color w:val="040404"/>
        </w:rPr>
        <w:t xml:space="preserve">.  </w:t>
      </w:r>
      <w:r>
        <w:rPr>
          <w:rFonts w:ascii="Arial" w:cs="Arial" w:eastAsia="Arial" w:hAnsi="Arial"/>
          <w:sz w:val="15"/>
          <w:szCs w:val="15"/>
          <w:color w:val="040404"/>
        </w:rPr>
        <w:t>Notices and all other communications contemplated by this Agreement shall be in writing and shall be deemed to have been duly</w:t>
      </w:r>
    </w:p>
    <w:p>
      <w:pPr>
        <w:spacing w:after="0" w:line="22" w:lineRule="exact"/>
        <w:rPr>
          <w:sz w:val="20"/>
          <w:szCs w:val="20"/>
          <w:color w:val="auto"/>
        </w:rPr>
      </w:pPr>
    </w:p>
    <w:p>
      <w:pPr>
        <w:jc w:val="both"/>
        <w:ind w:right="280"/>
        <w:spacing w:after="0" w:line="254" w:lineRule="auto"/>
        <w:rPr>
          <w:sz w:val="20"/>
          <w:szCs w:val="20"/>
          <w:color w:val="auto"/>
        </w:rPr>
      </w:pPr>
      <w:r>
        <w:rPr>
          <w:rFonts w:ascii="Arial" w:cs="Arial" w:eastAsia="Arial" w:hAnsi="Arial"/>
          <w:sz w:val="16"/>
          <w:szCs w:val="16"/>
          <w:color w:val="040404"/>
        </w:rPr>
        <w:t>given when personally delivered or when mailed by U.S</w:t>
      </w:r>
      <w:r>
        <w:rPr>
          <w:rFonts w:ascii="Arial" w:cs="Arial" w:eastAsia="Arial" w:hAnsi="Arial"/>
          <w:sz w:val="16"/>
          <w:szCs w:val="16"/>
          <w:color w:val="1C1C1C"/>
        </w:rPr>
        <w:t>.</w:t>
      </w:r>
      <w:r>
        <w:rPr>
          <w:rFonts w:ascii="Arial" w:cs="Arial" w:eastAsia="Arial" w:hAnsi="Arial"/>
          <w:sz w:val="16"/>
          <w:szCs w:val="16"/>
          <w:color w:val="040404"/>
        </w:rPr>
        <w:t xml:space="preserve"> registered or certified mail</w:t>
      </w:r>
      <w:r>
        <w:rPr>
          <w:rFonts w:ascii="Arial" w:cs="Arial" w:eastAsia="Arial" w:hAnsi="Arial"/>
          <w:sz w:val="16"/>
          <w:szCs w:val="16"/>
          <w:color w:val="1C1C1C"/>
        </w:rPr>
        <w:t>,</w:t>
      </w:r>
      <w:r>
        <w:rPr>
          <w:rFonts w:ascii="Arial" w:cs="Arial" w:eastAsia="Arial" w:hAnsi="Arial"/>
          <w:sz w:val="16"/>
          <w:szCs w:val="16"/>
          <w:color w:val="040404"/>
        </w:rPr>
        <w:t xml:space="preserve"> return receipt requested and postage prepaid. In your case, mailed notices shall be addressed to you at the home address that you most recently communicated to the Company in writing. In the case of the Company, mailed notices shall be addressed to its corporate headquarters, and all notices shall be directed to the attention ofits Secretary.</w:t>
      </w:r>
    </w:p>
    <w:p>
      <w:pPr>
        <w:ind w:right="120" w:firstLine="1167"/>
        <w:spacing w:after="0" w:line="254" w:lineRule="auto"/>
        <w:tabs>
          <w:tab w:leader="none" w:pos="1754" w:val="left"/>
        </w:tabs>
        <w:numPr>
          <w:ilvl w:val="0"/>
          <w:numId w:val="332"/>
        </w:numPr>
        <w:rPr>
          <w:rFonts w:ascii="Arial" w:cs="Arial" w:eastAsia="Arial" w:hAnsi="Arial"/>
          <w:sz w:val="16"/>
          <w:szCs w:val="16"/>
          <w:color w:val="auto"/>
        </w:rPr>
      </w:pPr>
      <w:r>
        <w:rPr>
          <w:rFonts w:ascii="Arial" w:cs="Arial" w:eastAsia="Arial" w:hAnsi="Arial"/>
          <w:sz w:val="16"/>
          <w:szCs w:val="16"/>
          <w:b w:val="1"/>
          <w:bCs w:val="1"/>
          <w:u w:val="single" w:color="auto"/>
          <w:color w:val="040404"/>
        </w:rPr>
        <w:t>Modifications and Waivers</w:t>
      </w:r>
      <w:r>
        <w:rPr>
          <w:rFonts w:ascii="Arial" w:cs="Arial" w:eastAsia="Arial" w:hAnsi="Arial"/>
          <w:sz w:val="16"/>
          <w:szCs w:val="16"/>
          <w:b w:val="1"/>
          <w:bCs w:val="1"/>
          <w:color w:val="040404"/>
        </w:rPr>
        <w:t xml:space="preserve">. </w:t>
      </w:r>
      <w:r>
        <w:rPr>
          <w:rFonts w:ascii="Arial" w:cs="Arial" w:eastAsia="Arial" w:hAnsi="Arial"/>
          <w:sz w:val="16"/>
          <w:szCs w:val="16"/>
          <w:color w:val="040404"/>
        </w:rPr>
        <w:t>No provision of this Agreement shall be modified, waived or discharged unless the modification, waiver or</w:t>
      </w:r>
      <w:r>
        <w:rPr>
          <w:rFonts w:ascii="Arial" w:cs="Arial" w:eastAsia="Arial" w:hAnsi="Arial"/>
          <w:sz w:val="16"/>
          <w:szCs w:val="16"/>
          <w:b w:val="1"/>
          <w:bCs w:val="1"/>
          <w:color w:val="040404"/>
        </w:rPr>
        <w:t xml:space="preserve"> </w:t>
      </w:r>
      <w:r>
        <w:rPr>
          <w:rFonts w:ascii="Arial" w:cs="Arial" w:eastAsia="Arial" w:hAnsi="Arial"/>
          <w:sz w:val="16"/>
          <w:szCs w:val="16"/>
          <w:color w:val="040404"/>
        </w:rPr>
        <w:t>discharge is agreed to in writing and signed by you and by an authorized officer of the Company (other than you)</w:t>
      </w:r>
      <w:r>
        <w:rPr>
          <w:rFonts w:ascii="Arial" w:cs="Arial" w:eastAsia="Arial" w:hAnsi="Arial"/>
          <w:sz w:val="16"/>
          <w:szCs w:val="16"/>
          <w:color w:val="1C1C1C"/>
        </w:rPr>
        <w:t>.</w:t>
      </w:r>
      <w:r>
        <w:rPr>
          <w:rFonts w:ascii="Arial" w:cs="Arial" w:eastAsia="Arial" w:hAnsi="Arial"/>
          <w:sz w:val="16"/>
          <w:szCs w:val="16"/>
          <w:color w:val="040404"/>
        </w:rPr>
        <w:t xml:space="preserve"> No waiver by either party of any breach of, or of compliance with, any condition or provision of this Agreement by the other party shall be considered a waiver of any other condition or provision or of the same condition or provision at another time.</w:t>
      </w:r>
    </w:p>
    <w:p>
      <w:pPr>
        <w:ind w:right="240" w:firstLine="1167"/>
        <w:spacing w:after="0" w:line="261" w:lineRule="auto"/>
        <w:tabs>
          <w:tab w:leader="none" w:pos="1744" w:val="left"/>
        </w:tabs>
        <w:numPr>
          <w:ilvl w:val="0"/>
          <w:numId w:val="332"/>
        </w:numPr>
        <w:rPr>
          <w:rFonts w:ascii="Arial" w:cs="Arial" w:eastAsia="Arial" w:hAnsi="Arial"/>
          <w:sz w:val="16"/>
          <w:szCs w:val="16"/>
          <w:color w:val="auto"/>
        </w:rPr>
      </w:pPr>
      <w:r>
        <w:rPr>
          <w:rFonts w:ascii="Arial" w:cs="Arial" w:eastAsia="Arial" w:hAnsi="Arial"/>
          <w:sz w:val="16"/>
          <w:szCs w:val="16"/>
          <w:b w:val="1"/>
          <w:bCs w:val="1"/>
          <w:u w:val="single" w:color="auto"/>
          <w:color w:val="040404"/>
        </w:rPr>
        <w:t>Whole Agreement</w:t>
      </w:r>
      <w:r>
        <w:rPr>
          <w:rFonts w:ascii="Arial" w:cs="Arial" w:eastAsia="Arial" w:hAnsi="Arial"/>
          <w:sz w:val="16"/>
          <w:szCs w:val="16"/>
          <w:b w:val="1"/>
          <w:bCs w:val="1"/>
          <w:color w:val="040404"/>
        </w:rPr>
        <w:t xml:space="preserve">. </w:t>
      </w:r>
      <w:r>
        <w:rPr>
          <w:rFonts w:ascii="Arial" w:cs="Arial" w:eastAsia="Arial" w:hAnsi="Arial"/>
          <w:sz w:val="16"/>
          <w:szCs w:val="16"/>
          <w:color w:val="040404"/>
        </w:rPr>
        <w:t>No other agreements</w:t>
      </w:r>
      <w:r>
        <w:rPr>
          <w:rFonts w:ascii="Arial" w:cs="Arial" w:eastAsia="Arial" w:hAnsi="Arial"/>
          <w:sz w:val="16"/>
          <w:szCs w:val="16"/>
          <w:color w:val="1C1C1C"/>
        </w:rPr>
        <w:t>,</w:t>
      </w:r>
      <w:r>
        <w:rPr>
          <w:rFonts w:ascii="Arial" w:cs="Arial" w:eastAsia="Arial" w:hAnsi="Arial"/>
          <w:sz w:val="16"/>
          <w:szCs w:val="16"/>
          <w:b w:val="1"/>
          <w:bCs w:val="1"/>
          <w:color w:val="040404"/>
        </w:rPr>
        <w:t xml:space="preserve"> </w:t>
      </w:r>
      <w:r>
        <w:rPr>
          <w:rFonts w:ascii="Arial" w:cs="Arial" w:eastAsia="Arial" w:hAnsi="Arial"/>
          <w:sz w:val="16"/>
          <w:szCs w:val="16"/>
          <w:color w:val="040404"/>
        </w:rPr>
        <w:t>representations or understandings (whether oral or written and whether express or implied) which</w:t>
      </w:r>
      <w:r>
        <w:rPr>
          <w:rFonts w:ascii="Arial" w:cs="Arial" w:eastAsia="Arial" w:hAnsi="Arial"/>
          <w:sz w:val="16"/>
          <w:szCs w:val="16"/>
          <w:b w:val="1"/>
          <w:bCs w:val="1"/>
          <w:color w:val="040404"/>
        </w:rPr>
        <w:t xml:space="preserve"> </w:t>
      </w:r>
      <w:r>
        <w:rPr>
          <w:rFonts w:ascii="Arial" w:cs="Arial" w:eastAsia="Arial" w:hAnsi="Arial"/>
          <w:sz w:val="16"/>
          <w:szCs w:val="16"/>
          <w:color w:val="040404"/>
        </w:rPr>
        <w:t>are not expressly set forth in this Agreement have been made or entered into by either party with respect to the subject matter hereof. This Agreement and the Confidentiality Agreement contain the entire understanding of the parties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00"/>
          </w:cols>
          <w:pgMar w:left="320" w:top="1292" w:right="379" w:bottom="1440" w:gutter="0" w:footer="0" w:header="0"/>
        </w:sectPr>
      </w:pPr>
    </w:p>
    <w:bookmarkStart w:id="451" w:name="page452"/>
    <w:bookmarkEnd w:id="451"/>
    <w:p>
      <w:pPr>
        <w:ind w:left="1160"/>
        <w:spacing w:after="0"/>
        <w:tabs>
          <w:tab w:leader="none" w:pos="1740" w:val="left"/>
        </w:tabs>
        <w:rPr>
          <w:sz w:val="20"/>
          <w:szCs w:val="20"/>
          <w:color w:val="auto"/>
        </w:rPr>
      </w:pPr>
      <w:r>
        <w:rPr>
          <w:rFonts w:ascii="Arial" w:cs="Arial" w:eastAsia="Arial" w:hAnsi="Arial"/>
          <w:sz w:val="15"/>
          <w:szCs w:val="15"/>
          <w:color w:val="auto"/>
        </w:rPr>
        <w:t>d.</w:t>
      </w:r>
      <w:r>
        <w:rPr>
          <w:sz w:val="20"/>
          <w:szCs w:val="20"/>
          <w:color w:val="auto"/>
        </w:rPr>
        <w:tab/>
      </w:r>
      <w:r>
        <w:rPr>
          <w:rFonts w:ascii="Arial" w:cs="Arial" w:eastAsia="Arial" w:hAnsi="Arial"/>
          <w:sz w:val="15"/>
          <w:szCs w:val="15"/>
          <w:b w:val="1"/>
          <w:bCs w:val="1"/>
          <w:u w:val="single" w:color="auto"/>
          <w:color w:val="040404"/>
        </w:rPr>
        <w:t>Withholding Taxes</w:t>
      </w:r>
      <w:r>
        <w:rPr>
          <w:rFonts w:ascii="Arial" w:cs="Arial" w:eastAsia="Arial" w:hAnsi="Arial"/>
          <w:sz w:val="15"/>
          <w:szCs w:val="15"/>
          <w:b w:val="1"/>
          <w:bCs w:val="1"/>
          <w:color w:val="040404"/>
        </w:rPr>
        <w:t xml:space="preserve">.  </w:t>
      </w:r>
      <w:r>
        <w:rPr>
          <w:rFonts w:ascii="Arial" w:cs="Arial" w:eastAsia="Arial" w:hAnsi="Arial"/>
          <w:sz w:val="15"/>
          <w:szCs w:val="15"/>
          <w:color w:val="040404"/>
        </w:rPr>
        <w:t>All payments made under this Agreement shall be subject to reduction to reflect taxes or other charges required to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040404"/>
        </w:rPr>
        <w:t>withheld by law.</w:t>
      </w:r>
    </w:p>
    <w:p>
      <w:pPr>
        <w:spacing w:after="0" w:line="11" w:lineRule="exact"/>
        <w:rPr>
          <w:sz w:val="20"/>
          <w:szCs w:val="20"/>
          <w:color w:val="auto"/>
        </w:rPr>
      </w:pPr>
    </w:p>
    <w:p>
      <w:pPr>
        <w:ind w:firstLine="1167"/>
        <w:spacing w:after="0" w:line="271" w:lineRule="auto"/>
        <w:tabs>
          <w:tab w:leader="none" w:pos="1744" w:val="left"/>
        </w:tabs>
        <w:numPr>
          <w:ilvl w:val="0"/>
          <w:numId w:val="333"/>
        </w:numPr>
        <w:rPr>
          <w:rFonts w:ascii="Arial" w:cs="Arial" w:eastAsia="Arial" w:hAnsi="Arial"/>
          <w:sz w:val="15"/>
          <w:szCs w:val="15"/>
          <w:color w:val="auto"/>
        </w:rPr>
      </w:pPr>
      <w:r>
        <w:rPr>
          <w:rFonts w:ascii="Arial" w:cs="Arial" w:eastAsia="Arial" w:hAnsi="Arial"/>
          <w:sz w:val="15"/>
          <w:szCs w:val="15"/>
          <w:b w:val="1"/>
          <w:bCs w:val="1"/>
          <w:u w:val="single" w:color="auto"/>
          <w:color w:val="040404"/>
        </w:rPr>
        <w:t>Choice of Law and Severability</w:t>
      </w:r>
      <w:r>
        <w:rPr>
          <w:rFonts w:ascii="Arial" w:cs="Arial" w:eastAsia="Arial" w:hAnsi="Arial"/>
          <w:sz w:val="15"/>
          <w:szCs w:val="15"/>
          <w:b w:val="1"/>
          <w:bCs w:val="1"/>
          <w:color w:val="040404"/>
        </w:rPr>
        <w:t xml:space="preserve">. </w:t>
      </w:r>
      <w:r>
        <w:rPr>
          <w:rFonts w:ascii="Arial" w:cs="Arial" w:eastAsia="Arial" w:hAnsi="Arial"/>
          <w:sz w:val="15"/>
          <w:szCs w:val="15"/>
          <w:color w:val="040404"/>
        </w:rPr>
        <w:t>This Agreement shall be interpreted in accordance with the laws of the State of California without giving</w:t>
      </w:r>
      <w:r>
        <w:rPr>
          <w:rFonts w:ascii="Arial" w:cs="Arial" w:eastAsia="Arial" w:hAnsi="Arial"/>
          <w:sz w:val="15"/>
          <w:szCs w:val="15"/>
          <w:b w:val="1"/>
          <w:bCs w:val="1"/>
          <w:color w:val="040404"/>
        </w:rPr>
        <w:t xml:space="preserve"> </w:t>
      </w:r>
      <w:r>
        <w:rPr>
          <w:rFonts w:ascii="Arial" w:cs="Arial" w:eastAsia="Arial" w:hAnsi="Arial"/>
          <w:sz w:val="15"/>
          <w:szCs w:val="15"/>
          <w:color w:val="040404"/>
        </w:rPr>
        <w:t>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w:t>
      </w:r>
      <w:r>
        <w:rPr>
          <w:rFonts w:ascii="Arial" w:cs="Arial" w:eastAsia="Arial" w:hAnsi="Arial"/>
          <w:sz w:val="15"/>
          <w:szCs w:val="15"/>
          <w:color w:val="1C1C1C"/>
        </w:rPr>
        <w:t>,</w:t>
      </w:r>
      <w:r>
        <w:rPr>
          <w:rFonts w:ascii="Arial" w:cs="Arial" w:eastAsia="Arial" w:hAnsi="Arial"/>
          <w:sz w:val="15"/>
          <w:szCs w:val="15"/>
          <w:color w:val="040404"/>
        </w:rPr>
        <w:t xml:space="preserve">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that provision shall be curtailed or limited only to the minimum extent necessary to bring the provision into compliance with the Law. All the other terms and provisions of this Agreement shall continue in full force and effect without impairment or limitation</w:t>
      </w:r>
      <w:r>
        <w:rPr>
          <w:rFonts w:ascii="Arial" w:cs="Arial" w:eastAsia="Arial" w:hAnsi="Arial"/>
          <w:sz w:val="15"/>
          <w:szCs w:val="15"/>
          <w:color w:val="1C1C1C"/>
        </w:rPr>
        <w:t>.</w:t>
      </w:r>
    </w:p>
    <w:p>
      <w:pPr>
        <w:jc w:val="both"/>
        <w:ind w:right="100" w:firstLine="1167"/>
        <w:spacing w:after="0" w:line="254" w:lineRule="auto"/>
        <w:tabs>
          <w:tab w:leader="none" w:pos="1751" w:val="left"/>
        </w:tabs>
        <w:numPr>
          <w:ilvl w:val="0"/>
          <w:numId w:val="333"/>
        </w:numPr>
        <w:rPr>
          <w:rFonts w:ascii="Arial" w:cs="Arial" w:eastAsia="Arial" w:hAnsi="Arial"/>
          <w:sz w:val="16"/>
          <w:szCs w:val="16"/>
          <w:color w:val="auto"/>
        </w:rPr>
      </w:pPr>
      <w:r>
        <w:rPr>
          <w:rFonts w:ascii="Arial" w:cs="Arial" w:eastAsia="Arial" w:hAnsi="Arial"/>
          <w:sz w:val="16"/>
          <w:szCs w:val="16"/>
          <w:b w:val="1"/>
          <w:bCs w:val="1"/>
          <w:u w:val="single" w:color="auto"/>
          <w:color w:val="040404"/>
        </w:rPr>
        <w:t>No Assignment</w:t>
      </w:r>
      <w:r>
        <w:rPr>
          <w:rFonts w:ascii="Arial" w:cs="Arial" w:eastAsia="Arial" w:hAnsi="Arial"/>
          <w:sz w:val="16"/>
          <w:szCs w:val="16"/>
          <w:b w:val="1"/>
          <w:bCs w:val="1"/>
          <w:color w:val="040404"/>
        </w:rPr>
        <w:t xml:space="preserve">, </w:t>
      </w:r>
      <w:r>
        <w:rPr>
          <w:rFonts w:ascii="Arial" w:cs="Arial" w:eastAsia="Arial" w:hAnsi="Arial"/>
          <w:sz w:val="16"/>
          <w:szCs w:val="16"/>
          <w:color w:val="040404"/>
        </w:rPr>
        <w:t>This Agreement and all of your rights and obligations hereunder are personal to you and may not be transferred or assigned</w:t>
      </w:r>
      <w:r>
        <w:rPr>
          <w:rFonts w:ascii="Arial" w:cs="Arial" w:eastAsia="Arial" w:hAnsi="Arial"/>
          <w:sz w:val="16"/>
          <w:szCs w:val="16"/>
          <w:b w:val="1"/>
          <w:bCs w:val="1"/>
          <w:color w:val="040404"/>
        </w:rPr>
        <w:t xml:space="preserve"> </w:t>
      </w:r>
      <w:r>
        <w:rPr>
          <w:rFonts w:ascii="Arial" w:cs="Arial" w:eastAsia="Arial" w:hAnsi="Arial"/>
          <w:sz w:val="16"/>
          <w:szCs w:val="16"/>
          <w:color w:val="040404"/>
        </w:rPr>
        <w:t>by you at any time</w:t>
      </w:r>
      <w:r>
        <w:rPr>
          <w:rFonts w:ascii="Arial" w:cs="Arial" w:eastAsia="Arial" w:hAnsi="Arial"/>
          <w:sz w:val="16"/>
          <w:szCs w:val="16"/>
          <w:color w:val="1C1C1C"/>
        </w:rPr>
        <w:t>.</w:t>
      </w:r>
      <w:r>
        <w:rPr>
          <w:rFonts w:ascii="Arial" w:cs="Arial" w:eastAsia="Arial" w:hAnsi="Arial"/>
          <w:sz w:val="16"/>
          <w:szCs w:val="16"/>
          <w:color w:val="040404"/>
        </w:rPr>
        <w:t xml:space="preserve"> The Company may assign its rights under this Agreement to any entity that assumes the Company</w:t>
      </w:r>
      <w:r>
        <w:rPr>
          <w:rFonts w:ascii="Arial" w:cs="Arial" w:eastAsia="Arial" w:hAnsi="Arial"/>
          <w:sz w:val="16"/>
          <w:szCs w:val="16"/>
          <w:color w:val="1C1C1C"/>
        </w:rPr>
        <w:t>'</w:t>
      </w:r>
      <w:r>
        <w:rPr>
          <w:rFonts w:ascii="Arial" w:cs="Arial" w:eastAsia="Arial" w:hAnsi="Arial"/>
          <w:sz w:val="16"/>
          <w:szCs w:val="16"/>
          <w:color w:val="040404"/>
        </w:rPr>
        <w:t>s obligations hereunder in connection with any sale or transfer of all or a substantial portion of the Company</w:t>
      </w:r>
      <w:r>
        <w:rPr>
          <w:rFonts w:ascii="Arial" w:cs="Arial" w:eastAsia="Arial" w:hAnsi="Arial"/>
          <w:sz w:val="16"/>
          <w:szCs w:val="16"/>
          <w:color w:val="1C1C1C"/>
        </w:rPr>
        <w:t>'</w:t>
      </w:r>
      <w:r>
        <w:rPr>
          <w:rFonts w:ascii="Arial" w:cs="Arial" w:eastAsia="Arial" w:hAnsi="Arial"/>
          <w:sz w:val="16"/>
          <w:szCs w:val="16"/>
          <w:color w:val="040404"/>
        </w:rPr>
        <w:t>s assets to such entity</w:t>
      </w:r>
      <w:r>
        <w:rPr>
          <w:rFonts w:ascii="Arial" w:cs="Arial" w:eastAsia="Arial" w:hAnsi="Arial"/>
          <w:sz w:val="16"/>
          <w:szCs w:val="16"/>
          <w:color w:val="414141"/>
        </w:rPr>
        <w:t>.</w:t>
      </w:r>
    </w:p>
    <w:p>
      <w:pPr>
        <w:ind w:right="400" w:firstLine="1167"/>
        <w:spacing w:after="0" w:line="272" w:lineRule="auto"/>
        <w:tabs>
          <w:tab w:leader="none" w:pos="1754" w:val="left"/>
        </w:tabs>
        <w:numPr>
          <w:ilvl w:val="0"/>
          <w:numId w:val="333"/>
        </w:numPr>
        <w:rPr>
          <w:rFonts w:ascii="Arial" w:cs="Arial" w:eastAsia="Arial" w:hAnsi="Arial"/>
          <w:sz w:val="16"/>
          <w:szCs w:val="16"/>
          <w:color w:val="auto"/>
        </w:rPr>
      </w:pPr>
      <w:r>
        <w:rPr>
          <w:rFonts w:ascii="Arial" w:cs="Arial" w:eastAsia="Arial" w:hAnsi="Arial"/>
          <w:sz w:val="16"/>
          <w:szCs w:val="16"/>
          <w:b w:val="1"/>
          <w:bCs w:val="1"/>
          <w:u w:val="single" w:color="auto"/>
          <w:color w:val="040404"/>
        </w:rPr>
        <w:t>Counterparts</w:t>
      </w:r>
      <w:r>
        <w:rPr>
          <w:rFonts w:ascii="Arial" w:cs="Arial" w:eastAsia="Arial" w:hAnsi="Arial"/>
          <w:sz w:val="16"/>
          <w:szCs w:val="16"/>
          <w:b w:val="1"/>
          <w:bCs w:val="1"/>
          <w:color w:val="040404"/>
        </w:rPr>
        <w:t xml:space="preserve"> </w:t>
      </w:r>
      <w:r>
        <w:rPr>
          <w:rFonts w:ascii="Arial" w:cs="Arial" w:eastAsia="Arial" w:hAnsi="Arial"/>
          <w:sz w:val="16"/>
          <w:szCs w:val="16"/>
          <w:color w:val="040404"/>
        </w:rPr>
        <w:t>This Agreement may be executed in two or more counterparts, each of which shall be deemed an original</w:t>
      </w:r>
      <w:r>
        <w:rPr>
          <w:rFonts w:ascii="Arial" w:cs="Arial" w:eastAsia="Arial" w:hAnsi="Arial"/>
          <w:sz w:val="16"/>
          <w:szCs w:val="16"/>
          <w:color w:val="1C1C1C"/>
        </w:rPr>
        <w:t>,</w:t>
      </w:r>
      <w:r>
        <w:rPr>
          <w:rFonts w:ascii="Arial" w:cs="Arial" w:eastAsia="Arial" w:hAnsi="Arial"/>
          <w:sz w:val="16"/>
          <w:szCs w:val="16"/>
          <w:b w:val="1"/>
          <w:bCs w:val="1"/>
          <w:color w:val="040404"/>
        </w:rPr>
        <w:t xml:space="preserve"> </w:t>
      </w:r>
      <w:r>
        <w:rPr>
          <w:rFonts w:ascii="Arial" w:cs="Arial" w:eastAsia="Arial" w:hAnsi="Arial"/>
          <w:sz w:val="16"/>
          <w:szCs w:val="16"/>
          <w:color w:val="040404"/>
        </w:rPr>
        <w:t>but all of which</w:t>
      </w:r>
      <w:r>
        <w:rPr>
          <w:rFonts w:ascii="Arial" w:cs="Arial" w:eastAsia="Arial" w:hAnsi="Arial"/>
          <w:sz w:val="16"/>
          <w:szCs w:val="16"/>
          <w:b w:val="1"/>
          <w:bCs w:val="1"/>
          <w:color w:val="040404"/>
        </w:rPr>
        <w:t xml:space="preserve"> </w:t>
      </w:r>
      <w:r>
        <w:rPr>
          <w:rFonts w:ascii="Arial" w:cs="Arial" w:eastAsia="Arial" w:hAnsi="Arial"/>
          <w:sz w:val="16"/>
          <w:szCs w:val="16"/>
          <w:color w:val="040404"/>
        </w:rPr>
        <w:t xml:space="preserve">together shall constitute one and the same </w:t>
      </w:r>
      <w:r>
        <w:rPr>
          <w:rFonts w:ascii="Arial" w:cs="Arial" w:eastAsia="Arial" w:hAnsi="Arial"/>
          <w:sz w:val="17"/>
          <w:szCs w:val="17"/>
          <w:color w:val="0A0A0A"/>
        </w:rPr>
        <w:t>instrument.</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i w:val="1"/>
          <w:iCs w:val="1"/>
          <w:color w:val="0A0A0A"/>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160"/>
          </w:cols>
          <w:pgMar w:left="320" w:top="1292" w:right="419" w:bottom="1440" w:gutter="0" w:footer="0" w:header="0"/>
        </w:sectPr>
      </w:pPr>
    </w:p>
    <w:bookmarkStart w:id="452" w:name="page453"/>
    <w:bookmarkEnd w:id="452"/>
    <w:p>
      <w:pPr>
        <w:spacing w:after="0" w:line="270" w:lineRule="exact"/>
        <w:rPr>
          <w:sz w:val="20"/>
          <w:szCs w:val="20"/>
          <w:color w:val="auto"/>
        </w:rPr>
      </w:pPr>
    </w:p>
    <w:p>
      <w:pPr>
        <w:ind w:firstLine="4"/>
        <w:spacing w:after="0" w:line="264" w:lineRule="auto"/>
        <w:rPr>
          <w:sz w:val="20"/>
          <w:szCs w:val="20"/>
          <w:color w:val="auto"/>
        </w:rPr>
      </w:pPr>
      <w:r>
        <w:rPr>
          <w:rFonts w:ascii="Arial" w:cs="Arial" w:eastAsia="Arial" w:hAnsi="Arial"/>
          <w:sz w:val="16"/>
          <w:szCs w:val="16"/>
          <w:color w:val="040404"/>
        </w:rPr>
        <w:t>We are all delighted to be able to extend you this offer and look forward to working with you. To indicate your acceptance of the Company's offer, please sign and date this letter in the space provided below and return it to me, along with a signed and dated original copy of the Confidentiality Agreement, on or before March 1st</w:t>
      </w:r>
      <w:r>
        <w:rPr>
          <w:rFonts w:ascii="Arial" w:cs="Arial" w:eastAsia="Arial" w:hAnsi="Arial"/>
          <w:sz w:val="16"/>
          <w:szCs w:val="16"/>
          <w:color w:val="171717"/>
        </w:rPr>
        <w:t>,</w:t>
      </w:r>
      <w:r>
        <w:rPr>
          <w:rFonts w:ascii="Arial" w:cs="Arial" w:eastAsia="Arial" w:hAnsi="Arial"/>
          <w:sz w:val="16"/>
          <w:szCs w:val="16"/>
          <w:color w:val="040404"/>
        </w:rPr>
        <w:t xml:space="preserve"> 2013</w:t>
      </w:r>
      <w:r>
        <w:rPr>
          <w:rFonts w:ascii="Arial" w:cs="Arial" w:eastAsia="Arial" w:hAnsi="Arial"/>
          <w:sz w:val="16"/>
          <w:szCs w:val="16"/>
          <w:color w:val="2A2A2A"/>
        </w:rPr>
        <w:t>.</w:t>
      </w:r>
      <w:r>
        <w:rPr>
          <w:rFonts w:ascii="Arial" w:cs="Arial" w:eastAsia="Arial" w:hAnsi="Arial"/>
          <w:sz w:val="16"/>
          <w:szCs w:val="16"/>
          <w:color w:val="040404"/>
        </w:rPr>
        <w:t xml:space="preserve"> The Company requests that you begin work in this new position on or before March 11th, 2013</w:t>
      </w:r>
      <w:r>
        <w:rPr>
          <w:rFonts w:ascii="Arial" w:cs="Arial" w:eastAsia="Arial" w:hAnsi="Arial"/>
          <w:sz w:val="16"/>
          <w:szCs w:val="16"/>
          <w:color w:val="2A2A2A"/>
        </w:rPr>
        <w:t>.</w:t>
      </w:r>
      <w:r>
        <w:rPr>
          <w:rFonts w:ascii="Arial" w:cs="Arial" w:eastAsia="Arial" w:hAnsi="Arial"/>
          <w:sz w:val="16"/>
          <w:szCs w:val="16"/>
          <w:color w:val="040404"/>
        </w:rPr>
        <w:t xml:space="preserve"> Please indicate the date (either on or before the aforementioned date) on which you expect to begin work in the space provided below (the "</w:t>
      </w:r>
      <w:r>
        <w:rPr>
          <w:rFonts w:ascii="Arial" w:cs="Arial" w:eastAsia="Arial" w:hAnsi="Arial"/>
          <w:sz w:val="16"/>
          <w:szCs w:val="16"/>
          <w:u w:val="single" w:color="auto"/>
          <w:color w:val="040404"/>
        </w:rPr>
        <w:t>Start Date</w:t>
      </w:r>
      <w:r>
        <w:rPr>
          <w:rFonts w:ascii="Arial" w:cs="Arial" w:eastAsia="Arial" w:hAnsi="Arial"/>
          <w:sz w:val="16"/>
          <w:szCs w:val="16"/>
          <w:color w:val="040404"/>
        </w:rPr>
        <w:t>")</w:t>
      </w:r>
    </w:p>
    <w:p>
      <w:pPr>
        <w:spacing w:after="0" w:line="213"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Very truly yours,</w:t>
      </w:r>
    </w:p>
    <w:p>
      <w:pPr>
        <w:spacing w:after="0" w:line="291"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Expensify, INC.</w:t>
      </w:r>
    </w:p>
    <w:p>
      <w:pPr>
        <w:spacing w:after="0" w:line="108" w:lineRule="exact"/>
        <w:rPr>
          <w:sz w:val="20"/>
          <w:szCs w:val="20"/>
          <w:color w:val="auto"/>
        </w:rPr>
      </w:pPr>
    </w:p>
    <w:p>
      <w:pPr>
        <w:ind w:left="4760"/>
        <w:spacing w:after="0"/>
        <w:tabs>
          <w:tab w:leader="none" w:pos="5160" w:val="left"/>
        </w:tabs>
        <w:rPr>
          <w:sz w:val="20"/>
          <w:szCs w:val="20"/>
          <w:color w:val="auto"/>
        </w:rPr>
      </w:pPr>
      <w:r>
        <w:rPr>
          <w:rFonts w:ascii="Arial" w:cs="Arial" w:eastAsia="Arial" w:hAnsi="Arial"/>
          <w:sz w:val="16"/>
          <w:szCs w:val="16"/>
          <w:color w:val="auto"/>
        </w:rPr>
        <w:t>By:</w:t>
        <w:tab/>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30480</wp:posOffset>
            </wp:positionV>
            <wp:extent cx="85090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spacing w:after="0" w:line="88"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 David Barrett</w:t>
      </w:r>
    </w:p>
    <w:p>
      <w:pPr>
        <w:spacing w:after="0" w:line="10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President and</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Chief Executive</w:t>
      </w:r>
    </w:p>
    <w:p>
      <w:pPr>
        <w:spacing w:after="0" w:line="11" w:lineRule="exact"/>
        <w:rPr>
          <w:sz w:val="20"/>
          <w:szCs w:val="20"/>
          <w:color w:val="auto"/>
        </w:rPr>
      </w:pPr>
    </w:p>
    <w:p>
      <w:pPr>
        <w:ind w:left="4760"/>
        <w:spacing w:after="0"/>
        <w:tabs>
          <w:tab w:leader="none" w:pos="52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Officer</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ACCEPTED AND AGREED: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Ryan Schaffer</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204152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41525" cy="7620"/>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2/5/2013</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6"/>
          <w:szCs w:val="16"/>
          <w:color w:val="040404"/>
        </w:rPr>
        <w:t>Anticipated Start Date</w:t>
      </w:r>
      <w:r>
        <w:rPr>
          <w:rFonts w:ascii="Arial" w:cs="Arial" w:eastAsia="Arial" w:hAnsi="Arial"/>
          <w:sz w:val="16"/>
          <w:szCs w:val="16"/>
          <w:color w:val="2A2A2A"/>
        </w:rPr>
        <w:t>:</w:t>
      </w:r>
      <w:r>
        <w:rPr>
          <w:rFonts w:ascii="Arial" w:cs="Arial" w:eastAsia="Arial" w:hAnsi="Arial"/>
          <w:sz w:val="16"/>
          <w:szCs w:val="16"/>
          <w:color w:val="040404"/>
        </w:rPr>
        <w:t xml:space="preserve"> March 4th, 2013</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040404"/>
        </w:rPr>
        <w:t>Attachment A: Confidential Information and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120"/>
          </w:cols>
          <w:pgMar w:left="320" w:top="1440" w:right="459" w:bottom="1440" w:gutter="0" w:footer="0" w:header="0"/>
        </w:sectPr>
      </w:pPr>
    </w:p>
    <w:bookmarkStart w:id="453" w:name="page454"/>
    <w:bookmarkEnd w:id="453"/>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020202"/>
        </w:rPr>
        <w:t>ATTACHMENT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0202"/>
        </w:rPr>
        <w:t>CONFIDENTIAL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20202"/>
        </w:rPr>
        <w:t>AND INVENTION ASSIGNMENT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020202"/>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9019"/>
          </w:cols>
          <w:pgMar w:left="1440" w:top="1440" w:right="1440" w:bottom="1440" w:gutter="0" w:footer="0" w:header="0"/>
        </w:sectPr>
      </w:pPr>
    </w:p>
    <w:bookmarkStart w:id="454" w:name="page455"/>
    <w:bookmarkEnd w:id="454"/>
    <w:p>
      <w:pPr>
        <w:jc w:val="right"/>
        <w:spacing w:after="0"/>
        <w:rPr>
          <w:sz w:val="20"/>
          <w:szCs w:val="20"/>
          <w:color w:val="auto"/>
        </w:rPr>
      </w:pPr>
      <w:r>
        <w:rPr>
          <w:rFonts w:ascii="Arial" w:cs="Arial" w:eastAsia="Arial" w:hAnsi="Arial"/>
          <w:sz w:val="16"/>
          <w:szCs w:val="16"/>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2F2F2F"/>
        </w:rPr>
        <w:t>Ex</w:t>
      </w:r>
      <w:r>
        <w:rPr>
          <w:rFonts w:ascii="Arial" w:cs="Arial" w:eastAsia="Arial" w:hAnsi="Arial"/>
          <w:sz w:val="18"/>
          <w:szCs w:val="18"/>
          <w:b w:val="1"/>
          <w:bCs w:val="1"/>
          <w:color w:val="1A1A1A"/>
        </w:rPr>
        <w:t>pen</w:t>
      </w:r>
      <w:r>
        <w:rPr>
          <w:rFonts w:ascii="Arial" w:cs="Arial" w:eastAsia="Arial" w:hAnsi="Arial"/>
          <w:sz w:val="18"/>
          <w:szCs w:val="18"/>
          <w:b w:val="1"/>
          <w:bCs w:val="1"/>
          <w:color w:val="2F2F2F"/>
        </w:rPr>
        <w:t>s</w:t>
      </w:r>
      <w:r>
        <w:rPr>
          <w:rFonts w:ascii="Arial" w:cs="Arial" w:eastAsia="Arial" w:hAnsi="Arial"/>
          <w:sz w:val="18"/>
          <w:szCs w:val="18"/>
          <w:b w:val="1"/>
          <w:bCs w:val="1"/>
          <w:color w:val="1A1A1A"/>
        </w:rPr>
        <w:t>if</w:t>
      </w:r>
      <w:r>
        <w:rPr>
          <w:rFonts w:ascii="Arial" w:cs="Arial" w:eastAsia="Arial" w:hAnsi="Arial"/>
          <w:sz w:val="18"/>
          <w:szCs w:val="18"/>
          <w:b w:val="1"/>
          <w:bCs w:val="1"/>
          <w:color w:val="2F2F2F"/>
        </w:rPr>
        <w:t>y, IN</w:t>
      </w:r>
      <w:r>
        <w:rPr>
          <w:rFonts w:ascii="Arial" w:cs="Arial" w:eastAsia="Arial" w:hAnsi="Arial"/>
          <w:sz w:val="18"/>
          <w:szCs w:val="18"/>
          <w:b w:val="1"/>
          <w:bCs w:val="1"/>
          <w:color w:val="1A1A1A"/>
        </w:rPr>
        <w:t>C.</w:t>
      </w:r>
    </w:p>
    <w:p>
      <w:pPr>
        <w:spacing w:after="0" w:line="20"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2F2F2F"/>
        </w:rPr>
        <w:t>548 Mark</w:t>
      </w:r>
      <w:r>
        <w:rPr>
          <w:rFonts w:ascii="Arial" w:cs="Arial" w:eastAsia="Arial" w:hAnsi="Arial"/>
          <w:sz w:val="18"/>
          <w:szCs w:val="18"/>
          <w:color w:val="494949"/>
        </w:rPr>
        <w:t>e</w:t>
      </w:r>
      <w:r>
        <w:rPr>
          <w:rFonts w:ascii="Arial" w:cs="Arial" w:eastAsia="Arial" w:hAnsi="Arial"/>
          <w:sz w:val="18"/>
          <w:szCs w:val="18"/>
          <w:color w:val="2F2F2F"/>
        </w:rPr>
        <w:t>t Str</w:t>
      </w:r>
      <w:r>
        <w:rPr>
          <w:rFonts w:ascii="Arial" w:cs="Arial" w:eastAsia="Arial" w:hAnsi="Arial"/>
          <w:sz w:val="18"/>
          <w:szCs w:val="18"/>
          <w:color w:val="494949"/>
        </w:rPr>
        <w:t>e</w:t>
      </w:r>
      <w:r>
        <w:rPr>
          <w:rFonts w:ascii="Arial" w:cs="Arial" w:eastAsia="Arial" w:hAnsi="Arial"/>
          <w:sz w:val="18"/>
          <w:szCs w:val="18"/>
          <w:color w:val="2F2F2F"/>
        </w:rPr>
        <w:t>et</w:t>
      </w:r>
      <w:r>
        <w:rPr>
          <w:rFonts w:ascii="Arial" w:cs="Arial" w:eastAsia="Arial" w:hAnsi="Arial"/>
          <w:sz w:val="18"/>
          <w:szCs w:val="18"/>
          <w:color w:val="5B5B5B"/>
        </w:rPr>
        <w:t>, #</w:t>
      </w:r>
      <w:r>
        <w:rPr>
          <w:rFonts w:ascii="Arial" w:cs="Arial" w:eastAsia="Arial" w:hAnsi="Arial"/>
          <w:sz w:val="18"/>
          <w:szCs w:val="18"/>
          <w:color w:val="2F2F2F"/>
        </w:rPr>
        <w:t>61434</w:t>
      </w:r>
    </w:p>
    <w:p>
      <w:pPr>
        <w:jc w:val="center"/>
        <w:ind w:right="-2"/>
        <w:spacing w:after="0"/>
        <w:rPr>
          <w:sz w:val="20"/>
          <w:szCs w:val="20"/>
          <w:color w:val="auto"/>
        </w:rPr>
      </w:pPr>
      <w:r>
        <w:rPr>
          <w:rFonts w:ascii="Arial" w:cs="Arial" w:eastAsia="Arial" w:hAnsi="Arial"/>
          <w:sz w:val="18"/>
          <w:szCs w:val="18"/>
          <w:color w:val="2F2F2F"/>
        </w:rPr>
        <w:t>San Fra</w:t>
      </w:r>
      <w:r>
        <w:rPr>
          <w:rFonts w:ascii="Arial" w:cs="Arial" w:eastAsia="Arial" w:hAnsi="Arial"/>
          <w:sz w:val="18"/>
          <w:szCs w:val="18"/>
          <w:color w:val="1A1A1A"/>
        </w:rPr>
        <w:t>n</w:t>
      </w:r>
      <w:r>
        <w:rPr>
          <w:rFonts w:ascii="Arial" w:cs="Arial" w:eastAsia="Arial" w:hAnsi="Arial"/>
          <w:sz w:val="18"/>
          <w:szCs w:val="18"/>
          <w:color w:val="2F2F2F"/>
        </w:rPr>
        <w:t>c</w:t>
      </w:r>
      <w:r>
        <w:rPr>
          <w:rFonts w:ascii="Arial" w:cs="Arial" w:eastAsia="Arial" w:hAnsi="Arial"/>
          <w:sz w:val="18"/>
          <w:szCs w:val="18"/>
          <w:color w:val="1A1A1A"/>
        </w:rPr>
        <w:t>i</w:t>
      </w:r>
      <w:r>
        <w:rPr>
          <w:rFonts w:ascii="Arial" w:cs="Arial" w:eastAsia="Arial" w:hAnsi="Arial"/>
          <w:sz w:val="18"/>
          <w:szCs w:val="18"/>
          <w:color w:val="2F2F2F"/>
        </w:rPr>
        <w:t>sco</w:t>
      </w:r>
      <w:r>
        <w:rPr>
          <w:rFonts w:ascii="Arial" w:cs="Arial" w:eastAsia="Arial" w:hAnsi="Arial"/>
          <w:sz w:val="18"/>
          <w:szCs w:val="18"/>
          <w:color w:val="5B5B5B"/>
        </w:rPr>
        <w:t>,</w:t>
      </w:r>
      <w:r>
        <w:rPr>
          <w:rFonts w:ascii="Arial" w:cs="Arial" w:eastAsia="Arial" w:hAnsi="Arial"/>
          <w:sz w:val="18"/>
          <w:szCs w:val="18"/>
          <w:color w:val="2F2F2F"/>
        </w:rPr>
        <w:t xml:space="preserve"> CA 94104</w:t>
      </w:r>
    </w:p>
    <w:p>
      <w:pPr>
        <w:spacing w:after="0" w:line="4"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1A1A1A"/>
        </w:rPr>
        <w:t>Jul</w:t>
      </w:r>
      <w:r>
        <w:rPr>
          <w:rFonts w:ascii="Arial" w:cs="Arial" w:eastAsia="Arial" w:hAnsi="Arial"/>
          <w:sz w:val="19"/>
          <w:szCs w:val="19"/>
          <w:b w:val="1"/>
          <w:bCs w:val="1"/>
          <w:color w:val="2F2F2F"/>
        </w:rPr>
        <w:t>y</w:t>
      </w:r>
      <w:r>
        <w:rPr>
          <w:rFonts w:ascii="Arial" w:cs="Arial" w:eastAsia="Arial" w:hAnsi="Arial"/>
          <w:sz w:val="19"/>
          <w:szCs w:val="19"/>
          <w:b w:val="1"/>
          <w:bCs w:val="1"/>
          <w:color w:val="1A1A1A"/>
        </w:rPr>
        <w:t xml:space="preserve"> 30</w:t>
      </w:r>
      <w:r>
        <w:rPr>
          <w:rFonts w:ascii="Arial" w:cs="Arial" w:eastAsia="Arial" w:hAnsi="Arial"/>
          <w:sz w:val="19"/>
          <w:szCs w:val="19"/>
          <w:b w:val="1"/>
          <w:bCs w:val="1"/>
          <w:color w:val="2F2F2F"/>
        </w:rPr>
        <w:t>t</w:t>
      </w:r>
      <w:r>
        <w:rPr>
          <w:rFonts w:ascii="Arial" w:cs="Arial" w:eastAsia="Arial" w:hAnsi="Arial"/>
          <w:sz w:val="19"/>
          <w:szCs w:val="19"/>
          <w:b w:val="1"/>
          <w:bCs w:val="1"/>
          <w:color w:val="1A1A1A"/>
        </w:rPr>
        <w:t>h</w:t>
      </w:r>
      <w:r>
        <w:rPr>
          <w:rFonts w:ascii="Arial" w:cs="Arial" w:eastAsia="Arial" w:hAnsi="Arial"/>
          <w:sz w:val="19"/>
          <w:szCs w:val="19"/>
          <w:b w:val="1"/>
          <w:bCs w:val="1"/>
          <w:color w:val="2F2F2F"/>
        </w:rPr>
        <w:t>,</w:t>
      </w:r>
      <w:r>
        <w:rPr>
          <w:rFonts w:ascii="Arial" w:cs="Arial" w:eastAsia="Arial" w:hAnsi="Arial"/>
          <w:sz w:val="19"/>
          <w:szCs w:val="19"/>
          <w:b w:val="1"/>
          <w:bCs w:val="1"/>
          <w:color w:val="1A1A1A"/>
        </w:rPr>
        <w:t xml:space="preserve"> 2015</w:t>
      </w:r>
    </w:p>
    <w:p>
      <w:pPr>
        <w:spacing w:after="0" w:line="188" w:lineRule="exact"/>
        <w:rPr>
          <w:sz w:val="20"/>
          <w:szCs w:val="20"/>
          <w:color w:val="auto"/>
        </w:rPr>
      </w:pPr>
    </w:p>
    <w:p>
      <w:pPr>
        <w:ind w:left="3"/>
        <w:spacing w:after="0"/>
        <w:rPr>
          <w:sz w:val="20"/>
          <w:szCs w:val="20"/>
          <w:color w:val="auto"/>
        </w:rPr>
      </w:pPr>
      <w:r>
        <w:rPr>
          <w:rFonts w:ascii="Arial" w:cs="Arial" w:eastAsia="Arial" w:hAnsi="Arial"/>
          <w:sz w:val="18"/>
          <w:szCs w:val="18"/>
          <w:color w:val="auto"/>
        </w:rPr>
        <w:t>Anuradha Muralidharan</w:t>
      </w:r>
    </w:p>
    <w:p>
      <w:pPr>
        <w:spacing w:after="0" w:line="247" w:lineRule="exact"/>
        <w:rPr>
          <w:sz w:val="20"/>
          <w:szCs w:val="20"/>
          <w:color w:val="auto"/>
        </w:rPr>
      </w:pPr>
    </w:p>
    <w:p>
      <w:pPr>
        <w:ind w:left="603"/>
        <w:spacing w:after="0"/>
        <w:tabs>
          <w:tab w:leader="none" w:pos="1382" w:val="left"/>
        </w:tabs>
        <w:rPr>
          <w:sz w:val="20"/>
          <w:szCs w:val="20"/>
          <w:color w:val="auto"/>
        </w:rPr>
      </w:pPr>
      <w:r>
        <w:rPr>
          <w:rFonts w:ascii="Arial" w:cs="Arial" w:eastAsia="Arial" w:hAnsi="Arial"/>
          <w:sz w:val="18"/>
          <w:szCs w:val="18"/>
          <w:color w:val="1A1A1A"/>
        </w:rPr>
        <w:t>R</w:t>
      </w:r>
      <w:r>
        <w:rPr>
          <w:rFonts w:ascii="Arial" w:cs="Arial" w:eastAsia="Arial" w:hAnsi="Arial"/>
          <w:sz w:val="18"/>
          <w:szCs w:val="18"/>
          <w:color w:val="2F2F2F"/>
        </w:rPr>
        <w:t>e:</w:t>
      </w:r>
      <w:r>
        <w:rPr>
          <w:sz w:val="20"/>
          <w:szCs w:val="20"/>
          <w:color w:val="auto"/>
        </w:rPr>
        <w:tab/>
      </w:r>
      <w:r>
        <w:rPr>
          <w:rFonts w:ascii="Arial" w:cs="Arial" w:eastAsia="Arial" w:hAnsi="Arial"/>
          <w:sz w:val="19"/>
          <w:szCs w:val="19"/>
          <w:b w:val="1"/>
          <w:bCs w:val="1"/>
          <w:u w:val="single" w:color="auto"/>
          <w:color w:val="2F2F2F"/>
        </w:rPr>
        <w:t>EMPL</w:t>
      </w:r>
      <w:r>
        <w:rPr>
          <w:rFonts w:ascii="Arial" w:cs="Arial" w:eastAsia="Arial" w:hAnsi="Arial"/>
          <w:sz w:val="19"/>
          <w:szCs w:val="19"/>
          <w:b w:val="1"/>
          <w:bCs w:val="1"/>
          <w:u w:val="single" w:color="auto"/>
          <w:color w:val="1A1A1A"/>
        </w:rPr>
        <w:t>O</w:t>
      </w:r>
      <w:r>
        <w:rPr>
          <w:rFonts w:ascii="Arial" w:cs="Arial" w:eastAsia="Arial" w:hAnsi="Arial"/>
          <w:sz w:val="19"/>
          <w:szCs w:val="19"/>
          <w:b w:val="1"/>
          <w:bCs w:val="1"/>
          <w:u w:val="single" w:color="auto"/>
          <w:color w:val="2F2F2F"/>
        </w:rPr>
        <w:t>YMENT A</w:t>
      </w:r>
      <w:r>
        <w:rPr>
          <w:rFonts w:ascii="Arial" w:cs="Arial" w:eastAsia="Arial" w:hAnsi="Arial"/>
          <w:sz w:val="19"/>
          <w:szCs w:val="19"/>
          <w:b w:val="1"/>
          <w:bCs w:val="1"/>
          <w:u w:val="single" w:color="auto"/>
          <w:color w:val="1A1A1A"/>
        </w:rPr>
        <w:t>GRE</w:t>
      </w:r>
      <w:r>
        <w:rPr>
          <w:rFonts w:ascii="Arial" w:cs="Arial" w:eastAsia="Arial" w:hAnsi="Arial"/>
          <w:sz w:val="19"/>
          <w:szCs w:val="19"/>
          <w:b w:val="1"/>
          <w:bCs w:val="1"/>
          <w:u w:val="single" w:color="auto"/>
          <w:color w:val="2F2F2F"/>
        </w:rPr>
        <w:t>EMEN</w:t>
      </w:r>
      <w:r>
        <w:rPr>
          <w:rFonts w:ascii="Arial" w:cs="Arial" w:eastAsia="Arial" w:hAnsi="Arial"/>
          <w:sz w:val="19"/>
          <w:szCs w:val="19"/>
          <w:b w:val="1"/>
          <w:bCs w:val="1"/>
          <w:u w:val="single" w:color="auto"/>
          <w:color w:val="1A1A1A"/>
        </w:rPr>
        <w:t>T</w:t>
      </w:r>
    </w:p>
    <w:p>
      <w:pPr>
        <w:spacing w:after="0" w:line="119" w:lineRule="exact"/>
        <w:rPr>
          <w:sz w:val="20"/>
          <w:szCs w:val="20"/>
          <w:color w:val="auto"/>
        </w:rPr>
      </w:pPr>
    </w:p>
    <w:p>
      <w:pPr>
        <w:ind w:left="3"/>
        <w:spacing w:after="0"/>
        <w:rPr>
          <w:sz w:val="20"/>
          <w:szCs w:val="20"/>
          <w:color w:val="auto"/>
        </w:rPr>
      </w:pPr>
      <w:r>
        <w:rPr>
          <w:rFonts w:ascii="Arial" w:cs="Arial" w:eastAsia="Arial" w:hAnsi="Arial"/>
          <w:sz w:val="18"/>
          <w:szCs w:val="18"/>
          <w:color w:val="auto"/>
        </w:rPr>
        <w:t>Dear Anuradha:</w:t>
      </w:r>
    </w:p>
    <w:p>
      <w:pPr>
        <w:spacing w:after="0" w:line="16" w:lineRule="exact"/>
        <w:rPr>
          <w:sz w:val="20"/>
          <w:szCs w:val="20"/>
          <w:color w:val="auto"/>
        </w:rPr>
      </w:pPr>
    </w:p>
    <w:p>
      <w:pPr>
        <w:ind w:left="583"/>
        <w:spacing w:after="0"/>
        <w:rPr>
          <w:sz w:val="20"/>
          <w:szCs w:val="20"/>
          <w:color w:val="auto"/>
        </w:rPr>
      </w:pPr>
      <w:r>
        <w:rPr>
          <w:rFonts w:ascii="Arial" w:cs="Arial" w:eastAsia="Arial" w:hAnsi="Arial"/>
          <w:sz w:val="17"/>
          <w:szCs w:val="17"/>
          <w:color w:val="auto"/>
        </w:rPr>
        <w:t>On behalf of Expensify,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 am pleased to offer you the position of Operations Engineer of the</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8"/>
          <w:szCs w:val="18"/>
          <w:color w:val="auto"/>
        </w:rPr>
        <w:t>Company. Your employment by the Company shall be governed by the following terms and conditions (this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3" w:lineRule="exact"/>
        <w:rPr>
          <w:sz w:val="20"/>
          <w:szCs w:val="20"/>
          <w:color w:val="auto"/>
        </w:rPr>
      </w:pPr>
    </w:p>
    <w:p>
      <w:pPr>
        <w:ind w:left="283" w:hanging="283"/>
        <w:spacing w:after="0"/>
        <w:tabs>
          <w:tab w:leader="none" w:pos="283" w:val="left"/>
        </w:tabs>
        <w:numPr>
          <w:ilvl w:val="0"/>
          <w:numId w:val="334"/>
        </w:numPr>
        <w:rPr>
          <w:rFonts w:ascii="Arial" w:cs="Arial" w:eastAsia="Arial" w:hAnsi="Arial"/>
          <w:sz w:val="18"/>
          <w:szCs w:val="18"/>
          <w:color w:val="auto"/>
        </w:rPr>
      </w:pPr>
      <w:r>
        <w:rPr>
          <w:rFonts w:ascii="Arial" w:cs="Arial" w:eastAsia="Arial" w:hAnsi="Arial"/>
          <w:sz w:val="19"/>
          <w:szCs w:val="19"/>
          <w:b w:val="1"/>
          <w:bCs w:val="1"/>
          <w:u w:val="single" w:color="auto"/>
          <w:color w:val="1A1A1A"/>
        </w:rPr>
        <w:t>Du</w:t>
      </w:r>
      <w:r>
        <w:rPr>
          <w:rFonts w:ascii="Arial" w:cs="Arial" w:eastAsia="Arial" w:hAnsi="Arial"/>
          <w:sz w:val="19"/>
          <w:szCs w:val="19"/>
          <w:b w:val="1"/>
          <w:bCs w:val="1"/>
          <w:u w:val="single" w:color="auto"/>
          <w:color w:val="2F2F2F"/>
        </w:rPr>
        <w:t>ties</w:t>
      </w:r>
      <w:r>
        <w:rPr>
          <w:rFonts w:ascii="Arial" w:cs="Arial" w:eastAsia="Arial" w:hAnsi="Arial"/>
          <w:sz w:val="19"/>
          <w:szCs w:val="19"/>
          <w:b w:val="1"/>
          <w:bCs w:val="1"/>
          <w:color w:val="1A1A1A"/>
        </w:rPr>
        <w:t xml:space="preserve"> </w:t>
      </w:r>
      <w:r>
        <w:rPr>
          <w:rFonts w:ascii="Arial" w:cs="Arial" w:eastAsia="Arial" w:hAnsi="Arial"/>
          <w:sz w:val="19"/>
          <w:szCs w:val="19"/>
          <w:b w:val="1"/>
          <w:bCs w:val="1"/>
          <w:u w:val="single" w:color="auto"/>
          <w:color w:val="1A1A1A"/>
        </w:rPr>
        <w:t>and Scope of</w:t>
      </w:r>
      <w:r>
        <w:rPr>
          <w:rFonts w:ascii="Arial" w:cs="Arial" w:eastAsia="Arial" w:hAnsi="Arial"/>
          <w:sz w:val="19"/>
          <w:szCs w:val="19"/>
          <w:b w:val="1"/>
          <w:bCs w:val="1"/>
          <w:color w:val="1A1A1A"/>
        </w:rPr>
        <w:t xml:space="preserve"> </w:t>
      </w:r>
      <w:r>
        <w:rPr>
          <w:rFonts w:ascii="Arial" w:cs="Arial" w:eastAsia="Arial" w:hAnsi="Arial"/>
          <w:sz w:val="19"/>
          <w:szCs w:val="19"/>
          <w:b w:val="1"/>
          <w:bCs w:val="1"/>
          <w:u w:val="single" w:color="auto"/>
          <w:color w:val="2F2F2F"/>
        </w:rPr>
        <w:t>E</w:t>
      </w:r>
      <w:r>
        <w:rPr>
          <w:rFonts w:ascii="Arial" w:cs="Arial" w:eastAsia="Arial" w:hAnsi="Arial"/>
          <w:sz w:val="19"/>
          <w:szCs w:val="19"/>
          <w:b w:val="1"/>
          <w:bCs w:val="1"/>
          <w:u w:val="single" w:color="auto"/>
          <w:color w:val="1A1A1A"/>
        </w:rPr>
        <w:t>mploym</w:t>
      </w:r>
      <w:r>
        <w:rPr>
          <w:rFonts w:ascii="Arial" w:cs="Arial" w:eastAsia="Arial" w:hAnsi="Arial"/>
          <w:sz w:val="19"/>
          <w:szCs w:val="19"/>
          <w:b w:val="1"/>
          <w:bCs w:val="1"/>
          <w:u w:val="single" w:color="auto"/>
          <w:color w:val="2F2F2F"/>
        </w:rPr>
        <w:t>e</w:t>
      </w:r>
      <w:r>
        <w:rPr>
          <w:rFonts w:ascii="Arial" w:cs="Arial" w:eastAsia="Arial" w:hAnsi="Arial"/>
          <w:sz w:val="19"/>
          <w:szCs w:val="19"/>
          <w:b w:val="1"/>
          <w:bCs w:val="1"/>
          <w:u w:val="single" w:color="auto"/>
          <w:color w:val="1A1A1A"/>
        </w:rPr>
        <w:t>n</w:t>
      </w:r>
      <w:r>
        <w:rPr>
          <w:rFonts w:ascii="Arial" w:cs="Arial" w:eastAsia="Arial" w:hAnsi="Arial"/>
          <w:sz w:val="19"/>
          <w:szCs w:val="19"/>
          <w:b w:val="1"/>
          <w:bCs w:val="1"/>
          <w:u w:val="single" w:color="auto"/>
          <w:color w:val="2F2F2F"/>
        </w:rPr>
        <w:t>t</w:t>
      </w:r>
      <w:r>
        <w:rPr>
          <w:rFonts w:ascii="Arial" w:cs="Arial" w:eastAsia="Arial" w:hAnsi="Arial"/>
          <w:sz w:val="19"/>
          <w:szCs w:val="19"/>
          <w:b w:val="1"/>
          <w:bCs w:val="1"/>
          <w:color w:val="1A1A1A"/>
        </w:rPr>
        <w:t>.</w:t>
      </w:r>
    </w:p>
    <w:p>
      <w:pPr>
        <w:spacing w:after="0" w:line="25" w:lineRule="exact"/>
        <w:rPr>
          <w:rFonts w:ascii="Arial" w:cs="Arial" w:eastAsia="Arial" w:hAnsi="Arial"/>
          <w:sz w:val="18"/>
          <w:szCs w:val="18"/>
          <w:color w:val="auto"/>
        </w:rPr>
      </w:pPr>
    </w:p>
    <w:p>
      <w:pPr>
        <w:ind w:left="1163" w:right="100" w:hanging="286"/>
        <w:spacing w:after="0" w:line="271" w:lineRule="auto"/>
        <w:tabs>
          <w:tab w:leader="none" w:pos="1152" w:val="left"/>
        </w:tabs>
        <w:numPr>
          <w:ilvl w:val="1"/>
          <w:numId w:val="334"/>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term of your employment under this Agreement (your "</w:t>
      </w:r>
      <w:r>
        <w:rPr>
          <w:rFonts w:ascii="Arial" w:cs="Arial" w:eastAsia="Arial" w:hAnsi="Arial"/>
          <w:sz w:val="16"/>
          <w:szCs w:val="16"/>
          <w:u w:val="single" w:color="auto"/>
          <w:color w:val="auto"/>
        </w:rPr>
        <w:t>Employment</w:t>
      </w:r>
      <w:r>
        <w:rPr>
          <w:rFonts w:ascii="Arial" w:cs="Arial" w:eastAsia="Arial" w:hAnsi="Arial"/>
          <w:sz w:val="16"/>
          <w:szCs w:val="16"/>
          <w:color w:val="auto"/>
        </w:rPr>
        <w:t>"), the Company agrees to employ you in the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Engineer or in such other position as the Company subsequently may assign to you. You will report to the Company's Chief Executive Officer or to such other person as the Company subsequently may determine. You will be working out of the Company's office in San Francisco. You will perform the duties and have the responsibilities and authority customarily performed and held by an employee in your position or as otherwise may be assigned or delegated to you by the Company's Chief Executive Officer.</w:t>
      </w:r>
    </w:p>
    <w:p>
      <w:pPr>
        <w:ind w:left="1163" w:right="240" w:hanging="286"/>
        <w:spacing w:after="0" w:line="250" w:lineRule="auto"/>
        <w:tabs>
          <w:tab w:leader="none" w:pos="1162" w:val="left"/>
        </w:tabs>
        <w:numPr>
          <w:ilvl w:val="1"/>
          <w:numId w:val="334"/>
        </w:numPr>
        <w:rPr>
          <w:rFonts w:ascii="Arial" w:cs="Arial" w:eastAsia="Arial" w:hAnsi="Arial"/>
          <w:sz w:val="18"/>
          <w:szCs w:val="18"/>
          <w:color w:val="auto"/>
        </w:rPr>
      </w:pPr>
      <w:r>
        <w:rPr>
          <w:rFonts w:ascii="Arial" w:cs="Arial" w:eastAsia="Arial" w:hAnsi="Arial"/>
          <w:sz w:val="19"/>
          <w:szCs w:val="19"/>
          <w:b w:val="1"/>
          <w:bCs w:val="1"/>
          <w:u w:val="single" w:color="auto"/>
          <w:color w:val="1A1A1A"/>
        </w:rPr>
        <w:t>Obligation</w:t>
      </w:r>
      <w:r>
        <w:rPr>
          <w:rFonts w:ascii="Arial" w:cs="Arial" w:eastAsia="Arial" w:hAnsi="Arial"/>
          <w:sz w:val="19"/>
          <w:szCs w:val="19"/>
          <w:b w:val="1"/>
          <w:bCs w:val="1"/>
          <w:u w:val="single" w:color="auto"/>
          <w:color w:val="2F2F2F"/>
        </w:rPr>
        <w:t>s t</w:t>
      </w:r>
      <w:r>
        <w:rPr>
          <w:rFonts w:ascii="Arial" w:cs="Arial" w:eastAsia="Arial" w:hAnsi="Arial"/>
          <w:sz w:val="19"/>
          <w:szCs w:val="19"/>
          <w:b w:val="1"/>
          <w:bCs w:val="1"/>
          <w:u w:val="single" w:color="auto"/>
          <w:color w:val="1A1A1A"/>
        </w:rPr>
        <w:t>o th</w:t>
      </w:r>
      <w:r>
        <w:rPr>
          <w:rFonts w:ascii="Arial" w:cs="Arial" w:eastAsia="Arial" w:hAnsi="Arial"/>
          <w:sz w:val="19"/>
          <w:szCs w:val="19"/>
          <w:b w:val="1"/>
          <w:bCs w:val="1"/>
          <w:u w:val="single" w:color="auto"/>
          <w:color w:val="2F2F2F"/>
        </w:rPr>
        <w:t>e C</w:t>
      </w:r>
      <w:r>
        <w:rPr>
          <w:rFonts w:ascii="Arial" w:cs="Arial" w:eastAsia="Arial" w:hAnsi="Arial"/>
          <w:sz w:val="19"/>
          <w:szCs w:val="19"/>
          <w:b w:val="1"/>
          <w:bCs w:val="1"/>
          <w:u w:val="single" w:color="auto"/>
          <w:color w:val="1A1A1A"/>
        </w:rPr>
        <w:t>ompan</w:t>
      </w:r>
      <w:r>
        <w:rPr>
          <w:rFonts w:ascii="Arial" w:cs="Arial" w:eastAsia="Arial" w:hAnsi="Arial"/>
          <w:sz w:val="19"/>
          <w:szCs w:val="19"/>
          <w:b w:val="1"/>
          <w:bCs w:val="1"/>
          <w:u w:val="single" w:color="auto"/>
          <w:color w:val="2F2F2F"/>
        </w:rPr>
        <w:t>y</w:t>
      </w:r>
      <w:r>
        <w:rPr>
          <w:rFonts w:ascii="Arial" w:cs="Arial" w:eastAsia="Arial" w:hAnsi="Arial"/>
          <w:sz w:val="19"/>
          <w:szCs w:val="19"/>
          <w:b w:val="1"/>
          <w:bCs w:val="1"/>
          <w:color w:val="1A1A1A"/>
        </w:rPr>
        <w:t xml:space="preserve">. </w:t>
      </w:r>
      <w:r>
        <w:rPr>
          <w:rFonts w:ascii="Arial" w:cs="Arial" w:eastAsia="Arial" w:hAnsi="Arial"/>
          <w:sz w:val="17"/>
          <w:szCs w:val="17"/>
          <w:color w:val="2F2F2F"/>
        </w:rPr>
        <w:t>During your Employment</w:t>
      </w:r>
      <w:r>
        <w:rPr>
          <w:rFonts w:ascii="Arial" w:cs="Arial" w:eastAsia="Arial" w:hAnsi="Arial"/>
          <w:sz w:val="17"/>
          <w:szCs w:val="17"/>
          <w:color w:val="5B5B5B"/>
        </w:rPr>
        <w:t>,</w:t>
      </w:r>
      <w:r>
        <w:rPr>
          <w:rFonts w:ascii="Arial" w:cs="Arial" w:eastAsia="Arial" w:hAnsi="Arial"/>
          <w:sz w:val="19"/>
          <w:szCs w:val="19"/>
          <w:b w:val="1"/>
          <w:bCs w:val="1"/>
          <w:color w:val="1A1A1A"/>
        </w:rPr>
        <w:t xml:space="preserve"> </w:t>
      </w:r>
      <w:r>
        <w:rPr>
          <w:rFonts w:ascii="Arial" w:cs="Arial" w:eastAsia="Arial" w:hAnsi="Arial"/>
          <w:sz w:val="17"/>
          <w:szCs w:val="17"/>
          <w:color w:val="2F2F2F"/>
        </w:rPr>
        <w:t>you shall devote your fu</w:t>
      </w:r>
      <w:r>
        <w:rPr>
          <w:rFonts w:ascii="Arial" w:cs="Arial" w:eastAsia="Arial" w:hAnsi="Arial"/>
          <w:sz w:val="17"/>
          <w:szCs w:val="17"/>
          <w:color w:val="1A1A1A"/>
        </w:rPr>
        <w:t>ll bu</w:t>
      </w:r>
      <w:r>
        <w:rPr>
          <w:rFonts w:ascii="Arial" w:cs="Arial" w:eastAsia="Arial" w:hAnsi="Arial"/>
          <w:sz w:val="17"/>
          <w:szCs w:val="17"/>
          <w:color w:val="494949"/>
        </w:rPr>
        <w:t>s</w:t>
      </w:r>
      <w:r>
        <w:rPr>
          <w:rFonts w:ascii="Arial" w:cs="Arial" w:eastAsia="Arial" w:hAnsi="Arial"/>
          <w:sz w:val="17"/>
          <w:szCs w:val="17"/>
          <w:color w:val="2F2F2F"/>
        </w:rPr>
        <w:t>i</w:t>
      </w:r>
      <w:r>
        <w:rPr>
          <w:rFonts w:ascii="Arial" w:cs="Arial" w:eastAsia="Arial" w:hAnsi="Arial"/>
          <w:sz w:val="17"/>
          <w:szCs w:val="17"/>
          <w:color w:val="1A1A1A"/>
        </w:rPr>
        <w:t>n</w:t>
      </w:r>
      <w:r>
        <w:rPr>
          <w:rFonts w:ascii="Arial" w:cs="Arial" w:eastAsia="Arial" w:hAnsi="Arial"/>
          <w:sz w:val="17"/>
          <w:szCs w:val="17"/>
          <w:color w:val="2F2F2F"/>
        </w:rPr>
        <w:t>ess effor</w:t>
      </w:r>
      <w:r>
        <w:rPr>
          <w:rFonts w:ascii="Arial" w:cs="Arial" w:eastAsia="Arial" w:hAnsi="Arial"/>
          <w:sz w:val="17"/>
          <w:szCs w:val="17"/>
          <w:color w:val="1A1A1A"/>
        </w:rPr>
        <w:t>t</w:t>
      </w:r>
      <w:r>
        <w:rPr>
          <w:rFonts w:ascii="Arial" w:cs="Arial" w:eastAsia="Arial" w:hAnsi="Arial"/>
          <w:sz w:val="17"/>
          <w:szCs w:val="17"/>
          <w:color w:val="2F2F2F"/>
        </w:rPr>
        <w:t>s an</w:t>
      </w:r>
      <w:r>
        <w:rPr>
          <w:rFonts w:ascii="Arial" w:cs="Arial" w:eastAsia="Arial" w:hAnsi="Arial"/>
          <w:sz w:val="17"/>
          <w:szCs w:val="17"/>
          <w:color w:val="1A1A1A"/>
        </w:rPr>
        <w:t>d</w:t>
      </w:r>
      <w:r>
        <w:rPr>
          <w:rFonts w:ascii="Arial" w:cs="Arial" w:eastAsia="Arial" w:hAnsi="Arial"/>
          <w:sz w:val="19"/>
          <w:szCs w:val="19"/>
          <w:b w:val="1"/>
          <w:bCs w:val="1"/>
          <w:color w:val="1A1A1A"/>
        </w:rPr>
        <w:t xml:space="preserve"> </w:t>
      </w:r>
      <w:r>
        <w:rPr>
          <w:rFonts w:ascii="Arial" w:cs="Arial" w:eastAsia="Arial" w:hAnsi="Arial"/>
          <w:sz w:val="17"/>
          <w:szCs w:val="17"/>
          <w:color w:val="2F2F2F"/>
        </w:rPr>
        <w:t>time to the Company. During</w:t>
      </w:r>
      <w:r>
        <w:rPr>
          <w:rFonts w:ascii="Arial" w:cs="Arial" w:eastAsia="Arial" w:hAnsi="Arial"/>
          <w:sz w:val="19"/>
          <w:szCs w:val="19"/>
          <w:b w:val="1"/>
          <w:bCs w:val="1"/>
          <w:color w:val="1A1A1A"/>
        </w:rPr>
        <w:t xml:space="preserve"> </w:t>
      </w:r>
      <w:r>
        <w:rPr>
          <w:rFonts w:ascii="Arial" w:cs="Arial" w:eastAsia="Arial" w:hAnsi="Arial"/>
          <w:sz w:val="17"/>
          <w:szCs w:val="17"/>
          <w:color w:val="2F2F2F"/>
        </w:rPr>
        <w:t>yo</w:t>
      </w:r>
      <w:r>
        <w:rPr>
          <w:rFonts w:ascii="Arial" w:cs="Arial" w:eastAsia="Arial" w:hAnsi="Arial"/>
          <w:sz w:val="17"/>
          <w:szCs w:val="17"/>
          <w:color w:val="1A1A1A"/>
        </w:rPr>
        <w:t>ur</w:t>
      </w:r>
      <w:r>
        <w:rPr>
          <w:rFonts w:ascii="Arial" w:cs="Arial" w:eastAsia="Arial" w:hAnsi="Arial"/>
          <w:sz w:val="17"/>
          <w:szCs w:val="17"/>
          <w:color w:val="2F2F2F"/>
        </w:rPr>
        <w:t xml:space="preserve"> Employment</w:t>
      </w:r>
      <w:r>
        <w:rPr>
          <w:rFonts w:ascii="Arial" w:cs="Arial" w:eastAsia="Arial" w:hAnsi="Arial"/>
          <w:sz w:val="17"/>
          <w:szCs w:val="17"/>
          <w:color w:val="5B5B5B"/>
        </w:rPr>
        <w:t>,</w:t>
      </w:r>
      <w:r>
        <w:rPr>
          <w:rFonts w:ascii="Arial" w:cs="Arial" w:eastAsia="Arial" w:hAnsi="Arial"/>
          <w:sz w:val="17"/>
          <w:szCs w:val="17"/>
          <w:color w:val="2F2F2F"/>
        </w:rPr>
        <w:t xml:space="preserve"> w</w:t>
      </w:r>
      <w:r>
        <w:rPr>
          <w:rFonts w:ascii="Arial" w:cs="Arial" w:eastAsia="Arial" w:hAnsi="Arial"/>
          <w:sz w:val="17"/>
          <w:szCs w:val="17"/>
          <w:color w:val="1A1A1A"/>
        </w:rPr>
        <w:t>i</w:t>
      </w:r>
      <w:r>
        <w:rPr>
          <w:rFonts w:ascii="Arial" w:cs="Arial" w:eastAsia="Arial" w:hAnsi="Arial"/>
          <w:sz w:val="17"/>
          <w:szCs w:val="17"/>
          <w:color w:val="2F2F2F"/>
        </w:rPr>
        <w:t>tho</w:t>
      </w:r>
      <w:r>
        <w:rPr>
          <w:rFonts w:ascii="Arial" w:cs="Arial" w:eastAsia="Arial" w:hAnsi="Arial"/>
          <w:sz w:val="17"/>
          <w:szCs w:val="17"/>
          <w:color w:val="1A1A1A"/>
        </w:rPr>
        <w:t>u</w:t>
      </w:r>
      <w:r>
        <w:rPr>
          <w:rFonts w:ascii="Arial" w:cs="Arial" w:eastAsia="Arial" w:hAnsi="Arial"/>
          <w:sz w:val="17"/>
          <w:szCs w:val="17"/>
          <w:color w:val="2F2F2F"/>
        </w:rPr>
        <w:t>t the prior wr</w:t>
      </w:r>
      <w:r>
        <w:rPr>
          <w:rFonts w:ascii="Arial" w:cs="Arial" w:eastAsia="Arial" w:hAnsi="Arial"/>
          <w:sz w:val="17"/>
          <w:szCs w:val="17"/>
          <w:color w:val="1A1A1A"/>
        </w:rPr>
        <w:t>i</w:t>
      </w:r>
      <w:r>
        <w:rPr>
          <w:rFonts w:ascii="Arial" w:cs="Arial" w:eastAsia="Arial" w:hAnsi="Arial"/>
          <w:sz w:val="17"/>
          <w:szCs w:val="17"/>
          <w:color w:val="2F2F2F"/>
        </w:rPr>
        <w:t>tte</w:t>
      </w:r>
      <w:r>
        <w:rPr>
          <w:rFonts w:ascii="Arial" w:cs="Arial" w:eastAsia="Arial" w:hAnsi="Arial"/>
          <w:sz w:val="17"/>
          <w:szCs w:val="17"/>
          <w:color w:val="1A1A1A"/>
        </w:rPr>
        <w:t>n</w:t>
      </w:r>
      <w:r>
        <w:rPr>
          <w:rFonts w:ascii="Arial" w:cs="Arial" w:eastAsia="Arial" w:hAnsi="Arial"/>
          <w:sz w:val="17"/>
          <w:szCs w:val="17"/>
          <w:color w:val="2F2F2F"/>
        </w:rPr>
        <w:t xml:space="preserve"> appro</w:t>
      </w:r>
      <w:r>
        <w:rPr>
          <w:rFonts w:ascii="Arial" w:cs="Arial" w:eastAsia="Arial" w:hAnsi="Arial"/>
          <w:sz w:val="17"/>
          <w:szCs w:val="17"/>
          <w:color w:val="000000"/>
        </w:rPr>
        <w:t>val of</w:t>
      </w:r>
      <w:r>
        <w:rPr>
          <w:rFonts w:ascii="Arial" w:cs="Arial" w:eastAsia="Arial" w:hAnsi="Arial"/>
          <w:sz w:val="17"/>
          <w:szCs w:val="17"/>
          <w:color w:val="2F2F2F"/>
        </w:rPr>
        <w:t xml:space="preserve"> </w:t>
      </w:r>
      <w:r>
        <w:rPr>
          <w:rFonts w:ascii="Arial" w:cs="Arial" w:eastAsia="Arial" w:hAnsi="Arial"/>
          <w:sz w:val="17"/>
          <w:szCs w:val="17"/>
          <w:color w:val="1A1A1A"/>
        </w:rPr>
        <w:t>t</w:t>
      </w:r>
      <w:r>
        <w:rPr>
          <w:rFonts w:ascii="Arial" w:cs="Arial" w:eastAsia="Arial" w:hAnsi="Arial"/>
          <w:sz w:val="17"/>
          <w:szCs w:val="17"/>
          <w:color w:val="2F2F2F"/>
        </w:rPr>
        <w:t>he Company</w:t>
      </w:r>
      <w:r>
        <w:rPr>
          <w:rFonts w:ascii="Arial" w:cs="Arial" w:eastAsia="Arial" w:hAnsi="Arial"/>
          <w:sz w:val="17"/>
          <w:szCs w:val="17"/>
          <w:color w:val="494949"/>
        </w:rPr>
        <w:t>'</w:t>
      </w:r>
      <w:r>
        <w:rPr>
          <w:rFonts w:ascii="Arial" w:cs="Arial" w:eastAsia="Arial" w:hAnsi="Arial"/>
          <w:sz w:val="17"/>
          <w:szCs w:val="17"/>
          <w:color w:val="2F2F2F"/>
        </w:rPr>
        <w:t>s Chief Executive Officer</w:t>
      </w:r>
      <w:r>
        <w:rPr>
          <w:rFonts w:ascii="Arial" w:cs="Arial" w:eastAsia="Arial" w:hAnsi="Arial"/>
          <w:sz w:val="17"/>
          <w:szCs w:val="17"/>
          <w:color w:val="5B5B5B"/>
        </w:rPr>
        <w:t>,</w:t>
      </w:r>
      <w:r>
        <w:rPr>
          <w:rFonts w:ascii="Arial" w:cs="Arial" w:eastAsia="Arial" w:hAnsi="Arial"/>
          <w:sz w:val="17"/>
          <w:szCs w:val="17"/>
          <w:color w:val="2F2F2F"/>
        </w:rPr>
        <w:t xml:space="preserve"> you shall not render serv</w:t>
      </w:r>
      <w:r>
        <w:rPr>
          <w:rFonts w:ascii="Arial" w:cs="Arial" w:eastAsia="Arial" w:hAnsi="Arial"/>
          <w:sz w:val="17"/>
          <w:szCs w:val="17"/>
          <w:color w:val="1A1A1A"/>
        </w:rPr>
        <w:t>i</w:t>
      </w:r>
      <w:r>
        <w:rPr>
          <w:rFonts w:ascii="Arial" w:cs="Arial" w:eastAsia="Arial" w:hAnsi="Arial"/>
          <w:sz w:val="17"/>
          <w:szCs w:val="17"/>
          <w:color w:val="2F2F2F"/>
        </w:rPr>
        <w:t>ces in any capacity to any other person or entity an</w:t>
      </w:r>
      <w:r>
        <w:rPr>
          <w:rFonts w:ascii="Arial" w:cs="Arial" w:eastAsia="Arial" w:hAnsi="Arial"/>
          <w:sz w:val="17"/>
          <w:szCs w:val="17"/>
          <w:color w:val="1A1A1A"/>
        </w:rPr>
        <w:t>d</w:t>
      </w:r>
      <w:r>
        <w:rPr>
          <w:rFonts w:ascii="Arial" w:cs="Arial" w:eastAsia="Arial" w:hAnsi="Arial"/>
          <w:sz w:val="17"/>
          <w:szCs w:val="17"/>
          <w:color w:val="2F2F2F"/>
        </w:rPr>
        <w:t xml:space="preserve"> sha</w:t>
      </w:r>
      <w:r>
        <w:rPr>
          <w:rFonts w:ascii="Arial" w:cs="Arial" w:eastAsia="Arial" w:hAnsi="Arial"/>
          <w:sz w:val="17"/>
          <w:szCs w:val="17"/>
          <w:color w:val="1A1A1A"/>
        </w:rPr>
        <w:t>ll</w:t>
      </w:r>
      <w:r>
        <w:rPr>
          <w:rFonts w:ascii="Arial" w:cs="Arial" w:eastAsia="Arial" w:hAnsi="Arial"/>
          <w:sz w:val="17"/>
          <w:szCs w:val="17"/>
          <w:color w:val="2F2F2F"/>
        </w:rPr>
        <w:t xml:space="preserve"> not act as a so</w:t>
      </w:r>
      <w:r>
        <w:rPr>
          <w:rFonts w:ascii="Arial" w:cs="Arial" w:eastAsia="Arial" w:hAnsi="Arial"/>
          <w:sz w:val="17"/>
          <w:szCs w:val="17"/>
          <w:color w:val="1A1A1A"/>
        </w:rPr>
        <w:t>l</w:t>
      </w:r>
      <w:r>
        <w:rPr>
          <w:rFonts w:ascii="Arial" w:cs="Arial" w:eastAsia="Arial" w:hAnsi="Arial"/>
          <w:sz w:val="17"/>
          <w:szCs w:val="17"/>
          <w:color w:val="2F2F2F"/>
        </w:rPr>
        <w:t>e proprieto</w:t>
      </w:r>
      <w:r>
        <w:rPr>
          <w:rFonts w:ascii="Arial" w:cs="Arial" w:eastAsia="Arial" w:hAnsi="Arial"/>
          <w:sz w:val="17"/>
          <w:szCs w:val="17"/>
          <w:color w:val="1A1A1A"/>
        </w:rPr>
        <w:t>r</w:t>
      </w:r>
      <w:r>
        <w:rPr>
          <w:rFonts w:ascii="Arial" w:cs="Arial" w:eastAsia="Arial" w:hAnsi="Arial"/>
          <w:sz w:val="17"/>
          <w:szCs w:val="17"/>
          <w:color w:val="2F2F2F"/>
        </w:rPr>
        <w:t xml:space="preserve"> or partner of any other person or entity or own more </w:t>
      </w:r>
      <w:r>
        <w:rPr>
          <w:rFonts w:ascii="Arial" w:cs="Arial" w:eastAsia="Arial" w:hAnsi="Arial"/>
          <w:sz w:val="17"/>
          <w:szCs w:val="17"/>
          <w:color w:val="1A1A1A"/>
        </w:rPr>
        <w:t>t</w:t>
      </w:r>
      <w:r>
        <w:rPr>
          <w:rFonts w:ascii="Arial" w:cs="Arial" w:eastAsia="Arial" w:hAnsi="Arial"/>
          <w:sz w:val="17"/>
          <w:szCs w:val="17"/>
          <w:color w:val="2F2F2F"/>
        </w:rPr>
        <w:t>han five pe</w:t>
      </w:r>
      <w:r>
        <w:rPr>
          <w:rFonts w:ascii="Arial" w:cs="Arial" w:eastAsia="Arial" w:hAnsi="Arial"/>
          <w:sz w:val="17"/>
          <w:szCs w:val="17"/>
          <w:color w:val="1A1A1A"/>
        </w:rPr>
        <w:t>r</w:t>
      </w:r>
      <w:r>
        <w:rPr>
          <w:rFonts w:ascii="Arial" w:cs="Arial" w:eastAsia="Arial" w:hAnsi="Arial"/>
          <w:sz w:val="17"/>
          <w:szCs w:val="17"/>
          <w:color w:val="2F2F2F"/>
        </w:rPr>
        <w:t>cent of the stock of any other corporation. Notwiths</w:t>
      </w:r>
      <w:r>
        <w:rPr>
          <w:rFonts w:ascii="Arial" w:cs="Arial" w:eastAsia="Arial" w:hAnsi="Arial"/>
          <w:sz w:val="17"/>
          <w:szCs w:val="17"/>
          <w:color w:val="1A1A1A"/>
        </w:rPr>
        <w:t>t</w:t>
      </w:r>
      <w:r>
        <w:rPr>
          <w:rFonts w:ascii="Arial" w:cs="Arial" w:eastAsia="Arial" w:hAnsi="Arial"/>
          <w:sz w:val="17"/>
          <w:szCs w:val="17"/>
          <w:color w:val="2F2F2F"/>
        </w:rPr>
        <w:t>an</w:t>
      </w:r>
      <w:r>
        <w:rPr>
          <w:rFonts w:ascii="Arial" w:cs="Arial" w:eastAsia="Arial" w:hAnsi="Arial"/>
          <w:sz w:val="17"/>
          <w:szCs w:val="17"/>
          <w:color w:val="1A1A1A"/>
        </w:rPr>
        <w:t>d</w:t>
      </w:r>
      <w:r>
        <w:rPr>
          <w:rFonts w:ascii="Arial" w:cs="Arial" w:eastAsia="Arial" w:hAnsi="Arial"/>
          <w:sz w:val="17"/>
          <w:szCs w:val="17"/>
          <w:color w:val="2F2F2F"/>
        </w:rPr>
        <w:t>ing the foregoing</w:t>
      </w:r>
      <w:r>
        <w:rPr>
          <w:rFonts w:ascii="Arial" w:cs="Arial" w:eastAsia="Arial" w:hAnsi="Arial"/>
          <w:sz w:val="17"/>
          <w:szCs w:val="17"/>
          <w:color w:val="5B5B5B"/>
        </w:rPr>
        <w:t>,</w:t>
      </w:r>
      <w:r>
        <w:rPr>
          <w:rFonts w:ascii="Arial" w:cs="Arial" w:eastAsia="Arial" w:hAnsi="Arial"/>
          <w:sz w:val="17"/>
          <w:szCs w:val="17"/>
          <w:color w:val="2F2F2F"/>
        </w:rPr>
        <w:t xml:space="preserve"> you may serve on corporate</w:t>
      </w:r>
      <w:r>
        <w:rPr>
          <w:rFonts w:ascii="Arial" w:cs="Arial" w:eastAsia="Arial" w:hAnsi="Arial"/>
          <w:sz w:val="17"/>
          <w:szCs w:val="17"/>
          <w:color w:val="5B5B5B"/>
        </w:rPr>
        <w:t>,</w:t>
      </w:r>
      <w:r>
        <w:rPr>
          <w:rFonts w:ascii="Arial" w:cs="Arial" w:eastAsia="Arial" w:hAnsi="Arial"/>
          <w:sz w:val="17"/>
          <w:szCs w:val="17"/>
          <w:color w:val="2F2F2F"/>
        </w:rPr>
        <w:t xml:space="preserve"> c</w:t>
      </w:r>
      <w:r>
        <w:rPr>
          <w:rFonts w:ascii="Arial" w:cs="Arial" w:eastAsia="Arial" w:hAnsi="Arial"/>
          <w:sz w:val="17"/>
          <w:szCs w:val="17"/>
          <w:color w:val="1A1A1A"/>
        </w:rPr>
        <w:t>i</w:t>
      </w:r>
      <w:r>
        <w:rPr>
          <w:rFonts w:ascii="Arial" w:cs="Arial" w:eastAsia="Arial" w:hAnsi="Arial"/>
          <w:sz w:val="17"/>
          <w:szCs w:val="17"/>
          <w:color w:val="2F2F2F"/>
        </w:rPr>
        <w:t>vic or charita</w:t>
      </w:r>
      <w:r>
        <w:rPr>
          <w:rFonts w:ascii="Arial" w:cs="Arial" w:eastAsia="Arial" w:hAnsi="Arial"/>
          <w:sz w:val="17"/>
          <w:szCs w:val="17"/>
          <w:color w:val="1A1A1A"/>
        </w:rPr>
        <w:t>bl</w:t>
      </w:r>
      <w:r>
        <w:rPr>
          <w:rFonts w:ascii="Arial" w:cs="Arial" w:eastAsia="Arial" w:hAnsi="Arial"/>
          <w:sz w:val="17"/>
          <w:szCs w:val="17"/>
          <w:color w:val="2F2F2F"/>
        </w:rPr>
        <w:t xml:space="preserve">e </w:t>
      </w:r>
      <w:r>
        <w:rPr>
          <w:rFonts w:ascii="Arial" w:cs="Arial" w:eastAsia="Arial" w:hAnsi="Arial"/>
          <w:sz w:val="17"/>
          <w:szCs w:val="17"/>
          <w:color w:val="1A1A1A"/>
        </w:rPr>
        <w:t>b</w:t>
      </w:r>
      <w:r>
        <w:rPr>
          <w:rFonts w:ascii="Arial" w:cs="Arial" w:eastAsia="Arial" w:hAnsi="Arial"/>
          <w:sz w:val="17"/>
          <w:szCs w:val="17"/>
          <w:color w:val="2F2F2F"/>
        </w:rPr>
        <w:t>oa</w:t>
      </w:r>
      <w:r>
        <w:rPr>
          <w:rFonts w:ascii="Arial" w:cs="Arial" w:eastAsia="Arial" w:hAnsi="Arial"/>
          <w:sz w:val="17"/>
          <w:szCs w:val="17"/>
          <w:color w:val="1A1A1A"/>
        </w:rPr>
        <w:t>rd</w:t>
      </w:r>
      <w:r>
        <w:rPr>
          <w:rFonts w:ascii="Arial" w:cs="Arial" w:eastAsia="Arial" w:hAnsi="Arial"/>
          <w:sz w:val="17"/>
          <w:szCs w:val="17"/>
          <w:color w:val="2F2F2F"/>
        </w:rPr>
        <w:t xml:space="preserve">s </w:t>
      </w:r>
      <w:r>
        <w:rPr>
          <w:rFonts w:ascii="Arial" w:cs="Arial" w:eastAsia="Arial" w:hAnsi="Arial"/>
          <w:sz w:val="17"/>
          <w:szCs w:val="17"/>
          <w:color w:val="1A1A1A"/>
        </w:rPr>
        <w:t>o</w:t>
      </w:r>
      <w:r>
        <w:rPr>
          <w:rFonts w:ascii="Arial" w:cs="Arial" w:eastAsia="Arial" w:hAnsi="Arial"/>
          <w:sz w:val="17"/>
          <w:szCs w:val="17"/>
          <w:color w:val="2F2F2F"/>
        </w:rPr>
        <w:t>r committees</w:t>
      </w:r>
      <w:r>
        <w:rPr>
          <w:rFonts w:ascii="Arial" w:cs="Arial" w:eastAsia="Arial" w:hAnsi="Arial"/>
          <w:sz w:val="17"/>
          <w:szCs w:val="17"/>
          <w:color w:val="5B5B5B"/>
        </w:rPr>
        <w:t>,</w:t>
      </w:r>
      <w:r>
        <w:rPr>
          <w:rFonts w:ascii="Arial" w:cs="Arial" w:eastAsia="Arial" w:hAnsi="Arial"/>
          <w:sz w:val="17"/>
          <w:szCs w:val="17"/>
          <w:color w:val="2F2F2F"/>
        </w:rPr>
        <w:t xml:space="preserve"> de</w:t>
      </w:r>
      <w:r>
        <w:rPr>
          <w:rFonts w:ascii="Arial" w:cs="Arial" w:eastAsia="Arial" w:hAnsi="Arial"/>
          <w:sz w:val="17"/>
          <w:szCs w:val="17"/>
          <w:color w:val="1A1A1A"/>
        </w:rPr>
        <w:t>l</w:t>
      </w:r>
      <w:r>
        <w:rPr>
          <w:rFonts w:ascii="Arial" w:cs="Arial" w:eastAsia="Arial" w:hAnsi="Arial"/>
          <w:sz w:val="17"/>
          <w:szCs w:val="17"/>
          <w:color w:val="2F2F2F"/>
        </w:rPr>
        <w:t xml:space="preserve">iver </w:t>
      </w:r>
      <w:r>
        <w:rPr>
          <w:rFonts w:ascii="Arial" w:cs="Arial" w:eastAsia="Arial" w:hAnsi="Arial"/>
          <w:sz w:val="17"/>
          <w:szCs w:val="17"/>
          <w:color w:val="1A1A1A"/>
        </w:rPr>
        <w:t>l</w:t>
      </w:r>
      <w:r>
        <w:rPr>
          <w:rFonts w:ascii="Arial" w:cs="Arial" w:eastAsia="Arial" w:hAnsi="Arial"/>
          <w:sz w:val="17"/>
          <w:szCs w:val="17"/>
          <w:color w:val="2F2F2F"/>
        </w:rPr>
        <w:t>ectures, fu</w:t>
      </w:r>
      <w:r>
        <w:rPr>
          <w:rFonts w:ascii="Arial" w:cs="Arial" w:eastAsia="Arial" w:hAnsi="Arial"/>
          <w:sz w:val="17"/>
          <w:szCs w:val="17"/>
          <w:color w:val="1A1A1A"/>
        </w:rPr>
        <w:t>l</w:t>
      </w:r>
      <w:r>
        <w:rPr>
          <w:rFonts w:ascii="Arial" w:cs="Arial" w:eastAsia="Arial" w:hAnsi="Arial"/>
          <w:sz w:val="17"/>
          <w:szCs w:val="17"/>
          <w:color w:val="2F2F2F"/>
        </w:rPr>
        <w:t>fill speaking engagemen</w:t>
      </w:r>
      <w:r>
        <w:rPr>
          <w:rFonts w:ascii="Arial" w:cs="Arial" w:eastAsia="Arial" w:hAnsi="Arial"/>
          <w:sz w:val="17"/>
          <w:szCs w:val="17"/>
          <w:color w:val="1A1A1A"/>
        </w:rPr>
        <w:t>t</w:t>
      </w:r>
      <w:r>
        <w:rPr>
          <w:rFonts w:ascii="Arial" w:cs="Arial" w:eastAsia="Arial" w:hAnsi="Arial"/>
          <w:sz w:val="17"/>
          <w:szCs w:val="17"/>
          <w:color w:val="2F2F2F"/>
        </w:rPr>
        <w:t>s</w:t>
      </w:r>
      <w:r>
        <w:rPr>
          <w:rFonts w:ascii="Arial" w:cs="Arial" w:eastAsia="Arial" w:hAnsi="Arial"/>
          <w:sz w:val="17"/>
          <w:szCs w:val="17"/>
          <w:color w:val="5B5B5B"/>
        </w:rPr>
        <w:t>,</w:t>
      </w:r>
      <w:r>
        <w:rPr>
          <w:rFonts w:ascii="Arial" w:cs="Arial" w:eastAsia="Arial" w:hAnsi="Arial"/>
          <w:sz w:val="17"/>
          <w:szCs w:val="17"/>
          <w:color w:val="2F2F2F"/>
        </w:rPr>
        <w:t xml:space="preserve"> teach at educationa</w:t>
      </w:r>
      <w:r>
        <w:rPr>
          <w:rFonts w:ascii="Arial" w:cs="Arial" w:eastAsia="Arial" w:hAnsi="Arial"/>
          <w:sz w:val="17"/>
          <w:szCs w:val="17"/>
          <w:color w:val="1A1A1A"/>
        </w:rPr>
        <w:t>l</w:t>
      </w:r>
      <w:r>
        <w:rPr>
          <w:rFonts w:ascii="Arial" w:cs="Arial" w:eastAsia="Arial" w:hAnsi="Arial"/>
          <w:sz w:val="17"/>
          <w:szCs w:val="17"/>
          <w:color w:val="2F2F2F"/>
        </w:rPr>
        <w:t xml:space="preserve"> i</w:t>
      </w:r>
      <w:r>
        <w:rPr>
          <w:rFonts w:ascii="Arial" w:cs="Arial" w:eastAsia="Arial" w:hAnsi="Arial"/>
          <w:sz w:val="17"/>
          <w:szCs w:val="17"/>
          <w:color w:val="1A1A1A"/>
        </w:rPr>
        <w:t>n</w:t>
      </w:r>
      <w:r>
        <w:rPr>
          <w:rFonts w:ascii="Arial" w:cs="Arial" w:eastAsia="Arial" w:hAnsi="Arial"/>
          <w:sz w:val="17"/>
          <w:szCs w:val="17"/>
          <w:color w:val="2F2F2F"/>
        </w:rPr>
        <w:t>stitutio</w:t>
      </w:r>
      <w:r>
        <w:rPr>
          <w:rFonts w:ascii="Arial" w:cs="Arial" w:eastAsia="Arial" w:hAnsi="Arial"/>
          <w:sz w:val="17"/>
          <w:szCs w:val="17"/>
          <w:color w:val="1A1A1A"/>
        </w:rPr>
        <w:t>n</w:t>
      </w:r>
      <w:r>
        <w:rPr>
          <w:rFonts w:ascii="Arial" w:cs="Arial" w:eastAsia="Arial" w:hAnsi="Arial"/>
          <w:sz w:val="17"/>
          <w:szCs w:val="17"/>
          <w:color w:val="2F2F2F"/>
        </w:rPr>
        <w:t>s</w:t>
      </w:r>
      <w:r>
        <w:rPr>
          <w:rFonts w:ascii="Arial" w:cs="Arial" w:eastAsia="Arial" w:hAnsi="Arial"/>
          <w:sz w:val="17"/>
          <w:szCs w:val="17"/>
          <w:color w:val="494949"/>
        </w:rPr>
        <w:t>,</w:t>
      </w:r>
      <w:r>
        <w:rPr>
          <w:rFonts w:ascii="Arial" w:cs="Arial" w:eastAsia="Arial" w:hAnsi="Arial"/>
          <w:sz w:val="17"/>
          <w:szCs w:val="17"/>
          <w:color w:val="2F2F2F"/>
        </w:rPr>
        <w:t xml:space="preserve"> or manage perso</w:t>
      </w:r>
      <w:r>
        <w:rPr>
          <w:rFonts w:ascii="Arial" w:cs="Arial" w:eastAsia="Arial" w:hAnsi="Arial"/>
          <w:sz w:val="17"/>
          <w:szCs w:val="17"/>
          <w:color w:val="1A1A1A"/>
        </w:rPr>
        <w:t>n</w:t>
      </w:r>
      <w:r>
        <w:rPr>
          <w:rFonts w:ascii="Arial" w:cs="Arial" w:eastAsia="Arial" w:hAnsi="Arial"/>
          <w:sz w:val="17"/>
          <w:szCs w:val="17"/>
          <w:color w:val="2F2F2F"/>
        </w:rPr>
        <w:t>a</w:t>
      </w:r>
      <w:r>
        <w:rPr>
          <w:rFonts w:ascii="Arial" w:cs="Arial" w:eastAsia="Arial" w:hAnsi="Arial"/>
          <w:sz w:val="17"/>
          <w:szCs w:val="17"/>
          <w:color w:val="1A1A1A"/>
        </w:rPr>
        <w:t>l</w:t>
      </w:r>
      <w:r>
        <w:rPr>
          <w:rFonts w:ascii="Arial" w:cs="Arial" w:eastAsia="Arial" w:hAnsi="Arial"/>
          <w:sz w:val="17"/>
          <w:szCs w:val="17"/>
          <w:color w:val="2F2F2F"/>
        </w:rPr>
        <w:t xml:space="preserve"> investments without such a</w:t>
      </w:r>
      <w:r>
        <w:rPr>
          <w:rFonts w:ascii="Arial" w:cs="Arial" w:eastAsia="Arial" w:hAnsi="Arial"/>
          <w:sz w:val="17"/>
          <w:szCs w:val="17"/>
          <w:color w:val="1A1A1A"/>
        </w:rPr>
        <w:t>d</w:t>
      </w:r>
      <w:r>
        <w:rPr>
          <w:rFonts w:ascii="Arial" w:cs="Arial" w:eastAsia="Arial" w:hAnsi="Arial"/>
          <w:sz w:val="17"/>
          <w:szCs w:val="17"/>
          <w:color w:val="2F2F2F"/>
        </w:rPr>
        <w:t>vance written consent</w:t>
      </w:r>
      <w:r>
        <w:rPr>
          <w:rFonts w:ascii="Arial" w:cs="Arial" w:eastAsia="Arial" w:hAnsi="Arial"/>
          <w:sz w:val="17"/>
          <w:szCs w:val="17"/>
          <w:color w:val="5B5B5B"/>
        </w:rPr>
        <w:t>,</w:t>
      </w:r>
      <w:r>
        <w:rPr>
          <w:rFonts w:ascii="Arial" w:cs="Arial" w:eastAsia="Arial" w:hAnsi="Arial"/>
          <w:sz w:val="17"/>
          <w:szCs w:val="17"/>
          <w:color w:val="2F2F2F"/>
        </w:rPr>
        <w:t xml:space="preserve"> provided that such activities do not </w:t>
      </w:r>
      <w:r>
        <w:rPr>
          <w:rFonts w:ascii="Arial" w:cs="Arial" w:eastAsia="Arial" w:hAnsi="Arial"/>
          <w:sz w:val="17"/>
          <w:szCs w:val="17"/>
          <w:color w:val="1A1A1A"/>
        </w:rPr>
        <w:t>i</w:t>
      </w:r>
      <w:r>
        <w:rPr>
          <w:rFonts w:ascii="Arial" w:cs="Arial" w:eastAsia="Arial" w:hAnsi="Arial"/>
          <w:sz w:val="17"/>
          <w:szCs w:val="17"/>
          <w:color w:val="2F2F2F"/>
        </w:rPr>
        <w:t>nd</w:t>
      </w:r>
      <w:r>
        <w:rPr>
          <w:rFonts w:ascii="Arial" w:cs="Arial" w:eastAsia="Arial" w:hAnsi="Arial"/>
          <w:sz w:val="17"/>
          <w:szCs w:val="17"/>
          <w:color w:val="1A1A1A"/>
        </w:rPr>
        <w:t>i</w:t>
      </w:r>
      <w:r>
        <w:rPr>
          <w:rFonts w:ascii="Arial" w:cs="Arial" w:eastAsia="Arial" w:hAnsi="Arial"/>
          <w:sz w:val="17"/>
          <w:szCs w:val="17"/>
          <w:color w:val="2F2F2F"/>
        </w:rPr>
        <w:t>vid</w:t>
      </w:r>
      <w:r>
        <w:rPr>
          <w:rFonts w:ascii="Arial" w:cs="Arial" w:eastAsia="Arial" w:hAnsi="Arial"/>
          <w:sz w:val="17"/>
          <w:szCs w:val="17"/>
          <w:color w:val="1A1A1A"/>
        </w:rPr>
        <w:t>u</w:t>
      </w:r>
      <w:r>
        <w:rPr>
          <w:rFonts w:ascii="Arial" w:cs="Arial" w:eastAsia="Arial" w:hAnsi="Arial"/>
          <w:sz w:val="17"/>
          <w:szCs w:val="17"/>
          <w:color w:val="2F2F2F"/>
        </w:rPr>
        <w:t>ally or in t</w:t>
      </w:r>
      <w:r>
        <w:rPr>
          <w:rFonts w:ascii="Arial" w:cs="Arial" w:eastAsia="Arial" w:hAnsi="Arial"/>
          <w:sz w:val="17"/>
          <w:szCs w:val="17"/>
          <w:color w:val="1A1A1A"/>
        </w:rPr>
        <w:t>h</w:t>
      </w:r>
      <w:r>
        <w:rPr>
          <w:rFonts w:ascii="Arial" w:cs="Arial" w:eastAsia="Arial" w:hAnsi="Arial"/>
          <w:sz w:val="17"/>
          <w:szCs w:val="17"/>
          <w:color w:val="2F2F2F"/>
        </w:rPr>
        <w:t xml:space="preserve">e aggregate </w:t>
      </w:r>
      <w:r>
        <w:rPr>
          <w:rFonts w:ascii="Arial" w:cs="Arial" w:eastAsia="Arial" w:hAnsi="Arial"/>
          <w:sz w:val="17"/>
          <w:szCs w:val="17"/>
          <w:color w:val="1A1A1A"/>
        </w:rPr>
        <w:t>i</w:t>
      </w:r>
      <w:r>
        <w:rPr>
          <w:rFonts w:ascii="Arial" w:cs="Arial" w:eastAsia="Arial" w:hAnsi="Arial"/>
          <w:sz w:val="17"/>
          <w:szCs w:val="17"/>
          <w:color w:val="2F2F2F"/>
        </w:rPr>
        <w:t>nte</w:t>
      </w:r>
      <w:r>
        <w:rPr>
          <w:rFonts w:ascii="Arial" w:cs="Arial" w:eastAsia="Arial" w:hAnsi="Arial"/>
          <w:sz w:val="17"/>
          <w:szCs w:val="17"/>
          <w:color w:val="1A1A1A"/>
        </w:rPr>
        <w:t>r</w:t>
      </w:r>
      <w:r>
        <w:rPr>
          <w:rFonts w:ascii="Arial" w:cs="Arial" w:eastAsia="Arial" w:hAnsi="Arial"/>
          <w:sz w:val="17"/>
          <w:szCs w:val="17"/>
          <w:color w:val="2F2F2F"/>
        </w:rPr>
        <w:t>fere w</w:t>
      </w:r>
      <w:r>
        <w:rPr>
          <w:rFonts w:ascii="Arial" w:cs="Arial" w:eastAsia="Arial" w:hAnsi="Arial"/>
          <w:sz w:val="17"/>
          <w:szCs w:val="17"/>
          <w:color w:val="1A1A1A"/>
        </w:rPr>
        <w:t>i</w:t>
      </w:r>
      <w:r>
        <w:rPr>
          <w:rFonts w:ascii="Arial" w:cs="Arial" w:eastAsia="Arial" w:hAnsi="Arial"/>
          <w:sz w:val="17"/>
          <w:szCs w:val="17"/>
          <w:color w:val="2F2F2F"/>
        </w:rPr>
        <w:t>th the performance of yo</w:t>
      </w:r>
      <w:r>
        <w:rPr>
          <w:rFonts w:ascii="Arial" w:cs="Arial" w:eastAsia="Arial" w:hAnsi="Arial"/>
          <w:sz w:val="17"/>
          <w:szCs w:val="17"/>
          <w:color w:val="1A1A1A"/>
        </w:rPr>
        <w:t>ur</w:t>
      </w:r>
      <w:r>
        <w:rPr>
          <w:rFonts w:ascii="Arial" w:cs="Arial" w:eastAsia="Arial" w:hAnsi="Arial"/>
          <w:sz w:val="17"/>
          <w:szCs w:val="17"/>
          <w:color w:val="2F2F2F"/>
        </w:rPr>
        <w:t xml:space="preserve"> d</w:t>
      </w:r>
      <w:r>
        <w:rPr>
          <w:rFonts w:ascii="Arial" w:cs="Arial" w:eastAsia="Arial" w:hAnsi="Arial"/>
          <w:sz w:val="17"/>
          <w:szCs w:val="17"/>
          <w:color w:val="1A1A1A"/>
        </w:rPr>
        <w:t>u</w:t>
      </w:r>
      <w:r>
        <w:rPr>
          <w:rFonts w:ascii="Arial" w:cs="Arial" w:eastAsia="Arial" w:hAnsi="Arial"/>
          <w:sz w:val="17"/>
          <w:szCs w:val="17"/>
          <w:color w:val="2F2F2F"/>
        </w:rPr>
        <w:t>t</w:t>
      </w:r>
      <w:r>
        <w:rPr>
          <w:rFonts w:ascii="Arial" w:cs="Arial" w:eastAsia="Arial" w:hAnsi="Arial"/>
          <w:sz w:val="17"/>
          <w:szCs w:val="17"/>
          <w:color w:val="1A1A1A"/>
        </w:rPr>
        <w:t>i</w:t>
      </w:r>
      <w:r>
        <w:rPr>
          <w:rFonts w:ascii="Arial" w:cs="Arial" w:eastAsia="Arial" w:hAnsi="Arial"/>
          <w:sz w:val="17"/>
          <w:szCs w:val="17"/>
          <w:color w:val="2F2F2F"/>
        </w:rPr>
        <w:t xml:space="preserve">es </w:t>
      </w:r>
      <w:r>
        <w:rPr>
          <w:rFonts w:ascii="Arial" w:cs="Arial" w:eastAsia="Arial" w:hAnsi="Arial"/>
          <w:sz w:val="17"/>
          <w:szCs w:val="17"/>
          <w:color w:val="1A1A1A"/>
        </w:rPr>
        <w:t>u</w:t>
      </w:r>
      <w:r>
        <w:rPr>
          <w:rFonts w:ascii="Arial" w:cs="Arial" w:eastAsia="Arial" w:hAnsi="Arial"/>
          <w:sz w:val="17"/>
          <w:szCs w:val="17"/>
          <w:color w:val="2F2F2F"/>
        </w:rPr>
        <w:t>nder this Agreement. You shall comply w</w:t>
      </w:r>
      <w:r>
        <w:rPr>
          <w:rFonts w:ascii="Arial" w:cs="Arial" w:eastAsia="Arial" w:hAnsi="Arial"/>
          <w:sz w:val="17"/>
          <w:szCs w:val="17"/>
          <w:color w:val="1A1A1A"/>
        </w:rPr>
        <w:t>i</w:t>
      </w:r>
      <w:r>
        <w:rPr>
          <w:rFonts w:ascii="Arial" w:cs="Arial" w:eastAsia="Arial" w:hAnsi="Arial"/>
          <w:sz w:val="17"/>
          <w:szCs w:val="17"/>
          <w:color w:val="2F2F2F"/>
        </w:rPr>
        <w:t>th t</w:t>
      </w:r>
      <w:r>
        <w:rPr>
          <w:rFonts w:ascii="Arial" w:cs="Arial" w:eastAsia="Arial" w:hAnsi="Arial"/>
          <w:sz w:val="17"/>
          <w:szCs w:val="17"/>
          <w:color w:val="1A1A1A"/>
        </w:rPr>
        <w:t>h</w:t>
      </w:r>
      <w:r>
        <w:rPr>
          <w:rFonts w:ascii="Arial" w:cs="Arial" w:eastAsia="Arial" w:hAnsi="Arial"/>
          <w:sz w:val="17"/>
          <w:szCs w:val="17"/>
          <w:color w:val="2F2F2F"/>
        </w:rPr>
        <w:t>e Company</w:t>
      </w:r>
      <w:r>
        <w:rPr>
          <w:rFonts w:ascii="Arial" w:cs="Arial" w:eastAsia="Arial" w:hAnsi="Arial"/>
          <w:sz w:val="17"/>
          <w:szCs w:val="17"/>
          <w:color w:val="494949"/>
        </w:rPr>
        <w:t>'</w:t>
      </w:r>
      <w:r>
        <w:rPr>
          <w:rFonts w:ascii="Arial" w:cs="Arial" w:eastAsia="Arial" w:hAnsi="Arial"/>
          <w:sz w:val="17"/>
          <w:szCs w:val="17"/>
          <w:color w:val="2F2F2F"/>
        </w:rPr>
        <w:t>s po</w:t>
      </w:r>
      <w:r>
        <w:rPr>
          <w:rFonts w:ascii="Arial" w:cs="Arial" w:eastAsia="Arial" w:hAnsi="Arial"/>
          <w:sz w:val="17"/>
          <w:szCs w:val="17"/>
          <w:color w:val="1A1A1A"/>
        </w:rPr>
        <w:t>l</w:t>
      </w:r>
      <w:r>
        <w:rPr>
          <w:rFonts w:ascii="Arial" w:cs="Arial" w:eastAsia="Arial" w:hAnsi="Arial"/>
          <w:sz w:val="17"/>
          <w:szCs w:val="17"/>
          <w:color w:val="2F2F2F"/>
        </w:rPr>
        <w:t>ic</w:t>
      </w:r>
      <w:r>
        <w:rPr>
          <w:rFonts w:ascii="Arial" w:cs="Arial" w:eastAsia="Arial" w:hAnsi="Arial"/>
          <w:sz w:val="17"/>
          <w:szCs w:val="17"/>
          <w:color w:val="1A1A1A"/>
        </w:rPr>
        <w:t>i</w:t>
      </w:r>
      <w:r>
        <w:rPr>
          <w:rFonts w:ascii="Arial" w:cs="Arial" w:eastAsia="Arial" w:hAnsi="Arial"/>
          <w:sz w:val="17"/>
          <w:szCs w:val="17"/>
          <w:color w:val="2F2F2F"/>
        </w:rPr>
        <w:t>es and rules</w:t>
      </w:r>
      <w:r>
        <w:rPr>
          <w:rFonts w:ascii="Arial" w:cs="Arial" w:eastAsia="Arial" w:hAnsi="Arial"/>
          <w:sz w:val="17"/>
          <w:szCs w:val="17"/>
          <w:color w:val="5B5B5B"/>
        </w:rPr>
        <w:t>,</w:t>
      </w:r>
      <w:r>
        <w:rPr>
          <w:rFonts w:ascii="Arial" w:cs="Arial" w:eastAsia="Arial" w:hAnsi="Arial"/>
          <w:sz w:val="17"/>
          <w:szCs w:val="17"/>
          <w:color w:val="1A1A1A"/>
        </w:rPr>
        <w:t xml:space="preserve"> </w:t>
      </w:r>
      <w:r>
        <w:rPr>
          <w:rFonts w:ascii="Arial" w:cs="Arial" w:eastAsia="Arial" w:hAnsi="Arial"/>
          <w:sz w:val="17"/>
          <w:szCs w:val="17"/>
          <w:color w:val="2F2F2F"/>
        </w:rPr>
        <w:t>as th</w:t>
      </w:r>
      <w:r>
        <w:rPr>
          <w:rFonts w:ascii="Arial" w:cs="Arial" w:eastAsia="Arial" w:hAnsi="Arial"/>
          <w:sz w:val="17"/>
          <w:szCs w:val="17"/>
          <w:color w:val="494949"/>
        </w:rPr>
        <w:t>e</w:t>
      </w:r>
      <w:r>
        <w:rPr>
          <w:rFonts w:ascii="Arial" w:cs="Arial" w:eastAsia="Arial" w:hAnsi="Arial"/>
          <w:sz w:val="17"/>
          <w:szCs w:val="17"/>
          <w:color w:val="2F2F2F"/>
        </w:rPr>
        <w:t>y may be in effect from time to time during your</w:t>
      </w:r>
      <w:r>
        <w:rPr>
          <w:rFonts w:ascii="Arial" w:cs="Arial" w:eastAsia="Arial" w:hAnsi="Arial"/>
          <w:sz w:val="17"/>
          <w:szCs w:val="17"/>
          <w:color w:val="1A1A1A"/>
        </w:rPr>
        <w:t xml:space="preserve"> </w:t>
      </w:r>
      <w:r>
        <w:rPr>
          <w:rFonts w:ascii="Arial" w:cs="Arial" w:eastAsia="Arial" w:hAnsi="Arial"/>
          <w:sz w:val="17"/>
          <w:szCs w:val="17"/>
          <w:color w:val="2F2F2F"/>
        </w:rPr>
        <w:t>Employment.</w:t>
      </w:r>
    </w:p>
    <w:p>
      <w:pPr>
        <w:spacing w:after="0" w:line="3" w:lineRule="exact"/>
        <w:rPr>
          <w:rFonts w:ascii="Arial" w:cs="Arial" w:eastAsia="Arial" w:hAnsi="Arial"/>
          <w:sz w:val="18"/>
          <w:szCs w:val="18"/>
          <w:color w:val="auto"/>
        </w:rPr>
      </w:pPr>
    </w:p>
    <w:p>
      <w:pPr>
        <w:ind w:left="1163" w:right="100" w:hanging="286"/>
        <w:spacing w:after="0" w:line="268" w:lineRule="auto"/>
        <w:tabs>
          <w:tab w:leader="none" w:pos="1152" w:val="left"/>
        </w:tabs>
        <w:numPr>
          <w:ilvl w:val="1"/>
          <w:numId w:val="334"/>
        </w:numPr>
        <w:rPr>
          <w:rFonts w:ascii="Arial" w:cs="Arial" w:eastAsia="Arial" w:hAnsi="Arial"/>
          <w:sz w:val="17"/>
          <w:szCs w:val="17"/>
          <w:color w:val="2F2F2F"/>
        </w:rPr>
      </w:pPr>
      <w:r>
        <w:rPr>
          <w:rFonts w:ascii="Arial" w:cs="Arial" w:eastAsia="Arial" w:hAnsi="Arial"/>
          <w:sz w:val="18"/>
          <w:szCs w:val="18"/>
          <w:b w:val="1"/>
          <w:bCs w:val="1"/>
          <w:u w:val="single" w:color="auto"/>
          <w:color w:val="2F2F2F"/>
        </w:rPr>
        <w:t>N</w:t>
      </w:r>
      <w:r>
        <w:rPr>
          <w:rFonts w:ascii="Arial" w:cs="Arial" w:eastAsia="Arial" w:hAnsi="Arial"/>
          <w:sz w:val="18"/>
          <w:szCs w:val="18"/>
          <w:b w:val="1"/>
          <w:bCs w:val="1"/>
          <w:u w:val="single" w:color="auto"/>
          <w:color w:val="1A1A1A"/>
        </w:rPr>
        <w:t>o Conflicting Obli</w:t>
      </w:r>
      <w:r>
        <w:rPr>
          <w:rFonts w:ascii="Arial" w:cs="Arial" w:eastAsia="Arial" w:hAnsi="Arial"/>
          <w:sz w:val="18"/>
          <w:szCs w:val="18"/>
          <w:b w:val="1"/>
          <w:bCs w:val="1"/>
          <w:u w:val="single" w:color="auto"/>
          <w:color w:val="2F2F2F"/>
        </w:rPr>
        <w:t>g</w:t>
      </w:r>
      <w:r>
        <w:rPr>
          <w:rFonts w:ascii="Arial" w:cs="Arial" w:eastAsia="Arial" w:hAnsi="Arial"/>
          <w:sz w:val="18"/>
          <w:szCs w:val="18"/>
          <w:b w:val="1"/>
          <w:bCs w:val="1"/>
          <w:u w:val="single" w:color="auto"/>
          <w:color w:val="1A1A1A"/>
        </w:rPr>
        <w:t>a</w:t>
      </w:r>
      <w:r>
        <w:rPr>
          <w:rFonts w:ascii="Arial" w:cs="Arial" w:eastAsia="Arial" w:hAnsi="Arial"/>
          <w:sz w:val="18"/>
          <w:szCs w:val="18"/>
          <w:b w:val="1"/>
          <w:bCs w:val="1"/>
          <w:u w:val="single" w:color="auto"/>
          <w:color w:val="2F2F2F"/>
        </w:rPr>
        <w:t>t</w:t>
      </w:r>
      <w:r>
        <w:rPr>
          <w:rFonts w:ascii="Arial" w:cs="Arial" w:eastAsia="Arial" w:hAnsi="Arial"/>
          <w:sz w:val="18"/>
          <w:szCs w:val="18"/>
          <w:b w:val="1"/>
          <w:bCs w:val="1"/>
          <w:u w:val="single" w:color="auto"/>
          <w:color w:val="1A1A1A"/>
        </w:rPr>
        <w:t>ions.</w:t>
      </w:r>
      <w:r>
        <w:rPr>
          <w:rFonts w:ascii="Arial" w:cs="Arial" w:eastAsia="Arial" w:hAnsi="Arial"/>
          <w:sz w:val="18"/>
          <w:szCs w:val="18"/>
          <w:b w:val="1"/>
          <w:bCs w:val="1"/>
          <w:color w:val="2F2F2F"/>
        </w:rPr>
        <w:t xml:space="preserve"> </w:t>
      </w:r>
      <w:r>
        <w:rPr>
          <w:rFonts w:ascii="Arial" w:cs="Arial" w:eastAsia="Arial" w:hAnsi="Arial"/>
          <w:sz w:val="16"/>
          <w:szCs w:val="16"/>
          <w:color w:val="2F2F2F"/>
        </w:rPr>
        <w:t>You represent and wa</w:t>
      </w:r>
      <w:r>
        <w:rPr>
          <w:rFonts w:ascii="Arial" w:cs="Arial" w:eastAsia="Arial" w:hAnsi="Arial"/>
          <w:sz w:val="16"/>
          <w:szCs w:val="16"/>
          <w:color w:val="1A1A1A"/>
        </w:rPr>
        <w:t>r</w:t>
      </w:r>
      <w:r>
        <w:rPr>
          <w:rFonts w:ascii="Arial" w:cs="Arial" w:eastAsia="Arial" w:hAnsi="Arial"/>
          <w:sz w:val="16"/>
          <w:szCs w:val="16"/>
          <w:color w:val="2F2F2F"/>
        </w:rPr>
        <w:t>rant to t</w:t>
      </w:r>
      <w:r>
        <w:rPr>
          <w:rFonts w:ascii="Arial" w:cs="Arial" w:eastAsia="Arial" w:hAnsi="Arial"/>
          <w:sz w:val="16"/>
          <w:szCs w:val="16"/>
          <w:color w:val="1A1A1A"/>
        </w:rPr>
        <w:t>h</w:t>
      </w:r>
      <w:r>
        <w:rPr>
          <w:rFonts w:ascii="Arial" w:cs="Arial" w:eastAsia="Arial" w:hAnsi="Arial"/>
          <w:sz w:val="16"/>
          <w:szCs w:val="16"/>
          <w:color w:val="2F2F2F"/>
        </w:rPr>
        <w:t>e Company that yo</w:t>
      </w:r>
      <w:r>
        <w:rPr>
          <w:rFonts w:ascii="Arial" w:cs="Arial" w:eastAsia="Arial" w:hAnsi="Arial"/>
          <w:sz w:val="16"/>
          <w:szCs w:val="16"/>
          <w:color w:val="1A1A1A"/>
        </w:rPr>
        <w:t>u</w:t>
      </w:r>
      <w:r>
        <w:rPr>
          <w:rFonts w:ascii="Arial" w:cs="Arial" w:eastAsia="Arial" w:hAnsi="Arial"/>
          <w:sz w:val="18"/>
          <w:szCs w:val="18"/>
          <w:b w:val="1"/>
          <w:bCs w:val="1"/>
          <w:color w:val="2F2F2F"/>
        </w:rPr>
        <w:t xml:space="preserve"> </w:t>
      </w:r>
      <w:r>
        <w:rPr>
          <w:rFonts w:ascii="Arial" w:cs="Arial" w:eastAsia="Arial" w:hAnsi="Arial"/>
          <w:sz w:val="16"/>
          <w:szCs w:val="16"/>
          <w:color w:val="2F2F2F"/>
        </w:rPr>
        <w:t>are un</w:t>
      </w:r>
      <w:r>
        <w:rPr>
          <w:rFonts w:ascii="Arial" w:cs="Arial" w:eastAsia="Arial" w:hAnsi="Arial"/>
          <w:sz w:val="16"/>
          <w:szCs w:val="16"/>
          <w:color w:val="1A1A1A"/>
        </w:rPr>
        <w:t>d</w:t>
      </w:r>
      <w:r>
        <w:rPr>
          <w:rFonts w:ascii="Arial" w:cs="Arial" w:eastAsia="Arial" w:hAnsi="Arial"/>
          <w:sz w:val="16"/>
          <w:szCs w:val="16"/>
          <w:color w:val="2F2F2F"/>
        </w:rPr>
        <w:t>e</w:t>
      </w:r>
      <w:r>
        <w:rPr>
          <w:rFonts w:ascii="Arial" w:cs="Arial" w:eastAsia="Arial" w:hAnsi="Arial"/>
          <w:sz w:val="16"/>
          <w:szCs w:val="16"/>
          <w:color w:val="1A1A1A"/>
        </w:rPr>
        <w:t>r</w:t>
      </w:r>
      <w:r>
        <w:rPr>
          <w:rFonts w:ascii="Arial" w:cs="Arial" w:eastAsia="Arial" w:hAnsi="Arial"/>
          <w:sz w:val="18"/>
          <w:szCs w:val="18"/>
          <w:b w:val="1"/>
          <w:bCs w:val="1"/>
          <w:color w:val="2F2F2F"/>
        </w:rPr>
        <w:t xml:space="preserve"> </w:t>
      </w:r>
      <w:r>
        <w:rPr>
          <w:rFonts w:ascii="Arial" w:cs="Arial" w:eastAsia="Arial" w:hAnsi="Arial"/>
          <w:sz w:val="16"/>
          <w:szCs w:val="16"/>
          <w:color w:val="2F2F2F"/>
        </w:rPr>
        <w:t>no o</w:t>
      </w:r>
      <w:r>
        <w:rPr>
          <w:rFonts w:ascii="Arial" w:cs="Arial" w:eastAsia="Arial" w:hAnsi="Arial"/>
          <w:sz w:val="16"/>
          <w:szCs w:val="16"/>
          <w:color w:val="1A1A1A"/>
        </w:rPr>
        <w:t>b</w:t>
      </w:r>
      <w:r>
        <w:rPr>
          <w:rFonts w:ascii="Arial" w:cs="Arial" w:eastAsia="Arial" w:hAnsi="Arial"/>
          <w:sz w:val="16"/>
          <w:szCs w:val="16"/>
          <w:color w:val="2F2F2F"/>
        </w:rPr>
        <w:t>ligat</w:t>
      </w:r>
      <w:r>
        <w:rPr>
          <w:rFonts w:ascii="Arial" w:cs="Arial" w:eastAsia="Arial" w:hAnsi="Arial"/>
          <w:sz w:val="16"/>
          <w:szCs w:val="16"/>
          <w:color w:val="1A1A1A"/>
        </w:rPr>
        <w:t>i</w:t>
      </w:r>
      <w:r>
        <w:rPr>
          <w:rFonts w:ascii="Arial" w:cs="Arial" w:eastAsia="Arial" w:hAnsi="Arial"/>
          <w:sz w:val="16"/>
          <w:szCs w:val="16"/>
          <w:color w:val="2F2F2F"/>
        </w:rPr>
        <w:t>ons or commitments</w:t>
      </w:r>
      <w:r>
        <w:rPr>
          <w:rFonts w:ascii="Arial" w:cs="Arial" w:eastAsia="Arial" w:hAnsi="Arial"/>
          <w:sz w:val="16"/>
          <w:szCs w:val="16"/>
          <w:color w:val="494949"/>
        </w:rPr>
        <w:t>,</w:t>
      </w:r>
      <w:r>
        <w:rPr>
          <w:rFonts w:ascii="Arial" w:cs="Arial" w:eastAsia="Arial" w:hAnsi="Arial"/>
          <w:sz w:val="18"/>
          <w:szCs w:val="18"/>
          <w:b w:val="1"/>
          <w:bCs w:val="1"/>
          <w:color w:val="2F2F2F"/>
        </w:rPr>
        <w:t xml:space="preserve"> </w:t>
      </w:r>
      <w:r>
        <w:rPr>
          <w:rFonts w:ascii="Arial" w:cs="Arial" w:eastAsia="Arial" w:hAnsi="Arial"/>
          <w:sz w:val="16"/>
          <w:szCs w:val="16"/>
          <w:color w:val="2F2F2F"/>
        </w:rPr>
        <w:t>whether</w:t>
      </w:r>
      <w:r>
        <w:rPr>
          <w:rFonts w:ascii="Arial" w:cs="Arial" w:eastAsia="Arial" w:hAnsi="Arial"/>
          <w:sz w:val="18"/>
          <w:szCs w:val="18"/>
          <w:b w:val="1"/>
          <w:bCs w:val="1"/>
          <w:color w:val="2F2F2F"/>
        </w:rPr>
        <w:t xml:space="preserve"> </w:t>
      </w:r>
      <w:r>
        <w:rPr>
          <w:rFonts w:ascii="Arial" w:cs="Arial" w:eastAsia="Arial" w:hAnsi="Arial"/>
          <w:sz w:val="16"/>
          <w:szCs w:val="16"/>
          <w:color w:val="2F2F2F"/>
        </w:rPr>
        <w:t>contractual or otherw</w:t>
      </w:r>
      <w:r>
        <w:rPr>
          <w:rFonts w:ascii="Arial" w:cs="Arial" w:eastAsia="Arial" w:hAnsi="Arial"/>
          <w:sz w:val="16"/>
          <w:szCs w:val="16"/>
          <w:color w:val="1A1A1A"/>
        </w:rPr>
        <w:t>i</w:t>
      </w:r>
      <w:r>
        <w:rPr>
          <w:rFonts w:ascii="Arial" w:cs="Arial" w:eastAsia="Arial" w:hAnsi="Arial"/>
          <w:sz w:val="16"/>
          <w:szCs w:val="16"/>
          <w:color w:val="2F2F2F"/>
        </w:rPr>
        <w:t>se</w:t>
      </w:r>
      <w:r>
        <w:rPr>
          <w:rFonts w:ascii="Arial" w:cs="Arial" w:eastAsia="Arial" w:hAnsi="Arial"/>
          <w:sz w:val="16"/>
          <w:szCs w:val="16"/>
          <w:color w:val="494949"/>
        </w:rPr>
        <w:t>,</w:t>
      </w:r>
      <w:r>
        <w:rPr>
          <w:rFonts w:ascii="Arial" w:cs="Arial" w:eastAsia="Arial" w:hAnsi="Arial"/>
          <w:sz w:val="16"/>
          <w:szCs w:val="16"/>
          <w:color w:val="2F2F2F"/>
        </w:rPr>
        <w:t xml:space="preserve"> that are inconsistent w</w:t>
      </w:r>
      <w:r>
        <w:rPr>
          <w:rFonts w:ascii="Arial" w:cs="Arial" w:eastAsia="Arial" w:hAnsi="Arial"/>
          <w:sz w:val="16"/>
          <w:szCs w:val="16"/>
          <w:color w:val="1A1A1A"/>
        </w:rPr>
        <w:t>i</w:t>
      </w:r>
      <w:r>
        <w:rPr>
          <w:rFonts w:ascii="Arial" w:cs="Arial" w:eastAsia="Arial" w:hAnsi="Arial"/>
          <w:sz w:val="16"/>
          <w:szCs w:val="16"/>
          <w:color w:val="2F2F2F"/>
        </w:rPr>
        <w:t>t</w:t>
      </w:r>
      <w:r>
        <w:rPr>
          <w:rFonts w:ascii="Arial" w:cs="Arial" w:eastAsia="Arial" w:hAnsi="Arial"/>
          <w:sz w:val="16"/>
          <w:szCs w:val="16"/>
          <w:color w:val="1A1A1A"/>
        </w:rPr>
        <w:t>h</w:t>
      </w:r>
      <w:r>
        <w:rPr>
          <w:rFonts w:ascii="Arial" w:cs="Arial" w:eastAsia="Arial" w:hAnsi="Arial"/>
          <w:sz w:val="16"/>
          <w:szCs w:val="16"/>
          <w:color w:val="2F2F2F"/>
        </w:rPr>
        <w:t xml:space="preserve"> your obligations under this Agreement. </w:t>
      </w:r>
      <w:r>
        <w:rPr>
          <w:rFonts w:ascii="Arial" w:cs="Arial" w:eastAsia="Arial" w:hAnsi="Arial"/>
          <w:sz w:val="18"/>
          <w:szCs w:val="18"/>
          <w:color w:val="2F2F2F"/>
        </w:rPr>
        <w:t>In</w:t>
      </w:r>
      <w:r>
        <w:rPr>
          <w:rFonts w:ascii="Arial" w:cs="Arial" w:eastAsia="Arial" w:hAnsi="Arial"/>
          <w:sz w:val="16"/>
          <w:szCs w:val="16"/>
          <w:color w:val="2F2F2F"/>
        </w:rPr>
        <w:t xml:space="preserve"> connection with your Emp</w:t>
      </w:r>
      <w:r>
        <w:rPr>
          <w:rFonts w:ascii="Arial" w:cs="Arial" w:eastAsia="Arial" w:hAnsi="Arial"/>
          <w:sz w:val="16"/>
          <w:szCs w:val="16"/>
          <w:color w:val="1A1A1A"/>
        </w:rPr>
        <w:t>l</w:t>
      </w:r>
      <w:r>
        <w:rPr>
          <w:rFonts w:ascii="Arial" w:cs="Arial" w:eastAsia="Arial" w:hAnsi="Arial"/>
          <w:sz w:val="16"/>
          <w:szCs w:val="16"/>
          <w:color w:val="2F2F2F"/>
        </w:rPr>
        <w:t>oyme</w:t>
      </w:r>
      <w:r>
        <w:rPr>
          <w:rFonts w:ascii="Arial" w:cs="Arial" w:eastAsia="Arial" w:hAnsi="Arial"/>
          <w:sz w:val="16"/>
          <w:szCs w:val="16"/>
          <w:color w:val="1A1A1A"/>
        </w:rPr>
        <w:t>n</w:t>
      </w:r>
      <w:r>
        <w:rPr>
          <w:rFonts w:ascii="Arial" w:cs="Arial" w:eastAsia="Arial" w:hAnsi="Arial"/>
          <w:sz w:val="16"/>
          <w:szCs w:val="16"/>
          <w:color w:val="2F2F2F"/>
        </w:rPr>
        <w:t>t</w:t>
      </w:r>
      <w:r>
        <w:rPr>
          <w:rFonts w:ascii="Arial" w:cs="Arial" w:eastAsia="Arial" w:hAnsi="Arial"/>
          <w:sz w:val="16"/>
          <w:szCs w:val="16"/>
          <w:color w:val="5B5B5B"/>
        </w:rPr>
        <w:t>,</w:t>
      </w:r>
      <w:r>
        <w:rPr>
          <w:rFonts w:ascii="Arial" w:cs="Arial" w:eastAsia="Arial" w:hAnsi="Arial"/>
          <w:sz w:val="16"/>
          <w:szCs w:val="16"/>
          <w:color w:val="2F2F2F"/>
        </w:rPr>
        <w:t xml:space="preserve"> you shall not use or d</w:t>
      </w:r>
      <w:r>
        <w:rPr>
          <w:rFonts w:ascii="Arial" w:cs="Arial" w:eastAsia="Arial" w:hAnsi="Arial"/>
          <w:sz w:val="16"/>
          <w:szCs w:val="16"/>
          <w:color w:val="1A1A1A"/>
        </w:rPr>
        <w:t>i</w:t>
      </w:r>
      <w:r>
        <w:rPr>
          <w:rFonts w:ascii="Arial" w:cs="Arial" w:eastAsia="Arial" w:hAnsi="Arial"/>
          <w:sz w:val="16"/>
          <w:szCs w:val="16"/>
          <w:color w:val="2F2F2F"/>
        </w:rPr>
        <w:t>s</w:t>
      </w:r>
      <w:r>
        <w:rPr>
          <w:rFonts w:ascii="Arial" w:cs="Arial" w:eastAsia="Arial" w:hAnsi="Arial"/>
          <w:sz w:val="16"/>
          <w:szCs w:val="16"/>
          <w:color w:val="1A1A1A"/>
        </w:rPr>
        <w:t>cl</w:t>
      </w:r>
      <w:r>
        <w:rPr>
          <w:rFonts w:ascii="Arial" w:cs="Arial" w:eastAsia="Arial" w:hAnsi="Arial"/>
          <w:sz w:val="16"/>
          <w:szCs w:val="16"/>
          <w:color w:val="2F2F2F"/>
        </w:rPr>
        <w:t>ose any trade secre</w:t>
      </w:r>
      <w:r>
        <w:rPr>
          <w:rFonts w:ascii="Arial" w:cs="Arial" w:eastAsia="Arial" w:hAnsi="Arial"/>
          <w:sz w:val="16"/>
          <w:szCs w:val="16"/>
          <w:color w:val="1A1A1A"/>
        </w:rPr>
        <w:t>t</w:t>
      </w:r>
      <w:r>
        <w:rPr>
          <w:rFonts w:ascii="Arial" w:cs="Arial" w:eastAsia="Arial" w:hAnsi="Arial"/>
          <w:sz w:val="16"/>
          <w:szCs w:val="16"/>
          <w:color w:val="2F2F2F"/>
        </w:rPr>
        <w:t xml:space="preserve">s or other proprietary </w:t>
      </w:r>
      <w:r>
        <w:rPr>
          <w:rFonts w:ascii="Arial" w:cs="Arial" w:eastAsia="Arial" w:hAnsi="Arial"/>
          <w:sz w:val="16"/>
          <w:szCs w:val="16"/>
          <w:color w:val="282828"/>
        </w:rPr>
        <w:t>info</w:t>
      </w:r>
      <w:r>
        <w:rPr>
          <w:rFonts w:ascii="Arial" w:cs="Arial" w:eastAsia="Arial" w:hAnsi="Arial"/>
          <w:sz w:val="16"/>
          <w:szCs w:val="16"/>
          <w:color w:val="363636"/>
        </w:rPr>
        <w:t>r</w:t>
      </w:r>
      <w:r>
        <w:rPr>
          <w:rFonts w:ascii="Arial" w:cs="Arial" w:eastAsia="Arial" w:hAnsi="Arial"/>
          <w:sz w:val="16"/>
          <w:szCs w:val="16"/>
          <w:color w:val="282828"/>
        </w:rPr>
        <w:t>m</w:t>
      </w:r>
      <w:r>
        <w:rPr>
          <w:rFonts w:ascii="Arial" w:cs="Arial" w:eastAsia="Arial" w:hAnsi="Arial"/>
          <w:sz w:val="16"/>
          <w:szCs w:val="16"/>
          <w:color w:val="363636"/>
        </w:rPr>
        <w:t>a</w:t>
      </w:r>
      <w:r>
        <w:rPr>
          <w:rFonts w:ascii="Arial" w:cs="Arial" w:eastAsia="Arial" w:hAnsi="Arial"/>
          <w:sz w:val="16"/>
          <w:szCs w:val="16"/>
          <w:color w:val="282828"/>
        </w:rPr>
        <w:t>tion or int</w:t>
      </w:r>
      <w:r>
        <w:rPr>
          <w:rFonts w:ascii="Arial" w:cs="Arial" w:eastAsia="Arial" w:hAnsi="Arial"/>
          <w:sz w:val="16"/>
          <w:szCs w:val="16"/>
          <w:color w:val="363636"/>
        </w:rPr>
        <w:t>e</w:t>
      </w:r>
      <w:r>
        <w:rPr>
          <w:rFonts w:ascii="Arial" w:cs="Arial" w:eastAsia="Arial" w:hAnsi="Arial"/>
          <w:sz w:val="16"/>
          <w:szCs w:val="16"/>
          <w:color w:val="171717"/>
        </w:rPr>
        <w:t>ll</w:t>
      </w:r>
      <w:r>
        <w:rPr>
          <w:rFonts w:ascii="Arial" w:cs="Arial" w:eastAsia="Arial" w:hAnsi="Arial"/>
          <w:sz w:val="16"/>
          <w:szCs w:val="16"/>
          <w:color w:val="363636"/>
        </w:rPr>
        <w:t>e</w:t>
      </w:r>
      <w:r>
        <w:rPr>
          <w:rFonts w:ascii="Arial" w:cs="Arial" w:eastAsia="Arial" w:hAnsi="Arial"/>
          <w:sz w:val="16"/>
          <w:szCs w:val="16"/>
          <w:color w:val="282828"/>
        </w:rPr>
        <w:t>c</w:t>
      </w:r>
      <w:r>
        <w:rPr>
          <w:rFonts w:ascii="Arial" w:cs="Arial" w:eastAsia="Arial" w:hAnsi="Arial"/>
          <w:sz w:val="16"/>
          <w:szCs w:val="16"/>
          <w:color w:val="363636"/>
        </w:rPr>
        <w:t>tua</w:t>
      </w:r>
      <w:r>
        <w:rPr>
          <w:rFonts w:ascii="Arial" w:cs="Arial" w:eastAsia="Arial" w:hAnsi="Arial"/>
          <w:sz w:val="16"/>
          <w:szCs w:val="16"/>
          <w:color w:val="282828"/>
        </w:rPr>
        <w:t>l prop</w:t>
      </w:r>
      <w:r>
        <w:rPr>
          <w:rFonts w:ascii="Arial" w:cs="Arial" w:eastAsia="Arial" w:hAnsi="Arial"/>
          <w:sz w:val="16"/>
          <w:szCs w:val="16"/>
          <w:color w:val="363636"/>
        </w:rPr>
        <w:t>erty</w:t>
      </w:r>
      <w:r>
        <w:rPr>
          <w:rFonts w:ascii="Arial" w:cs="Arial" w:eastAsia="Arial" w:hAnsi="Arial"/>
          <w:sz w:val="16"/>
          <w:szCs w:val="16"/>
          <w:color w:val="2F2F2F"/>
        </w:rPr>
        <w:t xml:space="preserve"> </w:t>
      </w:r>
      <w:r>
        <w:rPr>
          <w:rFonts w:ascii="Arial" w:cs="Arial" w:eastAsia="Arial" w:hAnsi="Arial"/>
          <w:sz w:val="16"/>
          <w:szCs w:val="16"/>
          <w:color w:val="282828"/>
        </w:rPr>
        <w:t>in</w:t>
      </w:r>
      <w:r>
        <w:rPr>
          <w:rFonts w:ascii="Arial" w:cs="Arial" w:eastAsia="Arial" w:hAnsi="Arial"/>
          <w:sz w:val="16"/>
          <w:szCs w:val="16"/>
          <w:color w:val="2F2F2F"/>
        </w:rPr>
        <w:t xml:space="preserve"> </w:t>
      </w:r>
      <w:r>
        <w:rPr>
          <w:rFonts w:ascii="Arial" w:cs="Arial" w:eastAsia="Arial" w:hAnsi="Arial"/>
          <w:sz w:val="16"/>
          <w:szCs w:val="16"/>
          <w:color w:val="363636"/>
        </w:rPr>
        <w:t>w</w:t>
      </w:r>
      <w:r>
        <w:rPr>
          <w:rFonts w:ascii="Arial" w:cs="Arial" w:eastAsia="Arial" w:hAnsi="Arial"/>
          <w:sz w:val="16"/>
          <w:szCs w:val="16"/>
          <w:color w:val="282828"/>
        </w:rPr>
        <w:t>hi</w:t>
      </w:r>
      <w:r>
        <w:rPr>
          <w:rFonts w:ascii="Arial" w:cs="Arial" w:eastAsia="Arial" w:hAnsi="Arial"/>
          <w:sz w:val="16"/>
          <w:szCs w:val="16"/>
          <w:color w:val="363636"/>
        </w:rPr>
        <w:t>c</w:t>
      </w:r>
      <w:r>
        <w:rPr>
          <w:rFonts w:ascii="Arial" w:cs="Arial" w:eastAsia="Arial" w:hAnsi="Arial"/>
          <w:sz w:val="16"/>
          <w:szCs w:val="16"/>
          <w:color w:val="282828"/>
        </w:rPr>
        <w:t>h</w:t>
      </w:r>
      <w:r>
        <w:rPr>
          <w:rFonts w:ascii="Arial" w:cs="Arial" w:eastAsia="Arial" w:hAnsi="Arial"/>
          <w:sz w:val="16"/>
          <w:szCs w:val="16"/>
          <w:color w:val="2F2F2F"/>
        </w:rPr>
        <w:t xml:space="preserve"> </w:t>
      </w:r>
      <w:r>
        <w:rPr>
          <w:rFonts w:ascii="Arial" w:cs="Arial" w:eastAsia="Arial" w:hAnsi="Arial"/>
          <w:sz w:val="16"/>
          <w:szCs w:val="16"/>
          <w:color w:val="363636"/>
        </w:rPr>
        <w:t>y</w:t>
      </w:r>
      <w:r>
        <w:rPr>
          <w:rFonts w:ascii="Arial" w:cs="Arial" w:eastAsia="Arial" w:hAnsi="Arial"/>
          <w:sz w:val="16"/>
          <w:szCs w:val="16"/>
          <w:color w:val="282828"/>
        </w:rPr>
        <w:t>ou o</w:t>
      </w:r>
      <w:r>
        <w:rPr>
          <w:rFonts w:ascii="Arial" w:cs="Arial" w:eastAsia="Arial" w:hAnsi="Arial"/>
          <w:sz w:val="16"/>
          <w:szCs w:val="16"/>
          <w:color w:val="363636"/>
        </w:rPr>
        <w:t>r a</w:t>
      </w:r>
      <w:r>
        <w:rPr>
          <w:rFonts w:ascii="Arial" w:cs="Arial" w:eastAsia="Arial" w:hAnsi="Arial"/>
          <w:sz w:val="16"/>
          <w:szCs w:val="16"/>
          <w:color w:val="282828"/>
        </w:rPr>
        <w:t>n</w:t>
      </w:r>
      <w:r>
        <w:rPr>
          <w:rFonts w:ascii="Arial" w:cs="Arial" w:eastAsia="Arial" w:hAnsi="Arial"/>
          <w:sz w:val="16"/>
          <w:szCs w:val="16"/>
          <w:color w:val="363636"/>
        </w:rPr>
        <w:t>y</w:t>
      </w:r>
      <w:r>
        <w:rPr>
          <w:rFonts w:ascii="Arial" w:cs="Arial" w:eastAsia="Arial" w:hAnsi="Arial"/>
          <w:sz w:val="16"/>
          <w:szCs w:val="16"/>
          <w:color w:val="2F2F2F"/>
        </w:rPr>
        <w:t xml:space="preserve"> </w:t>
      </w:r>
      <w:r>
        <w:rPr>
          <w:rFonts w:ascii="Arial" w:cs="Arial" w:eastAsia="Arial" w:hAnsi="Arial"/>
          <w:sz w:val="16"/>
          <w:szCs w:val="16"/>
          <w:color w:val="282828"/>
        </w:rPr>
        <w:t>oth</w:t>
      </w:r>
      <w:r>
        <w:rPr>
          <w:rFonts w:ascii="Arial" w:cs="Arial" w:eastAsia="Arial" w:hAnsi="Arial"/>
          <w:sz w:val="16"/>
          <w:szCs w:val="16"/>
          <w:color w:val="363636"/>
        </w:rPr>
        <w:t>e</w:t>
      </w:r>
      <w:r>
        <w:rPr>
          <w:rFonts w:ascii="Arial" w:cs="Arial" w:eastAsia="Arial" w:hAnsi="Arial"/>
          <w:sz w:val="16"/>
          <w:szCs w:val="16"/>
          <w:color w:val="282828"/>
        </w:rPr>
        <w:t>r p</w:t>
      </w:r>
      <w:r>
        <w:rPr>
          <w:rFonts w:ascii="Arial" w:cs="Arial" w:eastAsia="Arial" w:hAnsi="Arial"/>
          <w:sz w:val="16"/>
          <w:szCs w:val="16"/>
          <w:color w:val="363636"/>
        </w:rPr>
        <w:t>e</w:t>
      </w:r>
      <w:r>
        <w:rPr>
          <w:rFonts w:ascii="Arial" w:cs="Arial" w:eastAsia="Arial" w:hAnsi="Arial"/>
          <w:sz w:val="16"/>
          <w:szCs w:val="16"/>
          <w:color w:val="282828"/>
        </w:rPr>
        <w:t>r</w:t>
      </w:r>
      <w:r>
        <w:rPr>
          <w:rFonts w:ascii="Arial" w:cs="Arial" w:eastAsia="Arial" w:hAnsi="Arial"/>
          <w:sz w:val="16"/>
          <w:szCs w:val="16"/>
          <w:color w:val="363636"/>
        </w:rPr>
        <w:t>s</w:t>
      </w:r>
      <w:r>
        <w:rPr>
          <w:rFonts w:ascii="Arial" w:cs="Arial" w:eastAsia="Arial" w:hAnsi="Arial"/>
          <w:sz w:val="16"/>
          <w:szCs w:val="16"/>
          <w:color w:val="282828"/>
        </w:rPr>
        <w:t>on h</w:t>
      </w:r>
      <w:r>
        <w:rPr>
          <w:rFonts w:ascii="Arial" w:cs="Arial" w:eastAsia="Arial" w:hAnsi="Arial"/>
          <w:sz w:val="16"/>
          <w:szCs w:val="16"/>
          <w:color w:val="363636"/>
        </w:rPr>
        <w:t>as any</w:t>
      </w:r>
      <w:r>
        <w:rPr>
          <w:rFonts w:ascii="Arial" w:cs="Arial" w:eastAsia="Arial" w:hAnsi="Arial"/>
          <w:sz w:val="16"/>
          <w:szCs w:val="16"/>
          <w:color w:val="2F2F2F"/>
        </w:rPr>
        <w:t xml:space="preserve"> </w:t>
      </w:r>
      <w:r>
        <w:rPr>
          <w:rFonts w:ascii="Arial" w:cs="Arial" w:eastAsia="Arial" w:hAnsi="Arial"/>
          <w:sz w:val="16"/>
          <w:szCs w:val="16"/>
          <w:color w:val="282828"/>
        </w:rPr>
        <w:t>r</w:t>
      </w:r>
      <w:r>
        <w:rPr>
          <w:rFonts w:ascii="Arial" w:cs="Arial" w:eastAsia="Arial" w:hAnsi="Arial"/>
          <w:sz w:val="16"/>
          <w:szCs w:val="16"/>
          <w:color w:val="363636"/>
        </w:rPr>
        <w:t>ig</w:t>
      </w:r>
      <w:r>
        <w:rPr>
          <w:rFonts w:ascii="Arial" w:cs="Arial" w:eastAsia="Arial" w:hAnsi="Arial"/>
          <w:sz w:val="16"/>
          <w:szCs w:val="16"/>
          <w:color w:val="282828"/>
        </w:rPr>
        <w:t>ht</w:t>
      </w:r>
      <w:r>
        <w:rPr>
          <w:rFonts w:ascii="Arial" w:cs="Arial" w:eastAsia="Arial" w:hAnsi="Arial"/>
          <w:sz w:val="16"/>
          <w:szCs w:val="16"/>
          <w:color w:val="494949"/>
        </w:rPr>
        <w:t>,</w:t>
      </w:r>
      <w:r>
        <w:rPr>
          <w:rFonts w:ascii="Arial" w:cs="Arial" w:eastAsia="Arial" w:hAnsi="Arial"/>
          <w:sz w:val="16"/>
          <w:szCs w:val="16"/>
          <w:color w:val="2F2F2F"/>
        </w:rPr>
        <w:t xml:space="preserve"> </w:t>
      </w:r>
      <w:r>
        <w:rPr>
          <w:rFonts w:ascii="Arial" w:cs="Arial" w:eastAsia="Arial" w:hAnsi="Arial"/>
          <w:sz w:val="16"/>
          <w:szCs w:val="16"/>
          <w:color w:val="363636"/>
        </w:rPr>
        <w:t>t</w:t>
      </w:r>
      <w:r>
        <w:rPr>
          <w:rFonts w:ascii="Arial" w:cs="Arial" w:eastAsia="Arial" w:hAnsi="Arial"/>
          <w:sz w:val="16"/>
          <w:szCs w:val="16"/>
          <w:color w:val="171717"/>
        </w:rPr>
        <w:t>i</w:t>
      </w:r>
      <w:r>
        <w:rPr>
          <w:rFonts w:ascii="Arial" w:cs="Arial" w:eastAsia="Arial" w:hAnsi="Arial"/>
          <w:sz w:val="16"/>
          <w:szCs w:val="16"/>
          <w:color w:val="363636"/>
        </w:rPr>
        <w:t>t</w:t>
      </w:r>
      <w:r>
        <w:rPr>
          <w:rFonts w:ascii="Arial" w:cs="Arial" w:eastAsia="Arial" w:hAnsi="Arial"/>
          <w:sz w:val="16"/>
          <w:szCs w:val="16"/>
          <w:color w:val="282828"/>
        </w:rPr>
        <w:t>l</w:t>
      </w:r>
      <w:r>
        <w:rPr>
          <w:rFonts w:ascii="Arial" w:cs="Arial" w:eastAsia="Arial" w:hAnsi="Arial"/>
          <w:sz w:val="16"/>
          <w:szCs w:val="16"/>
          <w:color w:val="363636"/>
        </w:rPr>
        <w:t xml:space="preserve">e </w:t>
      </w:r>
      <w:r>
        <w:rPr>
          <w:rFonts w:ascii="Arial" w:cs="Arial" w:eastAsia="Arial" w:hAnsi="Arial"/>
          <w:sz w:val="16"/>
          <w:szCs w:val="16"/>
          <w:color w:val="282828"/>
        </w:rPr>
        <w:t>o</w:t>
      </w:r>
      <w:r>
        <w:rPr>
          <w:rFonts w:ascii="Arial" w:cs="Arial" w:eastAsia="Arial" w:hAnsi="Arial"/>
          <w:sz w:val="16"/>
          <w:szCs w:val="16"/>
          <w:color w:val="171717"/>
        </w:rPr>
        <w:t>r</w:t>
      </w:r>
      <w:r>
        <w:rPr>
          <w:rFonts w:ascii="Arial" w:cs="Arial" w:eastAsia="Arial" w:hAnsi="Arial"/>
          <w:sz w:val="16"/>
          <w:szCs w:val="16"/>
          <w:color w:val="363636"/>
        </w:rPr>
        <w:t xml:space="preserve"> </w:t>
      </w:r>
      <w:r>
        <w:rPr>
          <w:rFonts w:ascii="Arial" w:cs="Arial" w:eastAsia="Arial" w:hAnsi="Arial"/>
          <w:sz w:val="16"/>
          <w:szCs w:val="16"/>
          <w:color w:val="282828"/>
        </w:rPr>
        <w:t>in</w:t>
      </w:r>
      <w:r>
        <w:rPr>
          <w:rFonts w:ascii="Arial" w:cs="Arial" w:eastAsia="Arial" w:hAnsi="Arial"/>
          <w:sz w:val="16"/>
          <w:szCs w:val="16"/>
          <w:color w:val="171717"/>
        </w:rPr>
        <w:t>t</w:t>
      </w:r>
      <w:r>
        <w:rPr>
          <w:rFonts w:ascii="Arial" w:cs="Arial" w:eastAsia="Arial" w:hAnsi="Arial"/>
          <w:sz w:val="16"/>
          <w:szCs w:val="16"/>
          <w:color w:val="363636"/>
        </w:rPr>
        <w:t>e</w:t>
      </w:r>
      <w:r>
        <w:rPr>
          <w:rFonts w:ascii="Arial" w:cs="Arial" w:eastAsia="Arial" w:hAnsi="Arial"/>
          <w:sz w:val="16"/>
          <w:szCs w:val="16"/>
          <w:color w:val="171717"/>
        </w:rPr>
        <w:t>r</w:t>
      </w:r>
      <w:r>
        <w:rPr>
          <w:rFonts w:ascii="Arial" w:cs="Arial" w:eastAsia="Arial" w:hAnsi="Arial"/>
          <w:sz w:val="16"/>
          <w:szCs w:val="16"/>
          <w:color w:val="363636"/>
        </w:rPr>
        <w:t>es</w:t>
      </w:r>
      <w:r>
        <w:rPr>
          <w:rFonts w:ascii="Arial" w:cs="Arial" w:eastAsia="Arial" w:hAnsi="Arial"/>
          <w:sz w:val="16"/>
          <w:szCs w:val="16"/>
          <w:color w:val="282828"/>
        </w:rPr>
        <w:t>t</w:t>
      </w:r>
      <w:r>
        <w:rPr>
          <w:rFonts w:ascii="Arial" w:cs="Arial" w:eastAsia="Arial" w:hAnsi="Arial"/>
          <w:sz w:val="16"/>
          <w:szCs w:val="16"/>
          <w:color w:val="363636"/>
        </w:rPr>
        <w:t xml:space="preserve"> a</w:t>
      </w:r>
      <w:r>
        <w:rPr>
          <w:rFonts w:ascii="Arial" w:cs="Arial" w:eastAsia="Arial" w:hAnsi="Arial"/>
          <w:sz w:val="16"/>
          <w:szCs w:val="16"/>
          <w:color w:val="282828"/>
        </w:rPr>
        <w:t>nd</w:t>
      </w:r>
      <w:r>
        <w:rPr>
          <w:rFonts w:ascii="Arial" w:cs="Arial" w:eastAsia="Arial" w:hAnsi="Arial"/>
          <w:sz w:val="16"/>
          <w:szCs w:val="16"/>
          <w:color w:val="363636"/>
        </w:rPr>
        <w:t xml:space="preserve"> yo</w:t>
      </w:r>
      <w:r>
        <w:rPr>
          <w:rFonts w:ascii="Arial" w:cs="Arial" w:eastAsia="Arial" w:hAnsi="Arial"/>
          <w:sz w:val="16"/>
          <w:szCs w:val="16"/>
          <w:color w:val="282828"/>
        </w:rPr>
        <w:t>ur</w:t>
      </w:r>
      <w:r>
        <w:rPr>
          <w:rFonts w:ascii="Arial" w:cs="Arial" w:eastAsia="Arial" w:hAnsi="Arial"/>
          <w:sz w:val="16"/>
          <w:szCs w:val="16"/>
          <w:color w:val="363636"/>
        </w:rPr>
        <w:t xml:space="preserve"> E</w:t>
      </w:r>
      <w:r>
        <w:rPr>
          <w:rFonts w:ascii="Arial" w:cs="Arial" w:eastAsia="Arial" w:hAnsi="Arial"/>
          <w:sz w:val="16"/>
          <w:szCs w:val="16"/>
          <w:color w:val="282828"/>
        </w:rPr>
        <w:t>m</w:t>
      </w:r>
      <w:r>
        <w:rPr>
          <w:rFonts w:ascii="Arial" w:cs="Arial" w:eastAsia="Arial" w:hAnsi="Arial"/>
          <w:sz w:val="16"/>
          <w:szCs w:val="16"/>
          <w:color w:val="363636"/>
        </w:rPr>
        <w:t>p</w:t>
      </w:r>
      <w:r>
        <w:rPr>
          <w:rFonts w:ascii="Arial" w:cs="Arial" w:eastAsia="Arial" w:hAnsi="Arial"/>
          <w:sz w:val="16"/>
          <w:szCs w:val="16"/>
          <w:color w:val="282828"/>
        </w:rPr>
        <w:t>lo</w:t>
      </w:r>
      <w:r>
        <w:rPr>
          <w:rFonts w:ascii="Arial" w:cs="Arial" w:eastAsia="Arial" w:hAnsi="Arial"/>
          <w:sz w:val="16"/>
          <w:szCs w:val="16"/>
          <w:color w:val="363636"/>
        </w:rPr>
        <w:t>y</w:t>
      </w:r>
      <w:r>
        <w:rPr>
          <w:rFonts w:ascii="Arial" w:cs="Arial" w:eastAsia="Arial" w:hAnsi="Arial"/>
          <w:sz w:val="16"/>
          <w:szCs w:val="16"/>
          <w:color w:val="282828"/>
        </w:rPr>
        <w:t>m</w:t>
      </w:r>
      <w:r>
        <w:rPr>
          <w:rFonts w:ascii="Arial" w:cs="Arial" w:eastAsia="Arial" w:hAnsi="Arial"/>
          <w:sz w:val="16"/>
          <w:szCs w:val="16"/>
          <w:color w:val="363636"/>
        </w:rPr>
        <w:t>e</w:t>
      </w:r>
      <w:r>
        <w:rPr>
          <w:rFonts w:ascii="Arial" w:cs="Arial" w:eastAsia="Arial" w:hAnsi="Arial"/>
          <w:sz w:val="16"/>
          <w:szCs w:val="16"/>
          <w:color w:val="282828"/>
        </w:rPr>
        <w:t>nt</w:t>
      </w:r>
      <w:r>
        <w:rPr>
          <w:rFonts w:ascii="Arial" w:cs="Arial" w:eastAsia="Arial" w:hAnsi="Arial"/>
          <w:sz w:val="16"/>
          <w:szCs w:val="16"/>
          <w:color w:val="363636"/>
        </w:rPr>
        <w:t xml:space="preserve"> w</w:t>
      </w:r>
      <w:r>
        <w:rPr>
          <w:rFonts w:ascii="Arial" w:cs="Arial" w:eastAsia="Arial" w:hAnsi="Arial"/>
          <w:sz w:val="16"/>
          <w:szCs w:val="16"/>
          <w:color w:val="171717"/>
        </w:rPr>
        <w:t>ill</w:t>
      </w:r>
      <w:r>
        <w:rPr>
          <w:rFonts w:ascii="Arial" w:cs="Arial" w:eastAsia="Arial" w:hAnsi="Arial"/>
          <w:sz w:val="16"/>
          <w:szCs w:val="16"/>
          <w:color w:val="363636"/>
        </w:rPr>
        <w:t xml:space="preserve"> </w:t>
      </w:r>
      <w:r>
        <w:rPr>
          <w:rFonts w:ascii="Arial" w:cs="Arial" w:eastAsia="Arial" w:hAnsi="Arial"/>
          <w:sz w:val="16"/>
          <w:szCs w:val="16"/>
          <w:color w:val="282828"/>
        </w:rPr>
        <w:t>no</w:t>
      </w:r>
      <w:r>
        <w:rPr>
          <w:rFonts w:ascii="Arial" w:cs="Arial" w:eastAsia="Arial" w:hAnsi="Arial"/>
          <w:sz w:val="16"/>
          <w:szCs w:val="16"/>
          <w:color w:val="363636"/>
        </w:rPr>
        <w:t xml:space="preserve">t </w:t>
      </w:r>
      <w:r>
        <w:rPr>
          <w:rFonts w:ascii="Arial" w:cs="Arial" w:eastAsia="Arial" w:hAnsi="Arial"/>
          <w:sz w:val="16"/>
          <w:szCs w:val="16"/>
          <w:color w:val="282828"/>
        </w:rPr>
        <w:t>in</w:t>
      </w:r>
      <w:r>
        <w:rPr>
          <w:rFonts w:ascii="Arial" w:cs="Arial" w:eastAsia="Arial" w:hAnsi="Arial"/>
          <w:sz w:val="16"/>
          <w:szCs w:val="16"/>
          <w:color w:val="363636"/>
        </w:rPr>
        <w:t>fr</w:t>
      </w:r>
      <w:r>
        <w:rPr>
          <w:rFonts w:ascii="Arial" w:cs="Arial" w:eastAsia="Arial" w:hAnsi="Arial"/>
          <w:sz w:val="16"/>
          <w:szCs w:val="16"/>
          <w:color w:val="282828"/>
        </w:rPr>
        <w:t>in</w:t>
      </w:r>
      <w:r>
        <w:rPr>
          <w:rFonts w:ascii="Arial" w:cs="Arial" w:eastAsia="Arial" w:hAnsi="Arial"/>
          <w:sz w:val="16"/>
          <w:szCs w:val="16"/>
          <w:color w:val="363636"/>
        </w:rPr>
        <w:t xml:space="preserve">ge </w:t>
      </w:r>
      <w:r>
        <w:rPr>
          <w:rFonts w:ascii="Arial" w:cs="Arial" w:eastAsia="Arial" w:hAnsi="Arial"/>
          <w:sz w:val="16"/>
          <w:szCs w:val="16"/>
          <w:color w:val="282828"/>
        </w:rPr>
        <w:t>o</w:t>
      </w:r>
      <w:r>
        <w:rPr>
          <w:rFonts w:ascii="Arial" w:cs="Arial" w:eastAsia="Arial" w:hAnsi="Arial"/>
          <w:sz w:val="16"/>
          <w:szCs w:val="16"/>
          <w:color w:val="363636"/>
        </w:rPr>
        <w:t>r v</w:t>
      </w:r>
      <w:r>
        <w:rPr>
          <w:rFonts w:ascii="Arial" w:cs="Arial" w:eastAsia="Arial" w:hAnsi="Arial"/>
          <w:sz w:val="16"/>
          <w:szCs w:val="16"/>
          <w:color w:val="171717"/>
        </w:rPr>
        <w:t>i</w:t>
      </w:r>
      <w:r>
        <w:rPr>
          <w:rFonts w:ascii="Arial" w:cs="Arial" w:eastAsia="Arial" w:hAnsi="Arial"/>
          <w:sz w:val="16"/>
          <w:szCs w:val="16"/>
          <w:color w:val="282828"/>
        </w:rPr>
        <w:t>ol</w:t>
      </w:r>
      <w:r>
        <w:rPr>
          <w:rFonts w:ascii="Arial" w:cs="Arial" w:eastAsia="Arial" w:hAnsi="Arial"/>
          <w:sz w:val="16"/>
          <w:szCs w:val="16"/>
          <w:color w:val="363636"/>
        </w:rPr>
        <w:t>a</w:t>
      </w:r>
      <w:r>
        <w:rPr>
          <w:rFonts w:ascii="Arial" w:cs="Arial" w:eastAsia="Arial" w:hAnsi="Arial"/>
          <w:sz w:val="16"/>
          <w:szCs w:val="16"/>
          <w:color w:val="282828"/>
        </w:rPr>
        <w:t>t</w:t>
      </w:r>
      <w:r>
        <w:rPr>
          <w:rFonts w:ascii="Arial" w:cs="Arial" w:eastAsia="Arial" w:hAnsi="Arial"/>
          <w:sz w:val="16"/>
          <w:szCs w:val="16"/>
          <w:color w:val="363636"/>
        </w:rPr>
        <w:t>e t</w:t>
      </w:r>
      <w:r>
        <w:rPr>
          <w:rFonts w:ascii="Arial" w:cs="Arial" w:eastAsia="Arial" w:hAnsi="Arial"/>
          <w:sz w:val="16"/>
          <w:szCs w:val="16"/>
          <w:color w:val="171717"/>
        </w:rPr>
        <w:t>h</w:t>
      </w:r>
      <w:r>
        <w:rPr>
          <w:rFonts w:ascii="Arial" w:cs="Arial" w:eastAsia="Arial" w:hAnsi="Arial"/>
          <w:sz w:val="16"/>
          <w:szCs w:val="16"/>
          <w:color w:val="363636"/>
        </w:rPr>
        <w:t xml:space="preserve">e </w:t>
      </w:r>
      <w:r>
        <w:rPr>
          <w:rFonts w:ascii="Arial" w:cs="Arial" w:eastAsia="Arial" w:hAnsi="Arial"/>
          <w:sz w:val="16"/>
          <w:szCs w:val="16"/>
          <w:color w:val="282828"/>
        </w:rPr>
        <w:t>ri</w:t>
      </w:r>
      <w:r>
        <w:rPr>
          <w:rFonts w:ascii="Arial" w:cs="Arial" w:eastAsia="Arial" w:hAnsi="Arial"/>
          <w:sz w:val="16"/>
          <w:szCs w:val="16"/>
          <w:color w:val="363636"/>
        </w:rPr>
        <w:t>g</w:t>
      </w:r>
      <w:r>
        <w:rPr>
          <w:rFonts w:ascii="Arial" w:cs="Arial" w:eastAsia="Arial" w:hAnsi="Arial"/>
          <w:sz w:val="16"/>
          <w:szCs w:val="16"/>
          <w:color w:val="282828"/>
        </w:rPr>
        <w:t>h</w:t>
      </w:r>
      <w:r>
        <w:rPr>
          <w:rFonts w:ascii="Arial" w:cs="Arial" w:eastAsia="Arial" w:hAnsi="Arial"/>
          <w:sz w:val="16"/>
          <w:szCs w:val="16"/>
          <w:color w:val="363636"/>
        </w:rPr>
        <w:t xml:space="preserve">ts </w:t>
      </w:r>
      <w:r>
        <w:rPr>
          <w:rFonts w:ascii="Arial" w:cs="Arial" w:eastAsia="Arial" w:hAnsi="Arial"/>
          <w:sz w:val="16"/>
          <w:szCs w:val="16"/>
          <w:color w:val="282828"/>
        </w:rPr>
        <w:t>of</w:t>
      </w:r>
      <w:r>
        <w:rPr>
          <w:rFonts w:ascii="Arial" w:cs="Arial" w:eastAsia="Arial" w:hAnsi="Arial"/>
          <w:sz w:val="16"/>
          <w:szCs w:val="16"/>
          <w:color w:val="363636"/>
        </w:rPr>
        <w:t xml:space="preserve"> a</w:t>
      </w:r>
      <w:r>
        <w:rPr>
          <w:rFonts w:ascii="Arial" w:cs="Arial" w:eastAsia="Arial" w:hAnsi="Arial"/>
          <w:sz w:val="16"/>
          <w:szCs w:val="16"/>
          <w:color w:val="282828"/>
        </w:rPr>
        <w:t>n</w:t>
      </w:r>
      <w:r>
        <w:rPr>
          <w:rFonts w:ascii="Arial" w:cs="Arial" w:eastAsia="Arial" w:hAnsi="Arial"/>
          <w:sz w:val="16"/>
          <w:szCs w:val="16"/>
          <w:color w:val="363636"/>
        </w:rPr>
        <w:t>y o</w:t>
      </w:r>
      <w:r>
        <w:rPr>
          <w:rFonts w:ascii="Arial" w:cs="Arial" w:eastAsia="Arial" w:hAnsi="Arial"/>
          <w:sz w:val="16"/>
          <w:szCs w:val="16"/>
          <w:color w:val="282828"/>
        </w:rPr>
        <w:t>t</w:t>
      </w:r>
      <w:r>
        <w:rPr>
          <w:rFonts w:ascii="Arial" w:cs="Arial" w:eastAsia="Arial" w:hAnsi="Arial"/>
          <w:sz w:val="16"/>
          <w:szCs w:val="16"/>
          <w:color w:val="363636"/>
        </w:rPr>
        <w:t xml:space="preserve">her </w:t>
      </w:r>
      <w:r>
        <w:rPr>
          <w:rFonts w:ascii="Arial" w:cs="Arial" w:eastAsia="Arial" w:hAnsi="Arial"/>
          <w:sz w:val="16"/>
          <w:szCs w:val="16"/>
          <w:color w:val="282828"/>
        </w:rPr>
        <w:t>p</w:t>
      </w:r>
      <w:r>
        <w:rPr>
          <w:rFonts w:ascii="Arial" w:cs="Arial" w:eastAsia="Arial" w:hAnsi="Arial"/>
          <w:sz w:val="16"/>
          <w:szCs w:val="16"/>
          <w:color w:val="363636"/>
        </w:rPr>
        <w:t>ers</w:t>
      </w:r>
      <w:r>
        <w:rPr>
          <w:rFonts w:ascii="Arial" w:cs="Arial" w:eastAsia="Arial" w:hAnsi="Arial"/>
          <w:sz w:val="16"/>
          <w:szCs w:val="16"/>
          <w:color w:val="282828"/>
        </w:rPr>
        <w:t>o</w:t>
      </w:r>
      <w:r>
        <w:rPr>
          <w:rFonts w:ascii="Arial" w:cs="Arial" w:eastAsia="Arial" w:hAnsi="Arial"/>
          <w:sz w:val="16"/>
          <w:szCs w:val="16"/>
          <w:color w:val="363636"/>
        </w:rPr>
        <w:t xml:space="preserve">n. </w:t>
      </w:r>
      <w:r>
        <w:rPr>
          <w:rFonts w:ascii="Arial" w:cs="Arial" w:eastAsia="Arial" w:hAnsi="Arial"/>
          <w:sz w:val="16"/>
          <w:szCs w:val="16"/>
          <w:color w:val="282828"/>
        </w:rPr>
        <w:t>Y</w:t>
      </w:r>
      <w:r>
        <w:rPr>
          <w:rFonts w:ascii="Arial" w:cs="Arial" w:eastAsia="Arial" w:hAnsi="Arial"/>
          <w:sz w:val="16"/>
          <w:szCs w:val="16"/>
          <w:color w:val="363636"/>
        </w:rPr>
        <w:t>ou re</w:t>
      </w:r>
      <w:r>
        <w:rPr>
          <w:rFonts w:ascii="Arial" w:cs="Arial" w:eastAsia="Arial" w:hAnsi="Arial"/>
          <w:sz w:val="16"/>
          <w:szCs w:val="16"/>
          <w:color w:val="282828"/>
        </w:rPr>
        <w:t>p</w:t>
      </w:r>
      <w:r>
        <w:rPr>
          <w:rFonts w:ascii="Arial" w:cs="Arial" w:eastAsia="Arial" w:hAnsi="Arial"/>
          <w:sz w:val="16"/>
          <w:szCs w:val="16"/>
          <w:color w:val="363636"/>
        </w:rPr>
        <w:t>resent an</w:t>
      </w:r>
      <w:r>
        <w:rPr>
          <w:rFonts w:ascii="Arial" w:cs="Arial" w:eastAsia="Arial" w:hAnsi="Arial"/>
          <w:sz w:val="16"/>
          <w:szCs w:val="16"/>
          <w:color w:val="282828"/>
        </w:rPr>
        <w:t>d</w:t>
      </w:r>
      <w:r>
        <w:rPr>
          <w:rFonts w:ascii="Arial" w:cs="Arial" w:eastAsia="Arial" w:hAnsi="Arial"/>
          <w:sz w:val="16"/>
          <w:szCs w:val="16"/>
          <w:color w:val="363636"/>
        </w:rPr>
        <w:t xml:space="preserve"> w</w:t>
      </w:r>
      <w:r>
        <w:rPr>
          <w:rFonts w:ascii="Arial" w:cs="Arial" w:eastAsia="Arial" w:hAnsi="Arial"/>
          <w:sz w:val="16"/>
          <w:szCs w:val="16"/>
          <w:color w:val="282828"/>
        </w:rPr>
        <w:t>arr</w:t>
      </w:r>
      <w:r>
        <w:rPr>
          <w:rFonts w:ascii="Arial" w:cs="Arial" w:eastAsia="Arial" w:hAnsi="Arial"/>
          <w:sz w:val="16"/>
          <w:szCs w:val="16"/>
          <w:color w:val="363636"/>
        </w:rPr>
        <w:t>ant t</w:t>
      </w:r>
      <w:r>
        <w:rPr>
          <w:rFonts w:ascii="Arial" w:cs="Arial" w:eastAsia="Arial" w:hAnsi="Arial"/>
          <w:sz w:val="16"/>
          <w:szCs w:val="16"/>
          <w:color w:val="282828"/>
        </w:rPr>
        <w:t>o th</w:t>
      </w:r>
      <w:r>
        <w:rPr>
          <w:rFonts w:ascii="Arial" w:cs="Arial" w:eastAsia="Arial" w:hAnsi="Arial"/>
          <w:sz w:val="16"/>
          <w:szCs w:val="16"/>
          <w:color w:val="363636"/>
        </w:rPr>
        <w:t>e C</w:t>
      </w:r>
      <w:r>
        <w:rPr>
          <w:rFonts w:ascii="Arial" w:cs="Arial" w:eastAsia="Arial" w:hAnsi="Arial"/>
          <w:sz w:val="16"/>
          <w:szCs w:val="16"/>
          <w:color w:val="282828"/>
        </w:rPr>
        <w:t>o</w:t>
      </w:r>
      <w:r>
        <w:rPr>
          <w:rFonts w:ascii="Arial" w:cs="Arial" w:eastAsia="Arial" w:hAnsi="Arial"/>
          <w:sz w:val="16"/>
          <w:szCs w:val="16"/>
          <w:color w:val="363636"/>
        </w:rPr>
        <w:t>m</w:t>
      </w:r>
      <w:r>
        <w:rPr>
          <w:rFonts w:ascii="Arial" w:cs="Arial" w:eastAsia="Arial" w:hAnsi="Arial"/>
          <w:sz w:val="16"/>
          <w:szCs w:val="16"/>
          <w:color w:val="282828"/>
        </w:rPr>
        <w:t>p</w:t>
      </w:r>
      <w:r>
        <w:rPr>
          <w:rFonts w:ascii="Arial" w:cs="Arial" w:eastAsia="Arial" w:hAnsi="Arial"/>
          <w:sz w:val="16"/>
          <w:szCs w:val="16"/>
          <w:color w:val="363636"/>
        </w:rPr>
        <w:t xml:space="preserve">any </w:t>
      </w:r>
      <w:r>
        <w:rPr>
          <w:rFonts w:ascii="Arial" w:cs="Arial" w:eastAsia="Arial" w:hAnsi="Arial"/>
          <w:sz w:val="16"/>
          <w:szCs w:val="16"/>
          <w:color w:val="282828"/>
        </w:rPr>
        <w:t>th</w:t>
      </w:r>
      <w:r>
        <w:rPr>
          <w:rFonts w:ascii="Arial" w:cs="Arial" w:eastAsia="Arial" w:hAnsi="Arial"/>
          <w:sz w:val="16"/>
          <w:szCs w:val="16"/>
          <w:color w:val="363636"/>
        </w:rPr>
        <w:t>a</w:t>
      </w:r>
      <w:r>
        <w:rPr>
          <w:rFonts w:ascii="Arial" w:cs="Arial" w:eastAsia="Arial" w:hAnsi="Arial"/>
          <w:sz w:val="16"/>
          <w:szCs w:val="16"/>
          <w:color w:val="171717"/>
        </w:rPr>
        <w:t>t</w:t>
      </w:r>
      <w:r>
        <w:rPr>
          <w:rFonts w:ascii="Arial" w:cs="Arial" w:eastAsia="Arial" w:hAnsi="Arial"/>
          <w:sz w:val="16"/>
          <w:szCs w:val="16"/>
          <w:color w:val="282828"/>
        </w:rPr>
        <w:t xml:space="preserve"> </w:t>
      </w:r>
      <w:r>
        <w:rPr>
          <w:rFonts w:ascii="Arial" w:cs="Arial" w:eastAsia="Arial" w:hAnsi="Arial"/>
          <w:sz w:val="16"/>
          <w:szCs w:val="16"/>
          <w:color w:val="363636"/>
        </w:rPr>
        <w:t>y</w:t>
      </w:r>
      <w:r>
        <w:rPr>
          <w:rFonts w:ascii="Arial" w:cs="Arial" w:eastAsia="Arial" w:hAnsi="Arial"/>
          <w:sz w:val="16"/>
          <w:szCs w:val="16"/>
          <w:color w:val="282828"/>
        </w:rPr>
        <w:t>ou h</w:t>
      </w:r>
      <w:r>
        <w:rPr>
          <w:rFonts w:ascii="Arial" w:cs="Arial" w:eastAsia="Arial" w:hAnsi="Arial"/>
          <w:sz w:val="16"/>
          <w:szCs w:val="16"/>
          <w:color w:val="363636"/>
        </w:rPr>
        <w:t>ave returne</w:t>
      </w:r>
      <w:r>
        <w:rPr>
          <w:rFonts w:ascii="Arial" w:cs="Arial" w:eastAsia="Arial" w:hAnsi="Arial"/>
          <w:sz w:val="16"/>
          <w:szCs w:val="16"/>
          <w:color w:val="282828"/>
        </w:rPr>
        <w:t xml:space="preserve">d </w:t>
      </w:r>
      <w:r>
        <w:rPr>
          <w:rFonts w:ascii="Arial" w:cs="Arial" w:eastAsia="Arial" w:hAnsi="Arial"/>
          <w:sz w:val="16"/>
          <w:szCs w:val="16"/>
          <w:color w:val="363636"/>
        </w:rPr>
        <w:t>a</w:t>
      </w:r>
      <w:r>
        <w:rPr>
          <w:rFonts w:ascii="Arial" w:cs="Arial" w:eastAsia="Arial" w:hAnsi="Arial"/>
          <w:sz w:val="16"/>
          <w:szCs w:val="16"/>
          <w:color w:val="282828"/>
        </w:rPr>
        <w:t>ll prop</w:t>
      </w:r>
      <w:r>
        <w:rPr>
          <w:rFonts w:ascii="Arial" w:cs="Arial" w:eastAsia="Arial" w:hAnsi="Arial"/>
          <w:sz w:val="16"/>
          <w:szCs w:val="16"/>
          <w:color w:val="363636"/>
        </w:rPr>
        <w:t>erty an</w:t>
      </w:r>
      <w:r>
        <w:rPr>
          <w:rFonts w:ascii="Arial" w:cs="Arial" w:eastAsia="Arial" w:hAnsi="Arial"/>
          <w:sz w:val="16"/>
          <w:szCs w:val="16"/>
          <w:color w:val="282828"/>
        </w:rPr>
        <w:t xml:space="preserve">d </w:t>
      </w:r>
      <w:r>
        <w:rPr>
          <w:rFonts w:ascii="Arial" w:cs="Arial" w:eastAsia="Arial" w:hAnsi="Arial"/>
          <w:sz w:val="16"/>
          <w:szCs w:val="16"/>
          <w:color w:val="363636"/>
        </w:rPr>
        <w:t>c</w:t>
      </w:r>
      <w:r>
        <w:rPr>
          <w:rFonts w:ascii="Arial" w:cs="Arial" w:eastAsia="Arial" w:hAnsi="Arial"/>
          <w:sz w:val="16"/>
          <w:szCs w:val="16"/>
          <w:color w:val="282828"/>
        </w:rPr>
        <w:t>onfid</w:t>
      </w:r>
      <w:r>
        <w:rPr>
          <w:rFonts w:ascii="Arial" w:cs="Arial" w:eastAsia="Arial" w:hAnsi="Arial"/>
          <w:sz w:val="16"/>
          <w:szCs w:val="16"/>
          <w:color w:val="363636"/>
        </w:rPr>
        <w:t>entia</w:t>
      </w:r>
      <w:r>
        <w:rPr>
          <w:rFonts w:ascii="Arial" w:cs="Arial" w:eastAsia="Arial" w:hAnsi="Arial"/>
          <w:sz w:val="16"/>
          <w:szCs w:val="16"/>
          <w:color w:val="282828"/>
        </w:rPr>
        <w:t>l in</w:t>
      </w:r>
      <w:r>
        <w:rPr>
          <w:rFonts w:ascii="Arial" w:cs="Arial" w:eastAsia="Arial" w:hAnsi="Arial"/>
          <w:sz w:val="16"/>
          <w:szCs w:val="16"/>
          <w:color w:val="363636"/>
        </w:rPr>
        <w:t>for</w:t>
      </w:r>
      <w:r>
        <w:rPr>
          <w:rFonts w:ascii="Arial" w:cs="Arial" w:eastAsia="Arial" w:hAnsi="Arial"/>
          <w:sz w:val="16"/>
          <w:szCs w:val="16"/>
          <w:color w:val="282828"/>
        </w:rPr>
        <w:t>m</w:t>
      </w:r>
      <w:r>
        <w:rPr>
          <w:rFonts w:ascii="Arial" w:cs="Arial" w:eastAsia="Arial" w:hAnsi="Arial"/>
          <w:sz w:val="16"/>
          <w:szCs w:val="16"/>
          <w:color w:val="363636"/>
        </w:rPr>
        <w:t>at</w:t>
      </w:r>
      <w:r>
        <w:rPr>
          <w:rFonts w:ascii="Arial" w:cs="Arial" w:eastAsia="Arial" w:hAnsi="Arial"/>
          <w:sz w:val="16"/>
          <w:szCs w:val="16"/>
          <w:color w:val="282828"/>
        </w:rPr>
        <w:t>ion b</w:t>
      </w:r>
      <w:r>
        <w:rPr>
          <w:rFonts w:ascii="Arial" w:cs="Arial" w:eastAsia="Arial" w:hAnsi="Arial"/>
          <w:sz w:val="16"/>
          <w:szCs w:val="16"/>
          <w:color w:val="363636"/>
        </w:rPr>
        <w:t>e</w:t>
      </w:r>
      <w:r>
        <w:rPr>
          <w:rFonts w:ascii="Arial" w:cs="Arial" w:eastAsia="Arial" w:hAnsi="Arial"/>
          <w:sz w:val="16"/>
          <w:szCs w:val="16"/>
          <w:color w:val="171717"/>
        </w:rPr>
        <w:t>l</w:t>
      </w:r>
      <w:r>
        <w:rPr>
          <w:rFonts w:ascii="Arial" w:cs="Arial" w:eastAsia="Arial" w:hAnsi="Arial"/>
          <w:sz w:val="16"/>
          <w:szCs w:val="16"/>
          <w:color w:val="282828"/>
        </w:rPr>
        <w:t>on</w:t>
      </w:r>
      <w:r>
        <w:rPr>
          <w:rFonts w:ascii="Arial" w:cs="Arial" w:eastAsia="Arial" w:hAnsi="Arial"/>
          <w:sz w:val="16"/>
          <w:szCs w:val="16"/>
          <w:color w:val="363636"/>
        </w:rPr>
        <w:t>g</w:t>
      </w:r>
      <w:r>
        <w:rPr>
          <w:rFonts w:ascii="Arial" w:cs="Arial" w:eastAsia="Arial" w:hAnsi="Arial"/>
          <w:sz w:val="16"/>
          <w:szCs w:val="16"/>
          <w:color w:val="282828"/>
        </w:rPr>
        <w:t>in</w:t>
      </w:r>
      <w:r>
        <w:rPr>
          <w:rFonts w:ascii="Arial" w:cs="Arial" w:eastAsia="Arial" w:hAnsi="Arial"/>
          <w:sz w:val="16"/>
          <w:szCs w:val="16"/>
          <w:color w:val="363636"/>
        </w:rPr>
        <w:t>g t</w:t>
      </w:r>
      <w:r>
        <w:rPr>
          <w:rFonts w:ascii="Arial" w:cs="Arial" w:eastAsia="Arial" w:hAnsi="Arial"/>
          <w:sz w:val="16"/>
          <w:szCs w:val="16"/>
          <w:color w:val="282828"/>
        </w:rPr>
        <w:t xml:space="preserve">o </w:t>
      </w:r>
      <w:r>
        <w:rPr>
          <w:rFonts w:ascii="Arial" w:cs="Arial" w:eastAsia="Arial" w:hAnsi="Arial"/>
          <w:sz w:val="16"/>
          <w:szCs w:val="16"/>
          <w:color w:val="363636"/>
        </w:rPr>
        <w:t>any</w:t>
      </w:r>
      <w:r>
        <w:rPr>
          <w:rFonts w:ascii="Arial" w:cs="Arial" w:eastAsia="Arial" w:hAnsi="Arial"/>
          <w:sz w:val="16"/>
          <w:szCs w:val="16"/>
          <w:color w:val="282828"/>
        </w:rPr>
        <w:t xml:space="preserve"> p</w:t>
      </w:r>
      <w:r>
        <w:rPr>
          <w:rFonts w:ascii="Arial" w:cs="Arial" w:eastAsia="Arial" w:hAnsi="Arial"/>
          <w:sz w:val="16"/>
          <w:szCs w:val="16"/>
          <w:color w:val="363636"/>
        </w:rPr>
        <w:t>r</w:t>
      </w:r>
      <w:r>
        <w:rPr>
          <w:rFonts w:ascii="Arial" w:cs="Arial" w:eastAsia="Arial" w:hAnsi="Arial"/>
          <w:sz w:val="16"/>
          <w:szCs w:val="16"/>
          <w:color w:val="282828"/>
        </w:rPr>
        <w:t xml:space="preserve">ior </w:t>
      </w:r>
      <w:r>
        <w:rPr>
          <w:rFonts w:ascii="Arial" w:cs="Arial" w:eastAsia="Arial" w:hAnsi="Arial"/>
          <w:sz w:val="16"/>
          <w:szCs w:val="16"/>
          <w:color w:val="363636"/>
        </w:rPr>
        <w:t>e</w:t>
      </w:r>
      <w:r>
        <w:rPr>
          <w:rFonts w:ascii="Arial" w:cs="Arial" w:eastAsia="Arial" w:hAnsi="Arial"/>
          <w:sz w:val="16"/>
          <w:szCs w:val="16"/>
          <w:color w:val="282828"/>
        </w:rPr>
        <w:t>mploy</w:t>
      </w:r>
      <w:r>
        <w:rPr>
          <w:rFonts w:ascii="Arial" w:cs="Arial" w:eastAsia="Arial" w:hAnsi="Arial"/>
          <w:sz w:val="16"/>
          <w:szCs w:val="16"/>
          <w:color w:val="363636"/>
        </w:rPr>
        <w:t>er.</w:t>
      </w:r>
    </w:p>
    <w:p>
      <w:pPr>
        <w:spacing w:after="0" w:line="1" w:lineRule="exact"/>
        <w:rPr>
          <w:rFonts w:ascii="Arial" w:cs="Arial" w:eastAsia="Arial" w:hAnsi="Arial"/>
          <w:sz w:val="17"/>
          <w:szCs w:val="17"/>
          <w:color w:val="2F2F2F"/>
        </w:rPr>
      </w:pPr>
    </w:p>
    <w:p>
      <w:pPr>
        <w:ind w:left="1163" w:hanging="286"/>
        <w:spacing w:after="0"/>
        <w:tabs>
          <w:tab w:leader="none" w:pos="1163" w:val="left"/>
        </w:tabs>
        <w:numPr>
          <w:ilvl w:val="1"/>
          <w:numId w:val="334"/>
        </w:numPr>
        <w:rPr>
          <w:rFonts w:ascii="Arial" w:cs="Arial" w:eastAsia="Arial" w:hAnsi="Arial"/>
          <w:sz w:val="17"/>
          <w:szCs w:val="17"/>
          <w:color w:val="2F2F2F"/>
        </w:rPr>
      </w:pPr>
      <w:r>
        <w:rPr>
          <w:rFonts w:ascii="Arial" w:cs="Arial" w:eastAsia="Arial" w:hAnsi="Arial"/>
          <w:sz w:val="17"/>
          <w:szCs w:val="17"/>
          <w:b w:val="1"/>
          <w:bCs w:val="1"/>
          <w:u w:val="single" w:color="auto"/>
          <w:color w:val="282828"/>
        </w:rPr>
        <w:t>C</w:t>
      </w:r>
      <w:r>
        <w:rPr>
          <w:rFonts w:ascii="Arial" w:cs="Arial" w:eastAsia="Arial" w:hAnsi="Arial"/>
          <w:sz w:val="17"/>
          <w:szCs w:val="17"/>
          <w:b w:val="1"/>
          <w:bCs w:val="1"/>
          <w:u w:val="single" w:color="auto"/>
          <w:color w:val="171717"/>
        </w:rPr>
        <w:t>omm</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nc</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m</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nt Dat</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color w:val="282828"/>
        </w:rPr>
        <w:t xml:space="preserve">. </w:t>
      </w:r>
      <w:r>
        <w:rPr>
          <w:rFonts w:ascii="Arial" w:cs="Arial" w:eastAsia="Arial" w:hAnsi="Arial"/>
          <w:sz w:val="17"/>
          <w:szCs w:val="17"/>
          <w:color w:val="282828"/>
        </w:rPr>
        <w:t>You</w:t>
      </w:r>
      <w:r>
        <w:rPr>
          <w:rFonts w:ascii="Arial" w:cs="Arial" w:eastAsia="Arial" w:hAnsi="Arial"/>
          <w:sz w:val="17"/>
          <w:szCs w:val="17"/>
          <w:b w:val="1"/>
          <w:bCs w:val="1"/>
          <w:color w:val="282828"/>
        </w:rPr>
        <w:t xml:space="preserve"> </w:t>
      </w:r>
      <w:r>
        <w:rPr>
          <w:rFonts w:ascii="Arial" w:cs="Arial" w:eastAsia="Arial" w:hAnsi="Arial"/>
          <w:sz w:val="17"/>
          <w:szCs w:val="17"/>
          <w:color w:val="363636"/>
        </w:rPr>
        <w:t>s</w:t>
      </w:r>
      <w:r>
        <w:rPr>
          <w:rFonts w:ascii="Arial" w:cs="Arial" w:eastAsia="Arial" w:hAnsi="Arial"/>
          <w:sz w:val="17"/>
          <w:szCs w:val="17"/>
          <w:color w:val="282828"/>
        </w:rPr>
        <w:t>h</w:t>
      </w:r>
      <w:r>
        <w:rPr>
          <w:rFonts w:ascii="Arial" w:cs="Arial" w:eastAsia="Arial" w:hAnsi="Arial"/>
          <w:sz w:val="17"/>
          <w:szCs w:val="17"/>
          <w:color w:val="363636"/>
        </w:rPr>
        <w:t>a</w:t>
      </w:r>
      <w:r>
        <w:rPr>
          <w:rFonts w:ascii="Arial" w:cs="Arial" w:eastAsia="Arial" w:hAnsi="Arial"/>
          <w:sz w:val="17"/>
          <w:szCs w:val="17"/>
          <w:color w:val="171717"/>
        </w:rPr>
        <w:t>ll</w:t>
      </w:r>
      <w:r>
        <w:rPr>
          <w:rFonts w:ascii="Arial" w:cs="Arial" w:eastAsia="Arial" w:hAnsi="Arial"/>
          <w:sz w:val="17"/>
          <w:szCs w:val="17"/>
          <w:b w:val="1"/>
          <w:bCs w:val="1"/>
          <w:color w:val="282828"/>
        </w:rPr>
        <w:t xml:space="preserve"> </w:t>
      </w:r>
      <w:r>
        <w:rPr>
          <w:rFonts w:ascii="Arial" w:cs="Arial" w:eastAsia="Arial" w:hAnsi="Arial"/>
          <w:sz w:val="17"/>
          <w:szCs w:val="17"/>
          <w:color w:val="2F2F2F"/>
        </w:rPr>
        <w:t>commence</w:t>
      </w:r>
      <w:r>
        <w:rPr>
          <w:rFonts w:ascii="Arial" w:cs="Arial" w:eastAsia="Arial" w:hAnsi="Arial"/>
          <w:sz w:val="17"/>
          <w:szCs w:val="17"/>
          <w:b w:val="1"/>
          <w:bCs w:val="1"/>
          <w:color w:val="282828"/>
        </w:rPr>
        <w:t xml:space="preserve"> </w:t>
      </w:r>
      <w:r>
        <w:rPr>
          <w:rFonts w:ascii="Arial" w:cs="Arial" w:eastAsia="Arial" w:hAnsi="Arial"/>
          <w:sz w:val="17"/>
          <w:szCs w:val="17"/>
          <w:color w:val="363636"/>
        </w:rPr>
        <w:t>fu</w:t>
      </w:r>
      <w:r>
        <w:rPr>
          <w:rFonts w:ascii="Arial" w:cs="Arial" w:eastAsia="Arial" w:hAnsi="Arial"/>
          <w:sz w:val="17"/>
          <w:szCs w:val="17"/>
          <w:color w:val="282828"/>
        </w:rPr>
        <w:t>ll-</w:t>
      </w:r>
      <w:r>
        <w:rPr>
          <w:rFonts w:ascii="Arial" w:cs="Arial" w:eastAsia="Arial" w:hAnsi="Arial"/>
          <w:sz w:val="17"/>
          <w:szCs w:val="17"/>
          <w:color w:val="363636"/>
        </w:rPr>
        <w:t>t</w:t>
      </w:r>
      <w:r>
        <w:rPr>
          <w:rFonts w:ascii="Arial" w:cs="Arial" w:eastAsia="Arial" w:hAnsi="Arial"/>
          <w:sz w:val="17"/>
          <w:szCs w:val="17"/>
          <w:color w:val="282828"/>
        </w:rPr>
        <w:t>im</w:t>
      </w:r>
      <w:r>
        <w:rPr>
          <w:rFonts w:ascii="Arial" w:cs="Arial" w:eastAsia="Arial" w:hAnsi="Arial"/>
          <w:sz w:val="17"/>
          <w:szCs w:val="17"/>
          <w:color w:val="494949"/>
        </w:rPr>
        <w:t>e</w:t>
      </w:r>
      <w:r>
        <w:rPr>
          <w:rFonts w:ascii="Arial" w:cs="Arial" w:eastAsia="Arial" w:hAnsi="Arial"/>
          <w:sz w:val="17"/>
          <w:szCs w:val="17"/>
          <w:b w:val="1"/>
          <w:bCs w:val="1"/>
          <w:color w:val="282828"/>
        </w:rPr>
        <w:t xml:space="preserve"> </w:t>
      </w:r>
      <w:r>
        <w:rPr>
          <w:rFonts w:ascii="Arial" w:cs="Arial" w:eastAsia="Arial" w:hAnsi="Arial"/>
          <w:sz w:val="17"/>
          <w:szCs w:val="17"/>
          <w:color w:val="363636"/>
        </w:rPr>
        <w:t>E</w:t>
      </w:r>
      <w:r>
        <w:rPr>
          <w:rFonts w:ascii="Arial" w:cs="Arial" w:eastAsia="Arial" w:hAnsi="Arial"/>
          <w:sz w:val="17"/>
          <w:szCs w:val="17"/>
          <w:color w:val="282828"/>
        </w:rPr>
        <w:t>mp</w:t>
      </w:r>
      <w:r>
        <w:rPr>
          <w:rFonts w:ascii="Arial" w:cs="Arial" w:eastAsia="Arial" w:hAnsi="Arial"/>
          <w:sz w:val="17"/>
          <w:szCs w:val="17"/>
          <w:color w:val="171717"/>
        </w:rPr>
        <w:t>l</w:t>
      </w:r>
      <w:r>
        <w:rPr>
          <w:rFonts w:ascii="Arial" w:cs="Arial" w:eastAsia="Arial" w:hAnsi="Arial"/>
          <w:sz w:val="17"/>
          <w:szCs w:val="17"/>
          <w:color w:val="282828"/>
        </w:rPr>
        <w:t>o</w:t>
      </w:r>
      <w:r>
        <w:rPr>
          <w:rFonts w:ascii="Arial" w:cs="Arial" w:eastAsia="Arial" w:hAnsi="Arial"/>
          <w:sz w:val="17"/>
          <w:szCs w:val="17"/>
          <w:color w:val="363636"/>
        </w:rPr>
        <w:t>y</w:t>
      </w:r>
      <w:r>
        <w:rPr>
          <w:rFonts w:ascii="Arial" w:cs="Arial" w:eastAsia="Arial" w:hAnsi="Arial"/>
          <w:sz w:val="17"/>
          <w:szCs w:val="17"/>
          <w:color w:val="282828"/>
        </w:rPr>
        <w:t>m</w:t>
      </w:r>
      <w:r>
        <w:rPr>
          <w:rFonts w:ascii="Arial" w:cs="Arial" w:eastAsia="Arial" w:hAnsi="Arial"/>
          <w:sz w:val="17"/>
          <w:szCs w:val="17"/>
          <w:color w:val="363636"/>
        </w:rPr>
        <w:t>en</w:t>
      </w:r>
      <w:r>
        <w:rPr>
          <w:rFonts w:ascii="Arial" w:cs="Arial" w:eastAsia="Arial" w:hAnsi="Arial"/>
          <w:sz w:val="17"/>
          <w:szCs w:val="17"/>
          <w:color w:val="282828"/>
        </w:rPr>
        <w:t>t</w:t>
      </w:r>
      <w:r>
        <w:rPr>
          <w:rFonts w:ascii="Arial" w:cs="Arial" w:eastAsia="Arial" w:hAnsi="Arial"/>
          <w:sz w:val="17"/>
          <w:szCs w:val="17"/>
          <w:b w:val="1"/>
          <w:bCs w:val="1"/>
          <w:color w:val="282828"/>
        </w:rPr>
        <w:t xml:space="preserve"> </w:t>
      </w:r>
      <w:r>
        <w:rPr>
          <w:rFonts w:ascii="Arial" w:cs="Arial" w:eastAsia="Arial" w:hAnsi="Arial"/>
          <w:sz w:val="17"/>
          <w:szCs w:val="17"/>
          <w:color w:val="363636"/>
        </w:rPr>
        <w:t>as s</w:t>
      </w:r>
      <w:r>
        <w:rPr>
          <w:rFonts w:ascii="Arial" w:cs="Arial" w:eastAsia="Arial" w:hAnsi="Arial"/>
          <w:sz w:val="17"/>
          <w:szCs w:val="17"/>
          <w:color w:val="282828"/>
        </w:rPr>
        <w:t>oon</w:t>
      </w:r>
      <w:r>
        <w:rPr>
          <w:rFonts w:ascii="Arial" w:cs="Arial" w:eastAsia="Arial" w:hAnsi="Arial"/>
          <w:sz w:val="17"/>
          <w:szCs w:val="17"/>
          <w:b w:val="1"/>
          <w:bCs w:val="1"/>
          <w:color w:val="282828"/>
        </w:rPr>
        <w:t xml:space="preserve"> </w:t>
      </w:r>
      <w:r>
        <w:rPr>
          <w:rFonts w:ascii="Arial" w:cs="Arial" w:eastAsia="Arial" w:hAnsi="Arial"/>
          <w:sz w:val="17"/>
          <w:szCs w:val="17"/>
          <w:color w:val="363636"/>
        </w:rPr>
        <w:t>as reas</w:t>
      </w:r>
      <w:r>
        <w:rPr>
          <w:rFonts w:ascii="Arial" w:cs="Arial" w:eastAsia="Arial" w:hAnsi="Arial"/>
          <w:sz w:val="17"/>
          <w:szCs w:val="17"/>
          <w:color w:val="282828"/>
        </w:rPr>
        <w:t>on</w:t>
      </w:r>
      <w:r>
        <w:rPr>
          <w:rFonts w:ascii="Arial" w:cs="Arial" w:eastAsia="Arial" w:hAnsi="Arial"/>
          <w:sz w:val="17"/>
          <w:szCs w:val="17"/>
          <w:color w:val="363636"/>
        </w:rPr>
        <w:t>a</w:t>
      </w:r>
      <w:r>
        <w:rPr>
          <w:rFonts w:ascii="Arial" w:cs="Arial" w:eastAsia="Arial" w:hAnsi="Arial"/>
          <w:sz w:val="17"/>
          <w:szCs w:val="17"/>
          <w:color w:val="282828"/>
        </w:rPr>
        <w:t>bl</w:t>
      </w:r>
      <w:r>
        <w:rPr>
          <w:rFonts w:ascii="Arial" w:cs="Arial" w:eastAsia="Arial" w:hAnsi="Arial"/>
          <w:sz w:val="17"/>
          <w:szCs w:val="17"/>
          <w:color w:val="363636"/>
        </w:rPr>
        <w:t>y</w:t>
      </w:r>
      <w:r>
        <w:rPr>
          <w:rFonts w:ascii="Arial" w:cs="Arial" w:eastAsia="Arial" w:hAnsi="Arial"/>
          <w:sz w:val="17"/>
          <w:szCs w:val="17"/>
          <w:b w:val="1"/>
          <w:bCs w:val="1"/>
          <w:color w:val="282828"/>
        </w:rPr>
        <w:t xml:space="preserve"> </w:t>
      </w:r>
      <w:r>
        <w:rPr>
          <w:rFonts w:ascii="Arial" w:cs="Arial" w:eastAsia="Arial" w:hAnsi="Arial"/>
          <w:sz w:val="17"/>
          <w:szCs w:val="17"/>
          <w:color w:val="171717"/>
        </w:rPr>
        <w:t>p</w:t>
      </w:r>
      <w:r>
        <w:rPr>
          <w:rFonts w:ascii="Arial" w:cs="Arial" w:eastAsia="Arial" w:hAnsi="Arial"/>
          <w:sz w:val="17"/>
          <w:szCs w:val="17"/>
          <w:color w:val="363636"/>
        </w:rPr>
        <w:t>ra</w:t>
      </w:r>
      <w:r>
        <w:rPr>
          <w:rFonts w:ascii="Arial" w:cs="Arial" w:eastAsia="Arial" w:hAnsi="Arial"/>
          <w:sz w:val="17"/>
          <w:szCs w:val="17"/>
          <w:color w:val="282828"/>
        </w:rPr>
        <w:t>ct</w:t>
      </w:r>
      <w:r>
        <w:rPr>
          <w:rFonts w:ascii="Arial" w:cs="Arial" w:eastAsia="Arial" w:hAnsi="Arial"/>
          <w:sz w:val="17"/>
          <w:szCs w:val="17"/>
          <w:color w:val="363636"/>
        </w:rPr>
        <w:t>ica</w:t>
      </w:r>
      <w:r>
        <w:rPr>
          <w:rFonts w:ascii="Arial" w:cs="Arial" w:eastAsia="Arial" w:hAnsi="Arial"/>
          <w:sz w:val="17"/>
          <w:szCs w:val="17"/>
          <w:color w:val="282828"/>
        </w:rPr>
        <w:t>bl</w:t>
      </w:r>
      <w:r>
        <w:rPr>
          <w:rFonts w:ascii="Arial" w:cs="Arial" w:eastAsia="Arial" w:hAnsi="Arial"/>
          <w:sz w:val="17"/>
          <w:szCs w:val="17"/>
          <w:color w:val="363636"/>
        </w:rPr>
        <w:t>e an</w:t>
      </w:r>
      <w:r>
        <w:rPr>
          <w:rFonts w:ascii="Arial" w:cs="Arial" w:eastAsia="Arial" w:hAnsi="Arial"/>
          <w:sz w:val="17"/>
          <w:szCs w:val="17"/>
          <w:color w:val="282828"/>
        </w:rPr>
        <w:t>d</w:t>
      </w:r>
      <w:r>
        <w:rPr>
          <w:rFonts w:ascii="Arial" w:cs="Arial" w:eastAsia="Arial" w:hAnsi="Arial"/>
          <w:sz w:val="17"/>
          <w:szCs w:val="17"/>
          <w:b w:val="1"/>
          <w:bCs w:val="1"/>
          <w:color w:val="282828"/>
        </w:rPr>
        <w:t xml:space="preserve"> </w:t>
      </w:r>
      <w:r>
        <w:rPr>
          <w:rFonts w:ascii="Arial" w:cs="Arial" w:eastAsia="Arial" w:hAnsi="Arial"/>
          <w:sz w:val="17"/>
          <w:szCs w:val="17"/>
          <w:color w:val="363636"/>
        </w:rPr>
        <w:t>in</w:t>
      </w:r>
      <w:r>
        <w:rPr>
          <w:rFonts w:ascii="Arial" w:cs="Arial" w:eastAsia="Arial" w:hAnsi="Arial"/>
          <w:sz w:val="17"/>
          <w:szCs w:val="17"/>
          <w:b w:val="1"/>
          <w:bCs w:val="1"/>
          <w:color w:val="282828"/>
        </w:rPr>
        <w:t xml:space="preserve"> </w:t>
      </w:r>
      <w:r>
        <w:rPr>
          <w:rFonts w:ascii="Arial" w:cs="Arial" w:eastAsia="Arial" w:hAnsi="Arial"/>
          <w:sz w:val="17"/>
          <w:szCs w:val="17"/>
          <w:color w:val="2F2F2F"/>
        </w:rPr>
        <w:t>n</w:t>
      </w:r>
      <w:r>
        <w:rPr>
          <w:rFonts w:ascii="Arial" w:cs="Arial" w:eastAsia="Arial" w:hAnsi="Arial"/>
          <w:sz w:val="17"/>
          <w:szCs w:val="17"/>
          <w:color w:val="282828"/>
        </w:rPr>
        <w:t>o</w:t>
      </w:r>
      <w:r>
        <w:rPr>
          <w:rFonts w:ascii="Arial" w:cs="Arial" w:eastAsia="Arial" w:hAnsi="Arial"/>
          <w:sz w:val="17"/>
          <w:szCs w:val="17"/>
          <w:b w:val="1"/>
          <w:bCs w:val="1"/>
          <w:color w:val="282828"/>
        </w:rPr>
        <w:t xml:space="preserve"> </w:t>
      </w:r>
      <w:r>
        <w:rPr>
          <w:rFonts w:ascii="Arial" w:cs="Arial" w:eastAsia="Arial" w:hAnsi="Arial"/>
          <w:sz w:val="17"/>
          <w:szCs w:val="17"/>
          <w:color w:val="363636"/>
        </w:rPr>
        <w:t>eve</w:t>
      </w:r>
      <w:r>
        <w:rPr>
          <w:rFonts w:ascii="Arial" w:cs="Arial" w:eastAsia="Arial" w:hAnsi="Arial"/>
          <w:sz w:val="17"/>
          <w:szCs w:val="17"/>
          <w:color w:val="282828"/>
        </w:rPr>
        <w:t>n</w:t>
      </w:r>
      <w:r>
        <w:rPr>
          <w:rFonts w:ascii="Arial" w:cs="Arial" w:eastAsia="Arial" w:hAnsi="Arial"/>
          <w:sz w:val="17"/>
          <w:szCs w:val="17"/>
          <w:color w:val="363636"/>
        </w:rPr>
        <w:t>t</w:t>
      </w:r>
      <w:r>
        <w:rPr>
          <w:rFonts w:ascii="Arial" w:cs="Arial" w:eastAsia="Arial" w:hAnsi="Arial"/>
          <w:sz w:val="17"/>
          <w:szCs w:val="17"/>
          <w:b w:val="1"/>
          <w:bCs w:val="1"/>
          <w:color w:val="282828"/>
        </w:rPr>
        <w:t xml:space="preserve"> </w:t>
      </w:r>
      <w:r>
        <w:rPr>
          <w:rFonts w:ascii="Arial" w:cs="Arial" w:eastAsia="Arial" w:hAnsi="Arial"/>
          <w:sz w:val="17"/>
          <w:szCs w:val="17"/>
          <w:color w:val="171717"/>
        </w:rPr>
        <w:t>l</w:t>
      </w:r>
      <w:r>
        <w:rPr>
          <w:rFonts w:ascii="Arial" w:cs="Arial" w:eastAsia="Arial" w:hAnsi="Arial"/>
          <w:sz w:val="17"/>
          <w:szCs w:val="17"/>
          <w:color w:val="363636"/>
        </w:rPr>
        <w:t>ater</w:t>
      </w:r>
      <w:r>
        <w:rPr>
          <w:rFonts w:ascii="Arial" w:cs="Arial" w:eastAsia="Arial" w:hAnsi="Arial"/>
          <w:sz w:val="17"/>
          <w:szCs w:val="17"/>
          <w:b w:val="1"/>
          <w:bCs w:val="1"/>
          <w:color w:val="282828"/>
        </w:rPr>
        <w:t xml:space="preserve"> </w:t>
      </w:r>
      <w:r>
        <w:rPr>
          <w:rFonts w:ascii="Arial" w:cs="Arial" w:eastAsia="Arial" w:hAnsi="Arial"/>
          <w:sz w:val="17"/>
          <w:szCs w:val="17"/>
          <w:color w:val="282828"/>
        </w:rPr>
        <w:t>th</w:t>
      </w:r>
      <w:r>
        <w:rPr>
          <w:rFonts w:ascii="Arial" w:cs="Arial" w:eastAsia="Arial" w:hAnsi="Arial"/>
          <w:sz w:val="17"/>
          <w:szCs w:val="17"/>
          <w:color w:val="363636"/>
        </w:rPr>
        <w:t>a</w:t>
      </w:r>
      <w:r>
        <w:rPr>
          <w:rFonts w:ascii="Arial" w:cs="Arial" w:eastAsia="Arial" w:hAnsi="Arial"/>
          <w:sz w:val="17"/>
          <w:szCs w:val="17"/>
          <w:color w:val="282828"/>
        </w:rPr>
        <w:t>n</w:t>
      </w:r>
      <w:r>
        <w:rPr>
          <w:rFonts w:ascii="Arial" w:cs="Arial" w:eastAsia="Arial" w:hAnsi="Arial"/>
          <w:sz w:val="17"/>
          <w:szCs w:val="17"/>
          <w:b w:val="1"/>
          <w:bCs w:val="1"/>
          <w:color w:val="282828"/>
        </w:rPr>
        <w:t xml:space="preserve"> </w:t>
      </w:r>
      <w:r>
        <w:rPr>
          <w:rFonts w:ascii="Arial" w:cs="Arial" w:eastAsia="Arial" w:hAnsi="Arial"/>
          <w:sz w:val="17"/>
          <w:szCs w:val="17"/>
          <w:color w:val="363636"/>
        </w:rPr>
        <w:t>.</w:t>
      </w:r>
    </w:p>
    <w:p>
      <w:pPr>
        <w:spacing w:after="0" w:line="15" w:lineRule="exact"/>
        <w:rPr>
          <w:rFonts w:ascii="Arial" w:cs="Arial" w:eastAsia="Arial" w:hAnsi="Arial"/>
          <w:sz w:val="17"/>
          <w:szCs w:val="17"/>
          <w:color w:val="2F2F2F"/>
        </w:rPr>
      </w:pPr>
    </w:p>
    <w:p>
      <w:pPr>
        <w:ind w:left="283" w:hanging="283"/>
        <w:spacing w:after="0"/>
        <w:tabs>
          <w:tab w:leader="none" w:pos="283" w:val="left"/>
        </w:tabs>
        <w:numPr>
          <w:ilvl w:val="0"/>
          <w:numId w:val="334"/>
        </w:numPr>
        <w:rPr>
          <w:rFonts w:ascii="Arial" w:cs="Arial" w:eastAsia="Arial" w:hAnsi="Arial"/>
          <w:sz w:val="19"/>
          <w:szCs w:val="19"/>
          <w:color w:val="1A1A1A"/>
        </w:rPr>
      </w:pPr>
      <w:r>
        <w:rPr>
          <w:rFonts w:ascii="Arial" w:cs="Arial" w:eastAsia="Arial" w:hAnsi="Arial"/>
          <w:sz w:val="18"/>
          <w:szCs w:val="18"/>
          <w:b w:val="1"/>
          <w:bCs w:val="1"/>
          <w:u w:val="single" w:color="auto"/>
          <w:color w:val="282828"/>
        </w:rPr>
        <w:t>C</w:t>
      </w:r>
      <w:r>
        <w:rPr>
          <w:rFonts w:ascii="Arial" w:cs="Arial" w:eastAsia="Arial" w:hAnsi="Arial"/>
          <w:sz w:val="18"/>
          <w:szCs w:val="18"/>
          <w:b w:val="1"/>
          <w:bCs w:val="1"/>
          <w:u w:val="single" w:color="auto"/>
          <w:color w:val="171717"/>
        </w:rPr>
        <w:t>a</w:t>
      </w:r>
      <w:r>
        <w:rPr>
          <w:rFonts w:ascii="Arial" w:cs="Arial" w:eastAsia="Arial" w:hAnsi="Arial"/>
          <w:sz w:val="18"/>
          <w:szCs w:val="18"/>
          <w:b w:val="1"/>
          <w:bCs w:val="1"/>
          <w:u w:val="single" w:color="auto"/>
          <w:color w:val="282828"/>
        </w:rPr>
        <w:t>s</w:t>
      </w:r>
      <w:r>
        <w:rPr>
          <w:rFonts w:ascii="Arial" w:cs="Arial" w:eastAsia="Arial" w:hAnsi="Arial"/>
          <w:sz w:val="18"/>
          <w:szCs w:val="18"/>
          <w:b w:val="1"/>
          <w:bCs w:val="1"/>
          <w:u w:val="single" w:color="auto"/>
          <w:color w:val="171717"/>
        </w:rPr>
        <w:t>h and Inc</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ntiv</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color w:val="282828"/>
        </w:rPr>
        <w:t xml:space="preserve"> </w:t>
      </w:r>
      <w:r>
        <w:rPr>
          <w:rFonts w:ascii="Arial" w:cs="Arial" w:eastAsia="Arial" w:hAnsi="Arial"/>
          <w:sz w:val="18"/>
          <w:szCs w:val="18"/>
          <w:b w:val="1"/>
          <w:bCs w:val="1"/>
          <w:u w:val="single" w:color="auto"/>
          <w:color w:val="171717"/>
        </w:rPr>
        <w:t>Comp</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nsation</w:t>
      </w:r>
      <w:r>
        <w:rPr>
          <w:rFonts w:ascii="Arial" w:cs="Arial" w:eastAsia="Arial" w:hAnsi="Arial"/>
          <w:sz w:val="18"/>
          <w:szCs w:val="18"/>
          <w:b w:val="1"/>
          <w:bCs w:val="1"/>
          <w:color w:val="282828"/>
        </w:rPr>
        <w:t>.</w:t>
      </w:r>
    </w:p>
    <w:p>
      <w:pPr>
        <w:spacing w:after="0" w:line="8" w:lineRule="exact"/>
        <w:rPr>
          <w:rFonts w:ascii="Arial" w:cs="Arial" w:eastAsia="Arial" w:hAnsi="Arial"/>
          <w:sz w:val="19"/>
          <w:szCs w:val="19"/>
          <w:color w:val="1A1A1A"/>
        </w:rPr>
      </w:pPr>
    </w:p>
    <w:p>
      <w:pPr>
        <w:ind w:left="1163" w:right="160" w:hanging="286"/>
        <w:spacing w:after="0" w:line="305" w:lineRule="auto"/>
        <w:tabs>
          <w:tab w:leader="none" w:pos="1152" w:val="left"/>
        </w:tabs>
        <w:numPr>
          <w:ilvl w:val="1"/>
          <w:numId w:val="334"/>
        </w:numPr>
        <w:rPr>
          <w:rFonts w:ascii="Arial" w:cs="Arial" w:eastAsia="Arial" w:hAnsi="Arial"/>
          <w:sz w:val="16"/>
          <w:szCs w:val="16"/>
          <w:color w:val="2F2F2F"/>
        </w:rPr>
      </w:pPr>
      <w:r>
        <w:rPr>
          <w:rFonts w:ascii="Arial" w:cs="Arial" w:eastAsia="Arial" w:hAnsi="Arial"/>
          <w:sz w:val="16"/>
          <w:szCs w:val="16"/>
          <w:b w:val="1"/>
          <w:bCs w:val="1"/>
          <w:u w:val="single" w:color="auto"/>
          <w:color w:val="171717"/>
        </w:rPr>
        <w:t>Salar</w:t>
      </w:r>
      <w:r>
        <w:rPr>
          <w:rFonts w:ascii="Arial" w:cs="Arial" w:eastAsia="Arial" w:hAnsi="Arial"/>
          <w:sz w:val="16"/>
          <w:szCs w:val="16"/>
          <w:b w:val="1"/>
          <w:bCs w:val="1"/>
          <w:u w:val="single" w:color="auto"/>
          <w:color w:val="282828"/>
        </w:rPr>
        <w:t>y</w:t>
      </w:r>
      <w:r>
        <w:rPr>
          <w:rFonts w:ascii="Arial" w:cs="Arial" w:eastAsia="Arial" w:hAnsi="Arial"/>
          <w:sz w:val="16"/>
          <w:szCs w:val="16"/>
          <w:b w:val="1"/>
          <w:bCs w:val="1"/>
          <w:color w:val="171717"/>
        </w:rPr>
        <w:t xml:space="preserve">. </w:t>
      </w:r>
      <w:r>
        <w:rPr>
          <w:rFonts w:ascii="Arial" w:cs="Arial" w:eastAsia="Arial" w:hAnsi="Arial"/>
          <w:sz w:val="16"/>
          <w:szCs w:val="16"/>
          <w:color w:val="363636"/>
        </w:rPr>
        <w:t>T</w:t>
      </w:r>
      <w:r>
        <w:rPr>
          <w:rFonts w:ascii="Arial" w:cs="Arial" w:eastAsia="Arial" w:hAnsi="Arial"/>
          <w:sz w:val="16"/>
          <w:szCs w:val="16"/>
          <w:color w:val="282828"/>
        </w:rPr>
        <w:t>h</w:t>
      </w:r>
      <w:r>
        <w:rPr>
          <w:rFonts w:ascii="Arial" w:cs="Arial" w:eastAsia="Arial" w:hAnsi="Arial"/>
          <w:sz w:val="16"/>
          <w:szCs w:val="16"/>
          <w:color w:val="363636"/>
        </w:rPr>
        <w:t>e C</w:t>
      </w:r>
      <w:r>
        <w:rPr>
          <w:rFonts w:ascii="Arial" w:cs="Arial" w:eastAsia="Arial" w:hAnsi="Arial"/>
          <w:sz w:val="16"/>
          <w:szCs w:val="16"/>
          <w:color w:val="282828"/>
        </w:rPr>
        <w:t>o</w:t>
      </w:r>
      <w:r>
        <w:rPr>
          <w:rFonts w:ascii="Arial" w:cs="Arial" w:eastAsia="Arial" w:hAnsi="Arial"/>
          <w:sz w:val="16"/>
          <w:szCs w:val="16"/>
          <w:color w:val="363636"/>
        </w:rPr>
        <w:t>m</w:t>
      </w:r>
      <w:r>
        <w:rPr>
          <w:rFonts w:ascii="Arial" w:cs="Arial" w:eastAsia="Arial" w:hAnsi="Arial"/>
          <w:sz w:val="16"/>
          <w:szCs w:val="16"/>
          <w:color w:val="282828"/>
        </w:rPr>
        <w:t>p</w:t>
      </w:r>
      <w:r>
        <w:rPr>
          <w:rFonts w:ascii="Arial" w:cs="Arial" w:eastAsia="Arial" w:hAnsi="Arial"/>
          <w:sz w:val="16"/>
          <w:szCs w:val="16"/>
          <w:color w:val="363636"/>
        </w:rPr>
        <w:t>any s</w:t>
      </w:r>
      <w:r>
        <w:rPr>
          <w:rFonts w:ascii="Arial" w:cs="Arial" w:eastAsia="Arial" w:hAnsi="Arial"/>
          <w:sz w:val="16"/>
          <w:szCs w:val="16"/>
          <w:color w:val="282828"/>
        </w:rPr>
        <w:t>h</w:t>
      </w:r>
      <w:r>
        <w:rPr>
          <w:rFonts w:ascii="Arial" w:cs="Arial" w:eastAsia="Arial" w:hAnsi="Arial"/>
          <w:sz w:val="16"/>
          <w:szCs w:val="16"/>
          <w:color w:val="363636"/>
        </w:rPr>
        <w:t>a</w:t>
      </w:r>
      <w:r>
        <w:rPr>
          <w:rFonts w:ascii="Arial" w:cs="Arial" w:eastAsia="Arial" w:hAnsi="Arial"/>
          <w:sz w:val="16"/>
          <w:szCs w:val="16"/>
          <w:color w:val="171717"/>
        </w:rPr>
        <w:t>ll</w:t>
      </w:r>
      <w:r>
        <w:rPr>
          <w:rFonts w:ascii="Arial" w:cs="Arial" w:eastAsia="Arial" w:hAnsi="Arial"/>
          <w:sz w:val="16"/>
          <w:szCs w:val="16"/>
          <w:b w:val="1"/>
          <w:bCs w:val="1"/>
          <w:color w:val="171717"/>
        </w:rPr>
        <w:t xml:space="preserve"> </w:t>
      </w:r>
      <w:r>
        <w:rPr>
          <w:rFonts w:ascii="Arial" w:cs="Arial" w:eastAsia="Arial" w:hAnsi="Arial"/>
          <w:sz w:val="16"/>
          <w:szCs w:val="16"/>
          <w:color w:val="282828"/>
        </w:rPr>
        <w:t>p</w:t>
      </w:r>
      <w:r>
        <w:rPr>
          <w:rFonts w:ascii="Arial" w:cs="Arial" w:eastAsia="Arial" w:hAnsi="Arial"/>
          <w:sz w:val="16"/>
          <w:szCs w:val="16"/>
          <w:color w:val="363636"/>
        </w:rPr>
        <w:t>ay y</w:t>
      </w:r>
      <w:r>
        <w:rPr>
          <w:rFonts w:ascii="Arial" w:cs="Arial" w:eastAsia="Arial" w:hAnsi="Arial"/>
          <w:sz w:val="16"/>
          <w:szCs w:val="16"/>
          <w:color w:val="282828"/>
        </w:rPr>
        <w:t>ou</w:t>
      </w:r>
      <w:r>
        <w:rPr>
          <w:rFonts w:ascii="Arial" w:cs="Arial" w:eastAsia="Arial" w:hAnsi="Arial"/>
          <w:sz w:val="16"/>
          <w:szCs w:val="16"/>
          <w:b w:val="1"/>
          <w:bCs w:val="1"/>
          <w:color w:val="171717"/>
        </w:rPr>
        <w:t xml:space="preserve"> </w:t>
      </w:r>
      <w:r>
        <w:rPr>
          <w:rFonts w:ascii="Arial" w:cs="Arial" w:eastAsia="Arial" w:hAnsi="Arial"/>
          <w:sz w:val="16"/>
          <w:szCs w:val="16"/>
          <w:color w:val="363636"/>
        </w:rPr>
        <w:t>as c</w:t>
      </w:r>
      <w:r>
        <w:rPr>
          <w:rFonts w:ascii="Arial" w:cs="Arial" w:eastAsia="Arial" w:hAnsi="Arial"/>
          <w:sz w:val="16"/>
          <w:szCs w:val="16"/>
          <w:color w:val="282828"/>
        </w:rPr>
        <w:t>o</w:t>
      </w:r>
      <w:r>
        <w:rPr>
          <w:rFonts w:ascii="Arial" w:cs="Arial" w:eastAsia="Arial" w:hAnsi="Arial"/>
          <w:sz w:val="16"/>
          <w:szCs w:val="16"/>
          <w:color w:val="363636"/>
        </w:rPr>
        <w:t>m</w:t>
      </w:r>
      <w:r>
        <w:rPr>
          <w:rFonts w:ascii="Arial" w:cs="Arial" w:eastAsia="Arial" w:hAnsi="Arial"/>
          <w:sz w:val="16"/>
          <w:szCs w:val="16"/>
          <w:color w:val="282828"/>
        </w:rPr>
        <w:t>p</w:t>
      </w:r>
      <w:r>
        <w:rPr>
          <w:rFonts w:ascii="Arial" w:cs="Arial" w:eastAsia="Arial" w:hAnsi="Arial"/>
          <w:sz w:val="16"/>
          <w:szCs w:val="16"/>
          <w:color w:val="363636"/>
        </w:rPr>
        <w:t>ensa</w:t>
      </w:r>
      <w:r>
        <w:rPr>
          <w:rFonts w:ascii="Arial" w:cs="Arial" w:eastAsia="Arial" w:hAnsi="Arial"/>
          <w:sz w:val="16"/>
          <w:szCs w:val="16"/>
          <w:color w:val="282828"/>
        </w:rPr>
        <w:t>t</w:t>
      </w:r>
      <w:r>
        <w:rPr>
          <w:rFonts w:ascii="Arial" w:cs="Arial" w:eastAsia="Arial" w:hAnsi="Arial"/>
          <w:sz w:val="16"/>
          <w:szCs w:val="16"/>
          <w:color w:val="363636"/>
        </w:rPr>
        <w:t>i</w:t>
      </w:r>
      <w:r>
        <w:rPr>
          <w:rFonts w:ascii="Arial" w:cs="Arial" w:eastAsia="Arial" w:hAnsi="Arial"/>
          <w:sz w:val="16"/>
          <w:szCs w:val="16"/>
          <w:color w:val="282828"/>
        </w:rPr>
        <w:t>on</w:t>
      </w:r>
      <w:r>
        <w:rPr>
          <w:rFonts w:ascii="Arial" w:cs="Arial" w:eastAsia="Arial" w:hAnsi="Arial"/>
          <w:sz w:val="16"/>
          <w:szCs w:val="16"/>
          <w:b w:val="1"/>
          <w:bCs w:val="1"/>
          <w:color w:val="171717"/>
        </w:rPr>
        <w:t xml:space="preserve"> </w:t>
      </w:r>
      <w:r>
        <w:rPr>
          <w:rFonts w:ascii="Arial" w:cs="Arial" w:eastAsia="Arial" w:hAnsi="Arial"/>
          <w:sz w:val="16"/>
          <w:szCs w:val="16"/>
          <w:color w:val="363636"/>
        </w:rPr>
        <w:t>for y</w:t>
      </w:r>
      <w:r>
        <w:rPr>
          <w:rFonts w:ascii="Arial" w:cs="Arial" w:eastAsia="Arial" w:hAnsi="Arial"/>
          <w:sz w:val="16"/>
          <w:szCs w:val="16"/>
          <w:color w:val="282828"/>
        </w:rPr>
        <w:t>our</w:t>
      </w:r>
      <w:r>
        <w:rPr>
          <w:rFonts w:ascii="Arial" w:cs="Arial" w:eastAsia="Arial" w:hAnsi="Arial"/>
          <w:sz w:val="16"/>
          <w:szCs w:val="16"/>
          <w:b w:val="1"/>
          <w:bCs w:val="1"/>
          <w:color w:val="171717"/>
        </w:rPr>
        <w:t xml:space="preserve"> </w:t>
      </w:r>
      <w:r>
        <w:rPr>
          <w:rFonts w:ascii="Arial" w:cs="Arial" w:eastAsia="Arial" w:hAnsi="Arial"/>
          <w:sz w:val="16"/>
          <w:szCs w:val="16"/>
          <w:color w:val="363636"/>
        </w:rPr>
        <w:t>servi</w:t>
      </w:r>
      <w:r>
        <w:rPr>
          <w:rFonts w:ascii="Arial" w:cs="Arial" w:eastAsia="Arial" w:hAnsi="Arial"/>
          <w:sz w:val="16"/>
          <w:szCs w:val="16"/>
          <w:color w:val="282828"/>
        </w:rPr>
        <w:t>c</w:t>
      </w:r>
      <w:r>
        <w:rPr>
          <w:rFonts w:ascii="Arial" w:cs="Arial" w:eastAsia="Arial" w:hAnsi="Arial"/>
          <w:sz w:val="16"/>
          <w:szCs w:val="16"/>
          <w:color w:val="363636"/>
        </w:rPr>
        <w:t>es a</w:t>
      </w:r>
      <w:r>
        <w:rPr>
          <w:rFonts w:ascii="Arial" w:cs="Arial" w:eastAsia="Arial" w:hAnsi="Arial"/>
          <w:sz w:val="16"/>
          <w:szCs w:val="16"/>
          <w:color w:val="282828"/>
        </w:rPr>
        <w:t>n</w:t>
      </w:r>
      <w:r>
        <w:rPr>
          <w:rFonts w:ascii="Arial" w:cs="Arial" w:eastAsia="Arial" w:hAnsi="Arial"/>
          <w:sz w:val="16"/>
          <w:szCs w:val="16"/>
          <w:b w:val="1"/>
          <w:bCs w:val="1"/>
          <w:color w:val="171717"/>
        </w:rPr>
        <w:t xml:space="preserve"> </w:t>
      </w:r>
      <w:r>
        <w:rPr>
          <w:rFonts w:ascii="Arial" w:cs="Arial" w:eastAsia="Arial" w:hAnsi="Arial"/>
          <w:sz w:val="16"/>
          <w:szCs w:val="16"/>
          <w:color w:val="363636"/>
        </w:rPr>
        <w:t>in</w:t>
      </w:r>
      <w:r>
        <w:rPr>
          <w:rFonts w:ascii="Arial" w:cs="Arial" w:eastAsia="Arial" w:hAnsi="Arial"/>
          <w:sz w:val="16"/>
          <w:szCs w:val="16"/>
          <w:color w:val="282828"/>
        </w:rPr>
        <w:t>i</w:t>
      </w:r>
      <w:r>
        <w:rPr>
          <w:rFonts w:ascii="Arial" w:cs="Arial" w:eastAsia="Arial" w:hAnsi="Arial"/>
          <w:sz w:val="16"/>
          <w:szCs w:val="16"/>
          <w:color w:val="363636"/>
        </w:rPr>
        <w:t>t</w:t>
      </w:r>
      <w:r>
        <w:rPr>
          <w:rFonts w:ascii="Arial" w:cs="Arial" w:eastAsia="Arial" w:hAnsi="Arial"/>
          <w:sz w:val="16"/>
          <w:szCs w:val="16"/>
          <w:color w:val="171717"/>
        </w:rPr>
        <w:t>i</w:t>
      </w:r>
      <w:r>
        <w:rPr>
          <w:rFonts w:ascii="Arial" w:cs="Arial" w:eastAsia="Arial" w:hAnsi="Arial"/>
          <w:sz w:val="16"/>
          <w:szCs w:val="16"/>
          <w:color w:val="363636"/>
        </w:rPr>
        <w:t>a</w:t>
      </w:r>
      <w:r>
        <w:rPr>
          <w:rFonts w:ascii="Arial" w:cs="Arial" w:eastAsia="Arial" w:hAnsi="Arial"/>
          <w:sz w:val="16"/>
          <w:szCs w:val="16"/>
          <w:color w:val="171717"/>
        </w:rPr>
        <w:t>l</w:t>
      </w:r>
      <w:r>
        <w:rPr>
          <w:rFonts w:ascii="Arial" w:cs="Arial" w:eastAsia="Arial" w:hAnsi="Arial"/>
          <w:sz w:val="16"/>
          <w:szCs w:val="16"/>
          <w:b w:val="1"/>
          <w:bCs w:val="1"/>
          <w:color w:val="171717"/>
        </w:rPr>
        <w:t xml:space="preserve"> </w:t>
      </w:r>
      <w:r>
        <w:rPr>
          <w:rFonts w:ascii="Arial" w:cs="Arial" w:eastAsia="Arial" w:hAnsi="Arial"/>
          <w:sz w:val="16"/>
          <w:szCs w:val="16"/>
          <w:color w:val="282828"/>
        </w:rPr>
        <w:t>b</w:t>
      </w:r>
      <w:r>
        <w:rPr>
          <w:rFonts w:ascii="Arial" w:cs="Arial" w:eastAsia="Arial" w:hAnsi="Arial"/>
          <w:sz w:val="16"/>
          <w:szCs w:val="16"/>
          <w:color w:val="363636"/>
        </w:rPr>
        <w:t>ase</w:t>
      </w:r>
      <w:r>
        <w:rPr>
          <w:rFonts w:ascii="Arial" w:cs="Arial" w:eastAsia="Arial" w:hAnsi="Arial"/>
          <w:sz w:val="16"/>
          <w:szCs w:val="16"/>
          <w:b w:val="1"/>
          <w:bCs w:val="1"/>
          <w:color w:val="171717"/>
        </w:rPr>
        <w:t xml:space="preserve"> </w:t>
      </w:r>
      <w:r>
        <w:rPr>
          <w:rFonts w:ascii="Arial" w:cs="Arial" w:eastAsia="Arial" w:hAnsi="Arial"/>
          <w:sz w:val="16"/>
          <w:szCs w:val="16"/>
          <w:color w:val="2F2F2F"/>
        </w:rPr>
        <w:t>sa</w:t>
      </w:r>
      <w:r>
        <w:rPr>
          <w:rFonts w:ascii="Arial" w:cs="Arial" w:eastAsia="Arial" w:hAnsi="Arial"/>
          <w:sz w:val="16"/>
          <w:szCs w:val="16"/>
          <w:color w:val="282828"/>
        </w:rPr>
        <w:t>l</w:t>
      </w:r>
      <w:r>
        <w:rPr>
          <w:rFonts w:ascii="Arial" w:cs="Arial" w:eastAsia="Arial" w:hAnsi="Arial"/>
          <w:sz w:val="16"/>
          <w:szCs w:val="16"/>
          <w:color w:val="363636"/>
        </w:rPr>
        <w:t>ary a</w:t>
      </w:r>
      <w:r>
        <w:rPr>
          <w:rFonts w:ascii="Arial" w:cs="Arial" w:eastAsia="Arial" w:hAnsi="Arial"/>
          <w:sz w:val="16"/>
          <w:szCs w:val="16"/>
          <w:color w:val="282828"/>
        </w:rPr>
        <w:t>t a</w:t>
      </w:r>
      <w:r>
        <w:rPr>
          <w:rFonts w:ascii="Arial" w:cs="Arial" w:eastAsia="Arial" w:hAnsi="Arial"/>
          <w:sz w:val="16"/>
          <w:szCs w:val="16"/>
          <w:b w:val="1"/>
          <w:bCs w:val="1"/>
          <w:color w:val="171717"/>
        </w:rPr>
        <w:t xml:space="preserve"> </w:t>
      </w:r>
      <w:r>
        <w:rPr>
          <w:rFonts w:ascii="Arial" w:cs="Arial" w:eastAsia="Arial" w:hAnsi="Arial"/>
          <w:sz w:val="16"/>
          <w:szCs w:val="16"/>
          <w:color w:val="363636"/>
        </w:rPr>
        <w:t>g</w:t>
      </w:r>
      <w:r>
        <w:rPr>
          <w:rFonts w:ascii="Arial" w:cs="Arial" w:eastAsia="Arial" w:hAnsi="Arial"/>
          <w:sz w:val="16"/>
          <w:szCs w:val="16"/>
          <w:color w:val="282828"/>
        </w:rPr>
        <w:t>ro</w:t>
      </w:r>
      <w:r>
        <w:rPr>
          <w:rFonts w:ascii="Arial" w:cs="Arial" w:eastAsia="Arial" w:hAnsi="Arial"/>
          <w:sz w:val="16"/>
          <w:szCs w:val="16"/>
          <w:color w:val="363636"/>
        </w:rPr>
        <w:t>ss</w:t>
      </w:r>
      <w:r>
        <w:rPr>
          <w:rFonts w:ascii="Arial" w:cs="Arial" w:eastAsia="Arial" w:hAnsi="Arial"/>
          <w:sz w:val="16"/>
          <w:szCs w:val="16"/>
          <w:b w:val="1"/>
          <w:bCs w:val="1"/>
          <w:color w:val="171717"/>
        </w:rPr>
        <w:t xml:space="preserve"> </w:t>
      </w:r>
      <w:r>
        <w:rPr>
          <w:rFonts w:ascii="Arial" w:cs="Arial" w:eastAsia="Arial" w:hAnsi="Arial"/>
          <w:sz w:val="16"/>
          <w:szCs w:val="16"/>
          <w:color w:val="282828"/>
        </w:rPr>
        <w:t>ann</w:t>
      </w:r>
      <w:r>
        <w:rPr>
          <w:rFonts w:ascii="Arial" w:cs="Arial" w:eastAsia="Arial" w:hAnsi="Arial"/>
          <w:sz w:val="16"/>
          <w:szCs w:val="16"/>
          <w:color w:val="171717"/>
        </w:rPr>
        <w:t>u</w:t>
      </w:r>
      <w:r>
        <w:rPr>
          <w:rFonts w:ascii="Arial" w:cs="Arial" w:eastAsia="Arial" w:hAnsi="Arial"/>
          <w:sz w:val="16"/>
          <w:szCs w:val="16"/>
          <w:color w:val="363636"/>
        </w:rPr>
        <w:t>a</w:t>
      </w:r>
      <w:r>
        <w:rPr>
          <w:rFonts w:ascii="Arial" w:cs="Arial" w:eastAsia="Arial" w:hAnsi="Arial"/>
          <w:sz w:val="16"/>
          <w:szCs w:val="16"/>
          <w:color w:val="282828"/>
        </w:rPr>
        <w:t>l</w:t>
      </w:r>
      <w:r>
        <w:rPr>
          <w:rFonts w:ascii="Arial" w:cs="Arial" w:eastAsia="Arial" w:hAnsi="Arial"/>
          <w:sz w:val="16"/>
          <w:szCs w:val="16"/>
          <w:b w:val="1"/>
          <w:bCs w:val="1"/>
          <w:color w:val="171717"/>
        </w:rPr>
        <w:t xml:space="preserve"> </w:t>
      </w:r>
      <w:r>
        <w:rPr>
          <w:rFonts w:ascii="Arial" w:cs="Arial" w:eastAsia="Arial" w:hAnsi="Arial"/>
          <w:sz w:val="16"/>
          <w:szCs w:val="16"/>
          <w:color w:val="363636"/>
        </w:rPr>
        <w:t>ra</w:t>
      </w:r>
      <w:r>
        <w:rPr>
          <w:rFonts w:ascii="Arial" w:cs="Arial" w:eastAsia="Arial" w:hAnsi="Arial"/>
          <w:sz w:val="16"/>
          <w:szCs w:val="16"/>
          <w:color w:val="282828"/>
        </w:rPr>
        <w:t>t</w:t>
      </w:r>
      <w:r>
        <w:rPr>
          <w:rFonts w:ascii="Arial" w:cs="Arial" w:eastAsia="Arial" w:hAnsi="Arial"/>
          <w:sz w:val="16"/>
          <w:szCs w:val="16"/>
          <w:color w:val="363636"/>
        </w:rPr>
        <w:t>e</w:t>
      </w:r>
      <w:r>
        <w:rPr>
          <w:rFonts w:ascii="Arial" w:cs="Arial" w:eastAsia="Arial" w:hAnsi="Arial"/>
          <w:sz w:val="16"/>
          <w:szCs w:val="16"/>
          <w:b w:val="1"/>
          <w:bCs w:val="1"/>
          <w:color w:val="171717"/>
        </w:rPr>
        <w:t xml:space="preserve"> </w:t>
      </w:r>
      <w:r>
        <w:rPr>
          <w:rFonts w:ascii="Arial" w:cs="Arial" w:eastAsia="Arial" w:hAnsi="Arial"/>
          <w:sz w:val="16"/>
          <w:szCs w:val="16"/>
          <w:color w:val="282828"/>
        </w:rPr>
        <w:t>o</w:t>
      </w:r>
      <w:r>
        <w:rPr>
          <w:rFonts w:ascii="Arial" w:cs="Arial" w:eastAsia="Arial" w:hAnsi="Arial"/>
          <w:sz w:val="16"/>
          <w:szCs w:val="16"/>
          <w:color w:val="363636"/>
        </w:rPr>
        <w:t>f $</w:t>
      </w:r>
      <w:r>
        <w:rPr>
          <w:rFonts w:ascii="Arial" w:cs="Arial" w:eastAsia="Arial" w:hAnsi="Arial"/>
          <w:sz w:val="16"/>
          <w:szCs w:val="16"/>
          <w:color w:val="282828"/>
        </w:rPr>
        <w:t>165</w:t>
      </w:r>
      <w:r>
        <w:rPr>
          <w:rFonts w:ascii="Arial" w:cs="Arial" w:eastAsia="Arial" w:hAnsi="Arial"/>
          <w:sz w:val="16"/>
          <w:szCs w:val="16"/>
          <w:color w:val="494949"/>
        </w:rPr>
        <w:t>,</w:t>
      </w:r>
      <w:r>
        <w:rPr>
          <w:rFonts w:ascii="Arial" w:cs="Arial" w:eastAsia="Arial" w:hAnsi="Arial"/>
          <w:sz w:val="16"/>
          <w:szCs w:val="16"/>
          <w:color w:val="282828"/>
        </w:rPr>
        <w:t>000</w:t>
      </w:r>
      <w:r>
        <w:rPr>
          <w:rFonts w:ascii="Arial" w:cs="Arial" w:eastAsia="Arial" w:hAnsi="Arial"/>
          <w:sz w:val="16"/>
          <w:szCs w:val="16"/>
          <w:color w:val="171717"/>
        </w:rPr>
        <w:t>.</w:t>
      </w:r>
      <w:r>
        <w:rPr>
          <w:rFonts w:ascii="Arial" w:cs="Arial" w:eastAsia="Arial" w:hAnsi="Arial"/>
          <w:sz w:val="16"/>
          <w:szCs w:val="16"/>
          <w:b w:val="1"/>
          <w:bCs w:val="1"/>
          <w:color w:val="171717"/>
        </w:rPr>
        <w:t xml:space="preserve"> </w:t>
      </w:r>
      <w:r>
        <w:rPr>
          <w:rFonts w:ascii="Arial" w:cs="Arial" w:eastAsia="Arial" w:hAnsi="Arial"/>
          <w:sz w:val="16"/>
          <w:szCs w:val="16"/>
          <w:color w:val="282828"/>
        </w:rPr>
        <w:t>Su</w:t>
      </w:r>
      <w:r>
        <w:rPr>
          <w:rFonts w:ascii="Arial" w:cs="Arial" w:eastAsia="Arial" w:hAnsi="Arial"/>
          <w:sz w:val="16"/>
          <w:szCs w:val="16"/>
          <w:color w:val="363636"/>
        </w:rPr>
        <w:t>c</w:t>
      </w:r>
      <w:r>
        <w:rPr>
          <w:rFonts w:ascii="Arial" w:cs="Arial" w:eastAsia="Arial" w:hAnsi="Arial"/>
          <w:sz w:val="16"/>
          <w:szCs w:val="16"/>
          <w:color w:val="282828"/>
        </w:rPr>
        <w:t>h</w:t>
      </w:r>
      <w:r>
        <w:rPr>
          <w:rFonts w:ascii="Arial" w:cs="Arial" w:eastAsia="Arial" w:hAnsi="Arial"/>
          <w:sz w:val="16"/>
          <w:szCs w:val="16"/>
          <w:b w:val="1"/>
          <w:bCs w:val="1"/>
          <w:color w:val="171717"/>
        </w:rPr>
        <w:t xml:space="preserve"> </w:t>
      </w:r>
      <w:r>
        <w:rPr>
          <w:rFonts w:ascii="Arial" w:cs="Arial" w:eastAsia="Arial" w:hAnsi="Arial"/>
          <w:sz w:val="16"/>
          <w:szCs w:val="16"/>
          <w:color w:val="363636"/>
        </w:rPr>
        <w:t>sa</w:t>
      </w:r>
      <w:r>
        <w:rPr>
          <w:rFonts w:ascii="Arial" w:cs="Arial" w:eastAsia="Arial" w:hAnsi="Arial"/>
          <w:sz w:val="16"/>
          <w:szCs w:val="16"/>
          <w:color w:val="282828"/>
        </w:rPr>
        <w:t>l</w:t>
      </w:r>
      <w:r>
        <w:rPr>
          <w:rFonts w:ascii="Arial" w:cs="Arial" w:eastAsia="Arial" w:hAnsi="Arial"/>
          <w:sz w:val="16"/>
          <w:szCs w:val="16"/>
          <w:color w:val="363636"/>
        </w:rPr>
        <w:t>ary</w:t>
      </w:r>
      <w:r>
        <w:rPr>
          <w:rFonts w:ascii="Arial" w:cs="Arial" w:eastAsia="Arial" w:hAnsi="Arial"/>
          <w:sz w:val="16"/>
          <w:szCs w:val="16"/>
          <w:b w:val="1"/>
          <w:bCs w:val="1"/>
          <w:color w:val="171717"/>
        </w:rPr>
        <w:t xml:space="preserve"> </w:t>
      </w:r>
      <w:r>
        <w:rPr>
          <w:rFonts w:ascii="Arial" w:cs="Arial" w:eastAsia="Arial" w:hAnsi="Arial"/>
          <w:sz w:val="16"/>
          <w:szCs w:val="16"/>
          <w:color w:val="363636"/>
        </w:rPr>
        <w:t>s</w:t>
      </w:r>
      <w:r>
        <w:rPr>
          <w:rFonts w:ascii="Arial" w:cs="Arial" w:eastAsia="Arial" w:hAnsi="Arial"/>
          <w:sz w:val="16"/>
          <w:szCs w:val="16"/>
          <w:color w:val="171717"/>
        </w:rPr>
        <w:t>h</w:t>
      </w:r>
      <w:r>
        <w:rPr>
          <w:rFonts w:ascii="Arial" w:cs="Arial" w:eastAsia="Arial" w:hAnsi="Arial"/>
          <w:sz w:val="16"/>
          <w:szCs w:val="16"/>
          <w:color w:val="363636"/>
        </w:rPr>
        <w:t>a</w:t>
      </w:r>
      <w:r>
        <w:rPr>
          <w:rFonts w:ascii="Arial" w:cs="Arial" w:eastAsia="Arial" w:hAnsi="Arial"/>
          <w:sz w:val="16"/>
          <w:szCs w:val="16"/>
          <w:color w:val="282828"/>
        </w:rPr>
        <w:t>ll be pa</w:t>
      </w:r>
      <w:r>
        <w:rPr>
          <w:rFonts w:ascii="Arial" w:cs="Arial" w:eastAsia="Arial" w:hAnsi="Arial"/>
          <w:sz w:val="16"/>
          <w:szCs w:val="16"/>
          <w:color w:val="363636"/>
        </w:rPr>
        <w:t>ya</w:t>
      </w:r>
      <w:r>
        <w:rPr>
          <w:rFonts w:ascii="Arial" w:cs="Arial" w:eastAsia="Arial" w:hAnsi="Arial"/>
          <w:sz w:val="16"/>
          <w:szCs w:val="16"/>
          <w:color w:val="282828"/>
        </w:rPr>
        <w:t>b</w:t>
      </w:r>
      <w:r>
        <w:rPr>
          <w:rFonts w:ascii="Arial" w:cs="Arial" w:eastAsia="Arial" w:hAnsi="Arial"/>
          <w:sz w:val="16"/>
          <w:szCs w:val="16"/>
          <w:color w:val="171717"/>
        </w:rPr>
        <w:t>l</w:t>
      </w:r>
      <w:r>
        <w:rPr>
          <w:rFonts w:ascii="Arial" w:cs="Arial" w:eastAsia="Arial" w:hAnsi="Arial"/>
          <w:sz w:val="16"/>
          <w:szCs w:val="16"/>
          <w:color w:val="363636"/>
        </w:rPr>
        <w:t xml:space="preserve">e </w:t>
      </w:r>
      <w:r>
        <w:rPr>
          <w:rFonts w:ascii="Arial" w:cs="Arial" w:eastAsia="Arial" w:hAnsi="Arial"/>
          <w:sz w:val="16"/>
          <w:szCs w:val="16"/>
          <w:color w:val="282828"/>
        </w:rPr>
        <w:t>in</w:t>
      </w:r>
      <w:r>
        <w:rPr>
          <w:rFonts w:ascii="Arial" w:cs="Arial" w:eastAsia="Arial" w:hAnsi="Arial"/>
          <w:sz w:val="16"/>
          <w:szCs w:val="16"/>
          <w:color w:val="363636"/>
        </w:rPr>
        <w:t xml:space="preserve"> acc</w:t>
      </w:r>
      <w:r>
        <w:rPr>
          <w:rFonts w:ascii="Arial" w:cs="Arial" w:eastAsia="Arial" w:hAnsi="Arial"/>
          <w:sz w:val="16"/>
          <w:szCs w:val="16"/>
          <w:color w:val="282828"/>
        </w:rPr>
        <w:t>or</w:t>
      </w:r>
      <w:r>
        <w:rPr>
          <w:rFonts w:ascii="Arial" w:cs="Arial" w:eastAsia="Arial" w:hAnsi="Arial"/>
          <w:sz w:val="16"/>
          <w:szCs w:val="16"/>
          <w:color w:val="171717"/>
        </w:rPr>
        <w:t>d</w:t>
      </w:r>
      <w:r>
        <w:rPr>
          <w:rFonts w:ascii="Arial" w:cs="Arial" w:eastAsia="Arial" w:hAnsi="Arial"/>
          <w:sz w:val="16"/>
          <w:szCs w:val="16"/>
          <w:color w:val="363636"/>
        </w:rPr>
        <w:t>a</w:t>
      </w:r>
      <w:r>
        <w:rPr>
          <w:rFonts w:ascii="Arial" w:cs="Arial" w:eastAsia="Arial" w:hAnsi="Arial"/>
          <w:sz w:val="16"/>
          <w:szCs w:val="16"/>
          <w:color w:val="282828"/>
        </w:rPr>
        <w:t>n</w:t>
      </w:r>
      <w:r>
        <w:rPr>
          <w:rFonts w:ascii="Arial" w:cs="Arial" w:eastAsia="Arial" w:hAnsi="Arial"/>
          <w:sz w:val="16"/>
          <w:szCs w:val="16"/>
          <w:color w:val="363636"/>
        </w:rPr>
        <w:t>ce w</w:t>
      </w:r>
      <w:r>
        <w:rPr>
          <w:rFonts w:ascii="Arial" w:cs="Arial" w:eastAsia="Arial" w:hAnsi="Arial"/>
          <w:sz w:val="16"/>
          <w:szCs w:val="16"/>
          <w:color w:val="171717"/>
        </w:rPr>
        <w:t>i</w:t>
      </w:r>
      <w:r>
        <w:rPr>
          <w:rFonts w:ascii="Arial" w:cs="Arial" w:eastAsia="Arial" w:hAnsi="Arial"/>
          <w:sz w:val="16"/>
          <w:szCs w:val="16"/>
          <w:color w:val="282828"/>
        </w:rPr>
        <w:t>th</w:t>
      </w:r>
      <w:r>
        <w:rPr>
          <w:rFonts w:ascii="Arial" w:cs="Arial" w:eastAsia="Arial" w:hAnsi="Arial"/>
          <w:sz w:val="16"/>
          <w:szCs w:val="16"/>
          <w:color w:val="363636"/>
        </w:rPr>
        <w:t xml:space="preserve"> </w:t>
      </w:r>
      <w:r>
        <w:rPr>
          <w:rFonts w:ascii="Arial" w:cs="Arial" w:eastAsia="Arial" w:hAnsi="Arial"/>
          <w:sz w:val="16"/>
          <w:szCs w:val="16"/>
          <w:color w:val="171717"/>
        </w:rPr>
        <w:t>th</w:t>
      </w:r>
      <w:r>
        <w:rPr>
          <w:rFonts w:ascii="Arial" w:cs="Arial" w:eastAsia="Arial" w:hAnsi="Arial"/>
          <w:sz w:val="16"/>
          <w:szCs w:val="16"/>
          <w:color w:val="363636"/>
        </w:rPr>
        <w:t xml:space="preserve">e </w:t>
      </w:r>
      <w:r>
        <w:rPr>
          <w:rFonts w:ascii="Arial" w:cs="Arial" w:eastAsia="Arial" w:hAnsi="Arial"/>
          <w:sz w:val="16"/>
          <w:szCs w:val="16"/>
          <w:color w:val="282828"/>
        </w:rPr>
        <w:t>Compan</w:t>
      </w:r>
      <w:r>
        <w:rPr>
          <w:rFonts w:ascii="Arial" w:cs="Arial" w:eastAsia="Arial" w:hAnsi="Arial"/>
          <w:sz w:val="16"/>
          <w:szCs w:val="16"/>
          <w:color w:val="363636"/>
        </w:rPr>
        <w:t>y's s</w:t>
      </w:r>
      <w:r>
        <w:rPr>
          <w:rFonts w:ascii="Arial" w:cs="Arial" w:eastAsia="Arial" w:hAnsi="Arial"/>
          <w:sz w:val="16"/>
          <w:szCs w:val="16"/>
          <w:color w:val="282828"/>
        </w:rPr>
        <w:t>t</w:t>
      </w:r>
      <w:r>
        <w:rPr>
          <w:rFonts w:ascii="Arial" w:cs="Arial" w:eastAsia="Arial" w:hAnsi="Arial"/>
          <w:sz w:val="16"/>
          <w:szCs w:val="16"/>
          <w:color w:val="363636"/>
        </w:rPr>
        <w:t>a</w:t>
      </w:r>
      <w:r>
        <w:rPr>
          <w:rFonts w:ascii="Arial" w:cs="Arial" w:eastAsia="Arial" w:hAnsi="Arial"/>
          <w:sz w:val="16"/>
          <w:szCs w:val="16"/>
          <w:color w:val="282828"/>
        </w:rPr>
        <w:t>nd</w:t>
      </w:r>
      <w:r>
        <w:rPr>
          <w:rFonts w:ascii="Arial" w:cs="Arial" w:eastAsia="Arial" w:hAnsi="Arial"/>
          <w:sz w:val="16"/>
          <w:szCs w:val="16"/>
          <w:color w:val="363636"/>
        </w:rPr>
        <w:t>a</w:t>
      </w:r>
      <w:r>
        <w:rPr>
          <w:rFonts w:ascii="Arial" w:cs="Arial" w:eastAsia="Arial" w:hAnsi="Arial"/>
          <w:sz w:val="16"/>
          <w:szCs w:val="16"/>
          <w:color w:val="282828"/>
        </w:rPr>
        <w:t>rd</w:t>
      </w:r>
      <w:r>
        <w:rPr>
          <w:rFonts w:ascii="Arial" w:cs="Arial" w:eastAsia="Arial" w:hAnsi="Arial"/>
          <w:sz w:val="16"/>
          <w:szCs w:val="16"/>
          <w:color w:val="363636"/>
        </w:rPr>
        <w:t xml:space="preserve"> pay</w:t>
      </w:r>
      <w:r>
        <w:rPr>
          <w:rFonts w:ascii="Arial" w:cs="Arial" w:eastAsia="Arial" w:hAnsi="Arial"/>
          <w:sz w:val="16"/>
          <w:szCs w:val="16"/>
          <w:color w:val="282828"/>
        </w:rPr>
        <w:t>ro</w:t>
      </w:r>
      <w:r>
        <w:rPr>
          <w:rFonts w:ascii="Arial" w:cs="Arial" w:eastAsia="Arial" w:hAnsi="Arial"/>
          <w:sz w:val="16"/>
          <w:szCs w:val="16"/>
          <w:color w:val="171717"/>
        </w:rPr>
        <w:t>ll</w:t>
      </w:r>
      <w:r>
        <w:rPr>
          <w:rFonts w:ascii="Arial" w:cs="Arial" w:eastAsia="Arial" w:hAnsi="Arial"/>
          <w:sz w:val="16"/>
          <w:szCs w:val="16"/>
          <w:color w:val="363636"/>
        </w:rPr>
        <w:t xml:space="preserve"> </w:t>
      </w:r>
      <w:r>
        <w:rPr>
          <w:rFonts w:ascii="Arial" w:cs="Arial" w:eastAsia="Arial" w:hAnsi="Arial"/>
          <w:sz w:val="16"/>
          <w:szCs w:val="16"/>
          <w:color w:val="282828"/>
        </w:rPr>
        <w:t>proc</w:t>
      </w:r>
      <w:r>
        <w:rPr>
          <w:rFonts w:ascii="Arial" w:cs="Arial" w:eastAsia="Arial" w:hAnsi="Arial"/>
          <w:sz w:val="16"/>
          <w:szCs w:val="16"/>
          <w:color w:val="363636"/>
        </w:rPr>
        <w:t>e</w:t>
      </w:r>
      <w:r>
        <w:rPr>
          <w:rFonts w:ascii="Arial" w:cs="Arial" w:eastAsia="Arial" w:hAnsi="Arial"/>
          <w:sz w:val="16"/>
          <w:szCs w:val="16"/>
          <w:color w:val="282828"/>
        </w:rPr>
        <w:t>dur</w:t>
      </w:r>
      <w:r>
        <w:rPr>
          <w:rFonts w:ascii="Arial" w:cs="Arial" w:eastAsia="Arial" w:hAnsi="Arial"/>
          <w:sz w:val="16"/>
          <w:szCs w:val="16"/>
          <w:color w:val="363636"/>
        </w:rPr>
        <w:t>es</w:t>
      </w:r>
      <w:r>
        <w:rPr>
          <w:rFonts w:ascii="Arial" w:cs="Arial" w:eastAsia="Arial" w:hAnsi="Arial"/>
          <w:sz w:val="16"/>
          <w:szCs w:val="16"/>
          <w:color w:val="494949"/>
        </w:rPr>
        <w:t>.</w:t>
      </w:r>
      <w:r>
        <w:rPr>
          <w:rFonts w:ascii="Arial" w:cs="Arial" w:eastAsia="Arial" w:hAnsi="Arial"/>
          <w:sz w:val="16"/>
          <w:szCs w:val="16"/>
          <w:color w:val="363636"/>
        </w:rPr>
        <w:t xml:space="preserve"> T</w:t>
      </w:r>
      <w:r>
        <w:rPr>
          <w:rFonts w:ascii="Arial" w:cs="Arial" w:eastAsia="Arial" w:hAnsi="Arial"/>
          <w:sz w:val="16"/>
          <w:szCs w:val="16"/>
          <w:color w:val="282828"/>
        </w:rPr>
        <w:t>h</w:t>
      </w:r>
      <w:r>
        <w:rPr>
          <w:rFonts w:ascii="Arial" w:cs="Arial" w:eastAsia="Arial" w:hAnsi="Arial"/>
          <w:sz w:val="16"/>
          <w:szCs w:val="16"/>
          <w:color w:val="363636"/>
        </w:rPr>
        <w:t>e a</w:t>
      </w:r>
      <w:r>
        <w:rPr>
          <w:rFonts w:ascii="Arial" w:cs="Arial" w:eastAsia="Arial" w:hAnsi="Arial"/>
          <w:sz w:val="16"/>
          <w:szCs w:val="16"/>
          <w:color w:val="282828"/>
        </w:rPr>
        <w:t>nnua</w:t>
      </w:r>
      <w:r>
        <w:rPr>
          <w:rFonts w:ascii="Arial" w:cs="Arial" w:eastAsia="Arial" w:hAnsi="Arial"/>
          <w:sz w:val="16"/>
          <w:szCs w:val="16"/>
          <w:color w:val="171717"/>
        </w:rPr>
        <w:t>l</w:t>
      </w:r>
      <w:r>
        <w:rPr>
          <w:rFonts w:ascii="Arial" w:cs="Arial" w:eastAsia="Arial" w:hAnsi="Arial"/>
          <w:sz w:val="16"/>
          <w:szCs w:val="16"/>
          <w:color w:val="363636"/>
        </w:rPr>
        <w:t xml:space="preserve"> </w:t>
      </w:r>
      <w:r>
        <w:rPr>
          <w:rFonts w:ascii="Arial" w:cs="Arial" w:eastAsia="Arial" w:hAnsi="Arial"/>
          <w:sz w:val="16"/>
          <w:szCs w:val="16"/>
          <w:color w:val="282828"/>
        </w:rPr>
        <w:t>com</w:t>
      </w:r>
      <w:r>
        <w:rPr>
          <w:rFonts w:ascii="Arial" w:cs="Arial" w:eastAsia="Arial" w:hAnsi="Arial"/>
          <w:sz w:val="16"/>
          <w:szCs w:val="16"/>
          <w:color w:val="363636"/>
        </w:rPr>
        <w:t>pe</w:t>
      </w:r>
      <w:r>
        <w:rPr>
          <w:rFonts w:ascii="Arial" w:cs="Arial" w:eastAsia="Arial" w:hAnsi="Arial"/>
          <w:sz w:val="16"/>
          <w:szCs w:val="16"/>
          <w:color w:val="282828"/>
        </w:rPr>
        <w:t>n</w:t>
      </w:r>
      <w:r>
        <w:rPr>
          <w:rFonts w:ascii="Arial" w:cs="Arial" w:eastAsia="Arial" w:hAnsi="Arial"/>
          <w:sz w:val="16"/>
          <w:szCs w:val="16"/>
          <w:color w:val="363636"/>
        </w:rPr>
        <w:t>sa</w:t>
      </w:r>
      <w:r>
        <w:rPr>
          <w:rFonts w:ascii="Arial" w:cs="Arial" w:eastAsia="Arial" w:hAnsi="Arial"/>
          <w:sz w:val="16"/>
          <w:szCs w:val="16"/>
          <w:color w:val="282828"/>
        </w:rPr>
        <w:t>t</w:t>
      </w:r>
      <w:r>
        <w:rPr>
          <w:rFonts w:ascii="Arial" w:cs="Arial" w:eastAsia="Arial" w:hAnsi="Arial"/>
          <w:sz w:val="16"/>
          <w:szCs w:val="16"/>
          <w:color w:val="363636"/>
        </w:rPr>
        <w:t>i</w:t>
      </w:r>
      <w:r>
        <w:rPr>
          <w:rFonts w:ascii="Arial" w:cs="Arial" w:eastAsia="Arial" w:hAnsi="Arial"/>
          <w:sz w:val="16"/>
          <w:szCs w:val="16"/>
          <w:color w:val="282828"/>
        </w:rPr>
        <w:t>on</w:t>
      </w:r>
      <w:r>
        <w:rPr>
          <w:rFonts w:ascii="Arial" w:cs="Arial" w:eastAsia="Arial" w:hAnsi="Arial"/>
          <w:sz w:val="16"/>
          <w:szCs w:val="16"/>
          <w:color w:val="363636"/>
        </w:rPr>
        <w:t xml:space="preserve"> spe</w:t>
      </w:r>
      <w:r>
        <w:rPr>
          <w:rFonts w:ascii="Arial" w:cs="Arial" w:eastAsia="Arial" w:hAnsi="Arial"/>
          <w:sz w:val="16"/>
          <w:szCs w:val="16"/>
          <w:color w:val="282828"/>
        </w:rPr>
        <w:t>cifi</w:t>
      </w:r>
      <w:r>
        <w:rPr>
          <w:rFonts w:ascii="Arial" w:cs="Arial" w:eastAsia="Arial" w:hAnsi="Arial"/>
          <w:sz w:val="16"/>
          <w:szCs w:val="16"/>
          <w:color w:val="363636"/>
        </w:rPr>
        <w:t>e</w:t>
      </w:r>
      <w:r>
        <w:rPr>
          <w:rFonts w:ascii="Arial" w:cs="Arial" w:eastAsia="Arial" w:hAnsi="Arial"/>
          <w:sz w:val="16"/>
          <w:szCs w:val="16"/>
          <w:color w:val="282828"/>
        </w:rPr>
        <w:t>d in thi</w:t>
      </w:r>
      <w:r>
        <w:rPr>
          <w:rFonts w:ascii="Arial" w:cs="Arial" w:eastAsia="Arial" w:hAnsi="Arial"/>
          <w:sz w:val="16"/>
          <w:szCs w:val="16"/>
          <w:color w:val="363636"/>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3"/>
          </w:cols>
          <w:pgMar w:left="317" w:top="123" w:right="319" w:bottom="1440" w:gutter="0" w:footer="0" w:header="0"/>
        </w:sectPr>
      </w:pPr>
    </w:p>
    <w:bookmarkStart w:id="455" w:name="page456"/>
    <w:bookmarkEnd w:id="455"/>
    <w:p>
      <w:pPr>
        <w:ind w:left="1163" w:right="320"/>
        <w:spacing w:after="0" w:line="249" w:lineRule="auto"/>
        <w:rPr>
          <w:sz w:val="20"/>
          <w:szCs w:val="20"/>
          <w:color w:val="auto"/>
        </w:rPr>
      </w:pPr>
      <w:r>
        <w:rPr>
          <w:rFonts w:ascii="Arial" w:cs="Arial" w:eastAsia="Arial" w:hAnsi="Arial"/>
          <w:sz w:val="18"/>
          <w:szCs w:val="18"/>
          <w:color w:val="363636"/>
        </w:rPr>
        <w:t>s</w:t>
      </w:r>
      <w:r>
        <w:rPr>
          <w:rFonts w:ascii="Arial" w:cs="Arial" w:eastAsia="Arial" w:hAnsi="Arial"/>
          <w:sz w:val="18"/>
          <w:szCs w:val="18"/>
          <w:color w:val="282828"/>
        </w:rPr>
        <w:t>ub</w:t>
      </w:r>
      <w:r>
        <w:rPr>
          <w:rFonts w:ascii="Arial" w:cs="Arial" w:eastAsia="Arial" w:hAnsi="Arial"/>
          <w:sz w:val="18"/>
          <w:szCs w:val="18"/>
          <w:color w:val="363636"/>
        </w:rPr>
        <w:t>se</w:t>
      </w:r>
      <w:r>
        <w:rPr>
          <w:rFonts w:ascii="Arial" w:cs="Arial" w:eastAsia="Arial" w:hAnsi="Arial"/>
          <w:sz w:val="18"/>
          <w:szCs w:val="18"/>
          <w:color w:val="282828"/>
        </w:rPr>
        <w:t>ct</w:t>
      </w:r>
      <w:r>
        <w:rPr>
          <w:rFonts w:ascii="Arial" w:cs="Arial" w:eastAsia="Arial" w:hAnsi="Arial"/>
          <w:sz w:val="18"/>
          <w:szCs w:val="18"/>
          <w:color w:val="363636"/>
        </w:rPr>
        <w:t>i</w:t>
      </w:r>
      <w:r>
        <w:rPr>
          <w:rFonts w:ascii="Arial" w:cs="Arial" w:eastAsia="Arial" w:hAnsi="Arial"/>
          <w:sz w:val="18"/>
          <w:szCs w:val="18"/>
          <w:color w:val="282828"/>
        </w:rPr>
        <w:t>o</w:t>
      </w:r>
      <w:r>
        <w:rPr>
          <w:rFonts w:ascii="Arial" w:cs="Arial" w:eastAsia="Arial" w:hAnsi="Arial"/>
          <w:sz w:val="18"/>
          <w:szCs w:val="18"/>
          <w:color w:val="363636"/>
        </w:rPr>
        <w:t>n a</w:t>
      </w:r>
      <w:r>
        <w:rPr>
          <w:rFonts w:ascii="Arial" w:cs="Arial" w:eastAsia="Arial" w:hAnsi="Arial"/>
          <w:sz w:val="18"/>
          <w:szCs w:val="18"/>
          <w:color w:val="595959"/>
        </w:rPr>
        <w:t>,</w:t>
      </w:r>
      <w:r>
        <w:rPr>
          <w:rFonts w:ascii="Arial" w:cs="Arial" w:eastAsia="Arial" w:hAnsi="Arial"/>
          <w:sz w:val="18"/>
          <w:szCs w:val="18"/>
          <w:color w:val="363636"/>
        </w:rPr>
        <w:t xml:space="preserve"> </w:t>
      </w:r>
      <w:r>
        <w:rPr>
          <w:rFonts w:ascii="Arial" w:cs="Arial" w:eastAsia="Arial" w:hAnsi="Arial"/>
          <w:sz w:val="18"/>
          <w:szCs w:val="18"/>
          <w:color w:val="282828"/>
        </w:rPr>
        <w:t>to</w:t>
      </w:r>
      <w:r>
        <w:rPr>
          <w:rFonts w:ascii="Arial" w:cs="Arial" w:eastAsia="Arial" w:hAnsi="Arial"/>
          <w:sz w:val="18"/>
          <w:szCs w:val="18"/>
          <w:color w:val="363636"/>
        </w:rPr>
        <w:t>ge</w:t>
      </w:r>
      <w:r>
        <w:rPr>
          <w:rFonts w:ascii="Arial" w:cs="Arial" w:eastAsia="Arial" w:hAnsi="Arial"/>
          <w:sz w:val="18"/>
          <w:szCs w:val="18"/>
          <w:color w:val="282828"/>
        </w:rPr>
        <w:t>t</w:t>
      </w:r>
      <w:r>
        <w:rPr>
          <w:rFonts w:ascii="Arial" w:cs="Arial" w:eastAsia="Arial" w:hAnsi="Arial"/>
          <w:sz w:val="18"/>
          <w:szCs w:val="18"/>
          <w:color w:val="363636"/>
        </w:rPr>
        <w:t>her wi</w:t>
      </w:r>
      <w:r>
        <w:rPr>
          <w:rFonts w:ascii="Arial" w:cs="Arial" w:eastAsia="Arial" w:hAnsi="Arial"/>
          <w:sz w:val="18"/>
          <w:szCs w:val="18"/>
          <w:color w:val="282828"/>
        </w:rPr>
        <w:t>th</w:t>
      </w:r>
      <w:r>
        <w:rPr>
          <w:rFonts w:ascii="Arial" w:cs="Arial" w:eastAsia="Arial" w:hAnsi="Arial"/>
          <w:sz w:val="18"/>
          <w:szCs w:val="18"/>
          <w:color w:val="363636"/>
        </w:rPr>
        <w:t xml:space="preserve"> any m</w:t>
      </w:r>
      <w:r>
        <w:rPr>
          <w:rFonts w:ascii="Arial" w:cs="Arial" w:eastAsia="Arial" w:hAnsi="Arial"/>
          <w:sz w:val="18"/>
          <w:szCs w:val="18"/>
          <w:color w:val="282828"/>
        </w:rPr>
        <w:t>odi</w:t>
      </w:r>
      <w:r>
        <w:rPr>
          <w:rFonts w:ascii="Arial" w:cs="Arial" w:eastAsia="Arial" w:hAnsi="Arial"/>
          <w:sz w:val="18"/>
          <w:szCs w:val="18"/>
          <w:color w:val="494949"/>
        </w:rPr>
        <w:t>fi</w:t>
      </w:r>
      <w:r>
        <w:rPr>
          <w:rFonts w:ascii="Arial" w:cs="Arial" w:eastAsia="Arial" w:hAnsi="Arial"/>
          <w:sz w:val="18"/>
          <w:szCs w:val="18"/>
          <w:color w:val="282828"/>
        </w:rPr>
        <w:t>c</w:t>
      </w:r>
      <w:r>
        <w:rPr>
          <w:rFonts w:ascii="Arial" w:cs="Arial" w:eastAsia="Arial" w:hAnsi="Arial"/>
          <w:sz w:val="18"/>
          <w:szCs w:val="18"/>
          <w:color w:val="363636"/>
        </w:rPr>
        <w:t>a</w:t>
      </w:r>
      <w:r>
        <w:rPr>
          <w:rFonts w:ascii="Arial" w:cs="Arial" w:eastAsia="Arial" w:hAnsi="Arial"/>
          <w:sz w:val="18"/>
          <w:szCs w:val="18"/>
          <w:color w:val="282828"/>
        </w:rPr>
        <w:t>t</w:t>
      </w:r>
      <w:r>
        <w:rPr>
          <w:rFonts w:ascii="Arial" w:cs="Arial" w:eastAsia="Arial" w:hAnsi="Arial"/>
          <w:sz w:val="18"/>
          <w:szCs w:val="18"/>
          <w:color w:val="363636"/>
        </w:rPr>
        <w:t>i</w:t>
      </w:r>
      <w:r>
        <w:rPr>
          <w:rFonts w:ascii="Arial" w:cs="Arial" w:eastAsia="Arial" w:hAnsi="Arial"/>
          <w:sz w:val="18"/>
          <w:szCs w:val="18"/>
          <w:color w:val="282828"/>
        </w:rPr>
        <w:t>on</w:t>
      </w:r>
      <w:r>
        <w:rPr>
          <w:rFonts w:ascii="Arial" w:cs="Arial" w:eastAsia="Arial" w:hAnsi="Arial"/>
          <w:sz w:val="18"/>
          <w:szCs w:val="18"/>
          <w:color w:val="363636"/>
        </w:rPr>
        <w:t>s in s</w:t>
      </w:r>
      <w:r>
        <w:rPr>
          <w:rFonts w:ascii="Arial" w:cs="Arial" w:eastAsia="Arial" w:hAnsi="Arial"/>
          <w:sz w:val="18"/>
          <w:szCs w:val="18"/>
          <w:color w:val="282828"/>
        </w:rPr>
        <w:t>uch comp</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sat</w:t>
      </w:r>
      <w:r>
        <w:rPr>
          <w:rFonts w:ascii="Arial" w:cs="Arial" w:eastAsia="Arial" w:hAnsi="Arial"/>
          <w:sz w:val="18"/>
          <w:szCs w:val="18"/>
          <w:color w:val="282828"/>
        </w:rPr>
        <w:t>i</w:t>
      </w:r>
      <w:r>
        <w:rPr>
          <w:rFonts w:ascii="Arial" w:cs="Arial" w:eastAsia="Arial" w:hAnsi="Arial"/>
          <w:sz w:val="18"/>
          <w:szCs w:val="18"/>
          <w:color w:val="363636"/>
        </w:rPr>
        <w:t>on that the C</w:t>
      </w:r>
      <w:r>
        <w:rPr>
          <w:rFonts w:ascii="Arial" w:cs="Arial" w:eastAsia="Arial" w:hAnsi="Arial"/>
          <w:sz w:val="18"/>
          <w:szCs w:val="18"/>
          <w:color w:val="282828"/>
        </w:rPr>
        <w:t>omp</w:t>
      </w:r>
      <w:r>
        <w:rPr>
          <w:rFonts w:ascii="Arial" w:cs="Arial" w:eastAsia="Arial" w:hAnsi="Arial"/>
          <w:sz w:val="18"/>
          <w:szCs w:val="18"/>
          <w:color w:val="363636"/>
        </w:rPr>
        <w:t>an</w:t>
      </w:r>
      <w:r>
        <w:rPr>
          <w:rFonts w:ascii="Arial" w:cs="Arial" w:eastAsia="Arial" w:hAnsi="Arial"/>
          <w:sz w:val="18"/>
          <w:szCs w:val="18"/>
          <w:color w:val="282828"/>
        </w:rPr>
        <w:t>y m</w:t>
      </w:r>
      <w:r>
        <w:rPr>
          <w:rFonts w:ascii="Arial" w:cs="Arial" w:eastAsia="Arial" w:hAnsi="Arial"/>
          <w:sz w:val="18"/>
          <w:szCs w:val="18"/>
          <w:color w:val="363636"/>
        </w:rPr>
        <w:t>a</w:t>
      </w:r>
      <w:r>
        <w:rPr>
          <w:rFonts w:ascii="Arial" w:cs="Arial" w:eastAsia="Arial" w:hAnsi="Arial"/>
          <w:sz w:val="18"/>
          <w:szCs w:val="18"/>
          <w:color w:val="282828"/>
        </w:rPr>
        <w:t>y m</w:t>
      </w:r>
      <w:r>
        <w:rPr>
          <w:rFonts w:ascii="Arial" w:cs="Arial" w:eastAsia="Arial" w:hAnsi="Arial"/>
          <w:sz w:val="18"/>
          <w:szCs w:val="18"/>
          <w:color w:val="363636"/>
        </w:rPr>
        <w:t>a</w:t>
      </w:r>
      <w:r>
        <w:rPr>
          <w:rFonts w:ascii="Arial" w:cs="Arial" w:eastAsia="Arial" w:hAnsi="Arial"/>
          <w:sz w:val="18"/>
          <w:szCs w:val="18"/>
          <w:color w:val="282828"/>
        </w:rPr>
        <w:t>k</w:t>
      </w:r>
      <w:r>
        <w:rPr>
          <w:rFonts w:ascii="Arial" w:cs="Arial" w:eastAsia="Arial" w:hAnsi="Arial"/>
          <w:sz w:val="18"/>
          <w:szCs w:val="18"/>
          <w:color w:val="363636"/>
        </w:rPr>
        <w:t>e fr</w:t>
      </w:r>
      <w:r>
        <w:rPr>
          <w:rFonts w:ascii="Arial" w:cs="Arial" w:eastAsia="Arial" w:hAnsi="Arial"/>
          <w:sz w:val="18"/>
          <w:szCs w:val="18"/>
          <w:color w:val="282828"/>
        </w:rPr>
        <w:t>o</w:t>
      </w:r>
      <w:r>
        <w:rPr>
          <w:rFonts w:ascii="Arial" w:cs="Arial" w:eastAsia="Arial" w:hAnsi="Arial"/>
          <w:sz w:val="18"/>
          <w:szCs w:val="18"/>
          <w:color w:val="363636"/>
        </w:rPr>
        <w:t>m t</w:t>
      </w:r>
      <w:r>
        <w:rPr>
          <w:rFonts w:ascii="Arial" w:cs="Arial" w:eastAsia="Arial" w:hAnsi="Arial"/>
          <w:sz w:val="18"/>
          <w:szCs w:val="18"/>
          <w:color w:val="282828"/>
        </w:rPr>
        <w:t>im</w:t>
      </w:r>
      <w:r>
        <w:rPr>
          <w:rFonts w:ascii="Arial" w:cs="Arial" w:eastAsia="Arial" w:hAnsi="Arial"/>
          <w:sz w:val="18"/>
          <w:szCs w:val="18"/>
          <w:color w:val="363636"/>
        </w:rPr>
        <w:t xml:space="preserve">e </w:t>
      </w:r>
      <w:r>
        <w:rPr>
          <w:rFonts w:ascii="Arial" w:cs="Arial" w:eastAsia="Arial" w:hAnsi="Arial"/>
          <w:sz w:val="18"/>
          <w:szCs w:val="18"/>
          <w:color w:val="282828"/>
        </w:rPr>
        <w:t>t</w:t>
      </w:r>
      <w:r>
        <w:rPr>
          <w:rFonts w:ascii="Arial" w:cs="Arial" w:eastAsia="Arial" w:hAnsi="Arial"/>
          <w:sz w:val="18"/>
          <w:szCs w:val="18"/>
          <w:color w:val="363636"/>
        </w:rPr>
        <w:t xml:space="preserve">o </w:t>
      </w:r>
      <w:r>
        <w:rPr>
          <w:rFonts w:ascii="Arial" w:cs="Arial" w:eastAsia="Arial" w:hAnsi="Arial"/>
          <w:sz w:val="18"/>
          <w:szCs w:val="18"/>
          <w:color w:val="282828"/>
        </w:rPr>
        <w:t>tim</w:t>
      </w:r>
      <w:r>
        <w:rPr>
          <w:rFonts w:ascii="Arial" w:cs="Arial" w:eastAsia="Arial" w:hAnsi="Arial"/>
          <w:sz w:val="18"/>
          <w:szCs w:val="18"/>
          <w:color w:val="363636"/>
        </w:rPr>
        <w:t xml:space="preserve">e, </w:t>
      </w:r>
      <w:r>
        <w:rPr>
          <w:rFonts w:ascii="Arial" w:cs="Arial" w:eastAsia="Arial" w:hAnsi="Arial"/>
          <w:sz w:val="18"/>
          <w:szCs w:val="18"/>
          <w:color w:val="282828"/>
        </w:rPr>
        <w:t>i</w:t>
      </w:r>
      <w:r>
        <w:rPr>
          <w:rFonts w:ascii="Arial" w:cs="Arial" w:eastAsia="Arial" w:hAnsi="Arial"/>
          <w:sz w:val="18"/>
          <w:szCs w:val="18"/>
          <w:color w:val="363636"/>
        </w:rPr>
        <w:t xml:space="preserve">s </w:t>
      </w:r>
      <w:r>
        <w:rPr>
          <w:rFonts w:ascii="Arial" w:cs="Arial" w:eastAsia="Arial" w:hAnsi="Arial"/>
          <w:sz w:val="18"/>
          <w:szCs w:val="18"/>
          <w:color w:val="282828"/>
        </w:rPr>
        <w:t>r</w:t>
      </w:r>
      <w:r>
        <w:rPr>
          <w:rFonts w:ascii="Arial" w:cs="Arial" w:eastAsia="Arial" w:hAnsi="Arial"/>
          <w:sz w:val="18"/>
          <w:szCs w:val="18"/>
          <w:color w:val="363636"/>
        </w:rPr>
        <w:t>efer</w:t>
      </w:r>
      <w:r>
        <w:rPr>
          <w:rFonts w:ascii="Arial" w:cs="Arial" w:eastAsia="Arial" w:hAnsi="Arial"/>
          <w:sz w:val="18"/>
          <w:szCs w:val="18"/>
          <w:color w:val="282828"/>
        </w:rPr>
        <w:t>r</w:t>
      </w:r>
      <w:r>
        <w:rPr>
          <w:rFonts w:ascii="Arial" w:cs="Arial" w:eastAsia="Arial" w:hAnsi="Arial"/>
          <w:sz w:val="18"/>
          <w:szCs w:val="18"/>
          <w:color w:val="363636"/>
        </w:rPr>
        <w:t>e</w:t>
      </w:r>
      <w:r>
        <w:rPr>
          <w:rFonts w:ascii="Arial" w:cs="Arial" w:eastAsia="Arial" w:hAnsi="Arial"/>
          <w:sz w:val="18"/>
          <w:szCs w:val="18"/>
          <w:color w:val="282828"/>
        </w:rPr>
        <w:t>d t</w:t>
      </w:r>
      <w:r>
        <w:rPr>
          <w:rFonts w:ascii="Arial" w:cs="Arial" w:eastAsia="Arial" w:hAnsi="Arial"/>
          <w:sz w:val="18"/>
          <w:szCs w:val="18"/>
          <w:color w:val="363636"/>
        </w:rPr>
        <w:t xml:space="preserve">o </w:t>
      </w:r>
      <w:r>
        <w:rPr>
          <w:rFonts w:ascii="Arial" w:cs="Arial" w:eastAsia="Arial" w:hAnsi="Arial"/>
          <w:sz w:val="18"/>
          <w:szCs w:val="18"/>
          <w:color w:val="282828"/>
        </w:rPr>
        <w:t>in</w:t>
      </w:r>
      <w:r>
        <w:rPr>
          <w:rFonts w:ascii="Arial" w:cs="Arial" w:eastAsia="Arial" w:hAnsi="Arial"/>
          <w:sz w:val="18"/>
          <w:szCs w:val="18"/>
          <w:color w:val="363636"/>
        </w:rPr>
        <w:t xml:space="preserve"> t</w:t>
      </w:r>
      <w:r>
        <w:rPr>
          <w:rFonts w:ascii="Arial" w:cs="Arial" w:eastAsia="Arial" w:hAnsi="Arial"/>
          <w:sz w:val="18"/>
          <w:szCs w:val="18"/>
          <w:color w:val="282828"/>
        </w:rPr>
        <w:t>hi</w:t>
      </w:r>
      <w:r>
        <w:rPr>
          <w:rFonts w:ascii="Arial" w:cs="Arial" w:eastAsia="Arial" w:hAnsi="Arial"/>
          <w:sz w:val="18"/>
          <w:szCs w:val="18"/>
          <w:color w:val="494949"/>
        </w:rPr>
        <w:t>s</w:t>
      </w:r>
      <w:r>
        <w:rPr>
          <w:rFonts w:ascii="Arial" w:cs="Arial" w:eastAsia="Arial" w:hAnsi="Arial"/>
          <w:sz w:val="18"/>
          <w:szCs w:val="18"/>
          <w:color w:val="363636"/>
        </w:rPr>
        <w:t xml:space="preserve"> Ag</w:t>
      </w:r>
      <w:r>
        <w:rPr>
          <w:rFonts w:ascii="Arial" w:cs="Arial" w:eastAsia="Arial" w:hAnsi="Arial"/>
          <w:sz w:val="18"/>
          <w:szCs w:val="18"/>
          <w:color w:val="282828"/>
        </w:rPr>
        <w:t>r</w:t>
      </w:r>
      <w:r>
        <w:rPr>
          <w:rFonts w:ascii="Arial" w:cs="Arial" w:eastAsia="Arial" w:hAnsi="Arial"/>
          <w:sz w:val="18"/>
          <w:szCs w:val="18"/>
          <w:color w:val="363636"/>
        </w:rPr>
        <w:t>ee</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282828"/>
        </w:rPr>
        <w:t>nt</w:t>
      </w:r>
      <w:r>
        <w:rPr>
          <w:rFonts w:ascii="Arial" w:cs="Arial" w:eastAsia="Arial" w:hAnsi="Arial"/>
          <w:sz w:val="18"/>
          <w:szCs w:val="18"/>
          <w:color w:val="363636"/>
        </w:rPr>
        <w:t xml:space="preserve"> a</w:t>
      </w:r>
      <w:r>
        <w:rPr>
          <w:rFonts w:ascii="Arial" w:cs="Arial" w:eastAsia="Arial" w:hAnsi="Arial"/>
          <w:sz w:val="18"/>
          <w:szCs w:val="18"/>
          <w:color w:val="494949"/>
        </w:rPr>
        <w:t>s "</w:t>
      </w:r>
      <w:r>
        <w:rPr>
          <w:rFonts w:ascii="Arial" w:cs="Arial" w:eastAsia="Arial" w:hAnsi="Arial"/>
          <w:sz w:val="18"/>
          <w:szCs w:val="18"/>
          <w:u w:val="single" w:color="auto"/>
          <w:color w:val="282828"/>
        </w:rPr>
        <w:t>B</w:t>
      </w:r>
      <w:r>
        <w:rPr>
          <w:rFonts w:ascii="Arial" w:cs="Arial" w:eastAsia="Arial" w:hAnsi="Arial"/>
          <w:sz w:val="18"/>
          <w:szCs w:val="18"/>
          <w:u w:val="single" w:color="auto"/>
          <w:color w:val="363636"/>
        </w:rPr>
        <w:t>ase</w:t>
      </w:r>
      <w:r>
        <w:rPr>
          <w:rFonts w:ascii="Arial" w:cs="Arial" w:eastAsia="Arial" w:hAnsi="Arial"/>
          <w:sz w:val="18"/>
          <w:szCs w:val="18"/>
          <w:color w:val="363636"/>
        </w:rPr>
        <w:t xml:space="preserve"> </w:t>
      </w:r>
      <w:r>
        <w:rPr>
          <w:rFonts w:ascii="Arial" w:cs="Arial" w:eastAsia="Arial" w:hAnsi="Arial"/>
          <w:sz w:val="18"/>
          <w:szCs w:val="18"/>
          <w:u w:val="single" w:color="auto"/>
          <w:color w:val="282828"/>
        </w:rPr>
        <w:t>S</w:t>
      </w:r>
      <w:r>
        <w:rPr>
          <w:rFonts w:ascii="Arial" w:cs="Arial" w:eastAsia="Arial" w:hAnsi="Arial"/>
          <w:sz w:val="18"/>
          <w:szCs w:val="18"/>
          <w:u w:val="single" w:color="auto"/>
          <w:color w:val="363636"/>
        </w:rPr>
        <w:t>a</w:t>
      </w:r>
      <w:r>
        <w:rPr>
          <w:rFonts w:ascii="Arial" w:cs="Arial" w:eastAsia="Arial" w:hAnsi="Arial"/>
          <w:sz w:val="18"/>
          <w:szCs w:val="18"/>
          <w:u w:val="single" w:color="auto"/>
          <w:color w:val="171717"/>
        </w:rPr>
        <w:t>l</w:t>
      </w:r>
      <w:r>
        <w:rPr>
          <w:rFonts w:ascii="Arial" w:cs="Arial" w:eastAsia="Arial" w:hAnsi="Arial"/>
          <w:sz w:val="18"/>
          <w:szCs w:val="18"/>
          <w:u w:val="single" w:color="auto"/>
          <w:color w:val="363636"/>
        </w:rPr>
        <w:t>a</w:t>
      </w:r>
      <w:r>
        <w:rPr>
          <w:rFonts w:ascii="Arial" w:cs="Arial" w:eastAsia="Arial" w:hAnsi="Arial"/>
          <w:sz w:val="18"/>
          <w:szCs w:val="18"/>
          <w:u w:val="single" w:color="auto"/>
          <w:color w:val="282828"/>
        </w:rPr>
        <w:t>ry</w:t>
      </w:r>
      <w:r>
        <w:rPr>
          <w:rFonts w:ascii="Arial" w:cs="Arial" w:eastAsia="Arial" w:hAnsi="Arial"/>
          <w:sz w:val="18"/>
          <w:szCs w:val="18"/>
          <w:color w:val="494949"/>
        </w:rPr>
        <w:t>.</w:t>
      </w:r>
      <w:r>
        <w:rPr>
          <w:rFonts w:ascii="Arial" w:cs="Arial" w:eastAsia="Arial" w:hAnsi="Arial"/>
          <w:sz w:val="18"/>
          <w:szCs w:val="18"/>
          <w:color w:val="363636"/>
        </w:rPr>
        <w:t>"</w:t>
      </w:r>
    </w:p>
    <w:p>
      <w:pPr>
        <w:spacing w:after="0" w:line="1" w:lineRule="exact"/>
        <w:rPr>
          <w:sz w:val="20"/>
          <w:szCs w:val="20"/>
          <w:color w:val="auto"/>
        </w:rPr>
      </w:pPr>
    </w:p>
    <w:p>
      <w:pPr>
        <w:jc w:val="both"/>
        <w:ind w:left="283" w:right="80" w:hanging="283"/>
        <w:spacing w:after="0" w:line="254" w:lineRule="auto"/>
        <w:tabs>
          <w:tab w:leader="none" w:pos="282" w:val="left"/>
        </w:tabs>
        <w:numPr>
          <w:ilvl w:val="0"/>
          <w:numId w:val="335"/>
        </w:numPr>
        <w:rPr>
          <w:rFonts w:ascii="Arial" w:cs="Arial" w:eastAsia="Arial" w:hAnsi="Arial"/>
          <w:sz w:val="17"/>
          <w:szCs w:val="17"/>
          <w:color w:val="282828"/>
        </w:rPr>
      </w:pPr>
      <w:r>
        <w:rPr>
          <w:rFonts w:ascii="Arial" w:cs="Arial" w:eastAsia="Arial" w:hAnsi="Arial"/>
          <w:sz w:val="17"/>
          <w:szCs w:val="17"/>
          <w:b w:val="1"/>
          <w:bCs w:val="1"/>
          <w:u w:val="single" w:color="auto"/>
          <w:color w:val="282828"/>
        </w:rPr>
        <w:t>V</w:t>
      </w:r>
      <w:r>
        <w:rPr>
          <w:rFonts w:ascii="Arial" w:cs="Arial" w:eastAsia="Arial" w:hAnsi="Arial"/>
          <w:sz w:val="17"/>
          <w:szCs w:val="17"/>
          <w:b w:val="1"/>
          <w:bCs w:val="1"/>
          <w:u w:val="single" w:color="auto"/>
          <w:color w:val="171717"/>
        </w:rPr>
        <w:t>acation</w:t>
      </w:r>
      <w:r>
        <w:rPr>
          <w:rFonts w:ascii="Arial" w:cs="Arial" w:eastAsia="Arial" w:hAnsi="Arial"/>
          <w:sz w:val="17"/>
          <w:szCs w:val="17"/>
          <w:b w:val="1"/>
          <w:bCs w:val="1"/>
          <w:u w:val="single" w:color="auto"/>
          <w:color w:val="282828"/>
        </w:rPr>
        <w:t>/</w:t>
      </w:r>
      <w:r>
        <w:rPr>
          <w:rFonts w:ascii="Arial" w:cs="Arial" w:eastAsia="Arial" w:hAnsi="Arial"/>
          <w:sz w:val="17"/>
          <w:szCs w:val="17"/>
          <w:b w:val="1"/>
          <w:bCs w:val="1"/>
          <w:u w:val="single" w:color="auto"/>
          <w:color w:val="171717"/>
        </w:rPr>
        <w:t>P</w:t>
      </w:r>
      <w:r>
        <w:rPr>
          <w:rFonts w:ascii="Arial" w:cs="Arial" w:eastAsia="Arial" w:hAnsi="Arial"/>
          <w:sz w:val="17"/>
          <w:szCs w:val="17"/>
          <w:b w:val="1"/>
          <w:bCs w:val="1"/>
          <w:u w:val="single" w:color="auto"/>
          <w:color w:val="282828"/>
        </w:rPr>
        <w:t>T</w:t>
      </w:r>
      <w:r>
        <w:rPr>
          <w:rFonts w:ascii="Arial" w:cs="Arial" w:eastAsia="Arial" w:hAnsi="Arial"/>
          <w:sz w:val="17"/>
          <w:szCs w:val="17"/>
          <w:b w:val="1"/>
          <w:bCs w:val="1"/>
          <w:u w:val="single" w:color="auto"/>
          <w:color w:val="171717"/>
        </w:rPr>
        <w:t>O and</w:t>
      </w:r>
      <w:r>
        <w:rPr>
          <w:rFonts w:ascii="Arial" w:cs="Arial" w:eastAsia="Arial" w:hAnsi="Arial"/>
          <w:sz w:val="17"/>
          <w:szCs w:val="17"/>
          <w:b w:val="1"/>
          <w:bCs w:val="1"/>
          <w:color w:val="282828"/>
        </w:rPr>
        <w:t xml:space="preserve"> </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mplo</w:t>
      </w:r>
      <w:r>
        <w:rPr>
          <w:rFonts w:ascii="Arial" w:cs="Arial" w:eastAsia="Arial" w:hAnsi="Arial"/>
          <w:sz w:val="17"/>
          <w:szCs w:val="17"/>
          <w:b w:val="1"/>
          <w:bCs w:val="1"/>
          <w:u w:val="single" w:color="auto"/>
          <w:color w:val="282828"/>
        </w:rPr>
        <w:t>y</w:t>
      </w:r>
      <w:r>
        <w:rPr>
          <w:rFonts w:ascii="Arial" w:cs="Arial" w:eastAsia="Arial" w:hAnsi="Arial"/>
          <w:sz w:val="17"/>
          <w:szCs w:val="17"/>
          <w:b w:val="1"/>
          <w:bCs w:val="1"/>
          <w:u w:val="single" w:color="auto"/>
          <w:color w:val="171717"/>
        </w:rPr>
        <w:t>e</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color w:val="282828"/>
        </w:rPr>
        <w:t xml:space="preserve"> </w:t>
      </w:r>
      <w:r>
        <w:rPr>
          <w:rFonts w:ascii="Arial" w:cs="Arial" w:eastAsia="Arial" w:hAnsi="Arial"/>
          <w:sz w:val="17"/>
          <w:szCs w:val="17"/>
          <w:b w:val="1"/>
          <w:bCs w:val="1"/>
          <w:u w:val="single" w:color="auto"/>
          <w:color w:val="171717"/>
        </w:rPr>
        <w:t>B</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n</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fi</w:t>
      </w:r>
      <w:r>
        <w:rPr>
          <w:rFonts w:ascii="Arial" w:cs="Arial" w:eastAsia="Arial" w:hAnsi="Arial"/>
          <w:sz w:val="17"/>
          <w:szCs w:val="17"/>
          <w:b w:val="1"/>
          <w:bCs w:val="1"/>
          <w:u w:val="single" w:color="auto"/>
          <w:color w:val="282828"/>
        </w:rPr>
        <w:t>t</w:t>
      </w:r>
      <w:r>
        <w:rPr>
          <w:rFonts w:ascii="Arial" w:cs="Arial" w:eastAsia="Arial" w:hAnsi="Arial"/>
          <w:sz w:val="17"/>
          <w:szCs w:val="17"/>
          <w:b w:val="1"/>
          <w:bCs w:val="1"/>
          <w:u w:val="single" w:color="auto"/>
          <w:color w:val="171717"/>
        </w:rPr>
        <w:t>s</w:t>
      </w:r>
      <w:r>
        <w:rPr>
          <w:rFonts w:ascii="Arial" w:cs="Arial" w:eastAsia="Arial" w:hAnsi="Arial"/>
          <w:sz w:val="17"/>
          <w:szCs w:val="17"/>
          <w:b w:val="1"/>
          <w:bCs w:val="1"/>
          <w:color w:val="171717"/>
        </w:rPr>
        <w:t>.</w:t>
      </w:r>
      <w:r>
        <w:rPr>
          <w:rFonts w:ascii="Arial" w:cs="Arial" w:eastAsia="Arial" w:hAnsi="Arial"/>
          <w:sz w:val="17"/>
          <w:szCs w:val="17"/>
          <w:b w:val="1"/>
          <w:bCs w:val="1"/>
          <w:color w:val="282828"/>
        </w:rPr>
        <w:t xml:space="preserve"> </w:t>
      </w:r>
      <w:r>
        <w:rPr>
          <w:rFonts w:ascii="Arial" w:cs="Arial" w:eastAsia="Arial" w:hAnsi="Arial"/>
          <w:sz w:val="17"/>
          <w:szCs w:val="17"/>
          <w:color w:val="171717"/>
        </w:rPr>
        <w:t>D</w:t>
      </w:r>
      <w:r>
        <w:rPr>
          <w:rFonts w:ascii="Arial" w:cs="Arial" w:eastAsia="Arial" w:hAnsi="Arial"/>
          <w:sz w:val="17"/>
          <w:szCs w:val="17"/>
          <w:color w:val="282828"/>
        </w:rPr>
        <w:t>ur</w:t>
      </w:r>
      <w:r>
        <w:rPr>
          <w:rFonts w:ascii="Arial" w:cs="Arial" w:eastAsia="Arial" w:hAnsi="Arial"/>
          <w:sz w:val="17"/>
          <w:szCs w:val="17"/>
          <w:color w:val="363636"/>
        </w:rPr>
        <w:t>ing</w:t>
      </w:r>
      <w:r>
        <w:rPr>
          <w:rFonts w:ascii="Arial" w:cs="Arial" w:eastAsia="Arial" w:hAnsi="Arial"/>
          <w:sz w:val="17"/>
          <w:szCs w:val="17"/>
          <w:b w:val="1"/>
          <w:bCs w:val="1"/>
          <w:color w:val="282828"/>
        </w:rPr>
        <w:t xml:space="preserve"> </w:t>
      </w:r>
      <w:r>
        <w:rPr>
          <w:rFonts w:ascii="Arial" w:cs="Arial" w:eastAsia="Arial" w:hAnsi="Arial"/>
          <w:sz w:val="17"/>
          <w:szCs w:val="17"/>
          <w:color w:val="282828"/>
        </w:rPr>
        <w:t>your</w:t>
      </w:r>
      <w:r>
        <w:rPr>
          <w:rFonts w:ascii="Arial" w:cs="Arial" w:eastAsia="Arial" w:hAnsi="Arial"/>
          <w:sz w:val="17"/>
          <w:szCs w:val="17"/>
          <w:b w:val="1"/>
          <w:bCs w:val="1"/>
          <w:color w:val="282828"/>
        </w:rPr>
        <w:t xml:space="preserve"> </w:t>
      </w:r>
      <w:r>
        <w:rPr>
          <w:rFonts w:ascii="Arial" w:cs="Arial" w:eastAsia="Arial" w:hAnsi="Arial"/>
          <w:sz w:val="17"/>
          <w:szCs w:val="17"/>
          <w:color w:val="363636"/>
        </w:rPr>
        <w:t>Em</w:t>
      </w:r>
      <w:r>
        <w:rPr>
          <w:rFonts w:ascii="Arial" w:cs="Arial" w:eastAsia="Arial" w:hAnsi="Arial"/>
          <w:sz w:val="17"/>
          <w:szCs w:val="17"/>
          <w:color w:val="282828"/>
        </w:rPr>
        <w:t>p</w:t>
      </w:r>
      <w:r>
        <w:rPr>
          <w:rFonts w:ascii="Arial" w:cs="Arial" w:eastAsia="Arial" w:hAnsi="Arial"/>
          <w:sz w:val="17"/>
          <w:szCs w:val="17"/>
          <w:color w:val="171717"/>
        </w:rPr>
        <w:t>l</w:t>
      </w:r>
      <w:r>
        <w:rPr>
          <w:rFonts w:ascii="Arial" w:cs="Arial" w:eastAsia="Arial" w:hAnsi="Arial"/>
          <w:sz w:val="17"/>
          <w:szCs w:val="17"/>
          <w:color w:val="363636"/>
        </w:rPr>
        <w:t>oyment</w:t>
      </w:r>
      <w:r>
        <w:rPr>
          <w:rFonts w:ascii="Arial" w:cs="Arial" w:eastAsia="Arial" w:hAnsi="Arial"/>
          <w:sz w:val="17"/>
          <w:szCs w:val="17"/>
          <w:color w:val="595959"/>
        </w:rPr>
        <w:t>,</w:t>
      </w:r>
      <w:r>
        <w:rPr>
          <w:rFonts w:ascii="Arial" w:cs="Arial" w:eastAsia="Arial" w:hAnsi="Arial"/>
          <w:sz w:val="17"/>
          <w:szCs w:val="17"/>
          <w:b w:val="1"/>
          <w:bCs w:val="1"/>
          <w:color w:val="282828"/>
        </w:rPr>
        <w:t xml:space="preserve"> </w:t>
      </w:r>
      <w:r>
        <w:rPr>
          <w:rFonts w:ascii="Arial" w:cs="Arial" w:eastAsia="Arial" w:hAnsi="Arial"/>
          <w:sz w:val="17"/>
          <w:szCs w:val="17"/>
          <w:color w:val="363636"/>
        </w:rPr>
        <w:t>y</w:t>
      </w:r>
      <w:r>
        <w:rPr>
          <w:rFonts w:ascii="Arial" w:cs="Arial" w:eastAsia="Arial" w:hAnsi="Arial"/>
          <w:sz w:val="17"/>
          <w:szCs w:val="17"/>
          <w:color w:val="282828"/>
        </w:rPr>
        <w:t>ou</w:t>
      </w:r>
      <w:r>
        <w:rPr>
          <w:rFonts w:ascii="Arial" w:cs="Arial" w:eastAsia="Arial" w:hAnsi="Arial"/>
          <w:sz w:val="17"/>
          <w:szCs w:val="17"/>
          <w:b w:val="1"/>
          <w:bCs w:val="1"/>
          <w:color w:val="282828"/>
        </w:rPr>
        <w:t xml:space="preserve"> </w:t>
      </w:r>
      <w:r>
        <w:rPr>
          <w:rFonts w:ascii="Arial" w:cs="Arial" w:eastAsia="Arial" w:hAnsi="Arial"/>
          <w:sz w:val="17"/>
          <w:szCs w:val="17"/>
          <w:color w:val="363636"/>
        </w:rPr>
        <w:t>s</w:t>
      </w:r>
      <w:r>
        <w:rPr>
          <w:rFonts w:ascii="Arial" w:cs="Arial" w:eastAsia="Arial" w:hAnsi="Arial"/>
          <w:sz w:val="17"/>
          <w:szCs w:val="17"/>
          <w:color w:val="282828"/>
        </w:rPr>
        <w:t>h</w:t>
      </w:r>
      <w:r>
        <w:rPr>
          <w:rFonts w:ascii="Arial" w:cs="Arial" w:eastAsia="Arial" w:hAnsi="Arial"/>
          <w:sz w:val="17"/>
          <w:szCs w:val="17"/>
          <w:color w:val="363636"/>
        </w:rPr>
        <w:t>a</w:t>
      </w:r>
      <w:r>
        <w:rPr>
          <w:rFonts w:ascii="Arial" w:cs="Arial" w:eastAsia="Arial" w:hAnsi="Arial"/>
          <w:sz w:val="17"/>
          <w:szCs w:val="17"/>
          <w:color w:val="282828"/>
        </w:rPr>
        <w:t>ll b</w:t>
      </w:r>
      <w:r>
        <w:rPr>
          <w:rFonts w:ascii="Arial" w:cs="Arial" w:eastAsia="Arial" w:hAnsi="Arial"/>
          <w:sz w:val="17"/>
          <w:szCs w:val="17"/>
          <w:color w:val="363636"/>
        </w:rPr>
        <w:t>e e</w:t>
      </w:r>
      <w:r>
        <w:rPr>
          <w:rFonts w:ascii="Arial" w:cs="Arial" w:eastAsia="Arial" w:hAnsi="Arial"/>
          <w:sz w:val="17"/>
          <w:szCs w:val="17"/>
          <w:color w:val="282828"/>
        </w:rPr>
        <w:t>l</w:t>
      </w:r>
      <w:r>
        <w:rPr>
          <w:rFonts w:ascii="Arial" w:cs="Arial" w:eastAsia="Arial" w:hAnsi="Arial"/>
          <w:sz w:val="17"/>
          <w:szCs w:val="17"/>
          <w:color w:val="363636"/>
        </w:rPr>
        <w:t>ig</w:t>
      </w:r>
      <w:r>
        <w:rPr>
          <w:rFonts w:ascii="Arial" w:cs="Arial" w:eastAsia="Arial" w:hAnsi="Arial"/>
          <w:sz w:val="17"/>
          <w:szCs w:val="17"/>
          <w:color w:val="282828"/>
        </w:rPr>
        <w:t>ibl</w:t>
      </w:r>
      <w:r>
        <w:rPr>
          <w:rFonts w:ascii="Arial" w:cs="Arial" w:eastAsia="Arial" w:hAnsi="Arial"/>
          <w:sz w:val="17"/>
          <w:szCs w:val="17"/>
          <w:color w:val="363636"/>
        </w:rPr>
        <w:t>e</w:t>
      </w:r>
      <w:r>
        <w:rPr>
          <w:rFonts w:ascii="Arial" w:cs="Arial" w:eastAsia="Arial" w:hAnsi="Arial"/>
          <w:sz w:val="17"/>
          <w:szCs w:val="17"/>
          <w:b w:val="1"/>
          <w:bCs w:val="1"/>
          <w:color w:val="282828"/>
        </w:rPr>
        <w:t xml:space="preserve"> </w:t>
      </w:r>
      <w:r>
        <w:rPr>
          <w:rFonts w:ascii="Arial" w:cs="Arial" w:eastAsia="Arial" w:hAnsi="Arial"/>
          <w:sz w:val="17"/>
          <w:szCs w:val="17"/>
          <w:color w:val="282828"/>
        </w:rPr>
        <w:t>to p</w:t>
      </w:r>
      <w:r>
        <w:rPr>
          <w:rFonts w:ascii="Arial" w:cs="Arial" w:eastAsia="Arial" w:hAnsi="Arial"/>
          <w:sz w:val="17"/>
          <w:szCs w:val="17"/>
          <w:color w:val="363636"/>
        </w:rPr>
        <w:t>a</w:t>
      </w:r>
      <w:r>
        <w:rPr>
          <w:rFonts w:ascii="Arial" w:cs="Arial" w:eastAsia="Arial" w:hAnsi="Arial"/>
          <w:sz w:val="17"/>
          <w:szCs w:val="17"/>
          <w:color w:val="282828"/>
        </w:rPr>
        <w:t>r</w:t>
      </w:r>
      <w:r>
        <w:rPr>
          <w:rFonts w:ascii="Arial" w:cs="Arial" w:eastAsia="Arial" w:hAnsi="Arial"/>
          <w:sz w:val="17"/>
          <w:szCs w:val="17"/>
          <w:color w:val="363636"/>
        </w:rPr>
        <w:t>t</w:t>
      </w:r>
      <w:r>
        <w:rPr>
          <w:rFonts w:ascii="Arial" w:cs="Arial" w:eastAsia="Arial" w:hAnsi="Arial"/>
          <w:sz w:val="17"/>
          <w:szCs w:val="17"/>
          <w:color w:val="171717"/>
        </w:rPr>
        <w:t>i</w:t>
      </w:r>
      <w:r>
        <w:rPr>
          <w:rFonts w:ascii="Arial" w:cs="Arial" w:eastAsia="Arial" w:hAnsi="Arial"/>
          <w:sz w:val="17"/>
          <w:szCs w:val="17"/>
          <w:color w:val="363636"/>
        </w:rPr>
        <w:t>c</w:t>
      </w:r>
      <w:r>
        <w:rPr>
          <w:rFonts w:ascii="Arial" w:cs="Arial" w:eastAsia="Arial" w:hAnsi="Arial"/>
          <w:sz w:val="17"/>
          <w:szCs w:val="17"/>
          <w:color w:val="171717"/>
        </w:rPr>
        <w:t>i</w:t>
      </w:r>
      <w:r>
        <w:rPr>
          <w:rFonts w:ascii="Arial" w:cs="Arial" w:eastAsia="Arial" w:hAnsi="Arial"/>
          <w:sz w:val="17"/>
          <w:szCs w:val="17"/>
          <w:color w:val="282828"/>
        </w:rPr>
        <w:t>p</w:t>
      </w:r>
      <w:r>
        <w:rPr>
          <w:rFonts w:ascii="Arial" w:cs="Arial" w:eastAsia="Arial" w:hAnsi="Arial"/>
          <w:sz w:val="17"/>
          <w:szCs w:val="17"/>
          <w:color w:val="363636"/>
        </w:rPr>
        <w:t>a</w:t>
      </w:r>
      <w:r>
        <w:rPr>
          <w:rFonts w:ascii="Arial" w:cs="Arial" w:eastAsia="Arial" w:hAnsi="Arial"/>
          <w:sz w:val="17"/>
          <w:szCs w:val="17"/>
          <w:color w:val="171717"/>
        </w:rPr>
        <w:t>t</w:t>
      </w:r>
      <w:r>
        <w:rPr>
          <w:rFonts w:ascii="Arial" w:cs="Arial" w:eastAsia="Arial" w:hAnsi="Arial"/>
          <w:sz w:val="17"/>
          <w:szCs w:val="17"/>
          <w:color w:val="363636"/>
        </w:rPr>
        <w:t>e</w:t>
      </w:r>
      <w:r>
        <w:rPr>
          <w:rFonts w:ascii="Arial" w:cs="Arial" w:eastAsia="Arial" w:hAnsi="Arial"/>
          <w:sz w:val="17"/>
          <w:szCs w:val="17"/>
          <w:b w:val="1"/>
          <w:bCs w:val="1"/>
          <w:color w:val="282828"/>
        </w:rPr>
        <w:t xml:space="preserve"> </w:t>
      </w:r>
      <w:r>
        <w:rPr>
          <w:rFonts w:ascii="Arial" w:cs="Arial" w:eastAsia="Arial" w:hAnsi="Arial"/>
          <w:sz w:val="17"/>
          <w:szCs w:val="17"/>
          <w:color w:val="282828"/>
        </w:rPr>
        <w:t>i</w:t>
      </w:r>
      <w:r>
        <w:rPr>
          <w:rFonts w:ascii="Arial" w:cs="Arial" w:eastAsia="Arial" w:hAnsi="Arial"/>
          <w:sz w:val="17"/>
          <w:szCs w:val="17"/>
          <w:color w:val="171717"/>
        </w:rPr>
        <w:t>n t</w:t>
      </w:r>
      <w:r>
        <w:rPr>
          <w:rFonts w:ascii="Arial" w:cs="Arial" w:eastAsia="Arial" w:hAnsi="Arial"/>
          <w:sz w:val="17"/>
          <w:szCs w:val="17"/>
          <w:color w:val="282828"/>
        </w:rPr>
        <w:t>h</w:t>
      </w:r>
      <w:r>
        <w:rPr>
          <w:rFonts w:ascii="Arial" w:cs="Arial" w:eastAsia="Arial" w:hAnsi="Arial"/>
          <w:sz w:val="17"/>
          <w:szCs w:val="17"/>
          <w:color w:val="363636"/>
        </w:rPr>
        <w:t>e e</w:t>
      </w:r>
      <w:r>
        <w:rPr>
          <w:rFonts w:ascii="Arial" w:cs="Arial" w:eastAsia="Arial" w:hAnsi="Arial"/>
          <w:sz w:val="17"/>
          <w:szCs w:val="17"/>
          <w:color w:val="282828"/>
        </w:rPr>
        <w:t>mplo</w:t>
      </w:r>
      <w:r>
        <w:rPr>
          <w:rFonts w:ascii="Arial" w:cs="Arial" w:eastAsia="Arial" w:hAnsi="Arial"/>
          <w:sz w:val="17"/>
          <w:szCs w:val="17"/>
          <w:color w:val="363636"/>
        </w:rPr>
        <w:t>yee</w:t>
      </w:r>
      <w:r>
        <w:rPr>
          <w:rFonts w:ascii="Arial" w:cs="Arial" w:eastAsia="Arial" w:hAnsi="Arial"/>
          <w:sz w:val="17"/>
          <w:szCs w:val="17"/>
          <w:b w:val="1"/>
          <w:bCs w:val="1"/>
          <w:color w:val="282828"/>
        </w:rPr>
        <w:t xml:space="preserve"> </w:t>
      </w:r>
      <w:r>
        <w:rPr>
          <w:rFonts w:ascii="Arial" w:cs="Arial" w:eastAsia="Arial" w:hAnsi="Arial"/>
          <w:sz w:val="17"/>
          <w:szCs w:val="17"/>
          <w:color w:val="282828"/>
        </w:rPr>
        <w:t>b</w:t>
      </w:r>
      <w:r>
        <w:rPr>
          <w:rFonts w:ascii="Arial" w:cs="Arial" w:eastAsia="Arial" w:hAnsi="Arial"/>
          <w:sz w:val="17"/>
          <w:szCs w:val="17"/>
          <w:color w:val="363636"/>
        </w:rPr>
        <w:t>e</w:t>
      </w:r>
      <w:r>
        <w:rPr>
          <w:rFonts w:ascii="Arial" w:cs="Arial" w:eastAsia="Arial" w:hAnsi="Arial"/>
          <w:sz w:val="17"/>
          <w:szCs w:val="17"/>
          <w:color w:val="282828"/>
        </w:rPr>
        <w:t>n</w:t>
      </w:r>
      <w:r>
        <w:rPr>
          <w:rFonts w:ascii="Arial" w:cs="Arial" w:eastAsia="Arial" w:hAnsi="Arial"/>
          <w:sz w:val="17"/>
          <w:szCs w:val="17"/>
          <w:color w:val="363636"/>
        </w:rPr>
        <w:t>e</w:t>
      </w:r>
      <w:r>
        <w:rPr>
          <w:rFonts w:ascii="Arial" w:cs="Arial" w:eastAsia="Arial" w:hAnsi="Arial"/>
          <w:sz w:val="17"/>
          <w:szCs w:val="17"/>
          <w:color w:val="282828"/>
        </w:rPr>
        <w:t>fi</w:t>
      </w:r>
      <w:r>
        <w:rPr>
          <w:rFonts w:ascii="Arial" w:cs="Arial" w:eastAsia="Arial" w:hAnsi="Arial"/>
          <w:sz w:val="17"/>
          <w:szCs w:val="17"/>
          <w:color w:val="363636"/>
        </w:rPr>
        <w:t>t p</w:t>
      </w:r>
      <w:r>
        <w:rPr>
          <w:rFonts w:ascii="Arial" w:cs="Arial" w:eastAsia="Arial" w:hAnsi="Arial"/>
          <w:sz w:val="17"/>
          <w:szCs w:val="17"/>
          <w:color w:val="282828"/>
        </w:rPr>
        <w:t>l</w:t>
      </w:r>
      <w:r>
        <w:rPr>
          <w:rFonts w:ascii="Arial" w:cs="Arial" w:eastAsia="Arial" w:hAnsi="Arial"/>
          <w:sz w:val="17"/>
          <w:szCs w:val="17"/>
          <w:color w:val="363636"/>
        </w:rPr>
        <w:t>a</w:t>
      </w:r>
      <w:r>
        <w:rPr>
          <w:rFonts w:ascii="Arial" w:cs="Arial" w:eastAsia="Arial" w:hAnsi="Arial"/>
          <w:sz w:val="17"/>
          <w:szCs w:val="17"/>
          <w:color w:val="282828"/>
        </w:rPr>
        <w:t>n</w:t>
      </w:r>
      <w:r>
        <w:rPr>
          <w:rFonts w:ascii="Arial" w:cs="Arial" w:eastAsia="Arial" w:hAnsi="Arial"/>
          <w:sz w:val="17"/>
          <w:szCs w:val="17"/>
          <w:color w:val="363636"/>
        </w:rPr>
        <w:t>s</w:t>
      </w:r>
      <w:r>
        <w:rPr>
          <w:rFonts w:ascii="Arial" w:cs="Arial" w:eastAsia="Arial" w:hAnsi="Arial"/>
          <w:sz w:val="17"/>
          <w:szCs w:val="17"/>
          <w:b w:val="1"/>
          <w:bCs w:val="1"/>
          <w:color w:val="282828"/>
        </w:rPr>
        <w:t xml:space="preserve"> </w:t>
      </w:r>
      <w:r>
        <w:rPr>
          <w:rFonts w:ascii="Arial" w:cs="Arial" w:eastAsia="Arial" w:hAnsi="Arial"/>
          <w:sz w:val="17"/>
          <w:szCs w:val="17"/>
          <w:color w:val="282828"/>
        </w:rPr>
        <w:t>m</w:t>
      </w:r>
      <w:r>
        <w:rPr>
          <w:rFonts w:ascii="Arial" w:cs="Arial" w:eastAsia="Arial" w:hAnsi="Arial"/>
          <w:sz w:val="17"/>
          <w:szCs w:val="17"/>
          <w:color w:val="363636"/>
        </w:rPr>
        <w:t>a</w:t>
      </w:r>
      <w:r>
        <w:rPr>
          <w:rFonts w:ascii="Arial" w:cs="Arial" w:eastAsia="Arial" w:hAnsi="Arial"/>
          <w:sz w:val="17"/>
          <w:szCs w:val="17"/>
          <w:color w:val="171717"/>
        </w:rPr>
        <w:t>in</w:t>
      </w:r>
      <w:r>
        <w:rPr>
          <w:rFonts w:ascii="Arial" w:cs="Arial" w:eastAsia="Arial" w:hAnsi="Arial"/>
          <w:sz w:val="17"/>
          <w:szCs w:val="17"/>
          <w:color w:val="363636"/>
        </w:rPr>
        <w:t>ta</w:t>
      </w:r>
      <w:r>
        <w:rPr>
          <w:rFonts w:ascii="Arial" w:cs="Arial" w:eastAsia="Arial" w:hAnsi="Arial"/>
          <w:sz w:val="17"/>
          <w:szCs w:val="17"/>
          <w:color w:val="282828"/>
        </w:rPr>
        <w:t>in</w:t>
      </w:r>
      <w:r>
        <w:rPr>
          <w:rFonts w:ascii="Arial" w:cs="Arial" w:eastAsia="Arial" w:hAnsi="Arial"/>
          <w:sz w:val="17"/>
          <w:szCs w:val="17"/>
          <w:color w:val="363636"/>
        </w:rPr>
        <w:t>e</w:t>
      </w:r>
      <w:r>
        <w:rPr>
          <w:rFonts w:ascii="Arial" w:cs="Arial" w:eastAsia="Arial" w:hAnsi="Arial"/>
          <w:sz w:val="17"/>
          <w:szCs w:val="17"/>
          <w:color w:val="282828"/>
        </w:rPr>
        <w:t>d</w:t>
      </w:r>
      <w:r>
        <w:rPr>
          <w:rFonts w:ascii="Arial" w:cs="Arial" w:eastAsia="Arial" w:hAnsi="Arial"/>
          <w:sz w:val="17"/>
          <w:szCs w:val="17"/>
          <w:b w:val="1"/>
          <w:bCs w:val="1"/>
          <w:color w:val="282828"/>
        </w:rPr>
        <w:t xml:space="preserve"> </w:t>
      </w:r>
      <w:r>
        <w:rPr>
          <w:rFonts w:ascii="Arial" w:cs="Arial" w:eastAsia="Arial" w:hAnsi="Arial"/>
          <w:sz w:val="17"/>
          <w:szCs w:val="17"/>
          <w:color w:val="171717"/>
        </w:rPr>
        <w:t>b</w:t>
      </w:r>
      <w:r>
        <w:rPr>
          <w:rFonts w:ascii="Arial" w:cs="Arial" w:eastAsia="Arial" w:hAnsi="Arial"/>
          <w:sz w:val="17"/>
          <w:szCs w:val="17"/>
          <w:color w:val="363636"/>
        </w:rPr>
        <w:t>y</w:t>
      </w:r>
      <w:r>
        <w:rPr>
          <w:rFonts w:ascii="Arial" w:cs="Arial" w:eastAsia="Arial" w:hAnsi="Arial"/>
          <w:sz w:val="17"/>
          <w:szCs w:val="17"/>
          <w:b w:val="1"/>
          <w:bCs w:val="1"/>
          <w:color w:val="282828"/>
        </w:rPr>
        <w:t xml:space="preserve"> </w:t>
      </w:r>
      <w:r>
        <w:rPr>
          <w:rFonts w:ascii="Arial" w:cs="Arial" w:eastAsia="Arial" w:hAnsi="Arial"/>
          <w:sz w:val="17"/>
          <w:szCs w:val="17"/>
          <w:color w:val="282828"/>
        </w:rPr>
        <w:t>th</w:t>
      </w:r>
      <w:r>
        <w:rPr>
          <w:rFonts w:ascii="Arial" w:cs="Arial" w:eastAsia="Arial" w:hAnsi="Arial"/>
          <w:sz w:val="17"/>
          <w:szCs w:val="17"/>
          <w:color w:val="363636"/>
        </w:rPr>
        <w:t>e</w:t>
      </w:r>
      <w:r>
        <w:rPr>
          <w:rFonts w:ascii="Arial" w:cs="Arial" w:eastAsia="Arial" w:hAnsi="Arial"/>
          <w:sz w:val="17"/>
          <w:szCs w:val="17"/>
          <w:b w:val="1"/>
          <w:bCs w:val="1"/>
          <w:color w:val="282828"/>
        </w:rPr>
        <w:t xml:space="preserve"> </w:t>
      </w:r>
      <w:r>
        <w:rPr>
          <w:rFonts w:ascii="Arial" w:cs="Arial" w:eastAsia="Arial" w:hAnsi="Arial"/>
          <w:sz w:val="17"/>
          <w:szCs w:val="17"/>
          <w:color w:val="363636"/>
        </w:rPr>
        <w:t>C</w:t>
      </w:r>
      <w:r>
        <w:rPr>
          <w:rFonts w:ascii="Arial" w:cs="Arial" w:eastAsia="Arial" w:hAnsi="Arial"/>
          <w:sz w:val="17"/>
          <w:szCs w:val="17"/>
          <w:color w:val="282828"/>
        </w:rPr>
        <w:t>om</w:t>
      </w:r>
      <w:r>
        <w:rPr>
          <w:rFonts w:ascii="Arial" w:cs="Arial" w:eastAsia="Arial" w:hAnsi="Arial"/>
          <w:sz w:val="17"/>
          <w:szCs w:val="17"/>
          <w:color w:val="363636"/>
        </w:rPr>
        <w:t>pa</w:t>
      </w:r>
      <w:r>
        <w:rPr>
          <w:rFonts w:ascii="Arial" w:cs="Arial" w:eastAsia="Arial" w:hAnsi="Arial"/>
          <w:sz w:val="17"/>
          <w:szCs w:val="17"/>
          <w:color w:val="282828"/>
        </w:rPr>
        <w:t>n</w:t>
      </w:r>
      <w:r>
        <w:rPr>
          <w:rFonts w:ascii="Arial" w:cs="Arial" w:eastAsia="Arial" w:hAnsi="Arial"/>
          <w:sz w:val="17"/>
          <w:szCs w:val="17"/>
          <w:color w:val="363636"/>
        </w:rPr>
        <w:t>y a</w:t>
      </w:r>
      <w:r>
        <w:rPr>
          <w:rFonts w:ascii="Arial" w:cs="Arial" w:eastAsia="Arial" w:hAnsi="Arial"/>
          <w:sz w:val="17"/>
          <w:szCs w:val="17"/>
          <w:color w:val="282828"/>
        </w:rPr>
        <w:t>nd</w:t>
      </w:r>
      <w:r>
        <w:rPr>
          <w:rFonts w:ascii="Arial" w:cs="Arial" w:eastAsia="Arial" w:hAnsi="Arial"/>
          <w:sz w:val="17"/>
          <w:szCs w:val="17"/>
          <w:color w:val="363636"/>
        </w:rPr>
        <w:t xml:space="preserve"> ge</w:t>
      </w:r>
      <w:r>
        <w:rPr>
          <w:rFonts w:ascii="Arial" w:cs="Arial" w:eastAsia="Arial" w:hAnsi="Arial"/>
          <w:sz w:val="17"/>
          <w:szCs w:val="17"/>
          <w:color w:val="282828"/>
        </w:rPr>
        <w:t>n</w:t>
      </w:r>
      <w:r>
        <w:rPr>
          <w:rFonts w:ascii="Arial" w:cs="Arial" w:eastAsia="Arial" w:hAnsi="Arial"/>
          <w:sz w:val="17"/>
          <w:szCs w:val="17"/>
          <w:color w:val="363636"/>
        </w:rPr>
        <w:t>era</w:t>
      </w:r>
      <w:r>
        <w:rPr>
          <w:rFonts w:ascii="Arial" w:cs="Arial" w:eastAsia="Arial" w:hAnsi="Arial"/>
          <w:sz w:val="17"/>
          <w:szCs w:val="17"/>
          <w:color w:val="171717"/>
        </w:rPr>
        <w:t>ll</w:t>
      </w:r>
      <w:r>
        <w:rPr>
          <w:rFonts w:ascii="Arial" w:cs="Arial" w:eastAsia="Arial" w:hAnsi="Arial"/>
          <w:sz w:val="17"/>
          <w:szCs w:val="17"/>
          <w:color w:val="363636"/>
        </w:rPr>
        <w:t>y ava</w:t>
      </w:r>
      <w:r>
        <w:rPr>
          <w:rFonts w:ascii="Arial" w:cs="Arial" w:eastAsia="Arial" w:hAnsi="Arial"/>
          <w:sz w:val="17"/>
          <w:szCs w:val="17"/>
          <w:color w:val="282828"/>
        </w:rPr>
        <w:t>il</w:t>
      </w:r>
      <w:r>
        <w:rPr>
          <w:rFonts w:ascii="Arial" w:cs="Arial" w:eastAsia="Arial" w:hAnsi="Arial"/>
          <w:sz w:val="17"/>
          <w:szCs w:val="17"/>
          <w:color w:val="363636"/>
        </w:rPr>
        <w:t>a</w:t>
      </w:r>
      <w:r>
        <w:rPr>
          <w:rFonts w:ascii="Arial" w:cs="Arial" w:eastAsia="Arial" w:hAnsi="Arial"/>
          <w:sz w:val="17"/>
          <w:szCs w:val="17"/>
          <w:color w:val="282828"/>
        </w:rPr>
        <w:t>b</w:t>
      </w:r>
      <w:r>
        <w:rPr>
          <w:rFonts w:ascii="Arial" w:cs="Arial" w:eastAsia="Arial" w:hAnsi="Arial"/>
          <w:sz w:val="17"/>
          <w:szCs w:val="17"/>
          <w:color w:val="171717"/>
        </w:rPr>
        <w:t>l</w:t>
      </w:r>
      <w:r>
        <w:rPr>
          <w:rFonts w:ascii="Arial" w:cs="Arial" w:eastAsia="Arial" w:hAnsi="Arial"/>
          <w:sz w:val="17"/>
          <w:szCs w:val="17"/>
          <w:color w:val="363636"/>
        </w:rPr>
        <w:t xml:space="preserve">e </w:t>
      </w:r>
      <w:r>
        <w:rPr>
          <w:rFonts w:ascii="Arial" w:cs="Arial" w:eastAsia="Arial" w:hAnsi="Arial"/>
          <w:sz w:val="17"/>
          <w:szCs w:val="17"/>
          <w:color w:val="282828"/>
        </w:rPr>
        <w:t>t</w:t>
      </w:r>
      <w:r>
        <w:rPr>
          <w:rFonts w:ascii="Arial" w:cs="Arial" w:eastAsia="Arial" w:hAnsi="Arial"/>
          <w:sz w:val="17"/>
          <w:szCs w:val="17"/>
          <w:color w:val="363636"/>
        </w:rPr>
        <w:t>o s</w:t>
      </w:r>
      <w:r>
        <w:rPr>
          <w:rFonts w:ascii="Arial" w:cs="Arial" w:eastAsia="Arial" w:hAnsi="Arial"/>
          <w:sz w:val="17"/>
          <w:szCs w:val="17"/>
          <w:color w:val="282828"/>
        </w:rPr>
        <w:t>im</w:t>
      </w:r>
      <w:r>
        <w:rPr>
          <w:rFonts w:ascii="Arial" w:cs="Arial" w:eastAsia="Arial" w:hAnsi="Arial"/>
          <w:sz w:val="17"/>
          <w:szCs w:val="17"/>
          <w:color w:val="363636"/>
        </w:rPr>
        <w:t>i</w:t>
      </w:r>
      <w:r>
        <w:rPr>
          <w:rFonts w:ascii="Arial" w:cs="Arial" w:eastAsia="Arial" w:hAnsi="Arial"/>
          <w:sz w:val="17"/>
          <w:szCs w:val="17"/>
          <w:color w:val="282828"/>
        </w:rPr>
        <w:t>l</w:t>
      </w:r>
      <w:r>
        <w:rPr>
          <w:rFonts w:ascii="Arial" w:cs="Arial" w:eastAsia="Arial" w:hAnsi="Arial"/>
          <w:sz w:val="17"/>
          <w:szCs w:val="17"/>
          <w:color w:val="363636"/>
        </w:rPr>
        <w:t>ar</w:t>
      </w:r>
      <w:r>
        <w:rPr>
          <w:rFonts w:ascii="Arial" w:cs="Arial" w:eastAsia="Arial" w:hAnsi="Arial"/>
          <w:sz w:val="17"/>
          <w:szCs w:val="17"/>
          <w:color w:val="282828"/>
        </w:rPr>
        <w:t>l</w:t>
      </w:r>
      <w:r>
        <w:rPr>
          <w:rFonts w:ascii="Arial" w:cs="Arial" w:eastAsia="Arial" w:hAnsi="Arial"/>
          <w:sz w:val="17"/>
          <w:szCs w:val="17"/>
          <w:color w:val="363636"/>
        </w:rPr>
        <w:t>y s</w:t>
      </w:r>
      <w:r>
        <w:rPr>
          <w:rFonts w:ascii="Arial" w:cs="Arial" w:eastAsia="Arial" w:hAnsi="Arial"/>
          <w:sz w:val="17"/>
          <w:szCs w:val="17"/>
          <w:color w:val="282828"/>
        </w:rPr>
        <w:t>i</w:t>
      </w:r>
      <w:r>
        <w:rPr>
          <w:rFonts w:ascii="Arial" w:cs="Arial" w:eastAsia="Arial" w:hAnsi="Arial"/>
          <w:sz w:val="17"/>
          <w:szCs w:val="17"/>
          <w:color w:val="363636"/>
        </w:rPr>
        <w:t>tuate</w:t>
      </w:r>
      <w:r>
        <w:rPr>
          <w:rFonts w:ascii="Arial" w:cs="Arial" w:eastAsia="Arial" w:hAnsi="Arial"/>
          <w:sz w:val="17"/>
          <w:szCs w:val="17"/>
          <w:color w:val="282828"/>
        </w:rPr>
        <w:t>d</w:t>
      </w:r>
      <w:r>
        <w:rPr>
          <w:rFonts w:ascii="Arial" w:cs="Arial" w:eastAsia="Arial" w:hAnsi="Arial"/>
          <w:sz w:val="17"/>
          <w:szCs w:val="17"/>
          <w:color w:val="363636"/>
        </w:rPr>
        <w:t xml:space="preserve"> em</w:t>
      </w:r>
      <w:r>
        <w:rPr>
          <w:rFonts w:ascii="Arial" w:cs="Arial" w:eastAsia="Arial" w:hAnsi="Arial"/>
          <w:sz w:val="17"/>
          <w:szCs w:val="17"/>
          <w:color w:val="282828"/>
        </w:rPr>
        <w:t>p</w:t>
      </w:r>
      <w:r>
        <w:rPr>
          <w:rFonts w:ascii="Arial" w:cs="Arial" w:eastAsia="Arial" w:hAnsi="Arial"/>
          <w:sz w:val="17"/>
          <w:szCs w:val="17"/>
          <w:color w:val="171717"/>
        </w:rPr>
        <w:t>l</w:t>
      </w:r>
      <w:r>
        <w:rPr>
          <w:rFonts w:ascii="Arial" w:cs="Arial" w:eastAsia="Arial" w:hAnsi="Arial"/>
          <w:sz w:val="17"/>
          <w:szCs w:val="17"/>
          <w:color w:val="282828"/>
        </w:rPr>
        <w:t>o</w:t>
      </w:r>
      <w:r>
        <w:rPr>
          <w:rFonts w:ascii="Arial" w:cs="Arial" w:eastAsia="Arial" w:hAnsi="Arial"/>
          <w:sz w:val="17"/>
          <w:szCs w:val="17"/>
          <w:color w:val="363636"/>
        </w:rPr>
        <w:t xml:space="preserve">yees </w:t>
      </w:r>
      <w:r>
        <w:rPr>
          <w:rFonts w:ascii="Arial" w:cs="Arial" w:eastAsia="Arial" w:hAnsi="Arial"/>
          <w:sz w:val="17"/>
          <w:szCs w:val="17"/>
          <w:color w:val="282828"/>
        </w:rPr>
        <w:t>o</w:t>
      </w:r>
      <w:r>
        <w:rPr>
          <w:rFonts w:ascii="Arial" w:cs="Arial" w:eastAsia="Arial" w:hAnsi="Arial"/>
          <w:sz w:val="17"/>
          <w:szCs w:val="17"/>
          <w:color w:val="363636"/>
        </w:rPr>
        <w:t xml:space="preserve">f </w:t>
      </w:r>
      <w:r>
        <w:rPr>
          <w:rFonts w:ascii="Arial" w:cs="Arial" w:eastAsia="Arial" w:hAnsi="Arial"/>
          <w:sz w:val="17"/>
          <w:szCs w:val="17"/>
          <w:color w:val="282828"/>
        </w:rPr>
        <w:t>th</w:t>
      </w:r>
      <w:r>
        <w:rPr>
          <w:rFonts w:ascii="Arial" w:cs="Arial" w:eastAsia="Arial" w:hAnsi="Arial"/>
          <w:sz w:val="17"/>
          <w:szCs w:val="17"/>
          <w:color w:val="363636"/>
        </w:rPr>
        <w:t>e C</w:t>
      </w:r>
      <w:r>
        <w:rPr>
          <w:rFonts w:ascii="Arial" w:cs="Arial" w:eastAsia="Arial" w:hAnsi="Arial"/>
          <w:sz w:val="17"/>
          <w:szCs w:val="17"/>
          <w:color w:val="282828"/>
        </w:rPr>
        <w:t>o</w:t>
      </w:r>
      <w:r>
        <w:rPr>
          <w:rFonts w:ascii="Arial" w:cs="Arial" w:eastAsia="Arial" w:hAnsi="Arial"/>
          <w:sz w:val="17"/>
          <w:szCs w:val="17"/>
          <w:color w:val="363636"/>
        </w:rPr>
        <w:t>m</w:t>
      </w:r>
      <w:r>
        <w:rPr>
          <w:rFonts w:ascii="Arial" w:cs="Arial" w:eastAsia="Arial" w:hAnsi="Arial"/>
          <w:sz w:val="17"/>
          <w:szCs w:val="17"/>
          <w:color w:val="282828"/>
        </w:rPr>
        <w:t>p</w:t>
      </w:r>
      <w:r>
        <w:rPr>
          <w:rFonts w:ascii="Arial" w:cs="Arial" w:eastAsia="Arial" w:hAnsi="Arial"/>
          <w:sz w:val="17"/>
          <w:szCs w:val="17"/>
          <w:color w:val="363636"/>
        </w:rPr>
        <w:t>any</w:t>
      </w:r>
      <w:r>
        <w:rPr>
          <w:rFonts w:ascii="Arial" w:cs="Arial" w:eastAsia="Arial" w:hAnsi="Arial"/>
          <w:sz w:val="17"/>
          <w:szCs w:val="17"/>
          <w:color w:val="595959"/>
        </w:rPr>
        <w:t>,</w:t>
      </w:r>
      <w:r>
        <w:rPr>
          <w:rFonts w:ascii="Arial" w:cs="Arial" w:eastAsia="Arial" w:hAnsi="Arial"/>
          <w:sz w:val="17"/>
          <w:szCs w:val="17"/>
          <w:color w:val="363636"/>
        </w:rPr>
        <w:t xml:space="preserve"> s</w:t>
      </w:r>
      <w:r>
        <w:rPr>
          <w:rFonts w:ascii="Arial" w:cs="Arial" w:eastAsia="Arial" w:hAnsi="Arial"/>
          <w:sz w:val="17"/>
          <w:szCs w:val="17"/>
          <w:color w:val="282828"/>
        </w:rPr>
        <w:t>ubj</w:t>
      </w:r>
      <w:r>
        <w:rPr>
          <w:rFonts w:ascii="Arial" w:cs="Arial" w:eastAsia="Arial" w:hAnsi="Arial"/>
          <w:sz w:val="17"/>
          <w:szCs w:val="17"/>
          <w:color w:val="363636"/>
        </w:rPr>
        <w:t xml:space="preserve">ect </w:t>
      </w:r>
      <w:r>
        <w:rPr>
          <w:rFonts w:ascii="Arial" w:cs="Arial" w:eastAsia="Arial" w:hAnsi="Arial"/>
          <w:sz w:val="17"/>
          <w:szCs w:val="17"/>
          <w:color w:val="282828"/>
        </w:rPr>
        <w:t>i</w:t>
      </w:r>
      <w:r>
        <w:rPr>
          <w:rFonts w:ascii="Arial" w:cs="Arial" w:eastAsia="Arial" w:hAnsi="Arial"/>
          <w:sz w:val="17"/>
          <w:szCs w:val="17"/>
          <w:color w:val="363636"/>
        </w:rPr>
        <w:t>n each case t</w:t>
      </w:r>
      <w:r>
        <w:rPr>
          <w:rFonts w:ascii="Arial" w:cs="Arial" w:eastAsia="Arial" w:hAnsi="Arial"/>
          <w:sz w:val="17"/>
          <w:szCs w:val="17"/>
          <w:color w:val="282828"/>
        </w:rPr>
        <w:t>o th</w:t>
      </w:r>
      <w:r>
        <w:rPr>
          <w:rFonts w:ascii="Arial" w:cs="Arial" w:eastAsia="Arial" w:hAnsi="Arial"/>
          <w:sz w:val="17"/>
          <w:szCs w:val="17"/>
          <w:color w:val="363636"/>
        </w:rPr>
        <w:t>e ge</w:t>
      </w:r>
      <w:r>
        <w:rPr>
          <w:rFonts w:ascii="Arial" w:cs="Arial" w:eastAsia="Arial" w:hAnsi="Arial"/>
          <w:sz w:val="17"/>
          <w:szCs w:val="17"/>
          <w:color w:val="282828"/>
        </w:rPr>
        <w:t>n</w:t>
      </w:r>
      <w:r>
        <w:rPr>
          <w:rFonts w:ascii="Arial" w:cs="Arial" w:eastAsia="Arial" w:hAnsi="Arial"/>
          <w:sz w:val="17"/>
          <w:szCs w:val="17"/>
          <w:color w:val="363636"/>
        </w:rPr>
        <w:t>era</w:t>
      </w:r>
      <w:r>
        <w:rPr>
          <w:rFonts w:ascii="Arial" w:cs="Arial" w:eastAsia="Arial" w:hAnsi="Arial"/>
          <w:sz w:val="17"/>
          <w:szCs w:val="17"/>
          <w:color w:val="171717"/>
        </w:rPr>
        <w:t>ll</w:t>
      </w:r>
      <w:r>
        <w:rPr>
          <w:rFonts w:ascii="Arial" w:cs="Arial" w:eastAsia="Arial" w:hAnsi="Arial"/>
          <w:sz w:val="17"/>
          <w:szCs w:val="17"/>
          <w:color w:val="363636"/>
        </w:rPr>
        <w:t>y a</w:t>
      </w:r>
      <w:r>
        <w:rPr>
          <w:rFonts w:ascii="Arial" w:cs="Arial" w:eastAsia="Arial" w:hAnsi="Arial"/>
          <w:sz w:val="17"/>
          <w:szCs w:val="17"/>
          <w:color w:val="282828"/>
        </w:rPr>
        <w:t>pp</w:t>
      </w:r>
      <w:r>
        <w:rPr>
          <w:rFonts w:ascii="Arial" w:cs="Arial" w:eastAsia="Arial" w:hAnsi="Arial"/>
          <w:sz w:val="17"/>
          <w:szCs w:val="17"/>
          <w:color w:val="363636"/>
        </w:rPr>
        <w:t>lica</w:t>
      </w:r>
      <w:r>
        <w:rPr>
          <w:rFonts w:ascii="Arial" w:cs="Arial" w:eastAsia="Arial" w:hAnsi="Arial"/>
          <w:sz w:val="17"/>
          <w:szCs w:val="17"/>
          <w:color w:val="282828"/>
        </w:rPr>
        <w:t>bl</w:t>
      </w:r>
      <w:r>
        <w:rPr>
          <w:rFonts w:ascii="Arial" w:cs="Arial" w:eastAsia="Arial" w:hAnsi="Arial"/>
          <w:sz w:val="17"/>
          <w:szCs w:val="17"/>
          <w:color w:val="363636"/>
        </w:rPr>
        <w:t>e te</w:t>
      </w:r>
      <w:r>
        <w:rPr>
          <w:rFonts w:ascii="Arial" w:cs="Arial" w:eastAsia="Arial" w:hAnsi="Arial"/>
          <w:sz w:val="17"/>
          <w:szCs w:val="17"/>
          <w:color w:val="282828"/>
        </w:rPr>
        <w:t>rm</w:t>
      </w:r>
      <w:r>
        <w:rPr>
          <w:rFonts w:ascii="Arial" w:cs="Arial" w:eastAsia="Arial" w:hAnsi="Arial"/>
          <w:sz w:val="17"/>
          <w:szCs w:val="17"/>
          <w:color w:val="363636"/>
        </w:rPr>
        <w:t>s a</w:t>
      </w:r>
      <w:r>
        <w:rPr>
          <w:rFonts w:ascii="Arial" w:cs="Arial" w:eastAsia="Arial" w:hAnsi="Arial"/>
          <w:sz w:val="17"/>
          <w:szCs w:val="17"/>
          <w:color w:val="282828"/>
        </w:rPr>
        <w:t>nd</w:t>
      </w:r>
      <w:r>
        <w:rPr>
          <w:rFonts w:ascii="Arial" w:cs="Arial" w:eastAsia="Arial" w:hAnsi="Arial"/>
          <w:sz w:val="17"/>
          <w:szCs w:val="17"/>
          <w:color w:val="363636"/>
        </w:rPr>
        <w:t xml:space="preserve"> c</w:t>
      </w:r>
      <w:r>
        <w:rPr>
          <w:rFonts w:ascii="Arial" w:cs="Arial" w:eastAsia="Arial" w:hAnsi="Arial"/>
          <w:sz w:val="17"/>
          <w:szCs w:val="17"/>
          <w:color w:val="282828"/>
        </w:rPr>
        <w:t>ondi</w:t>
      </w:r>
      <w:r>
        <w:rPr>
          <w:rFonts w:ascii="Arial" w:cs="Arial" w:eastAsia="Arial" w:hAnsi="Arial"/>
          <w:sz w:val="17"/>
          <w:szCs w:val="17"/>
          <w:color w:val="363636"/>
        </w:rPr>
        <w:t>t</w:t>
      </w:r>
      <w:r>
        <w:rPr>
          <w:rFonts w:ascii="Arial" w:cs="Arial" w:eastAsia="Arial" w:hAnsi="Arial"/>
          <w:sz w:val="17"/>
          <w:szCs w:val="17"/>
          <w:color w:val="282828"/>
        </w:rPr>
        <w:t>ion</w:t>
      </w:r>
      <w:r>
        <w:rPr>
          <w:rFonts w:ascii="Arial" w:cs="Arial" w:eastAsia="Arial" w:hAnsi="Arial"/>
          <w:sz w:val="17"/>
          <w:szCs w:val="17"/>
          <w:color w:val="363636"/>
        </w:rPr>
        <w:t xml:space="preserve">s </w:t>
      </w:r>
      <w:r>
        <w:rPr>
          <w:rFonts w:ascii="Arial" w:cs="Arial" w:eastAsia="Arial" w:hAnsi="Arial"/>
          <w:sz w:val="17"/>
          <w:szCs w:val="17"/>
          <w:color w:val="282828"/>
        </w:rPr>
        <w:t>o</w:t>
      </w:r>
      <w:r>
        <w:rPr>
          <w:rFonts w:ascii="Arial" w:cs="Arial" w:eastAsia="Arial" w:hAnsi="Arial"/>
          <w:sz w:val="17"/>
          <w:szCs w:val="17"/>
          <w:color w:val="363636"/>
        </w:rPr>
        <w:t>f</w:t>
      </w:r>
      <w:r>
        <w:rPr>
          <w:rFonts w:ascii="Arial" w:cs="Arial" w:eastAsia="Arial" w:hAnsi="Arial"/>
          <w:sz w:val="17"/>
          <w:szCs w:val="17"/>
          <w:color w:val="282828"/>
        </w:rPr>
        <w:t xml:space="preserve"> t</w:t>
      </w:r>
      <w:r>
        <w:rPr>
          <w:rFonts w:ascii="Arial" w:cs="Arial" w:eastAsia="Arial" w:hAnsi="Arial"/>
          <w:sz w:val="17"/>
          <w:szCs w:val="17"/>
          <w:color w:val="171717"/>
        </w:rPr>
        <w:t>h</w:t>
      </w:r>
      <w:r>
        <w:rPr>
          <w:rFonts w:ascii="Arial" w:cs="Arial" w:eastAsia="Arial" w:hAnsi="Arial"/>
          <w:sz w:val="17"/>
          <w:szCs w:val="17"/>
          <w:color w:val="363636"/>
        </w:rPr>
        <w:t>e</w:t>
      </w:r>
      <w:r>
        <w:rPr>
          <w:rFonts w:ascii="Arial" w:cs="Arial" w:eastAsia="Arial" w:hAnsi="Arial"/>
          <w:sz w:val="17"/>
          <w:szCs w:val="17"/>
          <w:color w:val="282828"/>
        </w:rPr>
        <w:t xml:space="preserve"> p</w:t>
      </w:r>
      <w:r>
        <w:rPr>
          <w:rFonts w:ascii="Arial" w:cs="Arial" w:eastAsia="Arial" w:hAnsi="Arial"/>
          <w:sz w:val="17"/>
          <w:szCs w:val="17"/>
          <w:color w:val="171717"/>
        </w:rPr>
        <w:t>l</w:t>
      </w:r>
      <w:r>
        <w:rPr>
          <w:rFonts w:ascii="Arial" w:cs="Arial" w:eastAsia="Arial" w:hAnsi="Arial"/>
          <w:sz w:val="17"/>
          <w:szCs w:val="17"/>
          <w:color w:val="363636"/>
        </w:rPr>
        <w:t>an</w:t>
      </w:r>
      <w:r>
        <w:rPr>
          <w:rFonts w:ascii="Arial" w:cs="Arial" w:eastAsia="Arial" w:hAnsi="Arial"/>
          <w:sz w:val="17"/>
          <w:szCs w:val="17"/>
          <w:color w:val="282828"/>
        </w:rPr>
        <w:t xml:space="preserve"> in </w:t>
      </w:r>
      <w:r>
        <w:rPr>
          <w:rFonts w:ascii="Arial" w:cs="Arial" w:eastAsia="Arial" w:hAnsi="Arial"/>
          <w:sz w:val="17"/>
          <w:szCs w:val="17"/>
          <w:color w:val="363636"/>
        </w:rPr>
        <w:t>q</w:t>
      </w:r>
      <w:r>
        <w:rPr>
          <w:rFonts w:ascii="Arial" w:cs="Arial" w:eastAsia="Arial" w:hAnsi="Arial"/>
          <w:sz w:val="17"/>
          <w:szCs w:val="17"/>
          <w:color w:val="171717"/>
        </w:rPr>
        <w:t>u</w:t>
      </w:r>
      <w:r>
        <w:rPr>
          <w:rFonts w:ascii="Arial" w:cs="Arial" w:eastAsia="Arial" w:hAnsi="Arial"/>
          <w:sz w:val="17"/>
          <w:szCs w:val="17"/>
          <w:color w:val="363636"/>
        </w:rPr>
        <w:t>esti</w:t>
      </w:r>
      <w:r>
        <w:rPr>
          <w:rFonts w:ascii="Arial" w:cs="Arial" w:eastAsia="Arial" w:hAnsi="Arial"/>
          <w:sz w:val="17"/>
          <w:szCs w:val="17"/>
          <w:color w:val="282828"/>
        </w:rPr>
        <w:t>on and t</w:t>
      </w:r>
      <w:r>
        <w:rPr>
          <w:rFonts w:ascii="Arial" w:cs="Arial" w:eastAsia="Arial" w:hAnsi="Arial"/>
          <w:sz w:val="17"/>
          <w:szCs w:val="17"/>
          <w:color w:val="363636"/>
        </w:rPr>
        <w:t>o</w:t>
      </w:r>
      <w:r>
        <w:rPr>
          <w:rFonts w:ascii="Arial" w:cs="Arial" w:eastAsia="Arial" w:hAnsi="Arial"/>
          <w:sz w:val="17"/>
          <w:szCs w:val="17"/>
          <w:color w:val="282828"/>
        </w:rPr>
        <w:t xml:space="preserve"> th</w:t>
      </w:r>
      <w:r>
        <w:rPr>
          <w:rFonts w:ascii="Arial" w:cs="Arial" w:eastAsia="Arial" w:hAnsi="Arial"/>
          <w:sz w:val="17"/>
          <w:szCs w:val="17"/>
          <w:color w:val="363636"/>
        </w:rPr>
        <w:t>e</w:t>
      </w:r>
      <w:r>
        <w:rPr>
          <w:rFonts w:ascii="Arial" w:cs="Arial" w:eastAsia="Arial" w:hAnsi="Arial"/>
          <w:sz w:val="17"/>
          <w:szCs w:val="17"/>
          <w:color w:val="282828"/>
        </w:rPr>
        <w:t xml:space="preserve"> d</w:t>
      </w:r>
      <w:r>
        <w:rPr>
          <w:rFonts w:ascii="Arial" w:cs="Arial" w:eastAsia="Arial" w:hAnsi="Arial"/>
          <w:sz w:val="17"/>
          <w:szCs w:val="17"/>
          <w:color w:val="363636"/>
        </w:rPr>
        <w:t>etermi</w:t>
      </w:r>
      <w:r>
        <w:rPr>
          <w:rFonts w:ascii="Arial" w:cs="Arial" w:eastAsia="Arial" w:hAnsi="Arial"/>
          <w:sz w:val="17"/>
          <w:szCs w:val="17"/>
          <w:color w:val="282828"/>
        </w:rPr>
        <w:t>n</w:t>
      </w:r>
      <w:r>
        <w:rPr>
          <w:rFonts w:ascii="Arial" w:cs="Arial" w:eastAsia="Arial" w:hAnsi="Arial"/>
          <w:sz w:val="17"/>
          <w:szCs w:val="17"/>
          <w:color w:val="363636"/>
        </w:rPr>
        <w:t>at</w:t>
      </w:r>
      <w:r>
        <w:rPr>
          <w:rFonts w:ascii="Arial" w:cs="Arial" w:eastAsia="Arial" w:hAnsi="Arial"/>
          <w:sz w:val="17"/>
          <w:szCs w:val="17"/>
          <w:color w:val="282828"/>
        </w:rPr>
        <w:t>ion</w:t>
      </w:r>
      <w:r>
        <w:rPr>
          <w:rFonts w:ascii="Arial" w:cs="Arial" w:eastAsia="Arial" w:hAnsi="Arial"/>
          <w:sz w:val="17"/>
          <w:szCs w:val="17"/>
          <w:color w:val="363636"/>
        </w:rPr>
        <w:t>s of a</w:t>
      </w:r>
      <w:r>
        <w:rPr>
          <w:rFonts w:ascii="Arial" w:cs="Arial" w:eastAsia="Arial" w:hAnsi="Arial"/>
          <w:sz w:val="17"/>
          <w:szCs w:val="17"/>
          <w:color w:val="282828"/>
        </w:rPr>
        <w:t>ny p</w:t>
      </w:r>
      <w:r>
        <w:rPr>
          <w:rFonts w:ascii="Arial" w:cs="Arial" w:eastAsia="Arial" w:hAnsi="Arial"/>
          <w:sz w:val="17"/>
          <w:szCs w:val="17"/>
          <w:color w:val="363636"/>
        </w:rPr>
        <w:t>e</w:t>
      </w:r>
      <w:r>
        <w:rPr>
          <w:rFonts w:ascii="Arial" w:cs="Arial" w:eastAsia="Arial" w:hAnsi="Arial"/>
          <w:sz w:val="17"/>
          <w:szCs w:val="17"/>
          <w:color w:val="282828"/>
        </w:rPr>
        <w:t>r</w:t>
      </w:r>
      <w:r>
        <w:rPr>
          <w:rFonts w:ascii="Arial" w:cs="Arial" w:eastAsia="Arial" w:hAnsi="Arial"/>
          <w:sz w:val="17"/>
          <w:szCs w:val="17"/>
          <w:color w:val="363636"/>
        </w:rPr>
        <w:t>s</w:t>
      </w:r>
      <w:r>
        <w:rPr>
          <w:rFonts w:ascii="Arial" w:cs="Arial" w:eastAsia="Arial" w:hAnsi="Arial"/>
          <w:sz w:val="17"/>
          <w:szCs w:val="17"/>
          <w:color w:val="282828"/>
        </w:rPr>
        <w:t>on o</w:t>
      </w:r>
      <w:r>
        <w:rPr>
          <w:rFonts w:ascii="Arial" w:cs="Arial" w:eastAsia="Arial" w:hAnsi="Arial"/>
          <w:sz w:val="17"/>
          <w:szCs w:val="17"/>
          <w:color w:val="363636"/>
        </w:rPr>
        <w:t>r</w:t>
      </w:r>
      <w:r>
        <w:rPr>
          <w:rFonts w:ascii="Arial" w:cs="Arial" w:eastAsia="Arial" w:hAnsi="Arial"/>
          <w:sz w:val="17"/>
          <w:szCs w:val="17"/>
          <w:color w:val="282828"/>
        </w:rPr>
        <w:t xml:space="preserve"> commi</w:t>
      </w:r>
      <w:r>
        <w:rPr>
          <w:rFonts w:ascii="Arial" w:cs="Arial" w:eastAsia="Arial" w:hAnsi="Arial"/>
          <w:sz w:val="17"/>
          <w:szCs w:val="17"/>
          <w:color w:val="363636"/>
        </w:rPr>
        <w:t>ttee a</w:t>
      </w:r>
      <w:r>
        <w:rPr>
          <w:rFonts w:ascii="Arial" w:cs="Arial" w:eastAsia="Arial" w:hAnsi="Arial"/>
          <w:sz w:val="17"/>
          <w:szCs w:val="17"/>
          <w:color w:val="282828"/>
        </w:rPr>
        <w:t>dmi</w:t>
      </w:r>
      <w:r>
        <w:rPr>
          <w:rFonts w:ascii="Arial" w:cs="Arial" w:eastAsia="Arial" w:hAnsi="Arial"/>
          <w:sz w:val="17"/>
          <w:szCs w:val="17"/>
          <w:color w:val="171717"/>
        </w:rPr>
        <w:t>n</w:t>
      </w:r>
      <w:r>
        <w:rPr>
          <w:rFonts w:ascii="Arial" w:cs="Arial" w:eastAsia="Arial" w:hAnsi="Arial"/>
          <w:sz w:val="17"/>
          <w:szCs w:val="17"/>
          <w:color w:val="363636"/>
        </w:rPr>
        <w:t>iste</w:t>
      </w:r>
      <w:r>
        <w:rPr>
          <w:rFonts w:ascii="Arial" w:cs="Arial" w:eastAsia="Arial" w:hAnsi="Arial"/>
          <w:sz w:val="17"/>
          <w:szCs w:val="17"/>
          <w:color w:val="282828"/>
        </w:rPr>
        <w:t>rin</w:t>
      </w:r>
      <w:r>
        <w:rPr>
          <w:rFonts w:ascii="Arial" w:cs="Arial" w:eastAsia="Arial" w:hAnsi="Arial"/>
          <w:sz w:val="17"/>
          <w:szCs w:val="17"/>
          <w:color w:val="363636"/>
        </w:rPr>
        <w:t>g s</w:t>
      </w:r>
      <w:r>
        <w:rPr>
          <w:rFonts w:ascii="Arial" w:cs="Arial" w:eastAsia="Arial" w:hAnsi="Arial"/>
          <w:sz w:val="17"/>
          <w:szCs w:val="17"/>
          <w:color w:val="282828"/>
        </w:rPr>
        <w:t>uc</w:t>
      </w:r>
      <w:r>
        <w:rPr>
          <w:rFonts w:ascii="Arial" w:cs="Arial" w:eastAsia="Arial" w:hAnsi="Arial"/>
          <w:sz w:val="17"/>
          <w:szCs w:val="17"/>
          <w:color w:val="171717"/>
        </w:rPr>
        <w:t>h</w:t>
      </w:r>
      <w:r>
        <w:rPr>
          <w:rFonts w:ascii="Arial" w:cs="Arial" w:eastAsia="Arial" w:hAnsi="Arial"/>
          <w:sz w:val="17"/>
          <w:szCs w:val="17"/>
          <w:color w:val="282828"/>
        </w:rPr>
        <w:t xml:space="preserve"> p</w:t>
      </w:r>
      <w:r>
        <w:rPr>
          <w:rFonts w:ascii="Arial" w:cs="Arial" w:eastAsia="Arial" w:hAnsi="Arial"/>
          <w:sz w:val="17"/>
          <w:szCs w:val="17"/>
          <w:color w:val="171717"/>
        </w:rPr>
        <w:t>l</w:t>
      </w:r>
      <w:r>
        <w:rPr>
          <w:rFonts w:ascii="Arial" w:cs="Arial" w:eastAsia="Arial" w:hAnsi="Arial"/>
          <w:sz w:val="17"/>
          <w:szCs w:val="17"/>
          <w:color w:val="363636"/>
        </w:rPr>
        <w:t>a</w:t>
      </w:r>
      <w:r>
        <w:rPr>
          <w:rFonts w:ascii="Arial" w:cs="Arial" w:eastAsia="Arial" w:hAnsi="Arial"/>
          <w:sz w:val="17"/>
          <w:szCs w:val="17"/>
          <w:color w:val="282828"/>
        </w:rPr>
        <w:t>n.</w:t>
      </w:r>
    </w:p>
    <w:p>
      <w:pPr>
        <w:ind w:left="283" w:right="340" w:hanging="283"/>
        <w:spacing w:after="0"/>
        <w:tabs>
          <w:tab w:leader="none" w:pos="282" w:val="left"/>
        </w:tabs>
        <w:numPr>
          <w:ilvl w:val="0"/>
          <w:numId w:val="335"/>
        </w:numPr>
        <w:rPr>
          <w:rFonts w:ascii="Arial" w:cs="Arial" w:eastAsia="Arial" w:hAnsi="Arial"/>
          <w:sz w:val="18"/>
          <w:szCs w:val="18"/>
          <w:color w:val="282828"/>
        </w:rPr>
      </w:pPr>
      <w:r>
        <w:rPr>
          <w:rFonts w:ascii="Arial" w:cs="Arial" w:eastAsia="Arial" w:hAnsi="Arial"/>
          <w:sz w:val="18"/>
          <w:szCs w:val="18"/>
          <w:b w:val="1"/>
          <w:bCs w:val="1"/>
          <w:u w:val="single" w:color="auto"/>
          <w:color w:val="171717"/>
        </w:rPr>
        <w:t>Bu</w:t>
      </w:r>
      <w:r>
        <w:rPr>
          <w:rFonts w:ascii="Arial" w:cs="Arial" w:eastAsia="Arial" w:hAnsi="Arial"/>
          <w:sz w:val="18"/>
          <w:szCs w:val="18"/>
          <w:b w:val="1"/>
          <w:bCs w:val="1"/>
          <w:u w:val="single" w:color="auto"/>
          <w:color w:val="282828"/>
        </w:rPr>
        <w:t>s</w:t>
      </w:r>
      <w:r>
        <w:rPr>
          <w:rFonts w:ascii="Arial" w:cs="Arial" w:eastAsia="Arial" w:hAnsi="Arial"/>
          <w:sz w:val="18"/>
          <w:szCs w:val="18"/>
          <w:b w:val="1"/>
          <w:bCs w:val="1"/>
          <w:u w:val="single" w:color="auto"/>
          <w:color w:val="171717"/>
        </w:rPr>
        <w:t>in</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s</w:t>
      </w:r>
      <w:r>
        <w:rPr>
          <w:rFonts w:ascii="Arial" w:cs="Arial" w:eastAsia="Arial" w:hAnsi="Arial"/>
          <w:sz w:val="18"/>
          <w:szCs w:val="18"/>
          <w:b w:val="1"/>
          <w:bCs w:val="1"/>
          <w:u w:val="single" w:color="auto"/>
          <w:color w:val="282828"/>
        </w:rPr>
        <w:t>s Ex</w:t>
      </w:r>
      <w:r>
        <w:rPr>
          <w:rFonts w:ascii="Arial" w:cs="Arial" w:eastAsia="Arial" w:hAnsi="Arial"/>
          <w:sz w:val="18"/>
          <w:szCs w:val="18"/>
          <w:b w:val="1"/>
          <w:bCs w:val="1"/>
          <w:u w:val="single" w:color="auto"/>
          <w:color w:val="171717"/>
        </w:rPr>
        <w:t>p</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ns</w:t>
      </w:r>
      <w:r>
        <w:rPr>
          <w:rFonts w:ascii="Arial" w:cs="Arial" w:eastAsia="Arial" w:hAnsi="Arial"/>
          <w:sz w:val="18"/>
          <w:szCs w:val="18"/>
          <w:b w:val="1"/>
          <w:bCs w:val="1"/>
          <w:u w:val="single" w:color="auto"/>
          <w:color w:val="282828"/>
        </w:rPr>
        <w:t>es</w:t>
      </w:r>
      <w:r>
        <w:rPr>
          <w:rFonts w:ascii="Arial" w:cs="Arial" w:eastAsia="Arial" w:hAnsi="Arial"/>
          <w:sz w:val="18"/>
          <w:szCs w:val="18"/>
          <w:b w:val="1"/>
          <w:bCs w:val="1"/>
          <w:color w:val="171717"/>
        </w:rPr>
        <w:t xml:space="preserve">. </w:t>
      </w:r>
      <w:r>
        <w:rPr>
          <w:rFonts w:ascii="Arial" w:cs="Arial" w:eastAsia="Arial" w:hAnsi="Arial"/>
          <w:sz w:val="18"/>
          <w:szCs w:val="18"/>
          <w:color w:val="363636"/>
        </w:rPr>
        <w:t>T</w:t>
      </w:r>
      <w:r>
        <w:rPr>
          <w:rFonts w:ascii="Arial" w:cs="Arial" w:eastAsia="Arial" w:hAnsi="Arial"/>
          <w:sz w:val="18"/>
          <w:szCs w:val="18"/>
          <w:color w:val="282828"/>
        </w:rPr>
        <w:t>h</w:t>
      </w:r>
      <w:r>
        <w:rPr>
          <w:rFonts w:ascii="Arial" w:cs="Arial" w:eastAsia="Arial" w:hAnsi="Arial"/>
          <w:sz w:val="18"/>
          <w:szCs w:val="18"/>
          <w:color w:val="363636"/>
        </w:rPr>
        <w:t>e C</w:t>
      </w:r>
      <w:r>
        <w:rPr>
          <w:rFonts w:ascii="Arial" w:cs="Arial" w:eastAsia="Arial" w:hAnsi="Arial"/>
          <w:sz w:val="18"/>
          <w:szCs w:val="18"/>
          <w:color w:val="282828"/>
        </w:rPr>
        <w:t>o</w:t>
      </w:r>
      <w:r>
        <w:rPr>
          <w:rFonts w:ascii="Arial" w:cs="Arial" w:eastAsia="Arial" w:hAnsi="Arial"/>
          <w:sz w:val="18"/>
          <w:szCs w:val="18"/>
          <w:color w:val="363636"/>
        </w:rPr>
        <w:t>m</w:t>
      </w:r>
      <w:r>
        <w:rPr>
          <w:rFonts w:ascii="Arial" w:cs="Arial" w:eastAsia="Arial" w:hAnsi="Arial"/>
          <w:sz w:val="18"/>
          <w:szCs w:val="18"/>
          <w:color w:val="282828"/>
        </w:rPr>
        <w:t>p</w:t>
      </w:r>
      <w:r>
        <w:rPr>
          <w:rFonts w:ascii="Arial" w:cs="Arial" w:eastAsia="Arial" w:hAnsi="Arial"/>
          <w:sz w:val="18"/>
          <w:szCs w:val="18"/>
          <w:color w:val="363636"/>
        </w:rPr>
        <w:t>a</w:t>
      </w:r>
      <w:r>
        <w:rPr>
          <w:rFonts w:ascii="Arial" w:cs="Arial" w:eastAsia="Arial" w:hAnsi="Arial"/>
          <w:sz w:val="18"/>
          <w:szCs w:val="18"/>
          <w:color w:val="282828"/>
        </w:rPr>
        <w:t>n</w:t>
      </w:r>
      <w:r>
        <w:rPr>
          <w:rFonts w:ascii="Arial" w:cs="Arial" w:eastAsia="Arial" w:hAnsi="Arial"/>
          <w:sz w:val="18"/>
          <w:szCs w:val="18"/>
          <w:color w:val="363636"/>
        </w:rPr>
        <w:t>y w</w:t>
      </w:r>
      <w:r>
        <w:rPr>
          <w:rFonts w:ascii="Arial" w:cs="Arial" w:eastAsia="Arial" w:hAnsi="Arial"/>
          <w:sz w:val="18"/>
          <w:szCs w:val="18"/>
          <w:color w:val="282828"/>
        </w:rPr>
        <w:t>i</w:t>
      </w:r>
      <w:r>
        <w:rPr>
          <w:rFonts w:ascii="Arial" w:cs="Arial" w:eastAsia="Arial" w:hAnsi="Arial"/>
          <w:sz w:val="18"/>
          <w:szCs w:val="18"/>
          <w:color w:val="171717"/>
        </w:rPr>
        <w:t>ll</w:t>
      </w:r>
      <w:r>
        <w:rPr>
          <w:rFonts w:ascii="Arial" w:cs="Arial" w:eastAsia="Arial" w:hAnsi="Arial"/>
          <w:sz w:val="18"/>
          <w:szCs w:val="18"/>
          <w:b w:val="1"/>
          <w:bCs w:val="1"/>
          <w:color w:val="171717"/>
        </w:rPr>
        <w:t xml:space="preserve"> </w:t>
      </w:r>
      <w:r>
        <w:rPr>
          <w:rFonts w:ascii="Arial" w:cs="Arial" w:eastAsia="Arial" w:hAnsi="Arial"/>
          <w:sz w:val="18"/>
          <w:szCs w:val="18"/>
          <w:color w:val="363636"/>
        </w:rPr>
        <w:t>reim</w:t>
      </w:r>
      <w:r>
        <w:rPr>
          <w:rFonts w:ascii="Arial" w:cs="Arial" w:eastAsia="Arial" w:hAnsi="Arial"/>
          <w:sz w:val="18"/>
          <w:szCs w:val="18"/>
          <w:color w:val="171717"/>
        </w:rPr>
        <w:t>b</w:t>
      </w:r>
      <w:r>
        <w:rPr>
          <w:rFonts w:ascii="Arial" w:cs="Arial" w:eastAsia="Arial" w:hAnsi="Arial"/>
          <w:sz w:val="18"/>
          <w:szCs w:val="18"/>
          <w:color w:val="363636"/>
        </w:rPr>
        <w:t>urse y</w:t>
      </w:r>
      <w:r>
        <w:rPr>
          <w:rFonts w:ascii="Arial" w:cs="Arial" w:eastAsia="Arial" w:hAnsi="Arial"/>
          <w:sz w:val="18"/>
          <w:szCs w:val="18"/>
          <w:color w:val="282828"/>
        </w:rPr>
        <w:t>ou</w:t>
      </w:r>
      <w:r>
        <w:rPr>
          <w:rFonts w:ascii="Arial" w:cs="Arial" w:eastAsia="Arial" w:hAnsi="Arial"/>
          <w:sz w:val="18"/>
          <w:szCs w:val="18"/>
          <w:b w:val="1"/>
          <w:bCs w:val="1"/>
          <w:color w:val="171717"/>
        </w:rPr>
        <w:t xml:space="preserve"> </w:t>
      </w:r>
      <w:r>
        <w:rPr>
          <w:rFonts w:ascii="Arial" w:cs="Arial" w:eastAsia="Arial" w:hAnsi="Arial"/>
          <w:sz w:val="18"/>
          <w:szCs w:val="18"/>
          <w:color w:val="363636"/>
        </w:rPr>
        <w:t>for y</w:t>
      </w:r>
      <w:r>
        <w:rPr>
          <w:rFonts w:ascii="Arial" w:cs="Arial" w:eastAsia="Arial" w:hAnsi="Arial"/>
          <w:sz w:val="18"/>
          <w:szCs w:val="18"/>
          <w:color w:val="282828"/>
        </w:rPr>
        <w:t>o</w:t>
      </w:r>
      <w:r>
        <w:rPr>
          <w:rFonts w:ascii="Arial" w:cs="Arial" w:eastAsia="Arial" w:hAnsi="Arial"/>
          <w:sz w:val="18"/>
          <w:szCs w:val="18"/>
          <w:color w:val="363636"/>
        </w:rPr>
        <w:t>ur</w:t>
      </w:r>
      <w:r>
        <w:rPr>
          <w:rFonts w:ascii="Arial" w:cs="Arial" w:eastAsia="Arial" w:hAnsi="Arial"/>
          <w:sz w:val="18"/>
          <w:szCs w:val="18"/>
          <w:b w:val="1"/>
          <w:bCs w:val="1"/>
          <w:color w:val="171717"/>
        </w:rPr>
        <w:t xml:space="preserve"> </w:t>
      </w:r>
      <w:r>
        <w:rPr>
          <w:rFonts w:ascii="Arial" w:cs="Arial" w:eastAsia="Arial" w:hAnsi="Arial"/>
          <w:sz w:val="18"/>
          <w:szCs w:val="18"/>
          <w:color w:val="282828"/>
        </w:rPr>
        <w:t>n</w:t>
      </w:r>
      <w:r>
        <w:rPr>
          <w:rFonts w:ascii="Arial" w:cs="Arial" w:eastAsia="Arial" w:hAnsi="Arial"/>
          <w:sz w:val="18"/>
          <w:szCs w:val="18"/>
          <w:color w:val="363636"/>
        </w:rPr>
        <w:t>ecessary an</w:t>
      </w:r>
      <w:r>
        <w:rPr>
          <w:rFonts w:ascii="Arial" w:cs="Arial" w:eastAsia="Arial" w:hAnsi="Arial"/>
          <w:sz w:val="18"/>
          <w:szCs w:val="18"/>
          <w:color w:val="282828"/>
        </w:rPr>
        <w:t>d</w:t>
      </w:r>
      <w:r>
        <w:rPr>
          <w:rFonts w:ascii="Arial" w:cs="Arial" w:eastAsia="Arial" w:hAnsi="Arial"/>
          <w:sz w:val="18"/>
          <w:szCs w:val="18"/>
          <w:b w:val="1"/>
          <w:bCs w:val="1"/>
          <w:color w:val="171717"/>
        </w:rPr>
        <w:t xml:space="preserve"> </w:t>
      </w:r>
      <w:r>
        <w:rPr>
          <w:rFonts w:ascii="Arial" w:cs="Arial" w:eastAsia="Arial" w:hAnsi="Arial"/>
          <w:sz w:val="18"/>
          <w:szCs w:val="18"/>
          <w:color w:val="363636"/>
        </w:rPr>
        <w:t>reas</w:t>
      </w:r>
      <w:r>
        <w:rPr>
          <w:rFonts w:ascii="Arial" w:cs="Arial" w:eastAsia="Arial" w:hAnsi="Arial"/>
          <w:sz w:val="18"/>
          <w:szCs w:val="18"/>
          <w:color w:val="282828"/>
        </w:rPr>
        <w:t>o</w:t>
      </w:r>
      <w:r>
        <w:rPr>
          <w:rFonts w:ascii="Arial" w:cs="Arial" w:eastAsia="Arial" w:hAnsi="Arial"/>
          <w:sz w:val="18"/>
          <w:szCs w:val="18"/>
          <w:color w:val="363636"/>
        </w:rPr>
        <w:t>na</w:t>
      </w:r>
      <w:r>
        <w:rPr>
          <w:rFonts w:ascii="Arial" w:cs="Arial" w:eastAsia="Arial" w:hAnsi="Arial"/>
          <w:sz w:val="18"/>
          <w:szCs w:val="18"/>
          <w:color w:val="282828"/>
        </w:rPr>
        <w:t>bl</w:t>
      </w:r>
      <w:r>
        <w:rPr>
          <w:rFonts w:ascii="Arial" w:cs="Arial" w:eastAsia="Arial" w:hAnsi="Arial"/>
          <w:sz w:val="18"/>
          <w:szCs w:val="18"/>
          <w:color w:val="363636"/>
        </w:rPr>
        <w:t>e</w:t>
      </w:r>
      <w:r>
        <w:rPr>
          <w:rFonts w:ascii="Arial" w:cs="Arial" w:eastAsia="Arial" w:hAnsi="Arial"/>
          <w:sz w:val="18"/>
          <w:szCs w:val="18"/>
          <w:b w:val="1"/>
          <w:bCs w:val="1"/>
          <w:color w:val="171717"/>
        </w:rPr>
        <w:t xml:space="preserve"> </w:t>
      </w:r>
      <w:r>
        <w:rPr>
          <w:rFonts w:ascii="Arial" w:cs="Arial" w:eastAsia="Arial" w:hAnsi="Arial"/>
          <w:sz w:val="18"/>
          <w:szCs w:val="18"/>
          <w:color w:val="171717"/>
        </w:rPr>
        <w:t>b</w:t>
      </w:r>
      <w:r>
        <w:rPr>
          <w:rFonts w:ascii="Arial" w:cs="Arial" w:eastAsia="Arial" w:hAnsi="Arial"/>
          <w:sz w:val="18"/>
          <w:szCs w:val="18"/>
          <w:color w:val="282828"/>
        </w:rPr>
        <w:t>u</w:t>
      </w:r>
      <w:r>
        <w:rPr>
          <w:rFonts w:ascii="Arial" w:cs="Arial" w:eastAsia="Arial" w:hAnsi="Arial"/>
          <w:sz w:val="18"/>
          <w:szCs w:val="18"/>
          <w:color w:val="363636"/>
        </w:rPr>
        <w:t>s</w:t>
      </w:r>
      <w:r>
        <w:rPr>
          <w:rFonts w:ascii="Arial" w:cs="Arial" w:eastAsia="Arial" w:hAnsi="Arial"/>
          <w:sz w:val="18"/>
          <w:szCs w:val="18"/>
          <w:color w:val="282828"/>
        </w:rPr>
        <w:t>in</w:t>
      </w:r>
      <w:r>
        <w:rPr>
          <w:rFonts w:ascii="Arial" w:cs="Arial" w:eastAsia="Arial" w:hAnsi="Arial"/>
          <w:sz w:val="18"/>
          <w:szCs w:val="18"/>
          <w:color w:val="363636"/>
        </w:rPr>
        <w:t>ess ex</w:t>
      </w:r>
      <w:r>
        <w:rPr>
          <w:rFonts w:ascii="Arial" w:cs="Arial" w:eastAsia="Arial" w:hAnsi="Arial"/>
          <w:sz w:val="18"/>
          <w:szCs w:val="18"/>
          <w:color w:val="282828"/>
        </w:rPr>
        <w:t>p</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ses</w:t>
      </w:r>
      <w:r>
        <w:rPr>
          <w:rFonts w:ascii="Arial" w:cs="Arial" w:eastAsia="Arial" w:hAnsi="Arial"/>
          <w:sz w:val="18"/>
          <w:szCs w:val="18"/>
          <w:b w:val="1"/>
          <w:bCs w:val="1"/>
          <w:color w:val="171717"/>
        </w:rPr>
        <w:t xml:space="preserve"> </w:t>
      </w:r>
      <w:r>
        <w:rPr>
          <w:rFonts w:ascii="Arial" w:cs="Arial" w:eastAsia="Arial" w:hAnsi="Arial"/>
          <w:sz w:val="18"/>
          <w:szCs w:val="18"/>
          <w:color w:val="282828"/>
        </w:rPr>
        <w:t>inc</w:t>
      </w:r>
      <w:r>
        <w:rPr>
          <w:rFonts w:ascii="Arial" w:cs="Arial" w:eastAsia="Arial" w:hAnsi="Arial"/>
          <w:sz w:val="18"/>
          <w:szCs w:val="18"/>
          <w:color w:val="171717"/>
        </w:rPr>
        <w:t>u</w:t>
      </w:r>
      <w:r>
        <w:rPr>
          <w:rFonts w:ascii="Arial" w:cs="Arial" w:eastAsia="Arial" w:hAnsi="Arial"/>
          <w:sz w:val="18"/>
          <w:szCs w:val="18"/>
          <w:color w:val="282828"/>
        </w:rPr>
        <w:t>rr</w:t>
      </w:r>
      <w:r>
        <w:rPr>
          <w:rFonts w:ascii="Arial" w:cs="Arial" w:eastAsia="Arial" w:hAnsi="Arial"/>
          <w:sz w:val="18"/>
          <w:szCs w:val="18"/>
          <w:color w:val="363636"/>
        </w:rPr>
        <w:t>e</w:t>
      </w:r>
      <w:r>
        <w:rPr>
          <w:rFonts w:ascii="Arial" w:cs="Arial" w:eastAsia="Arial" w:hAnsi="Arial"/>
          <w:sz w:val="18"/>
          <w:szCs w:val="18"/>
          <w:color w:val="282828"/>
        </w:rPr>
        <w:t>d</w:t>
      </w:r>
      <w:r>
        <w:rPr>
          <w:rFonts w:ascii="Arial" w:cs="Arial" w:eastAsia="Arial" w:hAnsi="Arial"/>
          <w:sz w:val="18"/>
          <w:szCs w:val="18"/>
          <w:b w:val="1"/>
          <w:bCs w:val="1"/>
          <w:color w:val="171717"/>
        </w:rPr>
        <w:t xml:space="preserve"> </w:t>
      </w:r>
      <w:r>
        <w:rPr>
          <w:rFonts w:ascii="Arial" w:cs="Arial" w:eastAsia="Arial" w:hAnsi="Arial"/>
          <w:sz w:val="18"/>
          <w:szCs w:val="18"/>
          <w:color w:val="282828"/>
        </w:rPr>
        <w:t>in</w:t>
      </w:r>
      <w:r>
        <w:rPr>
          <w:rFonts w:ascii="Arial" w:cs="Arial" w:eastAsia="Arial" w:hAnsi="Arial"/>
          <w:sz w:val="18"/>
          <w:szCs w:val="18"/>
          <w:b w:val="1"/>
          <w:bCs w:val="1"/>
          <w:color w:val="171717"/>
        </w:rPr>
        <w:t xml:space="preserve"> </w:t>
      </w:r>
      <w:r>
        <w:rPr>
          <w:rFonts w:ascii="Arial" w:cs="Arial" w:eastAsia="Arial" w:hAnsi="Arial"/>
          <w:sz w:val="18"/>
          <w:szCs w:val="18"/>
          <w:color w:val="282828"/>
        </w:rPr>
        <w:t>conn</w:t>
      </w:r>
      <w:r>
        <w:rPr>
          <w:rFonts w:ascii="Arial" w:cs="Arial" w:eastAsia="Arial" w:hAnsi="Arial"/>
          <w:sz w:val="18"/>
          <w:szCs w:val="18"/>
          <w:color w:val="363636"/>
        </w:rPr>
        <w:t>ec</w:t>
      </w:r>
      <w:r>
        <w:rPr>
          <w:rFonts w:ascii="Arial" w:cs="Arial" w:eastAsia="Arial" w:hAnsi="Arial"/>
          <w:sz w:val="18"/>
          <w:szCs w:val="18"/>
          <w:color w:val="282828"/>
        </w:rPr>
        <w:t>tion with</w:t>
      </w:r>
      <w:r>
        <w:rPr>
          <w:rFonts w:ascii="Arial" w:cs="Arial" w:eastAsia="Arial" w:hAnsi="Arial"/>
          <w:sz w:val="18"/>
          <w:szCs w:val="18"/>
          <w:b w:val="1"/>
          <w:bCs w:val="1"/>
          <w:color w:val="171717"/>
        </w:rPr>
        <w:t xml:space="preserve"> </w:t>
      </w:r>
      <w:r>
        <w:rPr>
          <w:rFonts w:ascii="Arial" w:cs="Arial" w:eastAsia="Arial" w:hAnsi="Arial"/>
          <w:sz w:val="18"/>
          <w:szCs w:val="18"/>
          <w:color w:val="363636"/>
        </w:rPr>
        <w:t>y</w:t>
      </w:r>
      <w:r>
        <w:rPr>
          <w:rFonts w:ascii="Arial" w:cs="Arial" w:eastAsia="Arial" w:hAnsi="Arial"/>
          <w:sz w:val="18"/>
          <w:szCs w:val="18"/>
          <w:color w:val="282828"/>
        </w:rPr>
        <w:t>ou</w:t>
      </w:r>
      <w:r>
        <w:rPr>
          <w:rFonts w:ascii="Arial" w:cs="Arial" w:eastAsia="Arial" w:hAnsi="Arial"/>
          <w:sz w:val="18"/>
          <w:szCs w:val="18"/>
          <w:color w:val="171717"/>
        </w:rPr>
        <w:t>r</w:t>
      </w:r>
      <w:r>
        <w:rPr>
          <w:rFonts w:ascii="Arial" w:cs="Arial" w:eastAsia="Arial" w:hAnsi="Arial"/>
          <w:sz w:val="18"/>
          <w:szCs w:val="18"/>
          <w:b w:val="1"/>
          <w:bCs w:val="1"/>
          <w:color w:val="171717"/>
        </w:rPr>
        <w:t xml:space="preserve"> </w:t>
      </w:r>
      <w:r>
        <w:rPr>
          <w:rFonts w:ascii="Arial" w:cs="Arial" w:eastAsia="Arial" w:hAnsi="Arial"/>
          <w:sz w:val="18"/>
          <w:szCs w:val="18"/>
          <w:color w:val="282828"/>
        </w:rPr>
        <w:t>d</w:t>
      </w:r>
      <w:r>
        <w:rPr>
          <w:rFonts w:ascii="Arial" w:cs="Arial" w:eastAsia="Arial" w:hAnsi="Arial"/>
          <w:sz w:val="18"/>
          <w:szCs w:val="18"/>
          <w:color w:val="171717"/>
        </w:rPr>
        <w:t>u</w:t>
      </w:r>
      <w:r>
        <w:rPr>
          <w:rFonts w:ascii="Arial" w:cs="Arial" w:eastAsia="Arial" w:hAnsi="Arial"/>
          <w:sz w:val="18"/>
          <w:szCs w:val="18"/>
          <w:color w:val="363636"/>
        </w:rPr>
        <w:t>ties</w:t>
      </w:r>
      <w:r>
        <w:rPr>
          <w:rFonts w:ascii="Arial" w:cs="Arial" w:eastAsia="Arial" w:hAnsi="Arial"/>
          <w:sz w:val="18"/>
          <w:szCs w:val="18"/>
          <w:b w:val="1"/>
          <w:bCs w:val="1"/>
          <w:color w:val="171717"/>
        </w:rPr>
        <w:t xml:space="preserve"> </w:t>
      </w:r>
      <w:r>
        <w:rPr>
          <w:rFonts w:ascii="Arial" w:cs="Arial" w:eastAsia="Arial" w:hAnsi="Arial"/>
          <w:sz w:val="18"/>
          <w:szCs w:val="18"/>
          <w:color w:val="282828"/>
        </w:rPr>
        <w:t>h</w:t>
      </w:r>
      <w:r>
        <w:rPr>
          <w:rFonts w:ascii="Arial" w:cs="Arial" w:eastAsia="Arial" w:hAnsi="Arial"/>
          <w:sz w:val="18"/>
          <w:szCs w:val="18"/>
          <w:color w:val="363636"/>
        </w:rPr>
        <w:t>e</w:t>
      </w:r>
      <w:r>
        <w:rPr>
          <w:rFonts w:ascii="Arial" w:cs="Arial" w:eastAsia="Arial" w:hAnsi="Arial"/>
          <w:sz w:val="18"/>
          <w:szCs w:val="18"/>
          <w:color w:val="282828"/>
        </w:rPr>
        <w:t>r</w:t>
      </w:r>
      <w:r>
        <w:rPr>
          <w:rFonts w:ascii="Arial" w:cs="Arial" w:eastAsia="Arial" w:hAnsi="Arial"/>
          <w:sz w:val="18"/>
          <w:szCs w:val="18"/>
          <w:color w:val="363636"/>
        </w:rPr>
        <w:t>e</w:t>
      </w:r>
      <w:r>
        <w:rPr>
          <w:rFonts w:ascii="Arial" w:cs="Arial" w:eastAsia="Arial" w:hAnsi="Arial"/>
          <w:sz w:val="18"/>
          <w:szCs w:val="18"/>
          <w:color w:val="282828"/>
        </w:rPr>
        <w:t>und</w:t>
      </w:r>
      <w:r>
        <w:rPr>
          <w:rFonts w:ascii="Arial" w:cs="Arial" w:eastAsia="Arial" w:hAnsi="Arial"/>
          <w:sz w:val="18"/>
          <w:szCs w:val="18"/>
          <w:color w:val="363636"/>
        </w:rPr>
        <w:t>er</w:t>
      </w:r>
      <w:r>
        <w:rPr>
          <w:rFonts w:ascii="Arial" w:cs="Arial" w:eastAsia="Arial" w:hAnsi="Arial"/>
          <w:sz w:val="18"/>
          <w:szCs w:val="18"/>
          <w:color w:val="282828"/>
        </w:rPr>
        <w:t xml:space="preserve"> upon </w:t>
      </w:r>
      <w:r>
        <w:rPr>
          <w:rFonts w:ascii="Arial" w:cs="Arial" w:eastAsia="Arial" w:hAnsi="Arial"/>
          <w:sz w:val="18"/>
          <w:szCs w:val="18"/>
          <w:color w:val="171717"/>
        </w:rPr>
        <w:t>p</w:t>
      </w:r>
      <w:r>
        <w:rPr>
          <w:rFonts w:ascii="Arial" w:cs="Arial" w:eastAsia="Arial" w:hAnsi="Arial"/>
          <w:sz w:val="18"/>
          <w:szCs w:val="18"/>
          <w:color w:val="282828"/>
        </w:rPr>
        <w:t>r</w:t>
      </w:r>
      <w:r>
        <w:rPr>
          <w:rFonts w:ascii="Arial" w:cs="Arial" w:eastAsia="Arial" w:hAnsi="Arial"/>
          <w:sz w:val="18"/>
          <w:szCs w:val="18"/>
          <w:color w:val="363636"/>
        </w:rPr>
        <w:t>es</w:t>
      </w:r>
      <w:r>
        <w:rPr>
          <w:rFonts w:ascii="Arial" w:cs="Arial" w:eastAsia="Arial" w:hAnsi="Arial"/>
          <w:sz w:val="18"/>
          <w:szCs w:val="18"/>
          <w:color w:val="282828"/>
        </w:rPr>
        <w:t>en</w:t>
      </w:r>
      <w:r>
        <w:rPr>
          <w:rFonts w:ascii="Arial" w:cs="Arial" w:eastAsia="Arial" w:hAnsi="Arial"/>
          <w:sz w:val="18"/>
          <w:szCs w:val="18"/>
          <w:color w:val="363636"/>
        </w:rPr>
        <w:t>tat</w:t>
      </w:r>
      <w:r>
        <w:rPr>
          <w:rFonts w:ascii="Arial" w:cs="Arial" w:eastAsia="Arial" w:hAnsi="Arial"/>
          <w:sz w:val="18"/>
          <w:szCs w:val="18"/>
          <w:color w:val="282828"/>
        </w:rPr>
        <w:t>ion o</w:t>
      </w:r>
      <w:r>
        <w:rPr>
          <w:rFonts w:ascii="Arial" w:cs="Arial" w:eastAsia="Arial" w:hAnsi="Arial"/>
          <w:sz w:val="18"/>
          <w:szCs w:val="18"/>
          <w:color w:val="363636"/>
        </w:rPr>
        <w:t>f a</w:t>
      </w:r>
      <w:r>
        <w:rPr>
          <w:rFonts w:ascii="Arial" w:cs="Arial" w:eastAsia="Arial" w:hAnsi="Arial"/>
          <w:sz w:val="18"/>
          <w:szCs w:val="18"/>
          <w:color w:val="282828"/>
        </w:rPr>
        <w:t xml:space="preserve">n </w:t>
      </w:r>
      <w:r>
        <w:rPr>
          <w:rFonts w:ascii="Arial" w:cs="Arial" w:eastAsia="Arial" w:hAnsi="Arial"/>
          <w:sz w:val="18"/>
          <w:szCs w:val="18"/>
          <w:color w:val="363636"/>
        </w:rPr>
        <w:t>i</w:t>
      </w:r>
      <w:r>
        <w:rPr>
          <w:rFonts w:ascii="Arial" w:cs="Arial" w:eastAsia="Arial" w:hAnsi="Arial"/>
          <w:sz w:val="18"/>
          <w:szCs w:val="18"/>
          <w:color w:val="282828"/>
        </w:rPr>
        <w:t>t</w:t>
      </w:r>
      <w:r>
        <w:rPr>
          <w:rFonts w:ascii="Arial" w:cs="Arial" w:eastAsia="Arial" w:hAnsi="Arial"/>
          <w:sz w:val="18"/>
          <w:szCs w:val="18"/>
          <w:color w:val="363636"/>
        </w:rPr>
        <w:t>emize</w:t>
      </w:r>
      <w:r>
        <w:rPr>
          <w:rFonts w:ascii="Arial" w:cs="Arial" w:eastAsia="Arial" w:hAnsi="Arial"/>
          <w:sz w:val="18"/>
          <w:szCs w:val="18"/>
          <w:color w:val="282828"/>
        </w:rPr>
        <w:t>d accoun</w:t>
      </w:r>
      <w:r>
        <w:rPr>
          <w:rFonts w:ascii="Arial" w:cs="Arial" w:eastAsia="Arial" w:hAnsi="Arial"/>
          <w:sz w:val="18"/>
          <w:szCs w:val="18"/>
          <w:color w:val="363636"/>
        </w:rPr>
        <w:t>t</w:t>
      </w:r>
      <w:r>
        <w:rPr>
          <w:rFonts w:ascii="Arial" w:cs="Arial" w:eastAsia="Arial" w:hAnsi="Arial"/>
          <w:sz w:val="18"/>
          <w:szCs w:val="18"/>
          <w:color w:val="282828"/>
        </w:rPr>
        <w:t xml:space="preserve"> a</w:t>
      </w:r>
      <w:r>
        <w:rPr>
          <w:rFonts w:ascii="Arial" w:cs="Arial" w:eastAsia="Arial" w:hAnsi="Arial"/>
          <w:sz w:val="18"/>
          <w:szCs w:val="18"/>
          <w:color w:val="363636"/>
        </w:rPr>
        <w:t>n</w:t>
      </w:r>
      <w:r>
        <w:rPr>
          <w:rFonts w:ascii="Arial" w:cs="Arial" w:eastAsia="Arial" w:hAnsi="Arial"/>
          <w:sz w:val="18"/>
          <w:szCs w:val="18"/>
          <w:color w:val="171717"/>
        </w:rPr>
        <w:t>d</w:t>
      </w:r>
      <w:r>
        <w:rPr>
          <w:rFonts w:ascii="Arial" w:cs="Arial" w:eastAsia="Arial" w:hAnsi="Arial"/>
          <w:sz w:val="18"/>
          <w:szCs w:val="18"/>
          <w:color w:val="282828"/>
        </w:rPr>
        <w:t xml:space="preserve"> approp</w:t>
      </w:r>
      <w:r>
        <w:rPr>
          <w:rFonts w:ascii="Arial" w:cs="Arial" w:eastAsia="Arial" w:hAnsi="Arial"/>
          <w:sz w:val="18"/>
          <w:szCs w:val="18"/>
          <w:color w:val="363636"/>
        </w:rPr>
        <w:t>r</w:t>
      </w:r>
      <w:r>
        <w:rPr>
          <w:rFonts w:ascii="Arial" w:cs="Arial" w:eastAsia="Arial" w:hAnsi="Arial"/>
          <w:sz w:val="18"/>
          <w:szCs w:val="18"/>
          <w:color w:val="282828"/>
        </w:rPr>
        <w:t>i</w:t>
      </w:r>
      <w:r>
        <w:rPr>
          <w:rFonts w:ascii="Arial" w:cs="Arial" w:eastAsia="Arial" w:hAnsi="Arial"/>
          <w:sz w:val="18"/>
          <w:szCs w:val="18"/>
          <w:color w:val="363636"/>
        </w:rPr>
        <w:t>a</w:t>
      </w:r>
      <w:r>
        <w:rPr>
          <w:rFonts w:ascii="Arial" w:cs="Arial" w:eastAsia="Arial" w:hAnsi="Arial"/>
          <w:sz w:val="18"/>
          <w:szCs w:val="18"/>
          <w:color w:val="171717"/>
        </w:rPr>
        <w:t>t</w:t>
      </w:r>
      <w:r>
        <w:rPr>
          <w:rFonts w:ascii="Arial" w:cs="Arial" w:eastAsia="Arial" w:hAnsi="Arial"/>
          <w:sz w:val="18"/>
          <w:szCs w:val="18"/>
          <w:color w:val="363636"/>
        </w:rPr>
        <w:t>e s</w:t>
      </w:r>
      <w:r>
        <w:rPr>
          <w:rFonts w:ascii="Arial" w:cs="Arial" w:eastAsia="Arial" w:hAnsi="Arial"/>
          <w:sz w:val="18"/>
          <w:szCs w:val="18"/>
          <w:color w:val="282828"/>
        </w:rPr>
        <w:t>upport</w:t>
      </w:r>
      <w:r>
        <w:rPr>
          <w:rFonts w:ascii="Arial" w:cs="Arial" w:eastAsia="Arial" w:hAnsi="Arial"/>
          <w:sz w:val="18"/>
          <w:szCs w:val="18"/>
          <w:color w:val="363636"/>
        </w:rPr>
        <w:t>ing</w:t>
      </w:r>
      <w:r>
        <w:rPr>
          <w:rFonts w:ascii="Arial" w:cs="Arial" w:eastAsia="Arial" w:hAnsi="Arial"/>
          <w:sz w:val="18"/>
          <w:szCs w:val="18"/>
          <w:color w:val="282828"/>
        </w:rPr>
        <w:t xml:space="preserve"> </w:t>
      </w:r>
      <w:r>
        <w:rPr>
          <w:rFonts w:ascii="Arial" w:cs="Arial" w:eastAsia="Arial" w:hAnsi="Arial"/>
          <w:sz w:val="18"/>
          <w:szCs w:val="18"/>
          <w:color w:val="171717"/>
        </w:rPr>
        <w:t>d</w:t>
      </w:r>
      <w:r>
        <w:rPr>
          <w:rFonts w:ascii="Arial" w:cs="Arial" w:eastAsia="Arial" w:hAnsi="Arial"/>
          <w:sz w:val="18"/>
          <w:szCs w:val="18"/>
          <w:color w:val="282828"/>
        </w:rPr>
        <w:t>ocum</w:t>
      </w:r>
      <w:r>
        <w:rPr>
          <w:rFonts w:ascii="Arial" w:cs="Arial" w:eastAsia="Arial" w:hAnsi="Arial"/>
          <w:sz w:val="18"/>
          <w:szCs w:val="18"/>
          <w:color w:val="363636"/>
        </w:rPr>
        <w:t>en</w:t>
      </w:r>
      <w:r>
        <w:rPr>
          <w:rFonts w:ascii="Arial" w:cs="Arial" w:eastAsia="Arial" w:hAnsi="Arial"/>
          <w:sz w:val="18"/>
          <w:szCs w:val="18"/>
          <w:color w:val="171717"/>
        </w:rPr>
        <w:t>t</w:t>
      </w:r>
      <w:r>
        <w:rPr>
          <w:rFonts w:ascii="Arial" w:cs="Arial" w:eastAsia="Arial" w:hAnsi="Arial"/>
          <w:sz w:val="18"/>
          <w:szCs w:val="18"/>
          <w:color w:val="363636"/>
        </w:rPr>
        <w:t>a</w:t>
      </w:r>
      <w:r>
        <w:rPr>
          <w:rFonts w:ascii="Arial" w:cs="Arial" w:eastAsia="Arial" w:hAnsi="Arial"/>
          <w:sz w:val="18"/>
          <w:szCs w:val="18"/>
          <w:color w:val="282828"/>
        </w:rPr>
        <w:t>t</w:t>
      </w:r>
      <w:r>
        <w:rPr>
          <w:rFonts w:ascii="Arial" w:cs="Arial" w:eastAsia="Arial" w:hAnsi="Arial"/>
          <w:sz w:val="18"/>
          <w:szCs w:val="18"/>
          <w:color w:val="363636"/>
        </w:rPr>
        <w:t>i</w:t>
      </w:r>
      <w:r>
        <w:rPr>
          <w:rFonts w:ascii="Arial" w:cs="Arial" w:eastAsia="Arial" w:hAnsi="Arial"/>
          <w:sz w:val="18"/>
          <w:szCs w:val="18"/>
          <w:color w:val="282828"/>
        </w:rPr>
        <w:t>on</w:t>
      </w:r>
      <w:r>
        <w:rPr>
          <w:rFonts w:ascii="Arial" w:cs="Arial" w:eastAsia="Arial" w:hAnsi="Arial"/>
          <w:sz w:val="18"/>
          <w:szCs w:val="18"/>
          <w:color w:val="595959"/>
        </w:rPr>
        <w:t>,</w:t>
      </w:r>
      <w:r>
        <w:rPr>
          <w:rFonts w:ascii="Arial" w:cs="Arial" w:eastAsia="Arial" w:hAnsi="Arial"/>
          <w:sz w:val="18"/>
          <w:szCs w:val="18"/>
          <w:color w:val="282828"/>
        </w:rPr>
        <w:t xml:space="preserve"> </w:t>
      </w:r>
      <w:r>
        <w:rPr>
          <w:rFonts w:ascii="Arial" w:cs="Arial" w:eastAsia="Arial" w:hAnsi="Arial"/>
          <w:sz w:val="18"/>
          <w:szCs w:val="18"/>
          <w:color w:val="363636"/>
        </w:rPr>
        <w:t>a</w:t>
      </w:r>
      <w:r>
        <w:rPr>
          <w:rFonts w:ascii="Arial" w:cs="Arial" w:eastAsia="Arial" w:hAnsi="Arial"/>
          <w:sz w:val="18"/>
          <w:szCs w:val="18"/>
          <w:color w:val="282828"/>
        </w:rPr>
        <w:t xml:space="preserve">ll </w:t>
      </w:r>
      <w:r>
        <w:rPr>
          <w:rFonts w:ascii="Arial" w:cs="Arial" w:eastAsia="Arial" w:hAnsi="Arial"/>
          <w:sz w:val="18"/>
          <w:szCs w:val="18"/>
          <w:color w:val="363636"/>
        </w:rPr>
        <w:t>in a</w:t>
      </w:r>
      <w:r>
        <w:rPr>
          <w:rFonts w:ascii="Arial" w:cs="Arial" w:eastAsia="Arial" w:hAnsi="Arial"/>
          <w:sz w:val="18"/>
          <w:szCs w:val="18"/>
          <w:color w:val="282828"/>
        </w:rPr>
        <w:t>c</w:t>
      </w:r>
      <w:r>
        <w:rPr>
          <w:rFonts w:ascii="Arial" w:cs="Arial" w:eastAsia="Arial" w:hAnsi="Arial"/>
          <w:sz w:val="18"/>
          <w:szCs w:val="18"/>
          <w:color w:val="363636"/>
        </w:rPr>
        <w:t>c</w:t>
      </w:r>
      <w:r>
        <w:rPr>
          <w:rFonts w:ascii="Arial" w:cs="Arial" w:eastAsia="Arial" w:hAnsi="Arial"/>
          <w:sz w:val="18"/>
          <w:szCs w:val="18"/>
          <w:color w:val="282828"/>
        </w:rPr>
        <w:t>o</w:t>
      </w:r>
      <w:r>
        <w:rPr>
          <w:rFonts w:ascii="Arial" w:cs="Arial" w:eastAsia="Arial" w:hAnsi="Arial"/>
          <w:sz w:val="18"/>
          <w:szCs w:val="18"/>
          <w:color w:val="363636"/>
        </w:rPr>
        <w:t>r</w:t>
      </w:r>
      <w:r>
        <w:rPr>
          <w:rFonts w:ascii="Arial" w:cs="Arial" w:eastAsia="Arial" w:hAnsi="Arial"/>
          <w:sz w:val="18"/>
          <w:szCs w:val="18"/>
          <w:color w:val="171717"/>
        </w:rPr>
        <w:t>d</w:t>
      </w:r>
      <w:r>
        <w:rPr>
          <w:rFonts w:ascii="Arial" w:cs="Arial" w:eastAsia="Arial" w:hAnsi="Arial"/>
          <w:sz w:val="18"/>
          <w:szCs w:val="18"/>
          <w:color w:val="282828"/>
        </w:rPr>
        <w:t>an</w:t>
      </w:r>
      <w:r>
        <w:rPr>
          <w:rFonts w:ascii="Arial" w:cs="Arial" w:eastAsia="Arial" w:hAnsi="Arial"/>
          <w:sz w:val="18"/>
          <w:szCs w:val="18"/>
          <w:color w:val="363636"/>
        </w:rPr>
        <w:t>ce w</w:t>
      </w:r>
      <w:r>
        <w:rPr>
          <w:rFonts w:ascii="Arial" w:cs="Arial" w:eastAsia="Arial" w:hAnsi="Arial"/>
          <w:sz w:val="18"/>
          <w:szCs w:val="18"/>
          <w:color w:val="171717"/>
        </w:rPr>
        <w:t>i</w:t>
      </w:r>
      <w:r>
        <w:rPr>
          <w:rFonts w:ascii="Arial" w:cs="Arial" w:eastAsia="Arial" w:hAnsi="Arial"/>
          <w:sz w:val="18"/>
          <w:szCs w:val="18"/>
          <w:color w:val="282828"/>
        </w:rPr>
        <w:t>th t</w:t>
      </w:r>
      <w:r>
        <w:rPr>
          <w:rFonts w:ascii="Arial" w:cs="Arial" w:eastAsia="Arial" w:hAnsi="Arial"/>
          <w:sz w:val="18"/>
          <w:szCs w:val="18"/>
          <w:color w:val="363636"/>
        </w:rPr>
        <w:t>he</w:t>
      </w:r>
      <w:r>
        <w:rPr>
          <w:rFonts w:ascii="Arial" w:cs="Arial" w:eastAsia="Arial" w:hAnsi="Arial"/>
          <w:sz w:val="18"/>
          <w:szCs w:val="18"/>
          <w:color w:val="282828"/>
        </w:rPr>
        <w:t xml:space="preserve"> Co</w:t>
      </w:r>
      <w:r>
        <w:rPr>
          <w:rFonts w:ascii="Arial" w:cs="Arial" w:eastAsia="Arial" w:hAnsi="Arial"/>
          <w:sz w:val="18"/>
          <w:szCs w:val="18"/>
          <w:color w:val="363636"/>
        </w:rPr>
        <w:t>m</w:t>
      </w:r>
      <w:r>
        <w:rPr>
          <w:rFonts w:ascii="Arial" w:cs="Arial" w:eastAsia="Arial" w:hAnsi="Arial"/>
          <w:sz w:val="18"/>
          <w:szCs w:val="18"/>
          <w:color w:val="282828"/>
        </w:rPr>
        <w:t>p</w:t>
      </w:r>
      <w:r>
        <w:rPr>
          <w:rFonts w:ascii="Arial" w:cs="Arial" w:eastAsia="Arial" w:hAnsi="Arial"/>
          <w:sz w:val="18"/>
          <w:szCs w:val="18"/>
          <w:color w:val="363636"/>
        </w:rPr>
        <w:t>any's genera</w:t>
      </w:r>
      <w:r>
        <w:rPr>
          <w:rFonts w:ascii="Arial" w:cs="Arial" w:eastAsia="Arial" w:hAnsi="Arial"/>
          <w:sz w:val="18"/>
          <w:szCs w:val="18"/>
          <w:color w:val="171717"/>
        </w:rPr>
        <w:t>ll</w:t>
      </w:r>
      <w:r>
        <w:rPr>
          <w:rFonts w:ascii="Arial" w:cs="Arial" w:eastAsia="Arial" w:hAnsi="Arial"/>
          <w:sz w:val="18"/>
          <w:szCs w:val="18"/>
          <w:color w:val="282828"/>
        </w:rPr>
        <w:t xml:space="preserve">y </w:t>
      </w:r>
      <w:r>
        <w:rPr>
          <w:rFonts w:ascii="Arial" w:cs="Arial" w:eastAsia="Arial" w:hAnsi="Arial"/>
          <w:sz w:val="18"/>
          <w:szCs w:val="18"/>
          <w:color w:val="363636"/>
        </w:rPr>
        <w:t>a</w:t>
      </w:r>
      <w:r>
        <w:rPr>
          <w:rFonts w:ascii="Arial" w:cs="Arial" w:eastAsia="Arial" w:hAnsi="Arial"/>
          <w:sz w:val="18"/>
          <w:szCs w:val="18"/>
          <w:color w:val="282828"/>
        </w:rPr>
        <w:t>pp</w:t>
      </w:r>
      <w:r>
        <w:rPr>
          <w:rFonts w:ascii="Arial" w:cs="Arial" w:eastAsia="Arial" w:hAnsi="Arial"/>
          <w:sz w:val="18"/>
          <w:szCs w:val="18"/>
          <w:color w:val="171717"/>
        </w:rPr>
        <w:t>li</w:t>
      </w:r>
      <w:r>
        <w:rPr>
          <w:rFonts w:ascii="Arial" w:cs="Arial" w:eastAsia="Arial" w:hAnsi="Arial"/>
          <w:sz w:val="18"/>
          <w:szCs w:val="18"/>
          <w:color w:val="282828"/>
        </w:rPr>
        <w:t>c</w:t>
      </w:r>
      <w:r>
        <w:rPr>
          <w:rFonts w:ascii="Arial" w:cs="Arial" w:eastAsia="Arial" w:hAnsi="Arial"/>
          <w:sz w:val="18"/>
          <w:szCs w:val="18"/>
          <w:color w:val="363636"/>
        </w:rPr>
        <w:t>a</w:t>
      </w:r>
      <w:r>
        <w:rPr>
          <w:rFonts w:ascii="Arial" w:cs="Arial" w:eastAsia="Arial" w:hAnsi="Arial"/>
          <w:sz w:val="18"/>
          <w:szCs w:val="18"/>
          <w:color w:val="282828"/>
        </w:rPr>
        <w:t>b</w:t>
      </w:r>
      <w:r>
        <w:rPr>
          <w:rFonts w:ascii="Arial" w:cs="Arial" w:eastAsia="Arial" w:hAnsi="Arial"/>
          <w:sz w:val="18"/>
          <w:szCs w:val="18"/>
          <w:color w:val="363636"/>
        </w:rPr>
        <w:t xml:space="preserve">le </w:t>
      </w:r>
      <w:r>
        <w:rPr>
          <w:rFonts w:ascii="Arial" w:cs="Arial" w:eastAsia="Arial" w:hAnsi="Arial"/>
          <w:sz w:val="18"/>
          <w:szCs w:val="18"/>
          <w:color w:val="282828"/>
        </w:rPr>
        <w:t>polici</w:t>
      </w:r>
      <w:r>
        <w:rPr>
          <w:rFonts w:ascii="Arial" w:cs="Arial" w:eastAsia="Arial" w:hAnsi="Arial"/>
          <w:sz w:val="18"/>
          <w:szCs w:val="18"/>
          <w:color w:val="363636"/>
        </w:rPr>
        <w:t>es.</w:t>
      </w:r>
    </w:p>
    <w:p>
      <w:pPr>
        <w:ind w:left="283" w:hanging="283"/>
        <w:spacing w:after="0"/>
        <w:tabs>
          <w:tab w:leader="none" w:pos="283" w:val="left"/>
        </w:tabs>
        <w:numPr>
          <w:ilvl w:val="0"/>
          <w:numId w:val="335"/>
        </w:numPr>
        <w:rPr>
          <w:rFonts w:ascii="Arial" w:cs="Arial" w:eastAsia="Arial" w:hAnsi="Arial"/>
          <w:sz w:val="18"/>
          <w:szCs w:val="18"/>
          <w:color w:val="282828"/>
        </w:rPr>
      </w:pPr>
      <w:r>
        <w:rPr>
          <w:rFonts w:ascii="Arial" w:cs="Arial" w:eastAsia="Arial" w:hAnsi="Arial"/>
          <w:sz w:val="18"/>
          <w:szCs w:val="18"/>
          <w:b w:val="1"/>
          <w:bCs w:val="1"/>
          <w:u w:val="single" w:color="auto"/>
          <w:color w:val="282828"/>
        </w:rPr>
        <w:t>Te</w:t>
      </w:r>
      <w:r>
        <w:rPr>
          <w:rFonts w:ascii="Arial" w:cs="Arial" w:eastAsia="Arial" w:hAnsi="Arial"/>
          <w:sz w:val="18"/>
          <w:szCs w:val="18"/>
          <w:b w:val="1"/>
          <w:bCs w:val="1"/>
          <w:u w:val="single" w:color="auto"/>
          <w:color w:val="171717"/>
        </w:rPr>
        <w:t>rmination</w:t>
      </w:r>
      <w:r>
        <w:rPr>
          <w:rFonts w:ascii="Arial" w:cs="Arial" w:eastAsia="Arial" w:hAnsi="Arial"/>
          <w:sz w:val="18"/>
          <w:szCs w:val="18"/>
          <w:b w:val="1"/>
          <w:bCs w:val="1"/>
          <w:color w:val="282828"/>
        </w:rPr>
        <w:t>.</w:t>
      </w:r>
    </w:p>
    <w:p>
      <w:pPr>
        <w:ind w:left="1163" w:hanging="286"/>
        <w:spacing w:after="0"/>
        <w:tabs>
          <w:tab w:leader="none" w:pos="1163" w:val="left"/>
        </w:tabs>
        <w:numPr>
          <w:ilvl w:val="1"/>
          <w:numId w:val="335"/>
        </w:numPr>
        <w:rPr>
          <w:rFonts w:ascii="Arial" w:cs="Arial" w:eastAsia="Arial" w:hAnsi="Arial"/>
          <w:sz w:val="17"/>
          <w:szCs w:val="17"/>
          <w:color w:val="282828"/>
        </w:rPr>
      </w:pP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mplo</w:t>
      </w:r>
      <w:r>
        <w:rPr>
          <w:rFonts w:ascii="Arial" w:cs="Arial" w:eastAsia="Arial" w:hAnsi="Arial"/>
          <w:sz w:val="17"/>
          <w:szCs w:val="17"/>
          <w:b w:val="1"/>
          <w:bCs w:val="1"/>
          <w:u w:val="single" w:color="auto"/>
          <w:color w:val="282828"/>
        </w:rPr>
        <w:t>y</w:t>
      </w:r>
      <w:r>
        <w:rPr>
          <w:rFonts w:ascii="Arial" w:cs="Arial" w:eastAsia="Arial" w:hAnsi="Arial"/>
          <w:sz w:val="17"/>
          <w:szCs w:val="17"/>
          <w:b w:val="1"/>
          <w:bCs w:val="1"/>
          <w:u w:val="single" w:color="auto"/>
          <w:color w:val="171717"/>
        </w:rPr>
        <w:t>m</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nt</w:t>
      </w:r>
      <w:r>
        <w:rPr>
          <w:rFonts w:ascii="Arial" w:cs="Arial" w:eastAsia="Arial" w:hAnsi="Arial"/>
          <w:sz w:val="17"/>
          <w:szCs w:val="17"/>
          <w:b w:val="1"/>
          <w:bCs w:val="1"/>
          <w:color w:val="282828"/>
        </w:rPr>
        <w:t xml:space="preserve"> </w:t>
      </w:r>
      <w:r>
        <w:rPr>
          <w:rFonts w:ascii="Arial" w:cs="Arial" w:eastAsia="Arial" w:hAnsi="Arial"/>
          <w:sz w:val="17"/>
          <w:szCs w:val="17"/>
          <w:b w:val="1"/>
          <w:bCs w:val="1"/>
          <w:u w:val="single" w:color="auto"/>
          <w:color w:val="282828"/>
        </w:rPr>
        <w:t>a</w:t>
      </w:r>
      <w:r>
        <w:rPr>
          <w:rFonts w:ascii="Arial" w:cs="Arial" w:eastAsia="Arial" w:hAnsi="Arial"/>
          <w:sz w:val="17"/>
          <w:szCs w:val="17"/>
          <w:b w:val="1"/>
          <w:bCs w:val="1"/>
          <w:u w:val="single" w:color="auto"/>
          <w:color w:val="171717"/>
        </w:rPr>
        <w:t>t Will</w:t>
      </w:r>
      <w:r>
        <w:rPr>
          <w:rFonts w:ascii="Arial" w:cs="Arial" w:eastAsia="Arial" w:hAnsi="Arial"/>
          <w:sz w:val="17"/>
          <w:szCs w:val="17"/>
          <w:b w:val="1"/>
          <w:bCs w:val="1"/>
          <w:color w:val="171717"/>
        </w:rPr>
        <w:t>.</w:t>
      </w:r>
      <w:r>
        <w:rPr>
          <w:rFonts w:ascii="Arial" w:cs="Arial" w:eastAsia="Arial" w:hAnsi="Arial"/>
          <w:sz w:val="17"/>
          <w:szCs w:val="17"/>
          <w:b w:val="1"/>
          <w:bCs w:val="1"/>
          <w:color w:val="282828"/>
        </w:rPr>
        <w:t xml:space="preserve"> </w:t>
      </w:r>
      <w:r>
        <w:rPr>
          <w:rFonts w:ascii="Arial" w:cs="Arial" w:eastAsia="Arial" w:hAnsi="Arial"/>
          <w:sz w:val="17"/>
          <w:szCs w:val="17"/>
          <w:color w:val="363636"/>
        </w:rPr>
        <w:t>Y</w:t>
      </w:r>
      <w:r>
        <w:rPr>
          <w:rFonts w:ascii="Arial" w:cs="Arial" w:eastAsia="Arial" w:hAnsi="Arial"/>
          <w:sz w:val="17"/>
          <w:szCs w:val="17"/>
          <w:color w:val="282828"/>
        </w:rPr>
        <w:t>o</w:t>
      </w:r>
      <w:r>
        <w:rPr>
          <w:rFonts w:ascii="Arial" w:cs="Arial" w:eastAsia="Arial" w:hAnsi="Arial"/>
          <w:sz w:val="17"/>
          <w:szCs w:val="17"/>
          <w:color w:val="363636"/>
        </w:rPr>
        <w:t>ur</w:t>
      </w:r>
      <w:r>
        <w:rPr>
          <w:rFonts w:ascii="Arial" w:cs="Arial" w:eastAsia="Arial" w:hAnsi="Arial"/>
          <w:sz w:val="17"/>
          <w:szCs w:val="17"/>
          <w:b w:val="1"/>
          <w:bCs w:val="1"/>
          <w:color w:val="282828"/>
        </w:rPr>
        <w:t xml:space="preserve"> </w:t>
      </w:r>
      <w:r>
        <w:rPr>
          <w:rFonts w:ascii="Arial" w:cs="Arial" w:eastAsia="Arial" w:hAnsi="Arial"/>
          <w:sz w:val="17"/>
          <w:szCs w:val="17"/>
          <w:color w:val="494949"/>
        </w:rPr>
        <w:t>E</w:t>
      </w:r>
      <w:r>
        <w:rPr>
          <w:rFonts w:ascii="Arial" w:cs="Arial" w:eastAsia="Arial" w:hAnsi="Arial"/>
          <w:sz w:val="17"/>
          <w:szCs w:val="17"/>
          <w:color w:val="363636"/>
        </w:rPr>
        <w:t>m</w:t>
      </w:r>
      <w:r>
        <w:rPr>
          <w:rFonts w:ascii="Arial" w:cs="Arial" w:eastAsia="Arial" w:hAnsi="Arial"/>
          <w:sz w:val="17"/>
          <w:szCs w:val="17"/>
          <w:color w:val="282828"/>
        </w:rPr>
        <w:t>plo</w:t>
      </w:r>
      <w:r>
        <w:rPr>
          <w:rFonts w:ascii="Arial" w:cs="Arial" w:eastAsia="Arial" w:hAnsi="Arial"/>
          <w:sz w:val="17"/>
          <w:szCs w:val="17"/>
          <w:color w:val="363636"/>
        </w:rPr>
        <w:t>y</w:t>
      </w:r>
      <w:r>
        <w:rPr>
          <w:rFonts w:ascii="Arial" w:cs="Arial" w:eastAsia="Arial" w:hAnsi="Arial"/>
          <w:sz w:val="17"/>
          <w:szCs w:val="17"/>
          <w:color w:val="282828"/>
        </w:rPr>
        <w:t>m</w:t>
      </w:r>
      <w:r>
        <w:rPr>
          <w:rFonts w:ascii="Arial" w:cs="Arial" w:eastAsia="Arial" w:hAnsi="Arial"/>
          <w:sz w:val="17"/>
          <w:szCs w:val="17"/>
          <w:color w:val="363636"/>
        </w:rPr>
        <w:t>e</w:t>
      </w:r>
      <w:r>
        <w:rPr>
          <w:rFonts w:ascii="Arial" w:cs="Arial" w:eastAsia="Arial" w:hAnsi="Arial"/>
          <w:sz w:val="17"/>
          <w:szCs w:val="17"/>
          <w:color w:val="282828"/>
        </w:rPr>
        <w:t>n</w:t>
      </w:r>
      <w:r>
        <w:rPr>
          <w:rFonts w:ascii="Arial" w:cs="Arial" w:eastAsia="Arial" w:hAnsi="Arial"/>
          <w:sz w:val="17"/>
          <w:szCs w:val="17"/>
          <w:color w:val="363636"/>
        </w:rPr>
        <w:t>t sha</w:t>
      </w:r>
      <w:r>
        <w:rPr>
          <w:rFonts w:ascii="Arial" w:cs="Arial" w:eastAsia="Arial" w:hAnsi="Arial"/>
          <w:sz w:val="17"/>
          <w:szCs w:val="17"/>
          <w:color w:val="282828"/>
        </w:rPr>
        <w:t>ll b</w:t>
      </w:r>
      <w:r>
        <w:rPr>
          <w:rFonts w:ascii="Arial" w:cs="Arial" w:eastAsia="Arial" w:hAnsi="Arial"/>
          <w:sz w:val="17"/>
          <w:szCs w:val="17"/>
          <w:color w:val="363636"/>
        </w:rPr>
        <w:t>e</w:t>
      </w:r>
      <w:r>
        <w:rPr>
          <w:rFonts w:ascii="Arial" w:cs="Arial" w:eastAsia="Arial" w:hAnsi="Arial"/>
          <w:sz w:val="17"/>
          <w:szCs w:val="17"/>
          <w:b w:val="1"/>
          <w:bCs w:val="1"/>
          <w:color w:val="282828"/>
        </w:rPr>
        <w:t xml:space="preserve"> </w:t>
      </w:r>
      <w:r>
        <w:rPr>
          <w:rFonts w:ascii="Arial" w:cs="Arial" w:eastAsia="Arial" w:hAnsi="Arial"/>
          <w:sz w:val="17"/>
          <w:szCs w:val="17"/>
          <w:color w:val="494949"/>
        </w:rPr>
        <w:t>"</w:t>
      </w:r>
      <w:r>
        <w:rPr>
          <w:rFonts w:ascii="Arial" w:cs="Arial" w:eastAsia="Arial" w:hAnsi="Arial"/>
          <w:sz w:val="17"/>
          <w:szCs w:val="17"/>
          <w:color w:val="363636"/>
        </w:rPr>
        <w:t>at w</w:t>
      </w:r>
      <w:r>
        <w:rPr>
          <w:rFonts w:ascii="Arial" w:cs="Arial" w:eastAsia="Arial" w:hAnsi="Arial"/>
          <w:sz w:val="17"/>
          <w:szCs w:val="17"/>
          <w:color w:val="282828"/>
        </w:rPr>
        <w:t>i</w:t>
      </w:r>
      <w:r>
        <w:rPr>
          <w:rFonts w:ascii="Arial" w:cs="Arial" w:eastAsia="Arial" w:hAnsi="Arial"/>
          <w:sz w:val="17"/>
          <w:szCs w:val="17"/>
          <w:color w:val="171717"/>
        </w:rPr>
        <w:t>ll</w:t>
      </w:r>
      <w:r>
        <w:rPr>
          <w:rFonts w:ascii="Arial" w:cs="Arial" w:eastAsia="Arial" w:hAnsi="Arial"/>
          <w:sz w:val="17"/>
          <w:szCs w:val="17"/>
          <w:color w:val="595959"/>
        </w:rPr>
        <w:t>,</w:t>
      </w:r>
      <w:r>
        <w:rPr>
          <w:rFonts w:ascii="Arial" w:cs="Arial" w:eastAsia="Arial" w:hAnsi="Arial"/>
          <w:sz w:val="17"/>
          <w:szCs w:val="17"/>
          <w:color w:val="363636"/>
        </w:rPr>
        <w:t>" mean</w:t>
      </w:r>
      <w:r>
        <w:rPr>
          <w:rFonts w:ascii="Arial" w:cs="Arial" w:eastAsia="Arial" w:hAnsi="Arial"/>
          <w:sz w:val="17"/>
          <w:szCs w:val="17"/>
          <w:color w:val="282828"/>
        </w:rPr>
        <w:t>in</w:t>
      </w:r>
      <w:r>
        <w:rPr>
          <w:rFonts w:ascii="Arial" w:cs="Arial" w:eastAsia="Arial" w:hAnsi="Arial"/>
          <w:sz w:val="17"/>
          <w:szCs w:val="17"/>
          <w:color w:val="363636"/>
        </w:rPr>
        <w:t>g tha</w:t>
      </w:r>
      <w:r>
        <w:rPr>
          <w:rFonts w:ascii="Arial" w:cs="Arial" w:eastAsia="Arial" w:hAnsi="Arial"/>
          <w:sz w:val="17"/>
          <w:szCs w:val="17"/>
          <w:color w:val="282828"/>
        </w:rPr>
        <w:t>t</w:t>
      </w:r>
      <w:r>
        <w:rPr>
          <w:rFonts w:ascii="Arial" w:cs="Arial" w:eastAsia="Arial" w:hAnsi="Arial"/>
          <w:sz w:val="17"/>
          <w:szCs w:val="17"/>
          <w:b w:val="1"/>
          <w:bCs w:val="1"/>
          <w:color w:val="282828"/>
        </w:rPr>
        <w:t xml:space="preserve"> </w:t>
      </w:r>
      <w:r>
        <w:rPr>
          <w:rFonts w:ascii="Arial" w:cs="Arial" w:eastAsia="Arial" w:hAnsi="Arial"/>
          <w:sz w:val="17"/>
          <w:szCs w:val="17"/>
          <w:color w:val="363636"/>
        </w:rPr>
        <w:t>ei</w:t>
      </w:r>
      <w:r>
        <w:rPr>
          <w:rFonts w:ascii="Arial" w:cs="Arial" w:eastAsia="Arial" w:hAnsi="Arial"/>
          <w:sz w:val="17"/>
          <w:szCs w:val="17"/>
          <w:color w:val="282828"/>
        </w:rPr>
        <w:t>th</w:t>
      </w:r>
      <w:r>
        <w:rPr>
          <w:rFonts w:ascii="Arial" w:cs="Arial" w:eastAsia="Arial" w:hAnsi="Arial"/>
          <w:sz w:val="17"/>
          <w:szCs w:val="17"/>
          <w:color w:val="363636"/>
        </w:rPr>
        <w:t>er y</w:t>
      </w:r>
      <w:r>
        <w:rPr>
          <w:rFonts w:ascii="Arial" w:cs="Arial" w:eastAsia="Arial" w:hAnsi="Arial"/>
          <w:sz w:val="17"/>
          <w:szCs w:val="17"/>
          <w:color w:val="282828"/>
        </w:rPr>
        <w:t>ou or</w:t>
      </w:r>
      <w:r>
        <w:rPr>
          <w:rFonts w:ascii="Arial" w:cs="Arial" w:eastAsia="Arial" w:hAnsi="Arial"/>
          <w:sz w:val="17"/>
          <w:szCs w:val="17"/>
          <w:b w:val="1"/>
          <w:bCs w:val="1"/>
          <w:color w:val="282828"/>
        </w:rPr>
        <w:t xml:space="preserve"> </w:t>
      </w:r>
      <w:r>
        <w:rPr>
          <w:rFonts w:ascii="Arial" w:cs="Arial" w:eastAsia="Arial" w:hAnsi="Arial"/>
          <w:sz w:val="17"/>
          <w:szCs w:val="17"/>
          <w:color w:val="363636"/>
        </w:rPr>
        <w:t>t</w:t>
      </w:r>
      <w:r>
        <w:rPr>
          <w:rFonts w:ascii="Arial" w:cs="Arial" w:eastAsia="Arial" w:hAnsi="Arial"/>
          <w:sz w:val="17"/>
          <w:szCs w:val="17"/>
          <w:color w:val="282828"/>
        </w:rPr>
        <w:t>h</w:t>
      </w:r>
      <w:r>
        <w:rPr>
          <w:rFonts w:ascii="Arial" w:cs="Arial" w:eastAsia="Arial" w:hAnsi="Arial"/>
          <w:sz w:val="17"/>
          <w:szCs w:val="17"/>
          <w:color w:val="363636"/>
        </w:rPr>
        <w:t>e C</w:t>
      </w:r>
      <w:r>
        <w:rPr>
          <w:rFonts w:ascii="Arial" w:cs="Arial" w:eastAsia="Arial" w:hAnsi="Arial"/>
          <w:sz w:val="17"/>
          <w:szCs w:val="17"/>
          <w:color w:val="282828"/>
        </w:rPr>
        <w:t>omp</w:t>
      </w:r>
      <w:r>
        <w:rPr>
          <w:rFonts w:ascii="Arial" w:cs="Arial" w:eastAsia="Arial" w:hAnsi="Arial"/>
          <w:sz w:val="17"/>
          <w:szCs w:val="17"/>
          <w:color w:val="363636"/>
        </w:rPr>
        <w:t>a</w:t>
      </w:r>
      <w:r>
        <w:rPr>
          <w:rFonts w:ascii="Arial" w:cs="Arial" w:eastAsia="Arial" w:hAnsi="Arial"/>
          <w:sz w:val="17"/>
          <w:szCs w:val="17"/>
          <w:color w:val="282828"/>
        </w:rPr>
        <w:t>n</w:t>
      </w:r>
      <w:r>
        <w:rPr>
          <w:rFonts w:ascii="Arial" w:cs="Arial" w:eastAsia="Arial" w:hAnsi="Arial"/>
          <w:sz w:val="17"/>
          <w:szCs w:val="17"/>
          <w:color w:val="363636"/>
        </w:rPr>
        <w:t>y s</w:t>
      </w:r>
      <w:r>
        <w:rPr>
          <w:rFonts w:ascii="Arial" w:cs="Arial" w:eastAsia="Arial" w:hAnsi="Arial"/>
          <w:sz w:val="17"/>
          <w:szCs w:val="17"/>
          <w:color w:val="282828"/>
        </w:rPr>
        <w:t>h</w:t>
      </w:r>
      <w:r>
        <w:rPr>
          <w:rFonts w:ascii="Arial" w:cs="Arial" w:eastAsia="Arial" w:hAnsi="Arial"/>
          <w:sz w:val="17"/>
          <w:szCs w:val="17"/>
          <w:color w:val="363636"/>
        </w:rPr>
        <w:t>a</w:t>
      </w:r>
      <w:r>
        <w:rPr>
          <w:rFonts w:ascii="Arial" w:cs="Arial" w:eastAsia="Arial" w:hAnsi="Arial"/>
          <w:sz w:val="17"/>
          <w:szCs w:val="17"/>
          <w:color w:val="282828"/>
        </w:rPr>
        <w:t>ll b</w:t>
      </w:r>
      <w:r>
        <w:rPr>
          <w:rFonts w:ascii="Arial" w:cs="Arial" w:eastAsia="Arial" w:hAnsi="Arial"/>
          <w:sz w:val="17"/>
          <w:szCs w:val="17"/>
          <w:color w:val="363636"/>
        </w:rPr>
        <w:t>e e</w:t>
      </w:r>
      <w:r>
        <w:rPr>
          <w:rFonts w:ascii="Arial" w:cs="Arial" w:eastAsia="Arial" w:hAnsi="Arial"/>
          <w:sz w:val="17"/>
          <w:szCs w:val="17"/>
          <w:color w:val="282828"/>
        </w:rPr>
        <w:t>n</w:t>
      </w:r>
      <w:r>
        <w:rPr>
          <w:rFonts w:ascii="Arial" w:cs="Arial" w:eastAsia="Arial" w:hAnsi="Arial"/>
          <w:sz w:val="17"/>
          <w:szCs w:val="17"/>
          <w:color w:val="363636"/>
        </w:rPr>
        <w:t>t</w:t>
      </w:r>
      <w:r>
        <w:rPr>
          <w:rFonts w:ascii="Arial" w:cs="Arial" w:eastAsia="Arial" w:hAnsi="Arial"/>
          <w:sz w:val="17"/>
          <w:szCs w:val="17"/>
          <w:color w:val="282828"/>
        </w:rPr>
        <w:t>itl</w:t>
      </w:r>
      <w:r>
        <w:rPr>
          <w:rFonts w:ascii="Arial" w:cs="Arial" w:eastAsia="Arial" w:hAnsi="Arial"/>
          <w:sz w:val="17"/>
          <w:szCs w:val="17"/>
          <w:color w:val="363636"/>
        </w:rPr>
        <w:t>e</w:t>
      </w:r>
      <w:r>
        <w:rPr>
          <w:rFonts w:ascii="Arial" w:cs="Arial" w:eastAsia="Arial" w:hAnsi="Arial"/>
          <w:sz w:val="17"/>
          <w:szCs w:val="17"/>
          <w:color w:val="282828"/>
        </w:rPr>
        <w:t>d to</w:t>
      </w:r>
      <w:r>
        <w:rPr>
          <w:rFonts w:ascii="Arial" w:cs="Arial" w:eastAsia="Arial" w:hAnsi="Arial"/>
          <w:sz w:val="17"/>
          <w:szCs w:val="17"/>
          <w:b w:val="1"/>
          <w:bCs w:val="1"/>
          <w:color w:val="282828"/>
        </w:rPr>
        <w:t xml:space="preserve"> </w:t>
      </w:r>
      <w:r>
        <w:rPr>
          <w:rFonts w:ascii="Arial" w:cs="Arial" w:eastAsia="Arial" w:hAnsi="Arial"/>
          <w:sz w:val="17"/>
          <w:szCs w:val="17"/>
          <w:color w:val="171717"/>
        </w:rPr>
        <w:t>t</w:t>
      </w:r>
      <w:r>
        <w:rPr>
          <w:rFonts w:ascii="Arial" w:cs="Arial" w:eastAsia="Arial" w:hAnsi="Arial"/>
          <w:sz w:val="17"/>
          <w:szCs w:val="17"/>
          <w:color w:val="363636"/>
        </w:rPr>
        <w:t>e</w:t>
      </w:r>
      <w:r>
        <w:rPr>
          <w:rFonts w:ascii="Arial" w:cs="Arial" w:eastAsia="Arial" w:hAnsi="Arial"/>
          <w:sz w:val="17"/>
          <w:szCs w:val="17"/>
          <w:color w:val="282828"/>
        </w:rPr>
        <w:t>rmin</w:t>
      </w:r>
      <w:r>
        <w:rPr>
          <w:rFonts w:ascii="Arial" w:cs="Arial" w:eastAsia="Arial" w:hAnsi="Arial"/>
          <w:sz w:val="17"/>
          <w:szCs w:val="17"/>
          <w:color w:val="363636"/>
        </w:rPr>
        <w:t>ate yo</w:t>
      </w:r>
      <w:r>
        <w:rPr>
          <w:rFonts w:ascii="Arial" w:cs="Arial" w:eastAsia="Arial" w:hAnsi="Arial"/>
          <w:sz w:val="17"/>
          <w:szCs w:val="17"/>
          <w:color w:val="282828"/>
        </w:rPr>
        <w:t>ur</w:t>
      </w:r>
    </w:p>
    <w:p>
      <w:pPr>
        <w:spacing w:after="0" w:line="11" w:lineRule="exact"/>
        <w:rPr>
          <w:rFonts w:ascii="Arial" w:cs="Arial" w:eastAsia="Arial" w:hAnsi="Arial"/>
          <w:sz w:val="17"/>
          <w:szCs w:val="17"/>
          <w:color w:val="282828"/>
        </w:rPr>
      </w:pPr>
    </w:p>
    <w:p>
      <w:pPr>
        <w:jc w:val="both"/>
        <w:ind w:left="1163" w:right="100"/>
        <w:spacing w:after="0"/>
        <w:rPr>
          <w:rFonts w:ascii="Arial" w:cs="Arial" w:eastAsia="Arial" w:hAnsi="Arial"/>
          <w:sz w:val="17"/>
          <w:szCs w:val="17"/>
          <w:color w:val="282828"/>
        </w:rPr>
      </w:pPr>
      <w:r>
        <w:rPr>
          <w:rFonts w:ascii="Arial" w:cs="Arial" w:eastAsia="Arial" w:hAnsi="Arial"/>
          <w:sz w:val="18"/>
          <w:szCs w:val="18"/>
          <w:color w:val="363636"/>
        </w:rPr>
        <w:t>E</w:t>
      </w:r>
      <w:r>
        <w:rPr>
          <w:rFonts w:ascii="Arial" w:cs="Arial" w:eastAsia="Arial" w:hAnsi="Arial"/>
          <w:sz w:val="18"/>
          <w:szCs w:val="18"/>
          <w:color w:val="282828"/>
        </w:rPr>
        <w:t>mplo</w:t>
      </w:r>
      <w:r>
        <w:rPr>
          <w:rFonts w:ascii="Arial" w:cs="Arial" w:eastAsia="Arial" w:hAnsi="Arial"/>
          <w:sz w:val="18"/>
          <w:szCs w:val="18"/>
          <w:color w:val="363636"/>
        </w:rPr>
        <w:t>y</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282828"/>
        </w:rPr>
        <w:t>nt</w:t>
      </w:r>
      <w:r>
        <w:rPr>
          <w:rFonts w:ascii="Arial" w:cs="Arial" w:eastAsia="Arial" w:hAnsi="Arial"/>
          <w:sz w:val="18"/>
          <w:szCs w:val="18"/>
          <w:color w:val="363636"/>
        </w:rPr>
        <w:t xml:space="preserve"> at a</w:t>
      </w:r>
      <w:r>
        <w:rPr>
          <w:rFonts w:ascii="Arial" w:cs="Arial" w:eastAsia="Arial" w:hAnsi="Arial"/>
          <w:sz w:val="18"/>
          <w:szCs w:val="18"/>
          <w:color w:val="282828"/>
        </w:rPr>
        <w:t>n</w:t>
      </w:r>
      <w:r>
        <w:rPr>
          <w:rFonts w:ascii="Arial" w:cs="Arial" w:eastAsia="Arial" w:hAnsi="Arial"/>
          <w:sz w:val="18"/>
          <w:szCs w:val="18"/>
          <w:color w:val="363636"/>
        </w:rPr>
        <w:t xml:space="preserve">y </w:t>
      </w:r>
      <w:r>
        <w:rPr>
          <w:rFonts w:ascii="Arial" w:cs="Arial" w:eastAsia="Arial" w:hAnsi="Arial"/>
          <w:sz w:val="18"/>
          <w:szCs w:val="18"/>
          <w:color w:val="282828"/>
        </w:rPr>
        <w:t>tim</w:t>
      </w:r>
      <w:r>
        <w:rPr>
          <w:rFonts w:ascii="Arial" w:cs="Arial" w:eastAsia="Arial" w:hAnsi="Arial"/>
          <w:sz w:val="18"/>
          <w:szCs w:val="18"/>
          <w:color w:val="363636"/>
        </w:rPr>
        <w:t>e a</w:t>
      </w:r>
      <w:r>
        <w:rPr>
          <w:rFonts w:ascii="Arial" w:cs="Arial" w:eastAsia="Arial" w:hAnsi="Arial"/>
          <w:sz w:val="18"/>
          <w:szCs w:val="18"/>
          <w:color w:val="282828"/>
        </w:rPr>
        <w:t>nd for</w:t>
      </w:r>
      <w:r>
        <w:rPr>
          <w:rFonts w:ascii="Arial" w:cs="Arial" w:eastAsia="Arial" w:hAnsi="Arial"/>
          <w:sz w:val="18"/>
          <w:szCs w:val="18"/>
          <w:color w:val="363636"/>
        </w:rPr>
        <w:t xml:space="preserve"> a</w:t>
      </w:r>
      <w:r>
        <w:rPr>
          <w:rFonts w:ascii="Arial" w:cs="Arial" w:eastAsia="Arial" w:hAnsi="Arial"/>
          <w:sz w:val="18"/>
          <w:szCs w:val="18"/>
          <w:color w:val="282828"/>
        </w:rPr>
        <w:t>n</w:t>
      </w:r>
      <w:r>
        <w:rPr>
          <w:rFonts w:ascii="Arial" w:cs="Arial" w:eastAsia="Arial" w:hAnsi="Arial"/>
          <w:sz w:val="18"/>
          <w:szCs w:val="18"/>
          <w:color w:val="363636"/>
        </w:rPr>
        <w:t xml:space="preserve">y </w:t>
      </w:r>
      <w:r>
        <w:rPr>
          <w:rFonts w:ascii="Arial" w:cs="Arial" w:eastAsia="Arial" w:hAnsi="Arial"/>
          <w:sz w:val="18"/>
          <w:szCs w:val="18"/>
          <w:color w:val="282828"/>
        </w:rPr>
        <w:t>r</w:t>
      </w:r>
      <w:r>
        <w:rPr>
          <w:rFonts w:ascii="Arial" w:cs="Arial" w:eastAsia="Arial" w:hAnsi="Arial"/>
          <w:sz w:val="18"/>
          <w:szCs w:val="18"/>
          <w:color w:val="363636"/>
        </w:rPr>
        <w:t>eas</w:t>
      </w:r>
      <w:r>
        <w:rPr>
          <w:rFonts w:ascii="Arial" w:cs="Arial" w:eastAsia="Arial" w:hAnsi="Arial"/>
          <w:sz w:val="18"/>
          <w:szCs w:val="18"/>
          <w:color w:val="282828"/>
        </w:rPr>
        <w:t>on</w:t>
      </w:r>
      <w:r>
        <w:rPr>
          <w:rFonts w:ascii="Arial" w:cs="Arial" w:eastAsia="Arial" w:hAnsi="Arial"/>
          <w:sz w:val="18"/>
          <w:szCs w:val="18"/>
          <w:color w:val="595959"/>
        </w:rPr>
        <w:t>,</w:t>
      </w:r>
      <w:r>
        <w:rPr>
          <w:rFonts w:ascii="Arial" w:cs="Arial" w:eastAsia="Arial" w:hAnsi="Arial"/>
          <w:sz w:val="18"/>
          <w:szCs w:val="18"/>
          <w:color w:val="363636"/>
        </w:rPr>
        <w:t xml:space="preserve"> </w:t>
      </w:r>
      <w:r>
        <w:rPr>
          <w:rFonts w:ascii="Arial" w:cs="Arial" w:eastAsia="Arial" w:hAnsi="Arial"/>
          <w:sz w:val="18"/>
          <w:szCs w:val="18"/>
          <w:color w:val="282828"/>
        </w:rPr>
        <w:t>w</w:t>
      </w:r>
      <w:r>
        <w:rPr>
          <w:rFonts w:ascii="Arial" w:cs="Arial" w:eastAsia="Arial" w:hAnsi="Arial"/>
          <w:sz w:val="18"/>
          <w:szCs w:val="18"/>
          <w:color w:val="171717"/>
        </w:rPr>
        <w:t>i</w:t>
      </w:r>
      <w:r>
        <w:rPr>
          <w:rFonts w:ascii="Arial" w:cs="Arial" w:eastAsia="Arial" w:hAnsi="Arial"/>
          <w:sz w:val="18"/>
          <w:szCs w:val="18"/>
          <w:color w:val="282828"/>
        </w:rPr>
        <w:t>th or</w:t>
      </w:r>
      <w:r>
        <w:rPr>
          <w:rFonts w:ascii="Arial" w:cs="Arial" w:eastAsia="Arial" w:hAnsi="Arial"/>
          <w:sz w:val="18"/>
          <w:szCs w:val="18"/>
          <w:color w:val="363636"/>
        </w:rPr>
        <w:t xml:space="preserve"> w</w:t>
      </w:r>
      <w:r>
        <w:rPr>
          <w:rFonts w:ascii="Arial" w:cs="Arial" w:eastAsia="Arial" w:hAnsi="Arial"/>
          <w:sz w:val="18"/>
          <w:szCs w:val="18"/>
          <w:color w:val="171717"/>
        </w:rPr>
        <w:t>i</w:t>
      </w:r>
      <w:r>
        <w:rPr>
          <w:rFonts w:ascii="Arial" w:cs="Arial" w:eastAsia="Arial" w:hAnsi="Arial"/>
          <w:sz w:val="18"/>
          <w:szCs w:val="18"/>
          <w:color w:val="363636"/>
        </w:rPr>
        <w:t>t</w:t>
      </w:r>
      <w:r>
        <w:rPr>
          <w:rFonts w:ascii="Arial" w:cs="Arial" w:eastAsia="Arial" w:hAnsi="Arial"/>
          <w:sz w:val="18"/>
          <w:szCs w:val="18"/>
          <w:color w:val="282828"/>
        </w:rPr>
        <w:t>hout</w:t>
      </w:r>
      <w:r>
        <w:rPr>
          <w:rFonts w:ascii="Arial" w:cs="Arial" w:eastAsia="Arial" w:hAnsi="Arial"/>
          <w:sz w:val="18"/>
          <w:szCs w:val="18"/>
          <w:color w:val="363636"/>
        </w:rPr>
        <w:t xml:space="preserve"> Ca</w:t>
      </w:r>
      <w:r>
        <w:rPr>
          <w:rFonts w:ascii="Arial" w:cs="Arial" w:eastAsia="Arial" w:hAnsi="Arial"/>
          <w:sz w:val="18"/>
          <w:szCs w:val="18"/>
          <w:color w:val="282828"/>
        </w:rPr>
        <w:t>u</w:t>
      </w:r>
      <w:r>
        <w:rPr>
          <w:rFonts w:ascii="Arial" w:cs="Arial" w:eastAsia="Arial" w:hAnsi="Arial"/>
          <w:sz w:val="18"/>
          <w:szCs w:val="18"/>
          <w:color w:val="363636"/>
        </w:rPr>
        <w:t xml:space="preserve">se. </w:t>
      </w:r>
      <w:r>
        <w:rPr>
          <w:rFonts w:ascii="Arial" w:cs="Arial" w:eastAsia="Arial" w:hAnsi="Arial"/>
          <w:sz w:val="18"/>
          <w:szCs w:val="18"/>
          <w:color w:val="282828"/>
        </w:rPr>
        <w:t>Any</w:t>
      </w:r>
      <w:r>
        <w:rPr>
          <w:rFonts w:ascii="Arial" w:cs="Arial" w:eastAsia="Arial" w:hAnsi="Arial"/>
          <w:sz w:val="18"/>
          <w:szCs w:val="18"/>
          <w:color w:val="363636"/>
        </w:rPr>
        <w:t xml:space="preserve"> c</w:t>
      </w:r>
      <w:r>
        <w:rPr>
          <w:rFonts w:ascii="Arial" w:cs="Arial" w:eastAsia="Arial" w:hAnsi="Arial"/>
          <w:sz w:val="18"/>
          <w:szCs w:val="18"/>
          <w:color w:val="282828"/>
        </w:rPr>
        <w:t>ontra</w:t>
      </w:r>
      <w:r>
        <w:rPr>
          <w:rFonts w:ascii="Arial" w:cs="Arial" w:eastAsia="Arial" w:hAnsi="Arial"/>
          <w:sz w:val="18"/>
          <w:szCs w:val="18"/>
          <w:color w:val="363636"/>
        </w:rPr>
        <w:t xml:space="preserve">ry </w:t>
      </w:r>
      <w:r>
        <w:rPr>
          <w:rFonts w:ascii="Arial" w:cs="Arial" w:eastAsia="Arial" w:hAnsi="Arial"/>
          <w:sz w:val="18"/>
          <w:szCs w:val="18"/>
          <w:color w:val="282828"/>
        </w:rPr>
        <w:t>r</w:t>
      </w:r>
      <w:r>
        <w:rPr>
          <w:rFonts w:ascii="Arial" w:cs="Arial" w:eastAsia="Arial" w:hAnsi="Arial"/>
          <w:sz w:val="18"/>
          <w:szCs w:val="18"/>
          <w:color w:val="363636"/>
        </w:rPr>
        <w:t>e</w:t>
      </w:r>
      <w:r>
        <w:rPr>
          <w:rFonts w:ascii="Arial" w:cs="Arial" w:eastAsia="Arial" w:hAnsi="Arial"/>
          <w:sz w:val="18"/>
          <w:szCs w:val="18"/>
          <w:color w:val="282828"/>
        </w:rPr>
        <w:t>pr</w:t>
      </w:r>
      <w:r>
        <w:rPr>
          <w:rFonts w:ascii="Arial" w:cs="Arial" w:eastAsia="Arial" w:hAnsi="Arial"/>
          <w:sz w:val="18"/>
          <w:szCs w:val="18"/>
          <w:color w:val="363636"/>
        </w:rPr>
        <w:t>esen</w:t>
      </w:r>
      <w:r>
        <w:rPr>
          <w:rFonts w:ascii="Arial" w:cs="Arial" w:eastAsia="Arial" w:hAnsi="Arial"/>
          <w:sz w:val="18"/>
          <w:szCs w:val="18"/>
          <w:color w:val="282828"/>
        </w:rPr>
        <w:t>ta</w:t>
      </w:r>
      <w:r>
        <w:rPr>
          <w:rFonts w:ascii="Arial" w:cs="Arial" w:eastAsia="Arial" w:hAnsi="Arial"/>
          <w:sz w:val="18"/>
          <w:szCs w:val="18"/>
          <w:color w:val="363636"/>
        </w:rPr>
        <w:t>t</w:t>
      </w:r>
      <w:r>
        <w:rPr>
          <w:rFonts w:ascii="Arial" w:cs="Arial" w:eastAsia="Arial" w:hAnsi="Arial"/>
          <w:sz w:val="18"/>
          <w:szCs w:val="18"/>
          <w:color w:val="171717"/>
        </w:rPr>
        <w:t>i</w:t>
      </w:r>
      <w:r>
        <w:rPr>
          <w:rFonts w:ascii="Arial" w:cs="Arial" w:eastAsia="Arial" w:hAnsi="Arial"/>
          <w:sz w:val="18"/>
          <w:szCs w:val="18"/>
          <w:color w:val="282828"/>
        </w:rPr>
        <w:t>on</w:t>
      </w:r>
      <w:r>
        <w:rPr>
          <w:rFonts w:ascii="Arial" w:cs="Arial" w:eastAsia="Arial" w:hAnsi="Arial"/>
          <w:sz w:val="18"/>
          <w:szCs w:val="18"/>
          <w:color w:val="363636"/>
        </w:rPr>
        <w:t xml:space="preserve">s </w:t>
      </w:r>
      <w:r>
        <w:rPr>
          <w:rFonts w:ascii="Arial" w:cs="Arial" w:eastAsia="Arial" w:hAnsi="Arial"/>
          <w:sz w:val="18"/>
          <w:szCs w:val="18"/>
          <w:color w:val="282828"/>
        </w:rPr>
        <w:t>th</w:t>
      </w:r>
      <w:r>
        <w:rPr>
          <w:rFonts w:ascii="Arial" w:cs="Arial" w:eastAsia="Arial" w:hAnsi="Arial"/>
          <w:sz w:val="18"/>
          <w:szCs w:val="18"/>
          <w:color w:val="363636"/>
        </w:rPr>
        <w:t xml:space="preserve">at </w:t>
      </w:r>
      <w:r>
        <w:rPr>
          <w:rFonts w:ascii="Arial" w:cs="Arial" w:eastAsia="Arial" w:hAnsi="Arial"/>
          <w:sz w:val="18"/>
          <w:szCs w:val="18"/>
          <w:color w:val="282828"/>
        </w:rPr>
        <w:t>m</w:t>
      </w:r>
      <w:r>
        <w:rPr>
          <w:rFonts w:ascii="Arial" w:cs="Arial" w:eastAsia="Arial" w:hAnsi="Arial"/>
          <w:sz w:val="18"/>
          <w:szCs w:val="18"/>
          <w:color w:val="363636"/>
        </w:rPr>
        <w:t xml:space="preserve">ay </w:t>
      </w:r>
      <w:r>
        <w:rPr>
          <w:rFonts w:ascii="Arial" w:cs="Arial" w:eastAsia="Arial" w:hAnsi="Arial"/>
          <w:sz w:val="18"/>
          <w:szCs w:val="18"/>
          <w:color w:val="282828"/>
        </w:rPr>
        <w:t>h</w:t>
      </w:r>
      <w:r>
        <w:rPr>
          <w:rFonts w:ascii="Arial" w:cs="Arial" w:eastAsia="Arial" w:hAnsi="Arial"/>
          <w:sz w:val="18"/>
          <w:szCs w:val="18"/>
          <w:color w:val="363636"/>
        </w:rPr>
        <w:t xml:space="preserve">ave </w:t>
      </w:r>
      <w:r>
        <w:rPr>
          <w:rFonts w:ascii="Arial" w:cs="Arial" w:eastAsia="Arial" w:hAnsi="Arial"/>
          <w:sz w:val="18"/>
          <w:szCs w:val="18"/>
          <w:color w:val="282828"/>
        </w:rPr>
        <w:t>b</w:t>
      </w:r>
      <w:r>
        <w:rPr>
          <w:rFonts w:ascii="Arial" w:cs="Arial" w:eastAsia="Arial" w:hAnsi="Arial"/>
          <w:sz w:val="18"/>
          <w:szCs w:val="18"/>
          <w:color w:val="363636"/>
        </w:rPr>
        <w:t>ee</w:t>
      </w:r>
      <w:r>
        <w:rPr>
          <w:rFonts w:ascii="Arial" w:cs="Arial" w:eastAsia="Arial" w:hAnsi="Arial"/>
          <w:sz w:val="18"/>
          <w:szCs w:val="18"/>
          <w:color w:val="282828"/>
        </w:rPr>
        <w:t>n</w:t>
      </w:r>
      <w:r>
        <w:rPr>
          <w:rFonts w:ascii="Arial" w:cs="Arial" w:eastAsia="Arial" w:hAnsi="Arial"/>
          <w:sz w:val="18"/>
          <w:szCs w:val="18"/>
          <w:color w:val="363636"/>
        </w:rPr>
        <w:t xml:space="preserve"> ma</w:t>
      </w:r>
      <w:r>
        <w:rPr>
          <w:rFonts w:ascii="Arial" w:cs="Arial" w:eastAsia="Arial" w:hAnsi="Arial"/>
          <w:sz w:val="18"/>
          <w:szCs w:val="18"/>
          <w:color w:val="282828"/>
        </w:rPr>
        <w:t>d</w:t>
      </w:r>
      <w:r>
        <w:rPr>
          <w:rFonts w:ascii="Arial" w:cs="Arial" w:eastAsia="Arial" w:hAnsi="Arial"/>
          <w:sz w:val="18"/>
          <w:szCs w:val="18"/>
          <w:color w:val="363636"/>
        </w:rPr>
        <w:t>e t</w:t>
      </w:r>
      <w:r>
        <w:rPr>
          <w:rFonts w:ascii="Arial" w:cs="Arial" w:eastAsia="Arial" w:hAnsi="Arial"/>
          <w:sz w:val="18"/>
          <w:szCs w:val="18"/>
          <w:color w:val="282828"/>
        </w:rPr>
        <w:t>o</w:t>
      </w:r>
      <w:r>
        <w:rPr>
          <w:rFonts w:ascii="Arial" w:cs="Arial" w:eastAsia="Arial" w:hAnsi="Arial"/>
          <w:sz w:val="18"/>
          <w:szCs w:val="18"/>
          <w:color w:val="363636"/>
        </w:rPr>
        <w:t xml:space="preserve"> y</w:t>
      </w:r>
      <w:r>
        <w:rPr>
          <w:rFonts w:ascii="Arial" w:cs="Arial" w:eastAsia="Arial" w:hAnsi="Arial"/>
          <w:sz w:val="18"/>
          <w:szCs w:val="18"/>
          <w:color w:val="282828"/>
        </w:rPr>
        <w:t>ou</w:t>
      </w:r>
      <w:r>
        <w:rPr>
          <w:rFonts w:ascii="Arial" w:cs="Arial" w:eastAsia="Arial" w:hAnsi="Arial"/>
          <w:sz w:val="18"/>
          <w:szCs w:val="18"/>
          <w:color w:val="363636"/>
        </w:rPr>
        <w:t xml:space="preserve"> s</w:t>
      </w:r>
      <w:r>
        <w:rPr>
          <w:rFonts w:ascii="Arial" w:cs="Arial" w:eastAsia="Arial" w:hAnsi="Arial"/>
          <w:sz w:val="18"/>
          <w:szCs w:val="18"/>
          <w:color w:val="282828"/>
        </w:rPr>
        <w:t>h</w:t>
      </w:r>
      <w:r>
        <w:rPr>
          <w:rFonts w:ascii="Arial" w:cs="Arial" w:eastAsia="Arial" w:hAnsi="Arial"/>
          <w:sz w:val="18"/>
          <w:szCs w:val="18"/>
          <w:color w:val="363636"/>
        </w:rPr>
        <w:t>a</w:t>
      </w:r>
      <w:r>
        <w:rPr>
          <w:rFonts w:ascii="Arial" w:cs="Arial" w:eastAsia="Arial" w:hAnsi="Arial"/>
          <w:sz w:val="18"/>
          <w:szCs w:val="18"/>
          <w:color w:val="282828"/>
        </w:rPr>
        <w:t>ll b</w:t>
      </w:r>
      <w:r>
        <w:rPr>
          <w:rFonts w:ascii="Arial" w:cs="Arial" w:eastAsia="Arial" w:hAnsi="Arial"/>
          <w:sz w:val="18"/>
          <w:szCs w:val="18"/>
          <w:color w:val="363636"/>
        </w:rPr>
        <w:t>e s</w:t>
      </w:r>
      <w:r>
        <w:rPr>
          <w:rFonts w:ascii="Arial" w:cs="Arial" w:eastAsia="Arial" w:hAnsi="Arial"/>
          <w:sz w:val="18"/>
          <w:szCs w:val="18"/>
          <w:color w:val="282828"/>
        </w:rPr>
        <w:t>up</w:t>
      </w:r>
      <w:r>
        <w:rPr>
          <w:rFonts w:ascii="Arial" w:cs="Arial" w:eastAsia="Arial" w:hAnsi="Arial"/>
          <w:sz w:val="18"/>
          <w:szCs w:val="18"/>
          <w:color w:val="363636"/>
        </w:rPr>
        <w:t>erse</w:t>
      </w:r>
      <w:r>
        <w:rPr>
          <w:rFonts w:ascii="Arial" w:cs="Arial" w:eastAsia="Arial" w:hAnsi="Arial"/>
          <w:sz w:val="18"/>
          <w:szCs w:val="18"/>
          <w:color w:val="282828"/>
        </w:rPr>
        <w:t>d</w:t>
      </w:r>
      <w:r>
        <w:rPr>
          <w:rFonts w:ascii="Arial" w:cs="Arial" w:eastAsia="Arial" w:hAnsi="Arial"/>
          <w:sz w:val="18"/>
          <w:szCs w:val="18"/>
          <w:color w:val="363636"/>
        </w:rPr>
        <w:t>e</w:t>
      </w:r>
      <w:r>
        <w:rPr>
          <w:rFonts w:ascii="Arial" w:cs="Arial" w:eastAsia="Arial" w:hAnsi="Arial"/>
          <w:sz w:val="18"/>
          <w:szCs w:val="18"/>
          <w:color w:val="282828"/>
        </w:rPr>
        <w:t>d b</w:t>
      </w:r>
      <w:r>
        <w:rPr>
          <w:rFonts w:ascii="Arial" w:cs="Arial" w:eastAsia="Arial" w:hAnsi="Arial"/>
          <w:sz w:val="18"/>
          <w:szCs w:val="18"/>
          <w:color w:val="363636"/>
        </w:rPr>
        <w:t xml:space="preserve">y </w:t>
      </w:r>
      <w:r>
        <w:rPr>
          <w:rFonts w:ascii="Arial" w:cs="Arial" w:eastAsia="Arial" w:hAnsi="Arial"/>
          <w:sz w:val="18"/>
          <w:szCs w:val="18"/>
          <w:color w:val="282828"/>
        </w:rPr>
        <w:t>t</w:t>
      </w:r>
      <w:r>
        <w:rPr>
          <w:rFonts w:ascii="Arial" w:cs="Arial" w:eastAsia="Arial" w:hAnsi="Arial"/>
          <w:sz w:val="18"/>
          <w:szCs w:val="18"/>
          <w:color w:val="171717"/>
        </w:rPr>
        <w:t>hi</w:t>
      </w:r>
      <w:r>
        <w:rPr>
          <w:rFonts w:ascii="Arial" w:cs="Arial" w:eastAsia="Arial" w:hAnsi="Arial"/>
          <w:sz w:val="18"/>
          <w:szCs w:val="18"/>
          <w:color w:val="363636"/>
        </w:rPr>
        <w:t xml:space="preserve">s Agreement. </w:t>
      </w:r>
      <w:r>
        <w:rPr>
          <w:rFonts w:ascii="Arial" w:cs="Arial" w:eastAsia="Arial" w:hAnsi="Arial"/>
          <w:sz w:val="18"/>
          <w:szCs w:val="18"/>
          <w:color w:val="282828"/>
        </w:rPr>
        <w:t>T</w:t>
      </w:r>
      <w:r>
        <w:rPr>
          <w:rFonts w:ascii="Arial" w:cs="Arial" w:eastAsia="Arial" w:hAnsi="Arial"/>
          <w:sz w:val="18"/>
          <w:szCs w:val="18"/>
          <w:color w:val="363636"/>
        </w:rPr>
        <w:t xml:space="preserve">his </w:t>
      </w:r>
      <w:r>
        <w:rPr>
          <w:rFonts w:ascii="Arial" w:cs="Arial" w:eastAsia="Arial" w:hAnsi="Arial"/>
          <w:sz w:val="18"/>
          <w:szCs w:val="18"/>
          <w:color w:val="282828"/>
        </w:rPr>
        <w:t>A</w:t>
      </w:r>
      <w:r>
        <w:rPr>
          <w:rFonts w:ascii="Arial" w:cs="Arial" w:eastAsia="Arial" w:hAnsi="Arial"/>
          <w:sz w:val="18"/>
          <w:szCs w:val="18"/>
          <w:color w:val="363636"/>
        </w:rPr>
        <w:t>g</w:t>
      </w:r>
      <w:r>
        <w:rPr>
          <w:rFonts w:ascii="Arial" w:cs="Arial" w:eastAsia="Arial" w:hAnsi="Arial"/>
          <w:sz w:val="18"/>
          <w:szCs w:val="18"/>
          <w:color w:val="282828"/>
        </w:rPr>
        <w:t>r</w:t>
      </w:r>
      <w:r>
        <w:rPr>
          <w:rFonts w:ascii="Arial" w:cs="Arial" w:eastAsia="Arial" w:hAnsi="Arial"/>
          <w:sz w:val="18"/>
          <w:szCs w:val="18"/>
          <w:color w:val="363636"/>
        </w:rPr>
        <w:t>ee</w:t>
      </w:r>
      <w:r>
        <w:rPr>
          <w:rFonts w:ascii="Arial" w:cs="Arial" w:eastAsia="Arial" w:hAnsi="Arial"/>
          <w:sz w:val="18"/>
          <w:szCs w:val="18"/>
          <w:color w:val="282828"/>
        </w:rPr>
        <w:t>m</w:t>
      </w:r>
      <w:r>
        <w:rPr>
          <w:rFonts w:ascii="Arial" w:cs="Arial" w:eastAsia="Arial" w:hAnsi="Arial"/>
          <w:sz w:val="18"/>
          <w:szCs w:val="18"/>
          <w:color w:val="363636"/>
        </w:rPr>
        <w:t xml:space="preserve">ent </w:t>
      </w:r>
      <w:r>
        <w:rPr>
          <w:rFonts w:ascii="Arial" w:cs="Arial" w:eastAsia="Arial" w:hAnsi="Arial"/>
          <w:sz w:val="18"/>
          <w:szCs w:val="18"/>
          <w:color w:val="494949"/>
        </w:rPr>
        <w:t>s</w:t>
      </w:r>
      <w:r>
        <w:rPr>
          <w:rFonts w:ascii="Arial" w:cs="Arial" w:eastAsia="Arial" w:hAnsi="Arial"/>
          <w:sz w:val="18"/>
          <w:szCs w:val="18"/>
          <w:color w:val="282828"/>
        </w:rPr>
        <w:t>h</w:t>
      </w:r>
      <w:r>
        <w:rPr>
          <w:rFonts w:ascii="Arial" w:cs="Arial" w:eastAsia="Arial" w:hAnsi="Arial"/>
          <w:sz w:val="18"/>
          <w:szCs w:val="18"/>
          <w:color w:val="363636"/>
        </w:rPr>
        <w:t>a</w:t>
      </w:r>
      <w:r>
        <w:rPr>
          <w:rFonts w:ascii="Arial" w:cs="Arial" w:eastAsia="Arial" w:hAnsi="Arial"/>
          <w:sz w:val="18"/>
          <w:szCs w:val="18"/>
          <w:color w:val="282828"/>
        </w:rPr>
        <w:t>ll</w:t>
      </w:r>
      <w:r>
        <w:rPr>
          <w:rFonts w:ascii="Arial" w:cs="Arial" w:eastAsia="Arial" w:hAnsi="Arial"/>
          <w:sz w:val="18"/>
          <w:szCs w:val="18"/>
          <w:color w:val="363636"/>
        </w:rPr>
        <w:t xml:space="preserve"> c</w:t>
      </w:r>
      <w:r>
        <w:rPr>
          <w:rFonts w:ascii="Arial" w:cs="Arial" w:eastAsia="Arial" w:hAnsi="Arial"/>
          <w:sz w:val="18"/>
          <w:szCs w:val="18"/>
          <w:color w:val="282828"/>
        </w:rPr>
        <w:t>o</w:t>
      </w:r>
      <w:r>
        <w:rPr>
          <w:rFonts w:ascii="Arial" w:cs="Arial" w:eastAsia="Arial" w:hAnsi="Arial"/>
          <w:sz w:val="18"/>
          <w:szCs w:val="18"/>
          <w:color w:val="363636"/>
        </w:rPr>
        <w:t>nst</w:t>
      </w:r>
      <w:r>
        <w:rPr>
          <w:rFonts w:ascii="Arial" w:cs="Arial" w:eastAsia="Arial" w:hAnsi="Arial"/>
          <w:sz w:val="18"/>
          <w:szCs w:val="18"/>
          <w:color w:val="282828"/>
        </w:rPr>
        <w:t>i</w:t>
      </w:r>
      <w:r>
        <w:rPr>
          <w:rFonts w:ascii="Arial" w:cs="Arial" w:eastAsia="Arial" w:hAnsi="Arial"/>
          <w:sz w:val="18"/>
          <w:szCs w:val="18"/>
          <w:color w:val="363636"/>
        </w:rPr>
        <w:t>tu</w:t>
      </w:r>
      <w:r>
        <w:rPr>
          <w:rFonts w:ascii="Arial" w:cs="Arial" w:eastAsia="Arial" w:hAnsi="Arial"/>
          <w:sz w:val="18"/>
          <w:szCs w:val="18"/>
          <w:color w:val="282828"/>
        </w:rPr>
        <w:t>t</w:t>
      </w:r>
      <w:r>
        <w:rPr>
          <w:rFonts w:ascii="Arial" w:cs="Arial" w:eastAsia="Arial" w:hAnsi="Arial"/>
          <w:sz w:val="18"/>
          <w:szCs w:val="18"/>
          <w:color w:val="363636"/>
        </w:rPr>
        <w:t>e t</w:t>
      </w:r>
      <w:r>
        <w:rPr>
          <w:rFonts w:ascii="Arial" w:cs="Arial" w:eastAsia="Arial" w:hAnsi="Arial"/>
          <w:sz w:val="18"/>
          <w:szCs w:val="18"/>
          <w:color w:val="282828"/>
        </w:rPr>
        <w:t>h</w:t>
      </w:r>
      <w:r>
        <w:rPr>
          <w:rFonts w:ascii="Arial" w:cs="Arial" w:eastAsia="Arial" w:hAnsi="Arial"/>
          <w:sz w:val="18"/>
          <w:szCs w:val="18"/>
          <w:color w:val="363636"/>
        </w:rPr>
        <w:t>e fu</w:t>
      </w:r>
      <w:r>
        <w:rPr>
          <w:rFonts w:ascii="Arial" w:cs="Arial" w:eastAsia="Arial" w:hAnsi="Arial"/>
          <w:sz w:val="18"/>
          <w:szCs w:val="18"/>
          <w:color w:val="282828"/>
        </w:rPr>
        <w:t>ll</w:t>
      </w:r>
      <w:r>
        <w:rPr>
          <w:rFonts w:ascii="Arial" w:cs="Arial" w:eastAsia="Arial" w:hAnsi="Arial"/>
          <w:sz w:val="18"/>
          <w:szCs w:val="18"/>
          <w:color w:val="363636"/>
        </w:rPr>
        <w:t xml:space="preserve"> a</w:t>
      </w:r>
      <w:r>
        <w:rPr>
          <w:rFonts w:ascii="Arial" w:cs="Arial" w:eastAsia="Arial" w:hAnsi="Arial"/>
          <w:sz w:val="18"/>
          <w:szCs w:val="18"/>
          <w:color w:val="282828"/>
        </w:rPr>
        <w:t>nd compl</w:t>
      </w:r>
      <w:r>
        <w:rPr>
          <w:rFonts w:ascii="Arial" w:cs="Arial" w:eastAsia="Arial" w:hAnsi="Arial"/>
          <w:sz w:val="18"/>
          <w:szCs w:val="18"/>
          <w:color w:val="363636"/>
        </w:rPr>
        <w:t>e</w:t>
      </w:r>
      <w:r>
        <w:rPr>
          <w:rFonts w:ascii="Arial" w:cs="Arial" w:eastAsia="Arial" w:hAnsi="Arial"/>
          <w:sz w:val="18"/>
          <w:szCs w:val="18"/>
          <w:color w:val="282828"/>
        </w:rPr>
        <w:t>t</w:t>
      </w:r>
      <w:r>
        <w:rPr>
          <w:rFonts w:ascii="Arial" w:cs="Arial" w:eastAsia="Arial" w:hAnsi="Arial"/>
          <w:sz w:val="18"/>
          <w:szCs w:val="18"/>
          <w:color w:val="363636"/>
        </w:rPr>
        <w:t>e ag</w:t>
      </w:r>
      <w:r>
        <w:rPr>
          <w:rFonts w:ascii="Arial" w:cs="Arial" w:eastAsia="Arial" w:hAnsi="Arial"/>
          <w:sz w:val="18"/>
          <w:szCs w:val="18"/>
          <w:color w:val="282828"/>
        </w:rPr>
        <w:t>r</w:t>
      </w:r>
      <w:r>
        <w:rPr>
          <w:rFonts w:ascii="Arial" w:cs="Arial" w:eastAsia="Arial" w:hAnsi="Arial"/>
          <w:sz w:val="18"/>
          <w:szCs w:val="18"/>
          <w:color w:val="363636"/>
        </w:rPr>
        <w:t>ee</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 xml:space="preserve">t </w:t>
      </w:r>
      <w:r>
        <w:rPr>
          <w:rFonts w:ascii="Arial" w:cs="Arial" w:eastAsia="Arial" w:hAnsi="Arial"/>
          <w:sz w:val="18"/>
          <w:szCs w:val="18"/>
          <w:color w:val="282828"/>
        </w:rPr>
        <w:t>b</w:t>
      </w:r>
      <w:r>
        <w:rPr>
          <w:rFonts w:ascii="Arial" w:cs="Arial" w:eastAsia="Arial" w:hAnsi="Arial"/>
          <w:sz w:val="18"/>
          <w:szCs w:val="18"/>
          <w:color w:val="363636"/>
        </w:rPr>
        <w:t>etwee</w:t>
      </w:r>
      <w:r>
        <w:rPr>
          <w:rFonts w:ascii="Arial" w:cs="Arial" w:eastAsia="Arial" w:hAnsi="Arial"/>
          <w:sz w:val="18"/>
          <w:szCs w:val="18"/>
          <w:color w:val="282828"/>
        </w:rPr>
        <w:t>n you</w:t>
      </w:r>
      <w:r>
        <w:rPr>
          <w:rFonts w:ascii="Arial" w:cs="Arial" w:eastAsia="Arial" w:hAnsi="Arial"/>
          <w:sz w:val="18"/>
          <w:szCs w:val="18"/>
          <w:color w:val="363636"/>
        </w:rPr>
        <w:t xml:space="preserve"> a</w:t>
      </w:r>
      <w:r>
        <w:rPr>
          <w:rFonts w:ascii="Arial" w:cs="Arial" w:eastAsia="Arial" w:hAnsi="Arial"/>
          <w:sz w:val="18"/>
          <w:szCs w:val="18"/>
          <w:color w:val="282828"/>
        </w:rPr>
        <w:t>nd</w:t>
      </w:r>
      <w:r>
        <w:rPr>
          <w:rFonts w:ascii="Arial" w:cs="Arial" w:eastAsia="Arial" w:hAnsi="Arial"/>
          <w:sz w:val="18"/>
          <w:szCs w:val="18"/>
          <w:color w:val="363636"/>
        </w:rPr>
        <w:t xml:space="preserve"> t</w:t>
      </w:r>
      <w:r>
        <w:rPr>
          <w:rFonts w:ascii="Arial" w:cs="Arial" w:eastAsia="Arial" w:hAnsi="Arial"/>
          <w:sz w:val="18"/>
          <w:szCs w:val="18"/>
          <w:color w:val="282828"/>
        </w:rPr>
        <w:t>h</w:t>
      </w:r>
      <w:r>
        <w:rPr>
          <w:rFonts w:ascii="Arial" w:cs="Arial" w:eastAsia="Arial" w:hAnsi="Arial"/>
          <w:sz w:val="18"/>
          <w:szCs w:val="18"/>
          <w:color w:val="363636"/>
        </w:rPr>
        <w:t>e C</w:t>
      </w:r>
      <w:r>
        <w:rPr>
          <w:rFonts w:ascii="Arial" w:cs="Arial" w:eastAsia="Arial" w:hAnsi="Arial"/>
          <w:sz w:val="18"/>
          <w:szCs w:val="18"/>
          <w:color w:val="282828"/>
        </w:rPr>
        <w:t>omp</w:t>
      </w:r>
      <w:r>
        <w:rPr>
          <w:rFonts w:ascii="Arial" w:cs="Arial" w:eastAsia="Arial" w:hAnsi="Arial"/>
          <w:sz w:val="18"/>
          <w:szCs w:val="18"/>
          <w:color w:val="363636"/>
        </w:rPr>
        <w:t>a</w:t>
      </w:r>
      <w:r>
        <w:rPr>
          <w:rFonts w:ascii="Arial" w:cs="Arial" w:eastAsia="Arial" w:hAnsi="Arial"/>
          <w:sz w:val="18"/>
          <w:szCs w:val="18"/>
          <w:color w:val="282828"/>
        </w:rPr>
        <w:t>n</w:t>
      </w:r>
      <w:r>
        <w:rPr>
          <w:rFonts w:ascii="Arial" w:cs="Arial" w:eastAsia="Arial" w:hAnsi="Arial"/>
          <w:sz w:val="18"/>
          <w:szCs w:val="18"/>
          <w:color w:val="363636"/>
        </w:rPr>
        <w:t xml:space="preserve">y </w:t>
      </w:r>
      <w:r>
        <w:rPr>
          <w:rFonts w:ascii="Arial" w:cs="Arial" w:eastAsia="Arial" w:hAnsi="Arial"/>
          <w:sz w:val="18"/>
          <w:szCs w:val="18"/>
          <w:color w:val="282828"/>
        </w:rPr>
        <w:t>on th</w:t>
      </w:r>
      <w:r>
        <w:rPr>
          <w:rFonts w:ascii="Arial" w:cs="Arial" w:eastAsia="Arial" w:hAnsi="Arial"/>
          <w:sz w:val="18"/>
          <w:szCs w:val="18"/>
          <w:color w:val="363636"/>
        </w:rPr>
        <w:t xml:space="preserve">e </w:t>
      </w:r>
      <w:r>
        <w:rPr>
          <w:rFonts w:ascii="Arial" w:cs="Arial" w:eastAsia="Arial" w:hAnsi="Arial"/>
          <w:sz w:val="18"/>
          <w:szCs w:val="18"/>
          <w:color w:val="494949"/>
        </w:rPr>
        <w:t>"</w:t>
      </w:r>
      <w:r>
        <w:rPr>
          <w:rFonts w:ascii="Arial" w:cs="Arial" w:eastAsia="Arial" w:hAnsi="Arial"/>
          <w:sz w:val="18"/>
          <w:szCs w:val="18"/>
          <w:color w:val="363636"/>
        </w:rPr>
        <w:t>a</w:t>
      </w:r>
      <w:r>
        <w:rPr>
          <w:rFonts w:ascii="Arial" w:cs="Arial" w:eastAsia="Arial" w:hAnsi="Arial"/>
          <w:sz w:val="18"/>
          <w:szCs w:val="18"/>
          <w:color w:val="282828"/>
        </w:rPr>
        <w:t>t-</w:t>
      </w:r>
      <w:r>
        <w:rPr>
          <w:rFonts w:ascii="Arial" w:cs="Arial" w:eastAsia="Arial" w:hAnsi="Arial"/>
          <w:sz w:val="18"/>
          <w:szCs w:val="18"/>
          <w:color w:val="363636"/>
        </w:rPr>
        <w:t>w</w:t>
      </w:r>
      <w:r>
        <w:rPr>
          <w:rFonts w:ascii="Arial" w:cs="Arial" w:eastAsia="Arial" w:hAnsi="Arial"/>
          <w:sz w:val="18"/>
          <w:szCs w:val="18"/>
          <w:color w:val="282828"/>
        </w:rPr>
        <w:t>i</w:t>
      </w:r>
      <w:r>
        <w:rPr>
          <w:rFonts w:ascii="Arial" w:cs="Arial" w:eastAsia="Arial" w:hAnsi="Arial"/>
          <w:sz w:val="18"/>
          <w:szCs w:val="18"/>
          <w:color w:val="363636"/>
        </w:rPr>
        <w:t>ll</w:t>
      </w:r>
      <w:r>
        <w:rPr>
          <w:rFonts w:ascii="Arial" w:cs="Arial" w:eastAsia="Arial" w:hAnsi="Arial"/>
          <w:sz w:val="18"/>
          <w:szCs w:val="18"/>
          <w:color w:val="494949"/>
        </w:rPr>
        <w:t>"</w:t>
      </w:r>
      <w:r>
        <w:rPr>
          <w:rFonts w:ascii="Arial" w:cs="Arial" w:eastAsia="Arial" w:hAnsi="Arial"/>
          <w:sz w:val="18"/>
          <w:szCs w:val="18"/>
          <w:color w:val="363636"/>
        </w:rPr>
        <w:t xml:space="preserve"> </w:t>
      </w:r>
      <w:r>
        <w:rPr>
          <w:rFonts w:ascii="Arial" w:cs="Arial" w:eastAsia="Arial" w:hAnsi="Arial"/>
          <w:sz w:val="18"/>
          <w:szCs w:val="18"/>
          <w:color w:val="282828"/>
        </w:rPr>
        <w:t>n</w:t>
      </w:r>
      <w:r>
        <w:rPr>
          <w:rFonts w:ascii="Arial" w:cs="Arial" w:eastAsia="Arial" w:hAnsi="Arial"/>
          <w:sz w:val="18"/>
          <w:szCs w:val="18"/>
          <w:color w:val="363636"/>
        </w:rPr>
        <w:t>a</w:t>
      </w:r>
      <w:r>
        <w:rPr>
          <w:rFonts w:ascii="Arial" w:cs="Arial" w:eastAsia="Arial" w:hAnsi="Arial"/>
          <w:sz w:val="18"/>
          <w:szCs w:val="18"/>
          <w:color w:val="282828"/>
        </w:rPr>
        <w:t>tu</w:t>
      </w:r>
      <w:r>
        <w:rPr>
          <w:rFonts w:ascii="Arial" w:cs="Arial" w:eastAsia="Arial" w:hAnsi="Arial"/>
          <w:sz w:val="18"/>
          <w:szCs w:val="18"/>
          <w:color w:val="363636"/>
        </w:rPr>
        <w:t xml:space="preserve">re </w:t>
      </w:r>
      <w:r>
        <w:rPr>
          <w:rFonts w:ascii="Arial" w:cs="Arial" w:eastAsia="Arial" w:hAnsi="Arial"/>
          <w:sz w:val="18"/>
          <w:szCs w:val="18"/>
          <w:color w:val="282828"/>
        </w:rPr>
        <w:t>o</w:t>
      </w:r>
      <w:r>
        <w:rPr>
          <w:rFonts w:ascii="Arial" w:cs="Arial" w:eastAsia="Arial" w:hAnsi="Arial"/>
          <w:sz w:val="18"/>
          <w:szCs w:val="18"/>
          <w:color w:val="363636"/>
        </w:rPr>
        <w:t>f y</w:t>
      </w:r>
      <w:r>
        <w:rPr>
          <w:rFonts w:ascii="Arial" w:cs="Arial" w:eastAsia="Arial" w:hAnsi="Arial"/>
          <w:sz w:val="18"/>
          <w:szCs w:val="18"/>
          <w:color w:val="282828"/>
        </w:rPr>
        <w:t>o</w:t>
      </w:r>
      <w:r>
        <w:rPr>
          <w:rFonts w:ascii="Arial" w:cs="Arial" w:eastAsia="Arial" w:hAnsi="Arial"/>
          <w:sz w:val="18"/>
          <w:szCs w:val="18"/>
          <w:color w:val="171717"/>
        </w:rPr>
        <w:t>u</w:t>
      </w:r>
      <w:r>
        <w:rPr>
          <w:rFonts w:ascii="Arial" w:cs="Arial" w:eastAsia="Arial" w:hAnsi="Arial"/>
          <w:sz w:val="18"/>
          <w:szCs w:val="18"/>
          <w:color w:val="363636"/>
        </w:rPr>
        <w:t>r Em</w:t>
      </w:r>
      <w:r>
        <w:rPr>
          <w:rFonts w:ascii="Arial" w:cs="Arial" w:eastAsia="Arial" w:hAnsi="Arial"/>
          <w:sz w:val="18"/>
          <w:szCs w:val="18"/>
          <w:color w:val="282828"/>
        </w:rPr>
        <w:t>p</w:t>
      </w:r>
      <w:r>
        <w:rPr>
          <w:rFonts w:ascii="Arial" w:cs="Arial" w:eastAsia="Arial" w:hAnsi="Arial"/>
          <w:sz w:val="18"/>
          <w:szCs w:val="18"/>
          <w:color w:val="171717"/>
        </w:rPr>
        <w:t>l</w:t>
      </w:r>
      <w:r>
        <w:rPr>
          <w:rFonts w:ascii="Arial" w:cs="Arial" w:eastAsia="Arial" w:hAnsi="Arial"/>
          <w:sz w:val="18"/>
          <w:szCs w:val="18"/>
          <w:color w:val="282828"/>
        </w:rPr>
        <w:t>o</w:t>
      </w:r>
      <w:r>
        <w:rPr>
          <w:rFonts w:ascii="Arial" w:cs="Arial" w:eastAsia="Arial" w:hAnsi="Arial"/>
          <w:sz w:val="18"/>
          <w:szCs w:val="18"/>
          <w:color w:val="363636"/>
        </w:rPr>
        <w:t>yme</w:t>
      </w:r>
      <w:r>
        <w:rPr>
          <w:rFonts w:ascii="Arial" w:cs="Arial" w:eastAsia="Arial" w:hAnsi="Arial"/>
          <w:sz w:val="18"/>
          <w:szCs w:val="18"/>
          <w:color w:val="282828"/>
        </w:rPr>
        <w:t>n</w:t>
      </w:r>
      <w:r>
        <w:rPr>
          <w:rFonts w:ascii="Arial" w:cs="Arial" w:eastAsia="Arial" w:hAnsi="Arial"/>
          <w:sz w:val="18"/>
          <w:szCs w:val="18"/>
          <w:color w:val="363636"/>
        </w:rPr>
        <w:t>t</w:t>
      </w:r>
      <w:r>
        <w:rPr>
          <w:rFonts w:ascii="Arial" w:cs="Arial" w:eastAsia="Arial" w:hAnsi="Arial"/>
          <w:sz w:val="18"/>
          <w:szCs w:val="18"/>
          <w:color w:val="494949"/>
        </w:rPr>
        <w:t>,</w:t>
      </w:r>
      <w:r>
        <w:rPr>
          <w:rFonts w:ascii="Arial" w:cs="Arial" w:eastAsia="Arial" w:hAnsi="Arial"/>
          <w:sz w:val="18"/>
          <w:szCs w:val="18"/>
          <w:color w:val="363636"/>
        </w:rPr>
        <w:t xml:space="preserve"> w</w:t>
      </w:r>
      <w:r>
        <w:rPr>
          <w:rFonts w:ascii="Arial" w:cs="Arial" w:eastAsia="Arial" w:hAnsi="Arial"/>
          <w:sz w:val="18"/>
          <w:szCs w:val="18"/>
          <w:color w:val="171717"/>
        </w:rPr>
        <w:t>h</w:t>
      </w:r>
      <w:r>
        <w:rPr>
          <w:rFonts w:ascii="Arial" w:cs="Arial" w:eastAsia="Arial" w:hAnsi="Arial"/>
          <w:sz w:val="18"/>
          <w:szCs w:val="18"/>
          <w:color w:val="282828"/>
        </w:rPr>
        <w:t>ich ma</w:t>
      </w:r>
      <w:r>
        <w:rPr>
          <w:rFonts w:ascii="Arial" w:cs="Arial" w:eastAsia="Arial" w:hAnsi="Arial"/>
          <w:sz w:val="18"/>
          <w:szCs w:val="18"/>
          <w:color w:val="363636"/>
        </w:rPr>
        <w:t xml:space="preserve">y </w:t>
      </w:r>
      <w:r>
        <w:rPr>
          <w:rFonts w:ascii="Arial" w:cs="Arial" w:eastAsia="Arial" w:hAnsi="Arial"/>
          <w:sz w:val="18"/>
          <w:szCs w:val="18"/>
          <w:color w:val="282828"/>
        </w:rPr>
        <w:t>onl</w:t>
      </w:r>
      <w:r>
        <w:rPr>
          <w:rFonts w:ascii="Arial" w:cs="Arial" w:eastAsia="Arial" w:hAnsi="Arial"/>
          <w:sz w:val="18"/>
          <w:szCs w:val="18"/>
          <w:color w:val="363636"/>
        </w:rPr>
        <w:t xml:space="preserve">y </w:t>
      </w:r>
      <w:r>
        <w:rPr>
          <w:rFonts w:ascii="Arial" w:cs="Arial" w:eastAsia="Arial" w:hAnsi="Arial"/>
          <w:sz w:val="18"/>
          <w:szCs w:val="18"/>
          <w:color w:val="171717"/>
        </w:rPr>
        <w:t>b</w:t>
      </w:r>
      <w:r>
        <w:rPr>
          <w:rFonts w:ascii="Arial" w:cs="Arial" w:eastAsia="Arial" w:hAnsi="Arial"/>
          <w:sz w:val="18"/>
          <w:szCs w:val="18"/>
          <w:color w:val="363636"/>
        </w:rPr>
        <w:t xml:space="preserve">e </w:t>
      </w:r>
      <w:r>
        <w:rPr>
          <w:rFonts w:ascii="Arial" w:cs="Arial" w:eastAsia="Arial" w:hAnsi="Arial"/>
          <w:sz w:val="18"/>
          <w:szCs w:val="18"/>
          <w:color w:val="282828"/>
        </w:rPr>
        <w:t>ch</w:t>
      </w:r>
      <w:r>
        <w:rPr>
          <w:rFonts w:ascii="Arial" w:cs="Arial" w:eastAsia="Arial" w:hAnsi="Arial"/>
          <w:sz w:val="18"/>
          <w:szCs w:val="18"/>
          <w:color w:val="363636"/>
        </w:rPr>
        <w:t>ange</w:t>
      </w:r>
      <w:r>
        <w:rPr>
          <w:rFonts w:ascii="Arial" w:cs="Arial" w:eastAsia="Arial" w:hAnsi="Arial"/>
          <w:sz w:val="18"/>
          <w:szCs w:val="18"/>
          <w:color w:val="282828"/>
        </w:rPr>
        <w:t>d in</w:t>
      </w:r>
      <w:r>
        <w:rPr>
          <w:rFonts w:ascii="Arial" w:cs="Arial" w:eastAsia="Arial" w:hAnsi="Arial"/>
          <w:sz w:val="18"/>
          <w:szCs w:val="18"/>
          <w:color w:val="363636"/>
        </w:rPr>
        <w:t xml:space="preserve"> a</w:t>
      </w:r>
      <w:r>
        <w:rPr>
          <w:rFonts w:ascii="Arial" w:cs="Arial" w:eastAsia="Arial" w:hAnsi="Arial"/>
          <w:sz w:val="18"/>
          <w:szCs w:val="18"/>
          <w:color w:val="282828"/>
        </w:rPr>
        <w:t>n</w:t>
      </w:r>
      <w:r>
        <w:rPr>
          <w:rFonts w:ascii="Arial" w:cs="Arial" w:eastAsia="Arial" w:hAnsi="Arial"/>
          <w:sz w:val="18"/>
          <w:szCs w:val="18"/>
          <w:color w:val="363636"/>
        </w:rPr>
        <w:t xml:space="preserve"> ex</w:t>
      </w:r>
      <w:r>
        <w:rPr>
          <w:rFonts w:ascii="Arial" w:cs="Arial" w:eastAsia="Arial" w:hAnsi="Arial"/>
          <w:sz w:val="18"/>
          <w:szCs w:val="18"/>
          <w:color w:val="282828"/>
        </w:rPr>
        <w:t>p</w:t>
      </w:r>
      <w:r>
        <w:rPr>
          <w:rFonts w:ascii="Arial" w:cs="Arial" w:eastAsia="Arial" w:hAnsi="Arial"/>
          <w:sz w:val="18"/>
          <w:szCs w:val="18"/>
          <w:color w:val="363636"/>
        </w:rPr>
        <w:t>ress w</w:t>
      </w:r>
      <w:r>
        <w:rPr>
          <w:rFonts w:ascii="Arial" w:cs="Arial" w:eastAsia="Arial" w:hAnsi="Arial"/>
          <w:sz w:val="18"/>
          <w:szCs w:val="18"/>
          <w:color w:val="282828"/>
        </w:rPr>
        <w:t>r</w:t>
      </w:r>
      <w:r>
        <w:rPr>
          <w:rFonts w:ascii="Arial" w:cs="Arial" w:eastAsia="Arial" w:hAnsi="Arial"/>
          <w:sz w:val="18"/>
          <w:szCs w:val="18"/>
          <w:color w:val="363636"/>
        </w:rPr>
        <w:t>i</w:t>
      </w:r>
      <w:r>
        <w:rPr>
          <w:rFonts w:ascii="Arial" w:cs="Arial" w:eastAsia="Arial" w:hAnsi="Arial"/>
          <w:sz w:val="18"/>
          <w:szCs w:val="18"/>
          <w:color w:val="282828"/>
        </w:rPr>
        <w:t>tt</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 xml:space="preserve"> agreeme</w:t>
      </w:r>
      <w:r>
        <w:rPr>
          <w:rFonts w:ascii="Arial" w:cs="Arial" w:eastAsia="Arial" w:hAnsi="Arial"/>
          <w:sz w:val="18"/>
          <w:szCs w:val="18"/>
          <w:color w:val="282828"/>
        </w:rPr>
        <w:t>n</w:t>
      </w:r>
      <w:r>
        <w:rPr>
          <w:rFonts w:ascii="Arial" w:cs="Arial" w:eastAsia="Arial" w:hAnsi="Arial"/>
          <w:sz w:val="18"/>
          <w:szCs w:val="18"/>
          <w:color w:val="363636"/>
        </w:rPr>
        <w:t>t s</w:t>
      </w:r>
      <w:r>
        <w:rPr>
          <w:rFonts w:ascii="Arial" w:cs="Arial" w:eastAsia="Arial" w:hAnsi="Arial"/>
          <w:sz w:val="18"/>
          <w:szCs w:val="18"/>
          <w:color w:val="282828"/>
        </w:rPr>
        <w:t>ign</w:t>
      </w:r>
      <w:r>
        <w:rPr>
          <w:rFonts w:ascii="Arial" w:cs="Arial" w:eastAsia="Arial" w:hAnsi="Arial"/>
          <w:sz w:val="18"/>
          <w:szCs w:val="18"/>
          <w:color w:val="363636"/>
        </w:rPr>
        <w:t>e</w:t>
      </w:r>
      <w:r>
        <w:rPr>
          <w:rFonts w:ascii="Arial" w:cs="Arial" w:eastAsia="Arial" w:hAnsi="Arial"/>
          <w:sz w:val="18"/>
          <w:szCs w:val="18"/>
          <w:color w:val="282828"/>
        </w:rPr>
        <w:t>d</w:t>
      </w:r>
      <w:r>
        <w:rPr>
          <w:rFonts w:ascii="Arial" w:cs="Arial" w:eastAsia="Arial" w:hAnsi="Arial"/>
          <w:sz w:val="18"/>
          <w:szCs w:val="18"/>
          <w:color w:val="363636"/>
        </w:rPr>
        <w:t xml:space="preserve"> </w:t>
      </w:r>
      <w:r>
        <w:rPr>
          <w:rFonts w:ascii="Arial" w:cs="Arial" w:eastAsia="Arial" w:hAnsi="Arial"/>
          <w:sz w:val="18"/>
          <w:szCs w:val="18"/>
          <w:color w:val="171717"/>
        </w:rPr>
        <w:t>b</w:t>
      </w:r>
      <w:r>
        <w:rPr>
          <w:rFonts w:ascii="Arial" w:cs="Arial" w:eastAsia="Arial" w:hAnsi="Arial"/>
          <w:sz w:val="18"/>
          <w:szCs w:val="18"/>
          <w:color w:val="363636"/>
        </w:rPr>
        <w:t>y y</w:t>
      </w:r>
      <w:r>
        <w:rPr>
          <w:rFonts w:ascii="Arial" w:cs="Arial" w:eastAsia="Arial" w:hAnsi="Arial"/>
          <w:sz w:val="18"/>
          <w:szCs w:val="18"/>
          <w:color w:val="282828"/>
        </w:rPr>
        <w:t>ou</w:t>
      </w:r>
      <w:r>
        <w:rPr>
          <w:rFonts w:ascii="Arial" w:cs="Arial" w:eastAsia="Arial" w:hAnsi="Arial"/>
          <w:sz w:val="18"/>
          <w:szCs w:val="18"/>
          <w:color w:val="363636"/>
        </w:rPr>
        <w:t xml:space="preserve"> a</w:t>
      </w:r>
      <w:r>
        <w:rPr>
          <w:rFonts w:ascii="Arial" w:cs="Arial" w:eastAsia="Arial" w:hAnsi="Arial"/>
          <w:sz w:val="18"/>
          <w:szCs w:val="18"/>
          <w:color w:val="282828"/>
        </w:rPr>
        <w:t>nd</w:t>
      </w:r>
      <w:r>
        <w:rPr>
          <w:rFonts w:ascii="Arial" w:cs="Arial" w:eastAsia="Arial" w:hAnsi="Arial"/>
          <w:sz w:val="18"/>
          <w:szCs w:val="18"/>
          <w:color w:val="363636"/>
        </w:rPr>
        <w:t xml:space="preserve"> a </w:t>
      </w:r>
      <w:r>
        <w:rPr>
          <w:rFonts w:ascii="Arial" w:cs="Arial" w:eastAsia="Arial" w:hAnsi="Arial"/>
          <w:sz w:val="18"/>
          <w:szCs w:val="18"/>
          <w:color w:val="282828"/>
        </w:rPr>
        <w:t>du</w:t>
      </w:r>
      <w:r>
        <w:rPr>
          <w:rFonts w:ascii="Arial" w:cs="Arial" w:eastAsia="Arial" w:hAnsi="Arial"/>
          <w:sz w:val="18"/>
          <w:szCs w:val="18"/>
          <w:color w:val="363636"/>
        </w:rPr>
        <w:t>l</w:t>
      </w:r>
      <w:r>
        <w:rPr>
          <w:rFonts w:ascii="Arial" w:cs="Arial" w:eastAsia="Arial" w:hAnsi="Arial"/>
          <w:sz w:val="18"/>
          <w:szCs w:val="18"/>
          <w:color w:val="282828"/>
        </w:rPr>
        <w:t>y</w:t>
      </w:r>
      <w:r>
        <w:rPr>
          <w:rFonts w:ascii="Arial" w:cs="Arial" w:eastAsia="Arial" w:hAnsi="Arial"/>
          <w:sz w:val="18"/>
          <w:szCs w:val="18"/>
          <w:color w:val="363636"/>
        </w:rPr>
        <w:t xml:space="preserve"> a</w:t>
      </w:r>
      <w:r>
        <w:rPr>
          <w:rFonts w:ascii="Arial" w:cs="Arial" w:eastAsia="Arial" w:hAnsi="Arial"/>
          <w:sz w:val="18"/>
          <w:szCs w:val="18"/>
          <w:color w:val="282828"/>
        </w:rPr>
        <w:t>utho</w:t>
      </w:r>
      <w:r>
        <w:rPr>
          <w:rFonts w:ascii="Arial" w:cs="Arial" w:eastAsia="Arial" w:hAnsi="Arial"/>
          <w:sz w:val="18"/>
          <w:szCs w:val="18"/>
          <w:color w:val="363636"/>
        </w:rPr>
        <w:t>r</w:t>
      </w:r>
      <w:r>
        <w:rPr>
          <w:rFonts w:ascii="Arial" w:cs="Arial" w:eastAsia="Arial" w:hAnsi="Arial"/>
          <w:sz w:val="18"/>
          <w:szCs w:val="18"/>
          <w:color w:val="282828"/>
        </w:rPr>
        <w:t>i</w:t>
      </w:r>
      <w:r>
        <w:rPr>
          <w:rFonts w:ascii="Arial" w:cs="Arial" w:eastAsia="Arial" w:hAnsi="Arial"/>
          <w:sz w:val="18"/>
          <w:szCs w:val="18"/>
          <w:color w:val="363636"/>
        </w:rPr>
        <w:t>ze</w:t>
      </w:r>
      <w:r>
        <w:rPr>
          <w:rFonts w:ascii="Arial" w:cs="Arial" w:eastAsia="Arial" w:hAnsi="Arial"/>
          <w:sz w:val="18"/>
          <w:szCs w:val="18"/>
          <w:color w:val="282828"/>
        </w:rPr>
        <w:t>d o</w:t>
      </w:r>
      <w:r>
        <w:rPr>
          <w:rFonts w:ascii="Arial" w:cs="Arial" w:eastAsia="Arial" w:hAnsi="Arial"/>
          <w:sz w:val="18"/>
          <w:szCs w:val="18"/>
          <w:color w:val="363636"/>
        </w:rPr>
        <w:t>ffice</w:t>
      </w:r>
      <w:r>
        <w:rPr>
          <w:rFonts w:ascii="Arial" w:cs="Arial" w:eastAsia="Arial" w:hAnsi="Arial"/>
          <w:sz w:val="18"/>
          <w:szCs w:val="18"/>
          <w:color w:val="282828"/>
        </w:rPr>
        <w:t>r</w:t>
      </w:r>
      <w:r>
        <w:rPr>
          <w:rFonts w:ascii="Arial" w:cs="Arial" w:eastAsia="Arial" w:hAnsi="Arial"/>
          <w:sz w:val="18"/>
          <w:szCs w:val="18"/>
          <w:color w:val="363636"/>
        </w:rPr>
        <w:t xml:space="preserve"> </w:t>
      </w:r>
      <w:r>
        <w:rPr>
          <w:rFonts w:ascii="Arial" w:cs="Arial" w:eastAsia="Arial" w:hAnsi="Arial"/>
          <w:sz w:val="18"/>
          <w:szCs w:val="18"/>
          <w:color w:val="282828"/>
        </w:rPr>
        <w:t>o</w:t>
      </w:r>
      <w:r>
        <w:rPr>
          <w:rFonts w:ascii="Arial" w:cs="Arial" w:eastAsia="Arial" w:hAnsi="Arial"/>
          <w:sz w:val="18"/>
          <w:szCs w:val="18"/>
          <w:color w:val="363636"/>
        </w:rPr>
        <w:t>f t</w:t>
      </w:r>
      <w:r>
        <w:rPr>
          <w:rFonts w:ascii="Arial" w:cs="Arial" w:eastAsia="Arial" w:hAnsi="Arial"/>
          <w:sz w:val="18"/>
          <w:szCs w:val="18"/>
          <w:color w:val="282828"/>
        </w:rPr>
        <w:t>h</w:t>
      </w:r>
      <w:r>
        <w:rPr>
          <w:rFonts w:ascii="Arial" w:cs="Arial" w:eastAsia="Arial" w:hAnsi="Arial"/>
          <w:sz w:val="18"/>
          <w:szCs w:val="18"/>
          <w:color w:val="363636"/>
        </w:rPr>
        <w:t>e</w:t>
      </w:r>
      <w:r>
        <w:rPr>
          <w:rFonts w:ascii="Arial" w:cs="Arial" w:eastAsia="Arial" w:hAnsi="Arial"/>
          <w:sz w:val="18"/>
          <w:szCs w:val="18"/>
          <w:color w:val="282828"/>
        </w:rPr>
        <w:t xml:space="preserve"> Comp</w:t>
      </w:r>
      <w:r>
        <w:rPr>
          <w:rFonts w:ascii="Arial" w:cs="Arial" w:eastAsia="Arial" w:hAnsi="Arial"/>
          <w:sz w:val="18"/>
          <w:szCs w:val="18"/>
          <w:color w:val="363636"/>
        </w:rPr>
        <w:t>a</w:t>
      </w:r>
      <w:r>
        <w:rPr>
          <w:rFonts w:ascii="Arial" w:cs="Arial" w:eastAsia="Arial" w:hAnsi="Arial"/>
          <w:sz w:val="18"/>
          <w:szCs w:val="18"/>
          <w:color w:val="282828"/>
        </w:rPr>
        <w:t>n</w:t>
      </w:r>
      <w:r>
        <w:rPr>
          <w:rFonts w:ascii="Arial" w:cs="Arial" w:eastAsia="Arial" w:hAnsi="Arial"/>
          <w:sz w:val="18"/>
          <w:szCs w:val="18"/>
          <w:color w:val="363636"/>
        </w:rPr>
        <w:t>y</w:t>
      </w:r>
      <w:r>
        <w:rPr>
          <w:rFonts w:ascii="Arial" w:cs="Arial" w:eastAsia="Arial" w:hAnsi="Arial"/>
          <w:sz w:val="18"/>
          <w:szCs w:val="18"/>
          <w:color w:val="494949"/>
        </w:rPr>
        <w:t>.</w:t>
      </w:r>
    </w:p>
    <w:p>
      <w:pPr>
        <w:ind w:left="1163" w:hanging="286"/>
        <w:spacing w:after="0"/>
        <w:tabs>
          <w:tab w:leader="none" w:pos="1162" w:val="left"/>
        </w:tabs>
        <w:numPr>
          <w:ilvl w:val="1"/>
          <w:numId w:val="335"/>
        </w:numPr>
        <w:rPr>
          <w:rFonts w:ascii="Arial" w:cs="Arial" w:eastAsia="Arial" w:hAnsi="Arial"/>
          <w:sz w:val="18"/>
          <w:szCs w:val="18"/>
          <w:color w:val="282828"/>
        </w:rPr>
      </w:pPr>
      <w:r>
        <w:rPr>
          <w:rFonts w:ascii="Arial" w:cs="Arial" w:eastAsia="Arial" w:hAnsi="Arial"/>
          <w:sz w:val="18"/>
          <w:szCs w:val="18"/>
          <w:b w:val="1"/>
          <w:bCs w:val="1"/>
          <w:u w:val="single" w:color="auto"/>
          <w:color w:val="171717"/>
        </w:rPr>
        <w:t>Right</w:t>
      </w:r>
      <w:r>
        <w:rPr>
          <w:rFonts w:ascii="Arial" w:cs="Arial" w:eastAsia="Arial" w:hAnsi="Arial"/>
          <w:sz w:val="18"/>
          <w:szCs w:val="18"/>
          <w:b w:val="1"/>
          <w:bCs w:val="1"/>
          <w:u w:val="single" w:color="auto"/>
          <w:color w:val="282828"/>
        </w:rPr>
        <w:t>s U</w:t>
      </w:r>
      <w:r>
        <w:rPr>
          <w:rFonts w:ascii="Arial" w:cs="Arial" w:eastAsia="Arial" w:hAnsi="Arial"/>
          <w:sz w:val="18"/>
          <w:szCs w:val="18"/>
          <w:b w:val="1"/>
          <w:bCs w:val="1"/>
          <w:u w:val="single" w:color="auto"/>
          <w:color w:val="171717"/>
        </w:rPr>
        <w:t>pon T</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rmin</w:t>
      </w:r>
      <w:r>
        <w:rPr>
          <w:rFonts w:ascii="Arial" w:cs="Arial" w:eastAsia="Arial" w:hAnsi="Arial"/>
          <w:sz w:val="18"/>
          <w:szCs w:val="18"/>
          <w:b w:val="1"/>
          <w:bCs w:val="1"/>
          <w:u w:val="single" w:color="auto"/>
          <w:color w:val="282828"/>
        </w:rPr>
        <w:t>a</w:t>
      </w:r>
      <w:r>
        <w:rPr>
          <w:rFonts w:ascii="Arial" w:cs="Arial" w:eastAsia="Arial" w:hAnsi="Arial"/>
          <w:sz w:val="18"/>
          <w:szCs w:val="18"/>
          <w:b w:val="1"/>
          <w:bCs w:val="1"/>
          <w:u w:val="single" w:color="auto"/>
          <w:color w:val="171717"/>
        </w:rPr>
        <w:t>tion</w:t>
      </w:r>
      <w:r>
        <w:rPr>
          <w:rFonts w:ascii="Arial" w:cs="Arial" w:eastAsia="Arial" w:hAnsi="Arial"/>
          <w:sz w:val="18"/>
          <w:szCs w:val="18"/>
          <w:b w:val="1"/>
          <w:bCs w:val="1"/>
          <w:color w:val="171717"/>
        </w:rPr>
        <w:t xml:space="preserve">. </w:t>
      </w:r>
      <w:r>
        <w:rPr>
          <w:rFonts w:ascii="Arial" w:cs="Arial" w:eastAsia="Arial" w:hAnsi="Arial"/>
          <w:sz w:val="18"/>
          <w:szCs w:val="18"/>
          <w:color w:val="363636"/>
        </w:rPr>
        <w:t>Ex</w:t>
      </w:r>
      <w:r>
        <w:rPr>
          <w:rFonts w:ascii="Arial" w:cs="Arial" w:eastAsia="Arial" w:hAnsi="Arial"/>
          <w:sz w:val="18"/>
          <w:szCs w:val="18"/>
          <w:color w:val="282828"/>
        </w:rPr>
        <w:t>c</w:t>
      </w:r>
      <w:r>
        <w:rPr>
          <w:rFonts w:ascii="Arial" w:cs="Arial" w:eastAsia="Arial" w:hAnsi="Arial"/>
          <w:sz w:val="18"/>
          <w:szCs w:val="18"/>
          <w:color w:val="363636"/>
        </w:rPr>
        <w:t>e</w:t>
      </w:r>
      <w:r>
        <w:rPr>
          <w:rFonts w:ascii="Arial" w:cs="Arial" w:eastAsia="Arial" w:hAnsi="Arial"/>
          <w:sz w:val="18"/>
          <w:szCs w:val="18"/>
          <w:color w:val="282828"/>
        </w:rPr>
        <w:t>p</w:t>
      </w:r>
      <w:r>
        <w:rPr>
          <w:rFonts w:ascii="Arial" w:cs="Arial" w:eastAsia="Arial" w:hAnsi="Arial"/>
          <w:sz w:val="18"/>
          <w:szCs w:val="18"/>
          <w:color w:val="363636"/>
        </w:rPr>
        <w:t>t as</w:t>
      </w:r>
      <w:r>
        <w:rPr>
          <w:rFonts w:ascii="Arial" w:cs="Arial" w:eastAsia="Arial" w:hAnsi="Arial"/>
          <w:sz w:val="18"/>
          <w:szCs w:val="18"/>
          <w:b w:val="1"/>
          <w:bCs w:val="1"/>
          <w:color w:val="171717"/>
        </w:rPr>
        <w:t xml:space="preserve"> </w:t>
      </w:r>
      <w:r>
        <w:rPr>
          <w:rFonts w:ascii="Arial" w:cs="Arial" w:eastAsia="Arial" w:hAnsi="Arial"/>
          <w:sz w:val="18"/>
          <w:szCs w:val="18"/>
          <w:color w:val="282828"/>
        </w:rPr>
        <w:t>e</w:t>
      </w:r>
      <w:r>
        <w:rPr>
          <w:rFonts w:ascii="Arial" w:cs="Arial" w:eastAsia="Arial" w:hAnsi="Arial"/>
          <w:sz w:val="18"/>
          <w:szCs w:val="18"/>
          <w:color w:val="363636"/>
        </w:rPr>
        <w:t>xp</w:t>
      </w:r>
      <w:r>
        <w:rPr>
          <w:rFonts w:ascii="Arial" w:cs="Arial" w:eastAsia="Arial" w:hAnsi="Arial"/>
          <w:sz w:val="18"/>
          <w:szCs w:val="18"/>
          <w:color w:val="171717"/>
        </w:rPr>
        <w:t>r</w:t>
      </w:r>
      <w:r>
        <w:rPr>
          <w:rFonts w:ascii="Arial" w:cs="Arial" w:eastAsia="Arial" w:hAnsi="Arial"/>
          <w:sz w:val="18"/>
          <w:szCs w:val="18"/>
          <w:color w:val="494949"/>
        </w:rPr>
        <w:t>e</w:t>
      </w:r>
      <w:r>
        <w:rPr>
          <w:rFonts w:ascii="Arial" w:cs="Arial" w:eastAsia="Arial" w:hAnsi="Arial"/>
          <w:sz w:val="18"/>
          <w:szCs w:val="18"/>
          <w:color w:val="363636"/>
        </w:rPr>
        <w:t>ss</w:t>
      </w:r>
      <w:r>
        <w:rPr>
          <w:rFonts w:ascii="Arial" w:cs="Arial" w:eastAsia="Arial" w:hAnsi="Arial"/>
          <w:sz w:val="18"/>
          <w:szCs w:val="18"/>
          <w:color w:val="282828"/>
        </w:rPr>
        <w:t>l</w:t>
      </w:r>
      <w:r>
        <w:rPr>
          <w:rFonts w:ascii="Arial" w:cs="Arial" w:eastAsia="Arial" w:hAnsi="Arial"/>
          <w:sz w:val="18"/>
          <w:szCs w:val="18"/>
          <w:color w:val="363636"/>
        </w:rPr>
        <w:t>y p</w:t>
      </w:r>
      <w:r>
        <w:rPr>
          <w:rFonts w:ascii="Arial" w:cs="Arial" w:eastAsia="Arial" w:hAnsi="Arial"/>
          <w:sz w:val="18"/>
          <w:szCs w:val="18"/>
          <w:color w:val="282828"/>
        </w:rPr>
        <w:t>ro</w:t>
      </w:r>
      <w:r>
        <w:rPr>
          <w:rFonts w:ascii="Arial" w:cs="Arial" w:eastAsia="Arial" w:hAnsi="Arial"/>
          <w:sz w:val="18"/>
          <w:szCs w:val="18"/>
          <w:color w:val="363636"/>
        </w:rPr>
        <w:t>v</w:t>
      </w:r>
      <w:r>
        <w:rPr>
          <w:rFonts w:ascii="Arial" w:cs="Arial" w:eastAsia="Arial" w:hAnsi="Arial"/>
          <w:sz w:val="18"/>
          <w:szCs w:val="18"/>
          <w:color w:val="171717"/>
        </w:rPr>
        <w:t>i</w:t>
      </w:r>
      <w:r>
        <w:rPr>
          <w:rFonts w:ascii="Arial" w:cs="Arial" w:eastAsia="Arial" w:hAnsi="Arial"/>
          <w:sz w:val="18"/>
          <w:szCs w:val="18"/>
          <w:color w:val="282828"/>
        </w:rPr>
        <w:t>d</w:t>
      </w:r>
      <w:r>
        <w:rPr>
          <w:rFonts w:ascii="Arial" w:cs="Arial" w:eastAsia="Arial" w:hAnsi="Arial"/>
          <w:sz w:val="18"/>
          <w:szCs w:val="18"/>
          <w:color w:val="363636"/>
        </w:rPr>
        <w:t>e</w:t>
      </w:r>
      <w:r>
        <w:rPr>
          <w:rFonts w:ascii="Arial" w:cs="Arial" w:eastAsia="Arial" w:hAnsi="Arial"/>
          <w:sz w:val="18"/>
          <w:szCs w:val="18"/>
          <w:color w:val="282828"/>
        </w:rPr>
        <w:t>d</w:t>
      </w:r>
      <w:r>
        <w:rPr>
          <w:rFonts w:ascii="Arial" w:cs="Arial" w:eastAsia="Arial" w:hAnsi="Arial"/>
          <w:sz w:val="18"/>
          <w:szCs w:val="18"/>
          <w:b w:val="1"/>
          <w:bCs w:val="1"/>
          <w:color w:val="171717"/>
        </w:rPr>
        <w:t xml:space="preserve"> </w:t>
      </w:r>
      <w:r>
        <w:rPr>
          <w:rFonts w:ascii="Arial" w:cs="Arial" w:eastAsia="Arial" w:hAnsi="Arial"/>
          <w:sz w:val="18"/>
          <w:szCs w:val="18"/>
          <w:color w:val="363636"/>
        </w:rPr>
        <w:t>i</w:t>
      </w:r>
      <w:r>
        <w:rPr>
          <w:rFonts w:ascii="Arial" w:cs="Arial" w:eastAsia="Arial" w:hAnsi="Arial"/>
          <w:sz w:val="18"/>
          <w:szCs w:val="18"/>
          <w:color w:val="282828"/>
        </w:rPr>
        <w:t>n S</w:t>
      </w:r>
      <w:r>
        <w:rPr>
          <w:rFonts w:ascii="Arial" w:cs="Arial" w:eastAsia="Arial" w:hAnsi="Arial"/>
          <w:sz w:val="18"/>
          <w:szCs w:val="18"/>
          <w:color w:val="363636"/>
        </w:rPr>
        <w:t>e</w:t>
      </w:r>
      <w:r>
        <w:rPr>
          <w:rFonts w:ascii="Arial" w:cs="Arial" w:eastAsia="Arial" w:hAnsi="Arial"/>
          <w:sz w:val="18"/>
          <w:szCs w:val="18"/>
          <w:color w:val="282828"/>
        </w:rPr>
        <w:t>ct</w:t>
      </w:r>
      <w:r>
        <w:rPr>
          <w:rFonts w:ascii="Arial" w:cs="Arial" w:eastAsia="Arial" w:hAnsi="Arial"/>
          <w:sz w:val="18"/>
          <w:szCs w:val="18"/>
          <w:color w:val="171717"/>
        </w:rPr>
        <w:t>i</w:t>
      </w:r>
      <w:r>
        <w:rPr>
          <w:rFonts w:ascii="Arial" w:cs="Arial" w:eastAsia="Arial" w:hAnsi="Arial"/>
          <w:sz w:val="18"/>
          <w:szCs w:val="18"/>
          <w:color w:val="282828"/>
        </w:rPr>
        <w:t>on 6</w:t>
      </w:r>
      <w:r>
        <w:rPr>
          <w:rFonts w:ascii="Arial" w:cs="Arial" w:eastAsia="Arial" w:hAnsi="Arial"/>
          <w:sz w:val="18"/>
          <w:szCs w:val="18"/>
          <w:color w:val="494949"/>
        </w:rPr>
        <w:t>,</w:t>
      </w:r>
      <w:r>
        <w:rPr>
          <w:rFonts w:ascii="Arial" w:cs="Arial" w:eastAsia="Arial" w:hAnsi="Arial"/>
          <w:sz w:val="18"/>
          <w:szCs w:val="18"/>
          <w:b w:val="1"/>
          <w:bCs w:val="1"/>
          <w:color w:val="171717"/>
        </w:rPr>
        <w:t xml:space="preserve"> </w:t>
      </w:r>
      <w:r>
        <w:rPr>
          <w:rFonts w:ascii="Arial" w:cs="Arial" w:eastAsia="Arial" w:hAnsi="Arial"/>
          <w:sz w:val="18"/>
          <w:szCs w:val="18"/>
          <w:color w:val="282828"/>
        </w:rPr>
        <w:t>upon</w:t>
      </w:r>
      <w:r>
        <w:rPr>
          <w:rFonts w:ascii="Arial" w:cs="Arial" w:eastAsia="Arial" w:hAnsi="Arial"/>
          <w:sz w:val="18"/>
          <w:szCs w:val="18"/>
          <w:b w:val="1"/>
          <w:bCs w:val="1"/>
          <w:color w:val="171717"/>
        </w:rPr>
        <w:t xml:space="preserve"> </w:t>
      </w:r>
      <w:r>
        <w:rPr>
          <w:rFonts w:ascii="Arial" w:cs="Arial" w:eastAsia="Arial" w:hAnsi="Arial"/>
          <w:sz w:val="18"/>
          <w:szCs w:val="18"/>
          <w:color w:val="171717"/>
        </w:rPr>
        <w:t>t</w:t>
      </w:r>
      <w:r>
        <w:rPr>
          <w:rFonts w:ascii="Arial" w:cs="Arial" w:eastAsia="Arial" w:hAnsi="Arial"/>
          <w:sz w:val="18"/>
          <w:szCs w:val="18"/>
          <w:color w:val="282828"/>
        </w:rPr>
        <w:t>h</w:t>
      </w:r>
      <w:r>
        <w:rPr>
          <w:rFonts w:ascii="Arial" w:cs="Arial" w:eastAsia="Arial" w:hAnsi="Arial"/>
          <w:sz w:val="18"/>
          <w:szCs w:val="18"/>
          <w:color w:val="363636"/>
        </w:rPr>
        <w:t>e terminati</w:t>
      </w:r>
      <w:r>
        <w:rPr>
          <w:rFonts w:ascii="Arial" w:cs="Arial" w:eastAsia="Arial" w:hAnsi="Arial"/>
          <w:sz w:val="18"/>
          <w:szCs w:val="18"/>
          <w:color w:val="282828"/>
        </w:rPr>
        <w:t>on o</w:t>
      </w:r>
      <w:r>
        <w:rPr>
          <w:rFonts w:ascii="Arial" w:cs="Arial" w:eastAsia="Arial" w:hAnsi="Arial"/>
          <w:sz w:val="18"/>
          <w:szCs w:val="18"/>
          <w:color w:val="363636"/>
        </w:rPr>
        <w:t>f y</w:t>
      </w:r>
      <w:r>
        <w:rPr>
          <w:rFonts w:ascii="Arial" w:cs="Arial" w:eastAsia="Arial" w:hAnsi="Arial"/>
          <w:sz w:val="18"/>
          <w:szCs w:val="18"/>
          <w:color w:val="282828"/>
        </w:rPr>
        <w:t>o</w:t>
      </w:r>
      <w:r>
        <w:rPr>
          <w:rFonts w:ascii="Arial" w:cs="Arial" w:eastAsia="Arial" w:hAnsi="Arial"/>
          <w:sz w:val="18"/>
          <w:szCs w:val="18"/>
          <w:color w:val="363636"/>
        </w:rPr>
        <w:t>ur Em</w:t>
      </w:r>
      <w:r>
        <w:rPr>
          <w:rFonts w:ascii="Arial" w:cs="Arial" w:eastAsia="Arial" w:hAnsi="Arial"/>
          <w:sz w:val="18"/>
          <w:szCs w:val="18"/>
          <w:color w:val="282828"/>
        </w:rPr>
        <w:t>plo</w:t>
      </w:r>
      <w:r>
        <w:rPr>
          <w:rFonts w:ascii="Arial" w:cs="Arial" w:eastAsia="Arial" w:hAnsi="Arial"/>
          <w:sz w:val="18"/>
          <w:szCs w:val="18"/>
          <w:color w:val="363636"/>
        </w:rPr>
        <w:t>ymen</w:t>
      </w:r>
      <w:r>
        <w:rPr>
          <w:rFonts w:ascii="Arial" w:cs="Arial" w:eastAsia="Arial" w:hAnsi="Arial"/>
          <w:sz w:val="18"/>
          <w:szCs w:val="18"/>
          <w:color w:val="282828"/>
        </w:rPr>
        <w:t>t</w:t>
      </w:r>
      <w:r>
        <w:rPr>
          <w:rFonts w:ascii="Arial" w:cs="Arial" w:eastAsia="Arial" w:hAnsi="Arial"/>
          <w:sz w:val="18"/>
          <w:szCs w:val="18"/>
          <w:color w:val="595959"/>
        </w:rPr>
        <w:t>,</w:t>
      </w:r>
      <w:r>
        <w:rPr>
          <w:rFonts w:ascii="Arial" w:cs="Arial" w:eastAsia="Arial" w:hAnsi="Arial"/>
          <w:sz w:val="18"/>
          <w:szCs w:val="18"/>
          <w:b w:val="1"/>
          <w:bCs w:val="1"/>
          <w:color w:val="171717"/>
        </w:rPr>
        <w:t xml:space="preserve"> </w:t>
      </w:r>
      <w:r>
        <w:rPr>
          <w:rFonts w:ascii="Arial" w:cs="Arial" w:eastAsia="Arial" w:hAnsi="Arial"/>
          <w:sz w:val="18"/>
          <w:szCs w:val="18"/>
          <w:color w:val="363636"/>
        </w:rPr>
        <w:t>y</w:t>
      </w:r>
      <w:r>
        <w:rPr>
          <w:rFonts w:ascii="Arial" w:cs="Arial" w:eastAsia="Arial" w:hAnsi="Arial"/>
          <w:sz w:val="18"/>
          <w:szCs w:val="18"/>
          <w:color w:val="282828"/>
        </w:rPr>
        <w:t>ou</w:t>
      </w:r>
      <w:r>
        <w:rPr>
          <w:rFonts w:ascii="Arial" w:cs="Arial" w:eastAsia="Arial" w:hAnsi="Arial"/>
          <w:sz w:val="18"/>
          <w:szCs w:val="18"/>
          <w:b w:val="1"/>
          <w:bCs w:val="1"/>
          <w:color w:val="171717"/>
        </w:rPr>
        <w:t xml:space="preserve"> </w:t>
      </w:r>
      <w:r>
        <w:rPr>
          <w:rFonts w:ascii="Arial" w:cs="Arial" w:eastAsia="Arial" w:hAnsi="Arial"/>
          <w:sz w:val="18"/>
          <w:szCs w:val="18"/>
          <w:color w:val="363636"/>
        </w:rPr>
        <w:t>s</w:t>
      </w:r>
      <w:r>
        <w:rPr>
          <w:rFonts w:ascii="Arial" w:cs="Arial" w:eastAsia="Arial" w:hAnsi="Arial"/>
          <w:sz w:val="18"/>
          <w:szCs w:val="18"/>
          <w:color w:val="282828"/>
        </w:rPr>
        <w:t>h</w:t>
      </w:r>
      <w:r>
        <w:rPr>
          <w:rFonts w:ascii="Arial" w:cs="Arial" w:eastAsia="Arial" w:hAnsi="Arial"/>
          <w:sz w:val="18"/>
          <w:szCs w:val="18"/>
          <w:color w:val="363636"/>
        </w:rPr>
        <w:t>a</w:t>
      </w:r>
      <w:r>
        <w:rPr>
          <w:rFonts w:ascii="Arial" w:cs="Arial" w:eastAsia="Arial" w:hAnsi="Arial"/>
          <w:sz w:val="18"/>
          <w:szCs w:val="18"/>
          <w:color w:val="282828"/>
        </w:rPr>
        <w:t>ll on</w:t>
      </w:r>
      <w:r>
        <w:rPr>
          <w:rFonts w:ascii="Arial" w:cs="Arial" w:eastAsia="Arial" w:hAnsi="Arial"/>
          <w:sz w:val="18"/>
          <w:szCs w:val="18"/>
          <w:color w:val="363636"/>
        </w:rPr>
        <w:t>ly</w:t>
      </w:r>
      <w:r>
        <w:rPr>
          <w:rFonts w:ascii="Arial" w:cs="Arial" w:eastAsia="Arial" w:hAnsi="Arial"/>
          <w:sz w:val="18"/>
          <w:szCs w:val="18"/>
          <w:b w:val="1"/>
          <w:bCs w:val="1"/>
          <w:color w:val="171717"/>
        </w:rPr>
        <w:t xml:space="preserve"> </w:t>
      </w:r>
      <w:r>
        <w:rPr>
          <w:rFonts w:ascii="Arial" w:cs="Arial" w:eastAsia="Arial" w:hAnsi="Arial"/>
          <w:sz w:val="18"/>
          <w:szCs w:val="18"/>
          <w:color w:val="282828"/>
        </w:rPr>
        <w:t>b</w:t>
      </w:r>
      <w:r>
        <w:rPr>
          <w:rFonts w:ascii="Arial" w:cs="Arial" w:eastAsia="Arial" w:hAnsi="Arial"/>
          <w:sz w:val="18"/>
          <w:szCs w:val="18"/>
          <w:color w:val="363636"/>
        </w:rPr>
        <w:t>e en</w:t>
      </w:r>
      <w:r>
        <w:rPr>
          <w:rFonts w:ascii="Arial" w:cs="Arial" w:eastAsia="Arial" w:hAnsi="Arial"/>
          <w:sz w:val="18"/>
          <w:szCs w:val="18"/>
          <w:color w:val="282828"/>
        </w:rPr>
        <w:t>t</w:t>
      </w:r>
      <w:r>
        <w:rPr>
          <w:rFonts w:ascii="Arial" w:cs="Arial" w:eastAsia="Arial" w:hAnsi="Arial"/>
          <w:sz w:val="18"/>
          <w:szCs w:val="18"/>
          <w:color w:val="363636"/>
        </w:rPr>
        <w:t>i</w:t>
      </w:r>
      <w:r>
        <w:rPr>
          <w:rFonts w:ascii="Arial" w:cs="Arial" w:eastAsia="Arial" w:hAnsi="Arial"/>
          <w:sz w:val="18"/>
          <w:szCs w:val="18"/>
          <w:color w:val="171717"/>
        </w:rPr>
        <w:t>t</w:t>
      </w:r>
      <w:r>
        <w:rPr>
          <w:rFonts w:ascii="Arial" w:cs="Arial" w:eastAsia="Arial" w:hAnsi="Arial"/>
          <w:sz w:val="18"/>
          <w:szCs w:val="18"/>
          <w:color w:val="363636"/>
        </w:rPr>
        <w:t>le</w:t>
      </w:r>
      <w:r>
        <w:rPr>
          <w:rFonts w:ascii="Arial" w:cs="Arial" w:eastAsia="Arial" w:hAnsi="Arial"/>
          <w:sz w:val="18"/>
          <w:szCs w:val="18"/>
          <w:color w:val="282828"/>
        </w:rPr>
        <w:t>d</w:t>
      </w:r>
      <w:r>
        <w:rPr>
          <w:rFonts w:ascii="Arial" w:cs="Arial" w:eastAsia="Arial" w:hAnsi="Arial"/>
          <w:sz w:val="18"/>
          <w:szCs w:val="18"/>
          <w:b w:val="1"/>
          <w:bCs w:val="1"/>
          <w:color w:val="171717"/>
        </w:rPr>
        <w:t xml:space="preserve"> </w:t>
      </w:r>
      <w:r>
        <w:rPr>
          <w:rFonts w:ascii="Arial" w:cs="Arial" w:eastAsia="Arial" w:hAnsi="Arial"/>
          <w:sz w:val="18"/>
          <w:szCs w:val="18"/>
          <w:color w:val="363636"/>
        </w:rPr>
        <w:t>t</w:t>
      </w:r>
      <w:r>
        <w:rPr>
          <w:rFonts w:ascii="Arial" w:cs="Arial" w:eastAsia="Arial" w:hAnsi="Arial"/>
          <w:sz w:val="18"/>
          <w:szCs w:val="18"/>
          <w:color w:val="282828"/>
        </w:rPr>
        <w:t>o</w:t>
      </w:r>
      <w:r>
        <w:rPr>
          <w:rFonts w:ascii="Arial" w:cs="Arial" w:eastAsia="Arial" w:hAnsi="Arial"/>
          <w:sz w:val="18"/>
          <w:szCs w:val="18"/>
          <w:color w:val="363636"/>
        </w:rPr>
        <w:t xml:space="preserve"> the </w:t>
      </w:r>
      <w:r>
        <w:rPr>
          <w:rFonts w:ascii="Arial" w:cs="Arial" w:eastAsia="Arial" w:hAnsi="Arial"/>
          <w:sz w:val="18"/>
          <w:szCs w:val="18"/>
          <w:color w:val="282828"/>
        </w:rPr>
        <w:t>co</w:t>
      </w:r>
      <w:r>
        <w:rPr>
          <w:rFonts w:ascii="Arial" w:cs="Arial" w:eastAsia="Arial" w:hAnsi="Arial"/>
          <w:sz w:val="18"/>
          <w:szCs w:val="18"/>
          <w:color w:val="363636"/>
        </w:rPr>
        <w:t>m</w:t>
      </w:r>
      <w:r>
        <w:rPr>
          <w:rFonts w:ascii="Arial" w:cs="Arial" w:eastAsia="Arial" w:hAnsi="Arial"/>
          <w:sz w:val="18"/>
          <w:szCs w:val="18"/>
          <w:color w:val="282828"/>
        </w:rPr>
        <w:t>p</w:t>
      </w:r>
      <w:r>
        <w:rPr>
          <w:rFonts w:ascii="Arial" w:cs="Arial" w:eastAsia="Arial" w:hAnsi="Arial"/>
          <w:sz w:val="18"/>
          <w:szCs w:val="18"/>
          <w:color w:val="363636"/>
        </w:rPr>
        <w:t>ensati</w:t>
      </w:r>
      <w:r>
        <w:rPr>
          <w:rFonts w:ascii="Arial" w:cs="Arial" w:eastAsia="Arial" w:hAnsi="Arial"/>
          <w:sz w:val="18"/>
          <w:szCs w:val="18"/>
          <w:color w:val="282828"/>
        </w:rPr>
        <w:t>o</w:t>
      </w:r>
      <w:r>
        <w:rPr>
          <w:rFonts w:ascii="Arial" w:cs="Arial" w:eastAsia="Arial" w:hAnsi="Arial"/>
          <w:sz w:val="18"/>
          <w:szCs w:val="18"/>
          <w:color w:val="363636"/>
        </w:rPr>
        <w:t>n an</w:t>
      </w:r>
      <w:r>
        <w:rPr>
          <w:rFonts w:ascii="Arial" w:cs="Arial" w:eastAsia="Arial" w:hAnsi="Arial"/>
          <w:sz w:val="18"/>
          <w:szCs w:val="18"/>
          <w:color w:val="282828"/>
        </w:rPr>
        <w:t>d b</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efi</w:t>
      </w:r>
      <w:r>
        <w:rPr>
          <w:rFonts w:ascii="Arial" w:cs="Arial" w:eastAsia="Arial" w:hAnsi="Arial"/>
          <w:sz w:val="18"/>
          <w:szCs w:val="18"/>
          <w:color w:val="282828"/>
        </w:rPr>
        <w:t>t</w:t>
      </w:r>
      <w:r>
        <w:rPr>
          <w:rFonts w:ascii="Arial" w:cs="Arial" w:eastAsia="Arial" w:hAnsi="Arial"/>
          <w:sz w:val="18"/>
          <w:szCs w:val="18"/>
          <w:color w:val="363636"/>
        </w:rPr>
        <w:t>s ea</w:t>
      </w:r>
      <w:r>
        <w:rPr>
          <w:rFonts w:ascii="Arial" w:cs="Arial" w:eastAsia="Arial" w:hAnsi="Arial"/>
          <w:sz w:val="18"/>
          <w:szCs w:val="18"/>
          <w:color w:val="282828"/>
        </w:rPr>
        <w:t>rn</w:t>
      </w:r>
      <w:r>
        <w:rPr>
          <w:rFonts w:ascii="Arial" w:cs="Arial" w:eastAsia="Arial" w:hAnsi="Arial"/>
          <w:sz w:val="18"/>
          <w:szCs w:val="18"/>
          <w:color w:val="363636"/>
        </w:rPr>
        <w:t>e</w:t>
      </w:r>
      <w:r>
        <w:rPr>
          <w:rFonts w:ascii="Arial" w:cs="Arial" w:eastAsia="Arial" w:hAnsi="Arial"/>
          <w:sz w:val="18"/>
          <w:szCs w:val="18"/>
          <w:color w:val="282828"/>
        </w:rPr>
        <w:t>d</w:t>
      </w:r>
      <w:r>
        <w:rPr>
          <w:rFonts w:ascii="Arial" w:cs="Arial" w:eastAsia="Arial" w:hAnsi="Arial"/>
          <w:sz w:val="18"/>
          <w:szCs w:val="18"/>
          <w:color w:val="363636"/>
        </w:rPr>
        <w:t xml:space="preserve"> an</w:t>
      </w:r>
      <w:r>
        <w:rPr>
          <w:rFonts w:ascii="Arial" w:cs="Arial" w:eastAsia="Arial" w:hAnsi="Arial"/>
          <w:sz w:val="18"/>
          <w:szCs w:val="18"/>
          <w:color w:val="282828"/>
        </w:rPr>
        <w:t>d th</w:t>
      </w:r>
      <w:r>
        <w:rPr>
          <w:rFonts w:ascii="Arial" w:cs="Arial" w:eastAsia="Arial" w:hAnsi="Arial"/>
          <w:sz w:val="18"/>
          <w:szCs w:val="18"/>
          <w:color w:val="363636"/>
        </w:rPr>
        <w:t xml:space="preserve">e </w:t>
      </w:r>
      <w:r>
        <w:rPr>
          <w:rFonts w:ascii="Arial" w:cs="Arial" w:eastAsia="Arial" w:hAnsi="Arial"/>
          <w:sz w:val="18"/>
          <w:szCs w:val="18"/>
          <w:color w:val="282828"/>
        </w:rPr>
        <w:t>r</w:t>
      </w:r>
      <w:r>
        <w:rPr>
          <w:rFonts w:ascii="Arial" w:cs="Arial" w:eastAsia="Arial" w:hAnsi="Arial"/>
          <w:sz w:val="18"/>
          <w:szCs w:val="18"/>
          <w:color w:val="363636"/>
        </w:rPr>
        <w:t>e</w:t>
      </w:r>
      <w:r>
        <w:rPr>
          <w:rFonts w:ascii="Arial" w:cs="Arial" w:eastAsia="Arial" w:hAnsi="Arial"/>
          <w:sz w:val="18"/>
          <w:szCs w:val="18"/>
          <w:color w:val="282828"/>
        </w:rPr>
        <w:t>imbur</w:t>
      </w:r>
      <w:r>
        <w:rPr>
          <w:rFonts w:ascii="Arial" w:cs="Arial" w:eastAsia="Arial" w:hAnsi="Arial"/>
          <w:sz w:val="18"/>
          <w:szCs w:val="18"/>
          <w:color w:val="363636"/>
        </w:rPr>
        <w:t>se</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171717"/>
        </w:rPr>
        <w:t>n</w:t>
      </w:r>
      <w:r>
        <w:rPr>
          <w:rFonts w:ascii="Arial" w:cs="Arial" w:eastAsia="Arial" w:hAnsi="Arial"/>
          <w:sz w:val="18"/>
          <w:szCs w:val="18"/>
          <w:color w:val="282828"/>
        </w:rPr>
        <w:t>t</w:t>
      </w:r>
      <w:r>
        <w:rPr>
          <w:rFonts w:ascii="Arial" w:cs="Arial" w:eastAsia="Arial" w:hAnsi="Arial"/>
          <w:sz w:val="18"/>
          <w:szCs w:val="18"/>
          <w:color w:val="363636"/>
        </w:rPr>
        <w:t xml:space="preserve">s </w:t>
      </w:r>
      <w:r>
        <w:rPr>
          <w:rFonts w:ascii="Arial" w:cs="Arial" w:eastAsia="Arial" w:hAnsi="Arial"/>
          <w:sz w:val="18"/>
          <w:szCs w:val="18"/>
          <w:color w:val="282828"/>
        </w:rPr>
        <w:t>d</w:t>
      </w:r>
      <w:r>
        <w:rPr>
          <w:rFonts w:ascii="Arial" w:cs="Arial" w:eastAsia="Arial" w:hAnsi="Arial"/>
          <w:sz w:val="18"/>
          <w:szCs w:val="18"/>
          <w:color w:val="363636"/>
        </w:rPr>
        <w:t>es</w:t>
      </w:r>
      <w:r>
        <w:rPr>
          <w:rFonts w:ascii="Arial" w:cs="Arial" w:eastAsia="Arial" w:hAnsi="Arial"/>
          <w:sz w:val="18"/>
          <w:szCs w:val="18"/>
          <w:color w:val="282828"/>
        </w:rPr>
        <w:t>cr</w:t>
      </w:r>
      <w:r>
        <w:rPr>
          <w:rFonts w:ascii="Arial" w:cs="Arial" w:eastAsia="Arial" w:hAnsi="Arial"/>
          <w:sz w:val="18"/>
          <w:szCs w:val="18"/>
          <w:color w:val="171717"/>
        </w:rPr>
        <w:t>i</w:t>
      </w:r>
      <w:r>
        <w:rPr>
          <w:rFonts w:ascii="Arial" w:cs="Arial" w:eastAsia="Arial" w:hAnsi="Arial"/>
          <w:sz w:val="18"/>
          <w:szCs w:val="18"/>
          <w:color w:val="282828"/>
        </w:rPr>
        <w:t>b</w:t>
      </w:r>
      <w:r>
        <w:rPr>
          <w:rFonts w:ascii="Arial" w:cs="Arial" w:eastAsia="Arial" w:hAnsi="Arial"/>
          <w:sz w:val="18"/>
          <w:szCs w:val="18"/>
          <w:color w:val="363636"/>
        </w:rPr>
        <w:t>e</w:t>
      </w:r>
      <w:r>
        <w:rPr>
          <w:rFonts w:ascii="Arial" w:cs="Arial" w:eastAsia="Arial" w:hAnsi="Arial"/>
          <w:sz w:val="18"/>
          <w:szCs w:val="18"/>
          <w:color w:val="282828"/>
        </w:rPr>
        <w:t>d i</w:t>
      </w:r>
      <w:r>
        <w:rPr>
          <w:rFonts w:ascii="Arial" w:cs="Arial" w:eastAsia="Arial" w:hAnsi="Arial"/>
          <w:sz w:val="18"/>
          <w:szCs w:val="18"/>
          <w:color w:val="363636"/>
        </w:rPr>
        <w:t>n t</w:t>
      </w:r>
      <w:r>
        <w:rPr>
          <w:rFonts w:ascii="Arial" w:cs="Arial" w:eastAsia="Arial" w:hAnsi="Arial"/>
          <w:sz w:val="18"/>
          <w:szCs w:val="18"/>
          <w:color w:val="282828"/>
        </w:rPr>
        <w:t>hi</w:t>
      </w:r>
      <w:r>
        <w:rPr>
          <w:rFonts w:ascii="Arial" w:cs="Arial" w:eastAsia="Arial" w:hAnsi="Arial"/>
          <w:sz w:val="18"/>
          <w:szCs w:val="18"/>
          <w:color w:val="363636"/>
        </w:rPr>
        <w:t>s Ag</w:t>
      </w:r>
      <w:r>
        <w:rPr>
          <w:rFonts w:ascii="Arial" w:cs="Arial" w:eastAsia="Arial" w:hAnsi="Arial"/>
          <w:sz w:val="18"/>
          <w:szCs w:val="18"/>
          <w:color w:val="282828"/>
        </w:rPr>
        <w:t>r</w:t>
      </w:r>
      <w:r>
        <w:rPr>
          <w:rFonts w:ascii="Arial" w:cs="Arial" w:eastAsia="Arial" w:hAnsi="Arial"/>
          <w:sz w:val="18"/>
          <w:szCs w:val="18"/>
          <w:color w:val="363636"/>
        </w:rPr>
        <w:t>ee</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282828"/>
        </w:rPr>
        <w:t>nt</w:t>
      </w:r>
      <w:r>
        <w:rPr>
          <w:rFonts w:ascii="Arial" w:cs="Arial" w:eastAsia="Arial" w:hAnsi="Arial"/>
          <w:sz w:val="18"/>
          <w:szCs w:val="18"/>
          <w:color w:val="363636"/>
        </w:rPr>
        <w:t xml:space="preserve"> fo</w:t>
      </w:r>
      <w:r>
        <w:rPr>
          <w:rFonts w:ascii="Arial" w:cs="Arial" w:eastAsia="Arial" w:hAnsi="Arial"/>
          <w:sz w:val="18"/>
          <w:szCs w:val="18"/>
          <w:color w:val="282828"/>
        </w:rPr>
        <w:t>r</w:t>
      </w:r>
      <w:r>
        <w:rPr>
          <w:rFonts w:ascii="Arial" w:cs="Arial" w:eastAsia="Arial" w:hAnsi="Arial"/>
          <w:sz w:val="18"/>
          <w:szCs w:val="18"/>
          <w:color w:val="363636"/>
        </w:rPr>
        <w:t xml:space="preserve"> t</w:t>
      </w:r>
      <w:r>
        <w:rPr>
          <w:rFonts w:ascii="Arial" w:cs="Arial" w:eastAsia="Arial" w:hAnsi="Arial"/>
          <w:sz w:val="18"/>
          <w:szCs w:val="18"/>
          <w:color w:val="282828"/>
        </w:rPr>
        <w:t>h</w:t>
      </w:r>
      <w:r>
        <w:rPr>
          <w:rFonts w:ascii="Arial" w:cs="Arial" w:eastAsia="Arial" w:hAnsi="Arial"/>
          <w:sz w:val="18"/>
          <w:szCs w:val="18"/>
          <w:color w:val="363636"/>
        </w:rPr>
        <w:t xml:space="preserve">e </w:t>
      </w:r>
      <w:r>
        <w:rPr>
          <w:rFonts w:ascii="Arial" w:cs="Arial" w:eastAsia="Arial" w:hAnsi="Arial"/>
          <w:sz w:val="18"/>
          <w:szCs w:val="18"/>
          <w:color w:val="282828"/>
        </w:rPr>
        <w:t>p</w:t>
      </w:r>
      <w:r>
        <w:rPr>
          <w:rFonts w:ascii="Arial" w:cs="Arial" w:eastAsia="Arial" w:hAnsi="Arial"/>
          <w:sz w:val="18"/>
          <w:szCs w:val="18"/>
          <w:color w:val="363636"/>
        </w:rPr>
        <w:t>e</w:t>
      </w:r>
      <w:r>
        <w:rPr>
          <w:rFonts w:ascii="Arial" w:cs="Arial" w:eastAsia="Arial" w:hAnsi="Arial"/>
          <w:sz w:val="18"/>
          <w:szCs w:val="18"/>
          <w:color w:val="282828"/>
        </w:rPr>
        <w:t>ri</w:t>
      </w:r>
      <w:r>
        <w:rPr>
          <w:rFonts w:ascii="Arial" w:cs="Arial" w:eastAsia="Arial" w:hAnsi="Arial"/>
          <w:sz w:val="18"/>
          <w:szCs w:val="18"/>
          <w:color w:val="363636"/>
        </w:rPr>
        <w:t>o</w:t>
      </w:r>
      <w:r>
        <w:rPr>
          <w:rFonts w:ascii="Arial" w:cs="Arial" w:eastAsia="Arial" w:hAnsi="Arial"/>
          <w:sz w:val="18"/>
          <w:szCs w:val="18"/>
          <w:color w:val="282828"/>
        </w:rPr>
        <w:t>d p</w:t>
      </w:r>
      <w:r>
        <w:rPr>
          <w:rFonts w:ascii="Arial" w:cs="Arial" w:eastAsia="Arial" w:hAnsi="Arial"/>
          <w:sz w:val="18"/>
          <w:szCs w:val="18"/>
          <w:color w:val="171717"/>
        </w:rPr>
        <w:t>r</w:t>
      </w:r>
      <w:r>
        <w:rPr>
          <w:rFonts w:ascii="Arial" w:cs="Arial" w:eastAsia="Arial" w:hAnsi="Arial"/>
          <w:sz w:val="18"/>
          <w:szCs w:val="18"/>
          <w:color w:val="363636"/>
        </w:rPr>
        <w:t>ece</w:t>
      </w:r>
      <w:r>
        <w:rPr>
          <w:rFonts w:ascii="Arial" w:cs="Arial" w:eastAsia="Arial" w:hAnsi="Arial"/>
          <w:sz w:val="18"/>
          <w:szCs w:val="18"/>
          <w:color w:val="282828"/>
        </w:rPr>
        <w:t>di</w:t>
      </w:r>
      <w:r>
        <w:rPr>
          <w:rFonts w:ascii="Arial" w:cs="Arial" w:eastAsia="Arial" w:hAnsi="Arial"/>
          <w:sz w:val="18"/>
          <w:szCs w:val="18"/>
          <w:color w:val="171717"/>
        </w:rPr>
        <w:t>n</w:t>
      </w:r>
      <w:r>
        <w:rPr>
          <w:rFonts w:ascii="Arial" w:cs="Arial" w:eastAsia="Arial" w:hAnsi="Arial"/>
          <w:sz w:val="18"/>
          <w:szCs w:val="18"/>
          <w:color w:val="363636"/>
        </w:rPr>
        <w:t xml:space="preserve">g </w:t>
      </w:r>
      <w:r>
        <w:rPr>
          <w:rFonts w:ascii="Arial" w:cs="Arial" w:eastAsia="Arial" w:hAnsi="Arial"/>
          <w:sz w:val="18"/>
          <w:szCs w:val="18"/>
          <w:color w:val="282828"/>
        </w:rPr>
        <w:t>t</w:t>
      </w:r>
      <w:r>
        <w:rPr>
          <w:rFonts w:ascii="Arial" w:cs="Arial" w:eastAsia="Arial" w:hAnsi="Arial"/>
          <w:sz w:val="18"/>
          <w:szCs w:val="18"/>
          <w:color w:val="171717"/>
        </w:rPr>
        <w:t>h</w:t>
      </w:r>
      <w:r>
        <w:rPr>
          <w:rFonts w:ascii="Arial" w:cs="Arial" w:eastAsia="Arial" w:hAnsi="Arial"/>
          <w:sz w:val="18"/>
          <w:szCs w:val="18"/>
          <w:color w:val="363636"/>
        </w:rPr>
        <w:t>e effec</w:t>
      </w:r>
      <w:r>
        <w:rPr>
          <w:rFonts w:ascii="Arial" w:cs="Arial" w:eastAsia="Arial" w:hAnsi="Arial"/>
          <w:sz w:val="18"/>
          <w:szCs w:val="18"/>
          <w:color w:val="282828"/>
        </w:rPr>
        <w:t>ti</w:t>
      </w:r>
      <w:r>
        <w:rPr>
          <w:rFonts w:ascii="Arial" w:cs="Arial" w:eastAsia="Arial" w:hAnsi="Arial"/>
          <w:sz w:val="18"/>
          <w:szCs w:val="18"/>
          <w:color w:val="363636"/>
        </w:rPr>
        <w:t>v</w:t>
      </w:r>
      <w:r>
        <w:rPr>
          <w:rFonts w:ascii="Arial" w:cs="Arial" w:eastAsia="Arial" w:hAnsi="Arial"/>
          <w:sz w:val="18"/>
          <w:szCs w:val="18"/>
          <w:color w:val="494949"/>
        </w:rPr>
        <w:t>e</w:t>
      </w:r>
      <w:r>
        <w:rPr>
          <w:rFonts w:ascii="Arial" w:cs="Arial" w:eastAsia="Arial" w:hAnsi="Arial"/>
          <w:sz w:val="18"/>
          <w:szCs w:val="18"/>
          <w:color w:val="363636"/>
        </w:rPr>
        <w:t xml:space="preserve"> </w:t>
      </w:r>
      <w:r>
        <w:rPr>
          <w:rFonts w:ascii="Arial" w:cs="Arial" w:eastAsia="Arial" w:hAnsi="Arial"/>
          <w:sz w:val="18"/>
          <w:szCs w:val="18"/>
          <w:color w:val="282828"/>
        </w:rPr>
        <w:t>d</w:t>
      </w:r>
      <w:r>
        <w:rPr>
          <w:rFonts w:ascii="Arial" w:cs="Arial" w:eastAsia="Arial" w:hAnsi="Arial"/>
          <w:sz w:val="18"/>
          <w:szCs w:val="18"/>
          <w:color w:val="363636"/>
        </w:rPr>
        <w:t>a</w:t>
      </w:r>
      <w:r>
        <w:rPr>
          <w:rFonts w:ascii="Arial" w:cs="Arial" w:eastAsia="Arial" w:hAnsi="Arial"/>
          <w:sz w:val="18"/>
          <w:szCs w:val="18"/>
          <w:color w:val="282828"/>
        </w:rPr>
        <w:t>t</w:t>
      </w:r>
      <w:r>
        <w:rPr>
          <w:rFonts w:ascii="Arial" w:cs="Arial" w:eastAsia="Arial" w:hAnsi="Arial"/>
          <w:sz w:val="18"/>
          <w:szCs w:val="18"/>
          <w:color w:val="363636"/>
        </w:rPr>
        <w:t>e o</w:t>
      </w:r>
      <w:r>
        <w:rPr>
          <w:rFonts w:ascii="Arial" w:cs="Arial" w:eastAsia="Arial" w:hAnsi="Arial"/>
          <w:sz w:val="18"/>
          <w:szCs w:val="18"/>
          <w:color w:val="282828"/>
        </w:rPr>
        <w:t>f</w:t>
      </w:r>
      <w:r>
        <w:rPr>
          <w:rFonts w:ascii="Arial" w:cs="Arial" w:eastAsia="Arial" w:hAnsi="Arial"/>
          <w:sz w:val="18"/>
          <w:szCs w:val="18"/>
          <w:color w:val="363636"/>
        </w:rPr>
        <w:t xml:space="preserve"> </w:t>
      </w:r>
      <w:r>
        <w:rPr>
          <w:rFonts w:ascii="Arial" w:cs="Arial" w:eastAsia="Arial" w:hAnsi="Arial"/>
          <w:sz w:val="18"/>
          <w:szCs w:val="18"/>
          <w:color w:val="282828"/>
        </w:rPr>
        <w:t>th</w:t>
      </w:r>
      <w:r>
        <w:rPr>
          <w:rFonts w:ascii="Arial" w:cs="Arial" w:eastAsia="Arial" w:hAnsi="Arial"/>
          <w:sz w:val="18"/>
          <w:szCs w:val="18"/>
          <w:color w:val="363636"/>
        </w:rPr>
        <w:t>e</w:t>
      </w:r>
      <w:r>
        <w:rPr>
          <w:rFonts w:ascii="Arial" w:cs="Arial" w:eastAsia="Arial" w:hAnsi="Arial"/>
          <w:sz w:val="18"/>
          <w:szCs w:val="18"/>
          <w:color w:val="282828"/>
        </w:rPr>
        <w:t xml:space="preserve"> t</w:t>
      </w:r>
      <w:r>
        <w:rPr>
          <w:rFonts w:ascii="Arial" w:cs="Arial" w:eastAsia="Arial" w:hAnsi="Arial"/>
          <w:sz w:val="18"/>
          <w:szCs w:val="18"/>
          <w:color w:val="363636"/>
        </w:rPr>
        <w:t>e</w:t>
      </w:r>
      <w:r>
        <w:rPr>
          <w:rFonts w:ascii="Arial" w:cs="Arial" w:eastAsia="Arial" w:hAnsi="Arial"/>
          <w:sz w:val="18"/>
          <w:szCs w:val="18"/>
          <w:color w:val="282828"/>
        </w:rPr>
        <w:t>rm</w:t>
      </w:r>
      <w:r>
        <w:rPr>
          <w:rFonts w:ascii="Arial" w:cs="Arial" w:eastAsia="Arial" w:hAnsi="Arial"/>
          <w:sz w:val="18"/>
          <w:szCs w:val="18"/>
          <w:color w:val="171717"/>
        </w:rPr>
        <w:t>in</w:t>
      </w:r>
      <w:r>
        <w:rPr>
          <w:rFonts w:ascii="Arial" w:cs="Arial" w:eastAsia="Arial" w:hAnsi="Arial"/>
          <w:sz w:val="18"/>
          <w:szCs w:val="18"/>
          <w:color w:val="363636"/>
        </w:rPr>
        <w:t>a</w:t>
      </w:r>
      <w:r>
        <w:rPr>
          <w:rFonts w:ascii="Arial" w:cs="Arial" w:eastAsia="Arial" w:hAnsi="Arial"/>
          <w:sz w:val="18"/>
          <w:szCs w:val="18"/>
          <w:color w:val="282828"/>
        </w:rPr>
        <w:t>tio</w:t>
      </w:r>
      <w:r>
        <w:rPr>
          <w:rFonts w:ascii="Arial" w:cs="Arial" w:eastAsia="Arial" w:hAnsi="Arial"/>
          <w:sz w:val="18"/>
          <w:szCs w:val="18"/>
          <w:color w:val="171717"/>
        </w:rPr>
        <w:t>n</w:t>
      </w:r>
      <w:r>
        <w:rPr>
          <w:rFonts w:ascii="Arial" w:cs="Arial" w:eastAsia="Arial" w:hAnsi="Arial"/>
          <w:sz w:val="18"/>
          <w:szCs w:val="18"/>
          <w:color w:val="363636"/>
        </w:rPr>
        <w:t>.</w:t>
      </w:r>
    </w:p>
    <w:p>
      <w:pPr>
        <w:ind w:left="283" w:hanging="283"/>
        <w:spacing w:after="0"/>
        <w:tabs>
          <w:tab w:leader="none" w:pos="283" w:val="left"/>
        </w:tabs>
        <w:numPr>
          <w:ilvl w:val="0"/>
          <w:numId w:val="335"/>
        </w:numPr>
        <w:rPr>
          <w:rFonts w:ascii="Arial" w:cs="Arial" w:eastAsia="Arial" w:hAnsi="Arial"/>
          <w:sz w:val="18"/>
          <w:szCs w:val="18"/>
          <w:color w:val="282828"/>
        </w:rPr>
      </w:pPr>
      <w:r>
        <w:rPr>
          <w:rFonts w:ascii="Arial" w:cs="Arial" w:eastAsia="Arial" w:hAnsi="Arial"/>
          <w:sz w:val="18"/>
          <w:szCs w:val="18"/>
          <w:b w:val="1"/>
          <w:bCs w:val="1"/>
          <w:u w:val="single" w:color="auto"/>
          <w:color w:val="171717"/>
        </w:rPr>
        <w:t>Pr</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mplo</w:t>
      </w:r>
      <w:r>
        <w:rPr>
          <w:rFonts w:ascii="Arial" w:cs="Arial" w:eastAsia="Arial" w:hAnsi="Arial"/>
          <w:sz w:val="18"/>
          <w:szCs w:val="18"/>
          <w:b w:val="1"/>
          <w:bCs w:val="1"/>
          <w:u w:val="single" w:color="auto"/>
          <w:color w:val="282828"/>
        </w:rPr>
        <w:t>y</w:t>
      </w:r>
      <w:r>
        <w:rPr>
          <w:rFonts w:ascii="Arial" w:cs="Arial" w:eastAsia="Arial" w:hAnsi="Arial"/>
          <w:sz w:val="18"/>
          <w:szCs w:val="18"/>
          <w:b w:val="1"/>
          <w:bCs w:val="1"/>
          <w:u w:val="single" w:color="auto"/>
          <w:color w:val="171717"/>
        </w:rPr>
        <w:t>m</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n</w:t>
      </w:r>
      <w:r>
        <w:rPr>
          <w:rFonts w:ascii="Arial" w:cs="Arial" w:eastAsia="Arial" w:hAnsi="Arial"/>
          <w:sz w:val="18"/>
          <w:szCs w:val="18"/>
          <w:b w:val="1"/>
          <w:bCs w:val="1"/>
          <w:u w:val="single" w:color="auto"/>
          <w:color w:val="282828"/>
        </w:rPr>
        <w:t>t C</w:t>
      </w:r>
      <w:r>
        <w:rPr>
          <w:rFonts w:ascii="Arial" w:cs="Arial" w:eastAsia="Arial" w:hAnsi="Arial"/>
          <w:sz w:val="18"/>
          <w:szCs w:val="18"/>
          <w:b w:val="1"/>
          <w:bCs w:val="1"/>
          <w:u w:val="single" w:color="auto"/>
          <w:color w:val="171717"/>
        </w:rPr>
        <w:t>ondi</w:t>
      </w:r>
      <w:r>
        <w:rPr>
          <w:rFonts w:ascii="Arial" w:cs="Arial" w:eastAsia="Arial" w:hAnsi="Arial"/>
          <w:sz w:val="18"/>
          <w:szCs w:val="18"/>
          <w:b w:val="1"/>
          <w:bCs w:val="1"/>
          <w:u w:val="single" w:color="auto"/>
          <w:color w:val="282828"/>
        </w:rPr>
        <w:t>t</w:t>
      </w:r>
      <w:r>
        <w:rPr>
          <w:rFonts w:ascii="Arial" w:cs="Arial" w:eastAsia="Arial" w:hAnsi="Arial"/>
          <w:sz w:val="18"/>
          <w:szCs w:val="18"/>
          <w:b w:val="1"/>
          <w:bCs w:val="1"/>
          <w:u w:val="single" w:color="auto"/>
          <w:color w:val="171717"/>
        </w:rPr>
        <w:t>ion</w:t>
      </w:r>
      <w:r>
        <w:rPr>
          <w:rFonts w:ascii="Arial" w:cs="Arial" w:eastAsia="Arial" w:hAnsi="Arial"/>
          <w:sz w:val="18"/>
          <w:szCs w:val="18"/>
          <w:b w:val="1"/>
          <w:bCs w:val="1"/>
          <w:u w:val="single" w:color="auto"/>
          <w:color w:val="282828"/>
        </w:rPr>
        <w:t>s</w:t>
      </w:r>
      <w:r>
        <w:rPr>
          <w:rFonts w:ascii="Arial" w:cs="Arial" w:eastAsia="Arial" w:hAnsi="Arial"/>
          <w:sz w:val="18"/>
          <w:szCs w:val="18"/>
          <w:b w:val="1"/>
          <w:bCs w:val="1"/>
          <w:color w:val="171717"/>
        </w:rPr>
        <w:t>.</w:t>
      </w:r>
    </w:p>
    <w:p>
      <w:pPr>
        <w:ind w:left="1163" w:right="140" w:hanging="286"/>
        <w:spacing w:after="0" w:line="271" w:lineRule="auto"/>
        <w:tabs>
          <w:tab w:leader="none" w:pos="1152" w:val="left"/>
        </w:tabs>
        <w:numPr>
          <w:ilvl w:val="1"/>
          <w:numId w:val="335"/>
        </w:numPr>
        <w:rPr>
          <w:rFonts w:ascii="Arial" w:cs="Arial" w:eastAsia="Arial" w:hAnsi="Arial"/>
          <w:sz w:val="16"/>
          <w:szCs w:val="16"/>
          <w:color w:val="363636"/>
        </w:rPr>
      </w:pPr>
      <w:r>
        <w:rPr>
          <w:rFonts w:ascii="Arial" w:cs="Arial" w:eastAsia="Arial" w:hAnsi="Arial"/>
          <w:sz w:val="16"/>
          <w:szCs w:val="16"/>
          <w:b w:val="1"/>
          <w:bCs w:val="1"/>
          <w:u w:val="single" w:color="auto"/>
          <w:color w:val="171717"/>
        </w:rPr>
        <w:t>Confid</w:t>
      </w:r>
      <w:r>
        <w:rPr>
          <w:rFonts w:ascii="Arial" w:cs="Arial" w:eastAsia="Arial" w:hAnsi="Arial"/>
          <w:sz w:val="16"/>
          <w:szCs w:val="16"/>
          <w:b w:val="1"/>
          <w:bCs w:val="1"/>
          <w:u w:val="single" w:color="auto"/>
          <w:color w:val="282828"/>
        </w:rPr>
        <w:t>e</w:t>
      </w:r>
      <w:r>
        <w:rPr>
          <w:rFonts w:ascii="Arial" w:cs="Arial" w:eastAsia="Arial" w:hAnsi="Arial"/>
          <w:sz w:val="16"/>
          <w:szCs w:val="16"/>
          <w:b w:val="1"/>
          <w:bCs w:val="1"/>
          <w:u w:val="single" w:color="auto"/>
          <w:color w:val="171717"/>
        </w:rPr>
        <w:t>ntialit</w:t>
      </w:r>
      <w:r>
        <w:rPr>
          <w:rFonts w:ascii="Arial" w:cs="Arial" w:eastAsia="Arial" w:hAnsi="Arial"/>
          <w:sz w:val="16"/>
          <w:szCs w:val="16"/>
          <w:b w:val="1"/>
          <w:bCs w:val="1"/>
          <w:u w:val="single" w:color="auto"/>
          <w:color w:val="282828"/>
        </w:rPr>
        <w:t>y Ag</w:t>
      </w:r>
      <w:r>
        <w:rPr>
          <w:rFonts w:ascii="Arial" w:cs="Arial" w:eastAsia="Arial" w:hAnsi="Arial"/>
          <w:sz w:val="16"/>
          <w:szCs w:val="16"/>
          <w:b w:val="1"/>
          <w:bCs w:val="1"/>
          <w:u w:val="single" w:color="auto"/>
          <w:color w:val="171717"/>
        </w:rPr>
        <w:t>r</w:t>
      </w:r>
      <w:r>
        <w:rPr>
          <w:rFonts w:ascii="Arial" w:cs="Arial" w:eastAsia="Arial" w:hAnsi="Arial"/>
          <w:sz w:val="16"/>
          <w:szCs w:val="16"/>
          <w:b w:val="1"/>
          <w:bCs w:val="1"/>
          <w:u w:val="single" w:color="auto"/>
          <w:color w:val="282828"/>
        </w:rPr>
        <w:t>ee</w:t>
      </w:r>
      <w:r>
        <w:rPr>
          <w:rFonts w:ascii="Arial" w:cs="Arial" w:eastAsia="Arial" w:hAnsi="Arial"/>
          <w:sz w:val="16"/>
          <w:szCs w:val="16"/>
          <w:b w:val="1"/>
          <w:bCs w:val="1"/>
          <w:u w:val="single" w:color="auto"/>
          <w:color w:val="171717"/>
        </w:rPr>
        <w:t>m</w:t>
      </w:r>
      <w:r>
        <w:rPr>
          <w:rFonts w:ascii="Arial" w:cs="Arial" w:eastAsia="Arial" w:hAnsi="Arial"/>
          <w:sz w:val="16"/>
          <w:szCs w:val="16"/>
          <w:b w:val="1"/>
          <w:bCs w:val="1"/>
          <w:u w:val="single" w:color="auto"/>
          <w:color w:val="282828"/>
        </w:rPr>
        <w:t>e</w:t>
      </w:r>
      <w:r>
        <w:rPr>
          <w:rFonts w:ascii="Arial" w:cs="Arial" w:eastAsia="Arial" w:hAnsi="Arial"/>
          <w:sz w:val="16"/>
          <w:szCs w:val="16"/>
          <w:b w:val="1"/>
          <w:bCs w:val="1"/>
          <w:u w:val="single" w:color="auto"/>
          <w:color w:val="171717"/>
        </w:rPr>
        <w:t>nt</w:t>
      </w:r>
      <w:r>
        <w:rPr>
          <w:rFonts w:ascii="Arial" w:cs="Arial" w:eastAsia="Arial" w:hAnsi="Arial"/>
          <w:sz w:val="16"/>
          <w:szCs w:val="16"/>
          <w:b w:val="1"/>
          <w:bCs w:val="1"/>
          <w:color w:val="171717"/>
        </w:rPr>
        <w:t xml:space="preserve">. </w:t>
      </w:r>
      <w:r>
        <w:rPr>
          <w:rFonts w:ascii="Arial" w:cs="Arial" w:eastAsia="Arial" w:hAnsi="Arial"/>
          <w:sz w:val="16"/>
          <w:szCs w:val="16"/>
          <w:color w:val="363636"/>
        </w:rPr>
        <w:t>Y</w:t>
      </w:r>
      <w:r>
        <w:rPr>
          <w:rFonts w:ascii="Arial" w:cs="Arial" w:eastAsia="Arial" w:hAnsi="Arial"/>
          <w:sz w:val="16"/>
          <w:szCs w:val="16"/>
          <w:color w:val="282828"/>
        </w:rPr>
        <w:t>our</w:t>
      </w:r>
      <w:r>
        <w:rPr>
          <w:rFonts w:ascii="Arial" w:cs="Arial" w:eastAsia="Arial" w:hAnsi="Arial"/>
          <w:sz w:val="16"/>
          <w:szCs w:val="16"/>
          <w:b w:val="1"/>
          <w:bCs w:val="1"/>
          <w:color w:val="171717"/>
        </w:rPr>
        <w:t xml:space="preserve"> </w:t>
      </w:r>
      <w:r>
        <w:rPr>
          <w:rFonts w:ascii="Arial" w:cs="Arial" w:eastAsia="Arial" w:hAnsi="Arial"/>
          <w:sz w:val="16"/>
          <w:szCs w:val="16"/>
          <w:color w:val="363636"/>
        </w:rPr>
        <w:t>a</w:t>
      </w:r>
      <w:r>
        <w:rPr>
          <w:rFonts w:ascii="Arial" w:cs="Arial" w:eastAsia="Arial" w:hAnsi="Arial"/>
          <w:sz w:val="16"/>
          <w:szCs w:val="16"/>
          <w:color w:val="282828"/>
        </w:rPr>
        <w:t>c</w:t>
      </w:r>
      <w:r>
        <w:rPr>
          <w:rFonts w:ascii="Arial" w:cs="Arial" w:eastAsia="Arial" w:hAnsi="Arial"/>
          <w:sz w:val="16"/>
          <w:szCs w:val="16"/>
          <w:color w:val="363636"/>
        </w:rPr>
        <w:t>ce</w:t>
      </w:r>
      <w:r>
        <w:rPr>
          <w:rFonts w:ascii="Arial" w:cs="Arial" w:eastAsia="Arial" w:hAnsi="Arial"/>
          <w:sz w:val="16"/>
          <w:szCs w:val="16"/>
          <w:color w:val="282828"/>
        </w:rPr>
        <w:t>ptan</w:t>
      </w:r>
      <w:r>
        <w:rPr>
          <w:rFonts w:ascii="Arial" w:cs="Arial" w:eastAsia="Arial" w:hAnsi="Arial"/>
          <w:sz w:val="16"/>
          <w:szCs w:val="16"/>
          <w:color w:val="363636"/>
        </w:rPr>
        <w:t>ce</w:t>
      </w:r>
      <w:r>
        <w:rPr>
          <w:rFonts w:ascii="Arial" w:cs="Arial" w:eastAsia="Arial" w:hAnsi="Arial"/>
          <w:sz w:val="16"/>
          <w:szCs w:val="16"/>
          <w:b w:val="1"/>
          <w:bCs w:val="1"/>
          <w:color w:val="171717"/>
        </w:rPr>
        <w:t xml:space="preserve"> </w:t>
      </w:r>
      <w:r>
        <w:rPr>
          <w:rFonts w:ascii="Arial" w:cs="Arial" w:eastAsia="Arial" w:hAnsi="Arial"/>
          <w:sz w:val="16"/>
          <w:szCs w:val="16"/>
          <w:color w:val="282828"/>
        </w:rPr>
        <w:t>o</w:t>
      </w:r>
      <w:r>
        <w:rPr>
          <w:rFonts w:ascii="Arial" w:cs="Arial" w:eastAsia="Arial" w:hAnsi="Arial"/>
          <w:sz w:val="16"/>
          <w:szCs w:val="16"/>
          <w:color w:val="363636"/>
        </w:rPr>
        <w:t>f</w:t>
      </w:r>
      <w:r>
        <w:rPr>
          <w:rFonts w:ascii="Arial" w:cs="Arial" w:eastAsia="Arial" w:hAnsi="Arial"/>
          <w:sz w:val="16"/>
          <w:szCs w:val="16"/>
          <w:b w:val="1"/>
          <w:bCs w:val="1"/>
          <w:color w:val="171717"/>
        </w:rPr>
        <w:t xml:space="preserve"> </w:t>
      </w:r>
      <w:r>
        <w:rPr>
          <w:rFonts w:ascii="Arial" w:cs="Arial" w:eastAsia="Arial" w:hAnsi="Arial"/>
          <w:sz w:val="16"/>
          <w:szCs w:val="16"/>
          <w:color w:val="282828"/>
        </w:rPr>
        <w:t>th</w:t>
      </w:r>
      <w:r>
        <w:rPr>
          <w:rFonts w:ascii="Arial" w:cs="Arial" w:eastAsia="Arial" w:hAnsi="Arial"/>
          <w:sz w:val="16"/>
          <w:szCs w:val="16"/>
          <w:color w:val="171717"/>
        </w:rPr>
        <w:t>i</w:t>
      </w:r>
      <w:r>
        <w:rPr>
          <w:rFonts w:ascii="Arial" w:cs="Arial" w:eastAsia="Arial" w:hAnsi="Arial"/>
          <w:sz w:val="16"/>
          <w:szCs w:val="16"/>
          <w:color w:val="363636"/>
        </w:rPr>
        <w:t>s</w:t>
      </w:r>
      <w:r>
        <w:rPr>
          <w:rFonts w:ascii="Arial" w:cs="Arial" w:eastAsia="Arial" w:hAnsi="Arial"/>
          <w:sz w:val="16"/>
          <w:szCs w:val="16"/>
          <w:b w:val="1"/>
          <w:bCs w:val="1"/>
          <w:color w:val="171717"/>
        </w:rPr>
        <w:t xml:space="preserve"> </w:t>
      </w:r>
      <w:r>
        <w:rPr>
          <w:rFonts w:ascii="Arial" w:cs="Arial" w:eastAsia="Arial" w:hAnsi="Arial"/>
          <w:sz w:val="16"/>
          <w:szCs w:val="16"/>
          <w:color w:val="282828"/>
        </w:rPr>
        <w:t>o</w:t>
      </w:r>
      <w:r>
        <w:rPr>
          <w:rFonts w:ascii="Arial" w:cs="Arial" w:eastAsia="Arial" w:hAnsi="Arial"/>
          <w:sz w:val="16"/>
          <w:szCs w:val="16"/>
          <w:color w:val="363636"/>
        </w:rPr>
        <w:t>ffe</w:t>
      </w:r>
      <w:r>
        <w:rPr>
          <w:rFonts w:ascii="Arial" w:cs="Arial" w:eastAsia="Arial" w:hAnsi="Arial"/>
          <w:sz w:val="16"/>
          <w:szCs w:val="16"/>
          <w:color w:val="282828"/>
        </w:rPr>
        <w:t>r</w:t>
      </w:r>
      <w:r>
        <w:rPr>
          <w:rFonts w:ascii="Arial" w:cs="Arial" w:eastAsia="Arial" w:hAnsi="Arial"/>
          <w:sz w:val="16"/>
          <w:szCs w:val="16"/>
          <w:b w:val="1"/>
          <w:bCs w:val="1"/>
          <w:color w:val="171717"/>
        </w:rPr>
        <w:t xml:space="preserve"> </w:t>
      </w:r>
      <w:r>
        <w:rPr>
          <w:rFonts w:ascii="Arial" w:cs="Arial" w:eastAsia="Arial" w:hAnsi="Arial"/>
          <w:sz w:val="16"/>
          <w:szCs w:val="16"/>
          <w:color w:val="363636"/>
        </w:rPr>
        <w:t>a</w:t>
      </w:r>
      <w:r>
        <w:rPr>
          <w:rFonts w:ascii="Arial" w:cs="Arial" w:eastAsia="Arial" w:hAnsi="Arial"/>
          <w:sz w:val="16"/>
          <w:szCs w:val="16"/>
          <w:color w:val="282828"/>
        </w:rPr>
        <w:t>nd</w:t>
      </w:r>
      <w:r>
        <w:rPr>
          <w:rFonts w:ascii="Arial" w:cs="Arial" w:eastAsia="Arial" w:hAnsi="Arial"/>
          <w:sz w:val="16"/>
          <w:szCs w:val="16"/>
          <w:b w:val="1"/>
          <w:bCs w:val="1"/>
          <w:color w:val="171717"/>
        </w:rPr>
        <w:t xml:space="preserve"> </w:t>
      </w:r>
      <w:r>
        <w:rPr>
          <w:rFonts w:ascii="Arial" w:cs="Arial" w:eastAsia="Arial" w:hAnsi="Arial"/>
          <w:sz w:val="16"/>
          <w:szCs w:val="16"/>
          <w:color w:val="363636"/>
        </w:rPr>
        <w:t>c</w:t>
      </w:r>
      <w:r>
        <w:rPr>
          <w:rFonts w:ascii="Arial" w:cs="Arial" w:eastAsia="Arial" w:hAnsi="Arial"/>
          <w:sz w:val="16"/>
          <w:szCs w:val="16"/>
          <w:color w:val="282828"/>
        </w:rPr>
        <w:t>omm</w:t>
      </w:r>
      <w:r>
        <w:rPr>
          <w:rFonts w:ascii="Arial" w:cs="Arial" w:eastAsia="Arial" w:hAnsi="Arial"/>
          <w:sz w:val="16"/>
          <w:szCs w:val="16"/>
          <w:color w:val="363636"/>
        </w:rPr>
        <w:t>e</w:t>
      </w:r>
      <w:r>
        <w:rPr>
          <w:rFonts w:ascii="Arial" w:cs="Arial" w:eastAsia="Arial" w:hAnsi="Arial"/>
          <w:sz w:val="16"/>
          <w:szCs w:val="16"/>
          <w:color w:val="282828"/>
        </w:rPr>
        <w:t>n</w:t>
      </w:r>
      <w:r>
        <w:rPr>
          <w:rFonts w:ascii="Arial" w:cs="Arial" w:eastAsia="Arial" w:hAnsi="Arial"/>
          <w:sz w:val="16"/>
          <w:szCs w:val="16"/>
          <w:color w:val="363636"/>
        </w:rPr>
        <w:t>ce</w:t>
      </w:r>
      <w:r>
        <w:rPr>
          <w:rFonts w:ascii="Arial" w:cs="Arial" w:eastAsia="Arial" w:hAnsi="Arial"/>
          <w:sz w:val="16"/>
          <w:szCs w:val="16"/>
          <w:color w:val="282828"/>
        </w:rPr>
        <w:t>m</w:t>
      </w:r>
      <w:r>
        <w:rPr>
          <w:rFonts w:ascii="Arial" w:cs="Arial" w:eastAsia="Arial" w:hAnsi="Arial"/>
          <w:sz w:val="16"/>
          <w:szCs w:val="16"/>
          <w:color w:val="363636"/>
        </w:rPr>
        <w:t>e</w:t>
      </w:r>
      <w:r>
        <w:rPr>
          <w:rFonts w:ascii="Arial" w:cs="Arial" w:eastAsia="Arial" w:hAnsi="Arial"/>
          <w:sz w:val="16"/>
          <w:szCs w:val="16"/>
          <w:color w:val="282828"/>
        </w:rPr>
        <w:t>nt</w:t>
      </w:r>
      <w:r>
        <w:rPr>
          <w:rFonts w:ascii="Arial" w:cs="Arial" w:eastAsia="Arial" w:hAnsi="Arial"/>
          <w:sz w:val="16"/>
          <w:szCs w:val="16"/>
          <w:b w:val="1"/>
          <w:bCs w:val="1"/>
          <w:color w:val="171717"/>
        </w:rPr>
        <w:t xml:space="preserve"> </w:t>
      </w:r>
      <w:r>
        <w:rPr>
          <w:rFonts w:ascii="Arial" w:cs="Arial" w:eastAsia="Arial" w:hAnsi="Arial"/>
          <w:sz w:val="16"/>
          <w:szCs w:val="16"/>
          <w:color w:val="363636"/>
        </w:rPr>
        <w:t>of e</w:t>
      </w:r>
      <w:r>
        <w:rPr>
          <w:rFonts w:ascii="Arial" w:cs="Arial" w:eastAsia="Arial" w:hAnsi="Arial"/>
          <w:sz w:val="16"/>
          <w:szCs w:val="16"/>
          <w:color w:val="282828"/>
        </w:rPr>
        <w:t>mp</w:t>
      </w:r>
      <w:r>
        <w:rPr>
          <w:rFonts w:ascii="Arial" w:cs="Arial" w:eastAsia="Arial" w:hAnsi="Arial"/>
          <w:sz w:val="16"/>
          <w:szCs w:val="16"/>
          <w:color w:val="171717"/>
        </w:rPr>
        <w:t>l</w:t>
      </w:r>
      <w:r>
        <w:rPr>
          <w:rFonts w:ascii="Arial" w:cs="Arial" w:eastAsia="Arial" w:hAnsi="Arial"/>
          <w:sz w:val="16"/>
          <w:szCs w:val="16"/>
          <w:color w:val="282828"/>
        </w:rPr>
        <w:t>o</w:t>
      </w:r>
      <w:r>
        <w:rPr>
          <w:rFonts w:ascii="Arial" w:cs="Arial" w:eastAsia="Arial" w:hAnsi="Arial"/>
          <w:sz w:val="16"/>
          <w:szCs w:val="16"/>
          <w:color w:val="363636"/>
        </w:rPr>
        <w:t>y</w:t>
      </w:r>
      <w:r>
        <w:rPr>
          <w:rFonts w:ascii="Arial" w:cs="Arial" w:eastAsia="Arial" w:hAnsi="Arial"/>
          <w:sz w:val="16"/>
          <w:szCs w:val="16"/>
          <w:color w:val="282828"/>
        </w:rPr>
        <w:t>m</w:t>
      </w:r>
      <w:r>
        <w:rPr>
          <w:rFonts w:ascii="Arial" w:cs="Arial" w:eastAsia="Arial" w:hAnsi="Arial"/>
          <w:sz w:val="16"/>
          <w:szCs w:val="16"/>
          <w:color w:val="363636"/>
        </w:rPr>
        <w:t>e</w:t>
      </w:r>
      <w:r>
        <w:rPr>
          <w:rFonts w:ascii="Arial" w:cs="Arial" w:eastAsia="Arial" w:hAnsi="Arial"/>
          <w:sz w:val="16"/>
          <w:szCs w:val="16"/>
          <w:color w:val="282828"/>
        </w:rPr>
        <w:t>n</w:t>
      </w:r>
      <w:r>
        <w:rPr>
          <w:rFonts w:ascii="Arial" w:cs="Arial" w:eastAsia="Arial" w:hAnsi="Arial"/>
          <w:sz w:val="16"/>
          <w:szCs w:val="16"/>
          <w:color w:val="363636"/>
        </w:rPr>
        <w:t>t w</w:t>
      </w:r>
      <w:r>
        <w:rPr>
          <w:rFonts w:ascii="Arial" w:cs="Arial" w:eastAsia="Arial" w:hAnsi="Arial"/>
          <w:sz w:val="16"/>
          <w:szCs w:val="16"/>
          <w:color w:val="282828"/>
        </w:rPr>
        <w:t>i</w:t>
      </w:r>
      <w:r>
        <w:rPr>
          <w:rFonts w:ascii="Arial" w:cs="Arial" w:eastAsia="Arial" w:hAnsi="Arial"/>
          <w:sz w:val="16"/>
          <w:szCs w:val="16"/>
          <w:color w:val="363636"/>
        </w:rPr>
        <w:t>th t</w:t>
      </w:r>
      <w:r>
        <w:rPr>
          <w:rFonts w:ascii="Arial" w:cs="Arial" w:eastAsia="Arial" w:hAnsi="Arial"/>
          <w:sz w:val="16"/>
          <w:szCs w:val="16"/>
          <w:color w:val="282828"/>
        </w:rPr>
        <w:t>h</w:t>
      </w:r>
      <w:r>
        <w:rPr>
          <w:rFonts w:ascii="Arial" w:cs="Arial" w:eastAsia="Arial" w:hAnsi="Arial"/>
          <w:sz w:val="16"/>
          <w:szCs w:val="16"/>
          <w:color w:val="363636"/>
        </w:rPr>
        <w:t>e C</w:t>
      </w:r>
      <w:r>
        <w:rPr>
          <w:rFonts w:ascii="Arial" w:cs="Arial" w:eastAsia="Arial" w:hAnsi="Arial"/>
          <w:sz w:val="16"/>
          <w:szCs w:val="16"/>
          <w:color w:val="282828"/>
        </w:rPr>
        <w:t>o</w:t>
      </w:r>
      <w:r>
        <w:rPr>
          <w:rFonts w:ascii="Arial" w:cs="Arial" w:eastAsia="Arial" w:hAnsi="Arial"/>
          <w:sz w:val="16"/>
          <w:szCs w:val="16"/>
          <w:color w:val="363636"/>
        </w:rPr>
        <w:t>mpany</w:t>
      </w:r>
      <w:r>
        <w:rPr>
          <w:rFonts w:ascii="Arial" w:cs="Arial" w:eastAsia="Arial" w:hAnsi="Arial"/>
          <w:sz w:val="16"/>
          <w:szCs w:val="16"/>
          <w:b w:val="1"/>
          <w:bCs w:val="1"/>
          <w:color w:val="171717"/>
        </w:rPr>
        <w:t xml:space="preserve"> </w:t>
      </w:r>
      <w:r>
        <w:rPr>
          <w:rFonts w:ascii="Arial" w:cs="Arial" w:eastAsia="Arial" w:hAnsi="Arial"/>
          <w:sz w:val="16"/>
          <w:szCs w:val="16"/>
          <w:color w:val="282828"/>
        </w:rPr>
        <w:t>i</w:t>
      </w:r>
      <w:r>
        <w:rPr>
          <w:rFonts w:ascii="Arial" w:cs="Arial" w:eastAsia="Arial" w:hAnsi="Arial"/>
          <w:sz w:val="16"/>
          <w:szCs w:val="16"/>
          <w:color w:val="363636"/>
        </w:rPr>
        <w:t>s c</w:t>
      </w:r>
      <w:r>
        <w:rPr>
          <w:rFonts w:ascii="Arial" w:cs="Arial" w:eastAsia="Arial" w:hAnsi="Arial"/>
          <w:sz w:val="16"/>
          <w:szCs w:val="16"/>
          <w:color w:val="282828"/>
        </w:rPr>
        <w:t>ontin</w:t>
      </w:r>
      <w:r>
        <w:rPr>
          <w:rFonts w:ascii="Arial" w:cs="Arial" w:eastAsia="Arial" w:hAnsi="Arial"/>
          <w:sz w:val="16"/>
          <w:szCs w:val="16"/>
          <w:color w:val="363636"/>
        </w:rPr>
        <w:t>gen</w:t>
      </w:r>
      <w:r>
        <w:rPr>
          <w:rFonts w:ascii="Arial" w:cs="Arial" w:eastAsia="Arial" w:hAnsi="Arial"/>
          <w:sz w:val="16"/>
          <w:szCs w:val="16"/>
          <w:color w:val="282828"/>
        </w:rPr>
        <w:t>t u</w:t>
      </w:r>
      <w:r>
        <w:rPr>
          <w:rFonts w:ascii="Arial" w:cs="Arial" w:eastAsia="Arial" w:hAnsi="Arial"/>
          <w:sz w:val="16"/>
          <w:szCs w:val="16"/>
          <w:color w:val="363636"/>
        </w:rPr>
        <w:t>p</w:t>
      </w:r>
      <w:r>
        <w:rPr>
          <w:rFonts w:ascii="Arial" w:cs="Arial" w:eastAsia="Arial" w:hAnsi="Arial"/>
          <w:sz w:val="16"/>
          <w:szCs w:val="16"/>
          <w:color w:val="282828"/>
        </w:rPr>
        <w:t>on</w:t>
      </w:r>
      <w:r>
        <w:rPr>
          <w:rFonts w:ascii="Arial" w:cs="Arial" w:eastAsia="Arial" w:hAnsi="Arial"/>
          <w:sz w:val="16"/>
          <w:szCs w:val="16"/>
          <w:b w:val="1"/>
          <w:bCs w:val="1"/>
          <w:color w:val="171717"/>
        </w:rPr>
        <w:t xml:space="preserve"> </w:t>
      </w:r>
      <w:r>
        <w:rPr>
          <w:rFonts w:ascii="Arial" w:cs="Arial" w:eastAsia="Arial" w:hAnsi="Arial"/>
          <w:sz w:val="16"/>
          <w:szCs w:val="16"/>
          <w:color w:val="363636"/>
        </w:rPr>
        <w:t>t</w:t>
      </w:r>
      <w:r>
        <w:rPr>
          <w:rFonts w:ascii="Arial" w:cs="Arial" w:eastAsia="Arial" w:hAnsi="Arial"/>
          <w:sz w:val="16"/>
          <w:szCs w:val="16"/>
          <w:color w:val="282828"/>
        </w:rPr>
        <w:t>h</w:t>
      </w:r>
      <w:r>
        <w:rPr>
          <w:rFonts w:ascii="Arial" w:cs="Arial" w:eastAsia="Arial" w:hAnsi="Arial"/>
          <w:sz w:val="16"/>
          <w:szCs w:val="16"/>
          <w:color w:val="494949"/>
        </w:rPr>
        <w:t>e</w:t>
      </w:r>
      <w:r>
        <w:rPr>
          <w:rFonts w:ascii="Arial" w:cs="Arial" w:eastAsia="Arial" w:hAnsi="Arial"/>
          <w:sz w:val="16"/>
          <w:szCs w:val="16"/>
          <w:b w:val="1"/>
          <w:bCs w:val="1"/>
          <w:color w:val="171717"/>
        </w:rPr>
        <w:t xml:space="preserve"> </w:t>
      </w:r>
      <w:r>
        <w:rPr>
          <w:rFonts w:ascii="Arial" w:cs="Arial" w:eastAsia="Arial" w:hAnsi="Arial"/>
          <w:sz w:val="16"/>
          <w:szCs w:val="16"/>
          <w:color w:val="363636"/>
        </w:rPr>
        <w:t>exec</w:t>
      </w:r>
      <w:r>
        <w:rPr>
          <w:rFonts w:ascii="Arial" w:cs="Arial" w:eastAsia="Arial" w:hAnsi="Arial"/>
          <w:sz w:val="16"/>
          <w:szCs w:val="16"/>
          <w:color w:val="282828"/>
        </w:rPr>
        <w:t>ution</w:t>
      </w:r>
      <w:r>
        <w:rPr>
          <w:rFonts w:ascii="Arial" w:cs="Arial" w:eastAsia="Arial" w:hAnsi="Arial"/>
          <w:sz w:val="16"/>
          <w:szCs w:val="16"/>
          <w:color w:val="595959"/>
        </w:rPr>
        <w:t>,</w:t>
      </w:r>
      <w:r>
        <w:rPr>
          <w:rFonts w:ascii="Arial" w:cs="Arial" w:eastAsia="Arial" w:hAnsi="Arial"/>
          <w:sz w:val="16"/>
          <w:szCs w:val="16"/>
          <w:color w:val="363636"/>
        </w:rPr>
        <w:t xml:space="preserve"> an</w:t>
      </w:r>
      <w:r>
        <w:rPr>
          <w:rFonts w:ascii="Arial" w:cs="Arial" w:eastAsia="Arial" w:hAnsi="Arial"/>
          <w:sz w:val="16"/>
          <w:szCs w:val="16"/>
          <w:color w:val="282828"/>
        </w:rPr>
        <w:t>d d</w:t>
      </w:r>
      <w:r>
        <w:rPr>
          <w:rFonts w:ascii="Arial" w:cs="Arial" w:eastAsia="Arial" w:hAnsi="Arial"/>
          <w:sz w:val="16"/>
          <w:szCs w:val="16"/>
          <w:color w:val="363636"/>
        </w:rPr>
        <w:t>e</w:t>
      </w:r>
      <w:r>
        <w:rPr>
          <w:rFonts w:ascii="Arial" w:cs="Arial" w:eastAsia="Arial" w:hAnsi="Arial"/>
          <w:sz w:val="16"/>
          <w:szCs w:val="16"/>
          <w:color w:val="282828"/>
        </w:rPr>
        <w:t>li</w:t>
      </w:r>
      <w:r>
        <w:rPr>
          <w:rFonts w:ascii="Arial" w:cs="Arial" w:eastAsia="Arial" w:hAnsi="Arial"/>
          <w:sz w:val="16"/>
          <w:szCs w:val="16"/>
          <w:color w:val="363636"/>
        </w:rPr>
        <w:t>very to a</w:t>
      </w:r>
      <w:r>
        <w:rPr>
          <w:rFonts w:ascii="Arial" w:cs="Arial" w:eastAsia="Arial" w:hAnsi="Arial"/>
          <w:sz w:val="16"/>
          <w:szCs w:val="16"/>
          <w:color w:val="282828"/>
        </w:rPr>
        <w:t>n o</w:t>
      </w:r>
      <w:r>
        <w:rPr>
          <w:rFonts w:ascii="Arial" w:cs="Arial" w:eastAsia="Arial" w:hAnsi="Arial"/>
          <w:sz w:val="16"/>
          <w:szCs w:val="16"/>
          <w:color w:val="363636"/>
        </w:rPr>
        <w:t xml:space="preserve">fficer </w:t>
      </w:r>
      <w:r>
        <w:rPr>
          <w:rFonts w:ascii="Arial" w:cs="Arial" w:eastAsia="Arial" w:hAnsi="Arial"/>
          <w:sz w:val="16"/>
          <w:szCs w:val="16"/>
          <w:color w:val="282828"/>
        </w:rPr>
        <w:t>o</w:t>
      </w:r>
      <w:r>
        <w:rPr>
          <w:rFonts w:ascii="Arial" w:cs="Arial" w:eastAsia="Arial" w:hAnsi="Arial"/>
          <w:sz w:val="16"/>
          <w:szCs w:val="16"/>
          <w:color w:val="363636"/>
        </w:rPr>
        <w:t>f t</w:t>
      </w:r>
      <w:r>
        <w:rPr>
          <w:rFonts w:ascii="Arial" w:cs="Arial" w:eastAsia="Arial" w:hAnsi="Arial"/>
          <w:sz w:val="16"/>
          <w:szCs w:val="16"/>
          <w:color w:val="171717"/>
        </w:rPr>
        <w:t>h</w:t>
      </w:r>
      <w:r>
        <w:rPr>
          <w:rFonts w:ascii="Arial" w:cs="Arial" w:eastAsia="Arial" w:hAnsi="Arial"/>
          <w:sz w:val="16"/>
          <w:szCs w:val="16"/>
          <w:color w:val="363636"/>
        </w:rPr>
        <w:t xml:space="preserve">e </w:t>
      </w:r>
      <w:r>
        <w:rPr>
          <w:rFonts w:ascii="Arial" w:cs="Arial" w:eastAsia="Arial" w:hAnsi="Arial"/>
          <w:sz w:val="16"/>
          <w:szCs w:val="16"/>
          <w:color w:val="282828"/>
        </w:rPr>
        <w:t>Co</w:t>
      </w:r>
      <w:r>
        <w:rPr>
          <w:rFonts w:ascii="Arial" w:cs="Arial" w:eastAsia="Arial" w:hAnsi="Arial"/>
          <w:sz w:val="16"/>
          <w:szCs w:val="16"/>
          <w:color w:val="363636"/>
        </w:rPr>
        <w:t>m</w:t>
      </w:r>
      <w:r>
        <w:rPr>
          <w:rFonts w:ascii="Arial" w:cs="Arial" w:eastAsia="Arial" w:hAnsi="Arial"/>
          <w:sz w:val="16"/>
          <w:szCs w:val="16"/>
          <w:color w:val="282828"/>
        </w:rPr>
        <w:t>p</w:t>
      </w:r>
      <w:r>
        <w:rPr>
          <w:rFonts w:ascii="Arial" w:cs="Arial" w:eastAsia="Arial" w:hAnsi="Arial"/>
          <w:sz w:val="16"/>
          <w:szCs w:val="16"/>
          <w:color w:val="363636"/>
        </w:rPr>
        <w:t>any</w:t>
      </w:r>
      <w:r>
        <w:rPr>
          <w:rFonts w:ascii="Arial" w:cs="Arial" w:eastAsia="Arial" w:hAnsi="Arial"/>
          <w:sz w:val="16"/>
          <w:szCs w:val="16"/>
          <w:color w:val="494949"/>
        </w:rPr>
        <w:t>,</w:t>
      </w:r>
      <w:r>
        <w:rPr>
          <w:rFonts w:ascii="Arial" w:cs="Arial" w:eastAsia="Arial" w:hAnsi="Arial"/>
          <w:sz w:val="16"/>
          <w:szCs w:val="16"/>
          <w:color w:val="363636"/>
        </w:rPr>
        <w:t xml:space="preserve"> </w:t>
      </w:r>
      <w:r>
        <w:rPr>
          <w:rFonts w:ascii="Arial" w:cs="Arial" w:eastAsia="Arial" w:hAnsi="Arial"/>
          <w:sz w:val="16"/>
          <w:szCs w:val="16"/>
          <w:color w:val="282828"/>
        </w:rPr>
        <w:t>o</w:t>
      </w:r>
      <w:r>
        <w:rPr>
          <w:rFonts w:ascii="Arial" w:cs="Arial" w:eastAsia="Arial" w:hAnsi="Arial"/>
          <w:sz w:val="16"/>
          <w:szCs w:val="16"/>
          <w:color w:val="494949"/>
        </w:rPr>
        <w:t>f</w:t>
      </w:r>
      <w:r>
        <w:rPr>
          <w:rFonts w:ascii="Arial" w:cs="Arial" w:eastAsia="Arial" w:hAnsi="Arial"/>
          <w:sz w:val="16"/>
          <w:szCs w:val="16"/>
          <w:color w:val="363636"/>
        </w:rPr>
        <w:t xml:space="preserve"> </w:t>
      </w:r>
      <w:r>
        <w:rPr>
          <w:rFonts w:ascii="Arial" w:cs="Arial" w:eastAsia="Arial" w:hAnsi="Arial"/>
          <w:sz w:val="16"/>
          <w:szCs w:val="16"/>
          <w:color w:val="282828"/>
        </w:rPr>
        <w:t>th</w:t>
      </w:r>
      <w:r>
        <w:rPr>
          <w:rFonts w:ascii="Arial" w:cs="Arial" w:eastAsia="Arial" w:hAnsi="Arial"/>
          <w:sz w:val="16"/>
          <w:szCs w:val="16"/>
          <w:color w:val="363636"/>
        </w:rPr>
        <w:t xml:space="preserve">e </w:t>
      </w:r>
      <w:r>
        <w:rPr>
          <w:rFonts w:ascii="Arial" w:cs="Arial" w:eastAsia="Arial" w:hAnsi="Arial"/>
          <w:sz w:val="16"/>
          <w:szCs w:val="16"/>
          <w:color w:val="282828"/>
        </w:rPr>
        <w:t>Comp</w:t>
      </w:r>
      <w:r>
        <w:rPr>
          <w:rFonts w:ascii="Arial" w:cs="Arial" w:eastAsia="Arial" w:hAnsi="Arial"/>
          <w:sz w:val="16"/>
          <w:szCs w:val="16"/>
          <w:color w:val="363636"/>
        </w:rPr>
        <w:t>any</w:t>
      </w:r>
      <w:r>
        <w:rPr>
          <w:rFonts w:ascii="Arial" w:cs="Arial" w:eastAsia="Arial" w:hAnsi="Arial"/>
          <w:sz w:val="16"/>
          <w:szCs w:val="16"/>
          <w:color w:val="595959"/>
        </w:rPr>
        <w:t>'</w:t>
      </w:r>
      <w:r>
        <w:rPr>
          <w:rFonts w:ascii="Arial" w:cs="Arial" w:eastAsia="Arial" w:hAnsi="Arial"/>
          <w:sz w:val="16"/>
          <w:szCs w:val="16"/>
          <w:color w:val="363636"/>
        </w:rPr>
        <w:t xml:space="preserve">s </w:t>
      </w:r>
      <w:r>
        <w:rPr>
          <w:rFonts w:ascii="Arial" w:cs="Arial" w:eastAsia="Arial" w:hAnsi="Arial"/>
          <w:sz w:val="16"/>
          <w:szCs w:val="16"/>
          <w:color w:val="282828"/>
        </w:rPr>
        <w:t>Co</w:t>
      </w:r>
      <w:r>
        <w:rPr>
          <w:rFonts w:ascii="Arial" w:cs="Arial" w:eastAsia="Arial" w:hAnsi="Arial"/>
          <w:sz w:val="16"/>
          <w:szCs w:val="16"/>
          <w:color w:val="363636"/>
        </w:rPr>
        <w:t>nfi</w:t>
      </w:r>
      <w:r>
        <w:rPr>
          <w:rFonts w:ascii="Arial" w:cs="Arial" w:eastAsia="Arial" w:hAnsi="Arial"/>
          <w:sz w:val="16"/>
          <w:szCs w:val="16"/>
          <w:color w:val="282828"/>
        </w:rPr>
        <w:t>d</w:t>
      </w:r>
      <w:r>
        <w:rPr>
          <w:rFonts w:ascii="Arial" w:cs="Arial" w:eastAsia="Arial" w:hAnsi="Arial"/>
          <w:sz w:val="16"/>
          <w:szCs w:val="16"/>
          <w:color w:val="363636"/>
        </w:rPr>
        <w:t>entia</w:t>
      </w:r>
      <w:r>
        <w:rPr>
          <w:rFonts w:ascii="Arial" w:cs="Arial" w:eastAsia="Arial" w:hAnsi="Arial"/>
          <w:sz w:val="16"/>
          <w:szCs w:val="16"/>
          <w:color w:val="282828"/>
        </w:rPr>
        <w:t>l</w:t>
      </w:r>
      <w:r>
        <w:rPr>
          <w:rFonts w:ascii="Arial" w:cs="Arial" w:eastAsia="Arial" w:hAnsi="Arial"/>
          <w:sz w:val="16"/>
          <w:szCs w:val="16"/>
          <w:color w:val="363636"/>
        </w:rPr>
        <w:t xml:space="preserve"> Info</w:t>
      </w:r>
      <w:r>
        <w:rPr>
          <w:rFonts w:ascii="Arial" w:cs="Arial" w:eastAsia="Arial" w:hAnsi="Arial"/>
          <w:sz w:val="16"/>
          <w:szCs w:val="16"/>
          <w:color w:val="282828"/>
        </w:rPr>
        <w:t>rm</w:t>
      </w:r>
      <w:r>
        <w:rPr>
          <w:rFonts w:ascii="Arial" w:cs="Arial" w:eastAsia="Arial" w:hAnsi="Arial"/>
          <w:sz w:val="16"/>
          <w:szCs w:val="16"/>
          <w:color w:val="363636"/>
        </w:rPr>
        <w:t>a</w:t>
      </w:r>
      <w:r>
        <w:rPr>
          <w:rFonts w:ascii="Arial" w:cs="Arial" w:eastAsia="Arial" w:hAnsi="Arial"/>
          <w:sz w:val="16"/>
          <w:szCs w:val="16"/>
          <w:color w:val="282828"/>
        </w:rPr>
        <w:t>t</w:t>
      </w:r>
      <w:r>
        <w:rPr>
          <w:rFonts w:ascii="Arial" w:cs="Arial" w:eastAsia="Arial" w:hAnsi="Arial"/>
          <w:sz w:val="16"/>
          <w:szCs w:val="16"/>
          <w:color w:val="363636"/>
        </w:rPr>
        <w:t>i</w:t>
      </w:r>
      <w:r>
        <w:rPr>
          <w:rFonts w:ascii="Arial" w:cs="Arial" w:eastAsia="Arial" w:hAnsi="Arial"/>
          <w:sz w:val="16"/>
          <w:szCs w:val="16"/>
          <w:color w:val="282828"/>
        </w:rPr>
        <w:t>on</w:t>
      </w:r>
      <w:r>
        <w:rPr>
          <w:rFonts w:ascii="Arial" w:cs="Arial" w:eastAsia="Arial" w:hAnsi="Arial"/>
          <w:sz w:val="16"/>
          <w:szCs w:val="16"/>
          <w:color w:val="363636"/>
        </w:rPr>
        <w:t xml:space="preserve"> an</w:t>
      </w:r>
      <w:r>
        <w:rPr>
          <w:rFonts w:ascii="Arial" w:cs="Arial" w:eastAsia="Arial" w:hAnsi="Arial"/>
          <w:sz w:val="16"/>
          <w:szCs w:val="16"/>
          <w:color w:val="282828"/>
        </w:rPr>
        <w:t>d</w:t>
      </w:r>
      <w:r>
        <w:rPr>
          <w:rFonts w:ascii="Arial" w:cs="Arial" w:eastAsia="Arial" w:hAnsi="Arial"/>
          <w:sz w:val="16"/>
          <w:szCs w:val="16"/>
          <w:color w:val="363636"/>
        </w:rPr>
        <w:t xml:space="preserve"> Invent</w:t>
      </w:r>
      <w:r>
        <w:rPr>
          <w:rFonts w:ascii="Arial" w:cs="Arial" w:eastAsia="Arial" w:hAnsi="Arial"/>
          <w:sz w:val="16"/>
          <w:szCs w:val="16"/>
          <w:color w:val="282828"/>
        </w:rPr>
        <w:t>io</w:t>
      </w:r>
      <w:r>
        <w:rPr>
          <w:rFonts w:ascii="Arial" w:cs="Arial" w:eastAsia="Arial" w:hAnsi="Arial"/>
          <w:sz w:val="16"/>
          <w:szCs w:val="16"/>
          <w:color w:val="363636"/>
        </w:rPr>
        <w:t xml:space="preserve">n </w:t>
      </w:r>
      <w:r>
        <w:rPr>
          <w:rFonts w:ascii="Arial" w:cs="Arial" w:eastAsia="Arial" w:hAnsi="Arial"/>
          <w:sz w:val="16"/>
          <w:szCs w:val="16"/>
          <w:color w:val="282828"/>
        </w:rPr>
        <w:t>A</w:t>
      </w:r>
      <w:r>
        <w:rPr>
          <w:rFonts w:ascii="Arial" w:cs="Arial" w:eastAsia="Arial" w:hAnsi="Arial"/>
          <w:sz w:val="16"/>
          <w:szCs w:val="16"/>
          <w:color w:val="363636"/>
        </w:rPr>
        <w:t>ss</w:t>
      </w:r>
      <w:r>
        <w:rPr>
          <w:rFonts w:ascii="Arial" w:cs="Arial" w:eastAsia="Arial" w:hAnsi="Arial"/>
          <w:sz w:val="16"/>
          <w:szCs w:val="16"/>
          <w:color w:val="282828"/>
        </w:rPr>
        <w:t>i</w:t>
      </w:r>
      <w:r>
        <w:rPr>
          <w:rFonts w:ascii="Arial" w:cs="Arial" w:eastAsia="Arial" w:hAnsi="Arial"/>
          <w:sz w:val="16"/>
          <w:szCs w:val="16"/>
          <w:color w:val="363636"/>
        </w:rPr>
        <w:t>g</w:t>
      </w:r>
      <w:r>
        <w:rPr>
          <w:rFonts w:ascii="Arial" w:cs="Arial" w:eastAsia="Arial" w:hAnsi="Arial"/>
          <w:sz w:val="16"/>
          <w:szCs w:val="16"/>
          <w:color w:val="282828"/>
        </w:rPr>
        <w:t>nm</w:t>
      </w:r>
      <w:r>
        <w:rPr>
          <w:rFonts w:ascii="Arial" w:cs="Arial" w:eastAsia="Arial" w:hAnsi="Arial"/>
          <w:sz w:val="16"/>
          <w:szCs w:val="16"/>
          <w:color w:val="363636"/>
        </w:rPr>
        <w:t>e</w:t>
      </w:r>
      <w:r>
        <w:rPr>
          <w:rFonts w:ascii="Arial" w:cs="Arial" w:eastAsia="Arial" w:hAnsi="Arial"/>
          <w:sz w:val="16"/>
          <w:szCs w:val="16"/>
          <w:color w:val="282828"/>
        </w:rPr>
        <w:t>n</w:t>
      </w:r>
      <w:r>
        <w:rPr>
          <w:rFonts w:ascii="Arial" w:cs="Arial" w:eastAsia="Arial" w:hAnsi="Arial"/>
          <w:sz w:val="16"/>
          <w:szCs w:val="16"/>
          <w:color w:val="171717"/>
        </w:rPr>
        <w:t>t</w:t>
      </w:r>
      <w:r>
        <w:rPr>
          <w:rFonts w:ascii="Arial" w:cs="Arial" w:eastAsia="Arial" w:hAnsi="Arial"/>
          <w:sz w:val="16"/>
          <w:szCs w:val="16"/>
          <w:color w:val="363636"/>
        </w:rPr>
        <w:t xml:space="preserve"> </w:t>
      </w:r>
      <w:r>
        <w:rPr>
          <w:rFonts w:ascii="Arial" w:cs="Arial" w:eastAsia="Arial" w:hAnsi="Arial"/>
          <w:sz w:val="16"/>
          <w:szCs w:val="16"/>
          <w:color w:val="282828"/>
        </w:rPr>
        <w:t>A</w:t>
      </w:r>
      <w:r>
        <w:rPr>
          <w:rFonts w:ascii="Arial" w:cs="Arial" w:eastAsia="Arial" w:hAnsi="Arial"/>
          <w:sz w:val="16"/>
          <w:szCs w:val="16"/>
          <w:color w:val="363636"/>
        </w:rPr>
        <w:t>gree</w:t>
      </w:r>
      <w:r>
        <w:rPr>
          <w:rFonts w:ascii="Arial" w:cs="Arial" w:eastAsia="Arial" w:hAnsi="Arial"/>
          <w:sz w:val="16"/>
          <w:szCs w:val="16"/>
          <w:color w:val="282828"/>
        </w:rPr>
        <w:t>m</w:t>
      </w:r>
      <w:r>
        <w:rPr>
          <w:rFonts w:ascii="Arial" w:cs="Arial" w:eastAsia="Arial" w:hAnsi="Arial"/>
          <w:sz w:val="16"/>
          <w:szCs w:val="16"/>
          <w:color w:val="363636"/>
        </w:rPr>
        <w:t>e</w:t>
      </w:r>
      <w:r>
        <w:rPr>
          <w:rFonts w:ascii="Arial" w:cs="Arial" w:eastAsia="Arial" w:hAnsi="Arial"/>
          <w:sz w:val="16"/>
          <w:szCs w:val="16"/>
          <w:color w:val="282828"/>
        </w:rPr>
        <w:t>nt</w:t>
      </w:r>
      <w:r>
        <w:rPr>
          <w:rFonts w:ascii="Arial" w:cs="Arial" w:eastAsia="Arial" w:hAnsi="Arial"/>
          <w:sz w:val="16"/>
          <w:szCs w:val="16"/>
          <w:color w:val="595959"/>
        </w:rPr>
        <w:t>,</w:t>
      </w:r>
      <w:r>
        <w:rPr>
          <w:rFonts w:ascii="Arial" w:cs="Arial" w:eastAsia="Arial" w:hAnsi="Arial"/>
          <w:sz w:val="16"/>
          <w:szCs w:val="16"/>
          <w:color w:val="363636"/>
        </w:rPr>
        <w:t xml:space="preserve"> a c</w:t>
      </w:r>
      <w:r>
        <w:rPr>
          <w:rFonts w:ascii="Arial" w:cs="Arial" w:eastAsia="Arial" w:hAnsi="Arial"/>
          <w:sz w:val="16"/>
          <w:szCs w:val="16"/>
          <w:color w:val="282828"/>
        </w:rPr>
        <w:t>o</w:t>
      </w:r>
      <w:r>
        <w:rPr>
          <w:rFonts w:ascii="Arial" w:cs="Arial" w:eastAsia="Arial" w:hAnsi="Arial"/>
          <w:sz w:val="16"/>
          <w:szCs w:val="16"/>
          <w:color w:val="363636"/>
        </w:rPr>
        <w:t xml:space="preserve">py </w:t>
      </w:r>
      <w:r>
        <w:rPr>
          <w:rFonts w:ascii="Arial" w:cs="Arial" w:eastAsia="Arial" w:hAnsi="Arial"/>
          <w:sz w:val="16"/>
          <w:szCs w:val="16"/>
          <w:color w:val="282828"/>
        </w:rPr>
        <w:t>of w</w:t>
      </w:r>
      <w:r>
        <w:rPr>
          <w:rFonts w:ascii="Arial" w:cs="Arial" w:eastAsia="Arial" w:hAnsi="Arial"/>
          <w:sz w:val="16"/>
          <w:szCs w:val="16"/>
          <w:color w:val="171717"/>
        </w:rPr>
        <w:t>hi</w:t>
      </w:r>
      <w:r>
        <w:rPr>
          <w:rFonts w:ascii="Arial" w:cs="Arial" w:eastAsia="Arial" w:hAnsi="Arial"/>
          <w:sz w:val="16"/>
          <w:szCs w:val="16"/>
          <w:color w:val="363636"/>
        </w:rPr>
        <w:t>c</w:t>
      </w:r>
      <w:r>
        <w:rPr>
          <w:rFonts w:ascii="Arial" w:cs="Arial" w:eastAsia="Arial" w:hAnsi="Arial"/>
          <w:sz w:val="16"/>
          <w:szCs w:val="16"/>
          <w:color w:val="282828"/>
        </w:rPr>
        <w:t>h i</w:t>
      </w:r>
      <w:r>
        <w:rPr>
          <w:rFonts w:ascii="Arial" w:cs="Arial" w:eastAsia="Arial" w:hAnsi="Arial"/>
          <w:sz w:val="16"/>
          <w:szCs w:val="16"/>
          <w:color w:val="363636"/>
        </w:rPr>
        <w:t>s e</w:t>
      </w:r>
      <w:r>
        <w:rPr>
          <w:rFonts w:ascii="Arial" w:cs="Arial" w:eastAsia="Arial" w:hAnsi="Arial"/>
          <w:sz w:val="16"/>
          <w:szCs w:val="16"/>
          <w:color w:val="282828"/>
        </w:rPr>
        <w:t>nclo</w:t>
      </w:r>
      <w:r>
        <w:rPr>
          <w:rFonts w:ascii="Arial" w:cs="Arial" w:eastAsia="Arial" w:hAnsi="Arial"/>
          <w:sz w:val="16"/>
          <w:szCs w:val="16"/>
          <w:color w:val="363636"/>
        </w:rPr>
        <w:t>se</w:t>
      </w:r>
      <w:r>
        <w:rPr>
          <w:rFonts w:ascii="Arial" w:cs="Arial" w:eastAsia="Arial" w:hAnsi="Arial"/>
          <w:sz w:val="16"/>
          <w:szCs w:val="16"/>
          <w:color w:val="282828"/>
        </w:rPr>
        <w:t>d for</w:t>
      </w:r>
      <w:r>
        <w:rPr>
          <w:rFonts w:ascii="Arial" w:cs="Arial" w:eastAsia="Arial" w:hAnsi="Arial"/>
          <w:sz w:val="16"/>
          <w:szCs w:val="16"/>
          <w:color w:val="363636"/>
        </w:rPr>
        <w:t xml:space="preserve"> y</w:t>
      </w:r>
      <w:r>
        <w:rPr>
          <w:rFonts w:ascii="Arial" w:cs="Arial" w:eastAsia="Arial" w:hAnsi="Arial"/>
          <w:sz w:val="16"/>
          <w:szCs w:val="16"/>
          <w:color w:val="282828"/>
        </w:rPr>
        <w:t>o</w:t>
      </w:r>
      <w:r>
        <w:rPr>
          <w:rFonts w:ascii="Arial" w:cs="Arial" w:eastAsia="Arial" w:hAnsi="Arial"/>
          <w:sz w:val="16"/>
          <w:szCs w:val="16"/>
          <w:color w:val="171717"/>
        </w:rPr>
        <w:t>u</w:t>
      </w:r>
      <w:r>
        <w:rPr>
          <w:rFonts w:ascii="Arial" w:cs="Arial" w:eastAsia="Arial" w:hAnsi="Arial"/>
          <w:sz w:val="16"/>
          <w:szCs w:val="16"/>
          <w:color w:val="282828"/>
        </w:rPr>
        <w:t>r</w:t>
      </w:r>
      <w:r>
        <w:rPr>
          <w:rFonts w:ascii="Arial" w:cs="Arial" w:eastAsia="Arial" w:hAnsi="Arial"/>
          <w:sz w:val="16"/>
          <w:szCs w:val="16"/>
          <w:color w:val="363636"/>
        </w:rPr>
        <w:t xml:space="preserve"> rev</w:t>
      </w:r>
      <w:r>
        <w:rPr>
          <w:rFonts w:ascii="Arial" w:cs="Arial" w:eastAsia="Arial" w:hAnsi="Arial"/>
          <w:sz w:val="16"/>
          <w:szCs w:val="16"/>
          <w:color w:val="171717"/>
        </w:rPr>
        <w:t>i</w:t>
      </w:r>
      <w:r>
        <w:rPr>
          <w:rFonts w:ascii="Arial" w:cs="Arial" w:eastAsia="Arial" w:hAnsi="Arial"/>
          <w:sz w:val="16"/>
          <w:szCs w:val="16"/>
          <w:color w:val="363636"/>
        </w:rPr>
        <w:t>ew a</w:t>
      </w:r>
      <w:r>
        <w:rPr>
          <w:rFonts w:ascii="Arial" w:cs="Arial" w:eastAsia="Arial" w:hAnsi="Arial"/>
          <w:sz w:val="16"/>
          <w:szCs w:val="16"/>
          <w:color w:val="282828"/>
        </w:rPr>
        <w:t>nd</w:t>
      </w:r>
      <w:r>
        <w:rPr>
          <w:rFonts w:ascii="Arial" w:cs="Arial" w:eastAsia="Arial" w:hAnsi="Arial"/>
          <w:sz w:val="16"/>
          <w:szCs w:val="16"/>
          <w:color w:val="363636"/>
        </w:rPr>
        <w:t xml:space="preserve"> exe</w:t>
      </w:r>
      <w:r>
        <w:rPr>
          <w:rFonts w:ascii="Arial" w:cs="Arial" w:eastAsia="Arial" w:hAnsi="Arial"/>
          <w:sz w:val="16"/>
          <w:szCs w:val="16"/>
          <w:color w:val="282828"/>
        </w:rPr>
        <w:t>cution</w:t>
      </w:r>
      <w:r>
        <w:rPr>
          <w:rFonts w:ascii="Arial" w:cs="Arial" w:eastAsia="Arial" w:hAnsi="Arial"/>
          <w:sz w:val="16"/>
          <w:szCs w:val="16"/>
          <w:color w:val="363636"/>
        </w:rPr>
        <w:t xml:space="preserve"> (</w:t>
      </w:r>
      <w:r>
        <w:rPr>
          <w:rFonts w:ascii="Arial" w:cs="Arial" w:eastAsia="Arial" w:hAnsi="Arial"/>
          <w:sz w:val="16"/>
          <w:szCs w:val="16"/>
          <w:color w:val="262626"/>
        </w:rPr>
        <w:t>the</w:t>
      </w:r>
      <w:r>
        <w:rPr>
          <w:rFonts w:ascii="Arial" w:cs="Arial" w:eastAsia="Arial" w:hAnsi="Arial"/>
          <w:sz w:val="16"/>
          <w:szCs w:val="16"/>
          <w:color w:val="363636"/>
        </w:rPr>
        <w:t xml:space="preserve"> </w:t>
      </w:r>
      <w:r>
        <w:rPr>
          <w:rFonts w:ascii="Arial" w:cs="Arial" w:eastAsia="Arial" w:hAnsi="Arial"/>
          <w:sz w:val="16"/>
          <w:szCs w:val="16"/>
          <w:color w:val="545454"/>
        </w:rPr>
        <w:t>"</w:t>
      </w:r>
      <w:r>
        <w:rPr>
          <w:rFonts w:ascii="Arial" w:cs="Arial" w:eastAsia="Arial" w:hAnsi="Arial"/>
          <w:sz w:val="16"/>
          <w:szCs w:val="16"/>
          <w:u w:val="single" w:color="auto"/>
          <w:color w:val="363636"/>
        </w:rPr>
        <w:t>C</w:t>
      </w:r>
      <w:r>
        <w:rPr>
          <w:rFonts w:ascii="Arial" w:cs="Arial" w:eastAsia="Arial" w:hAnsi="Arial"/>
          <w:sz w:val="16"/>
          <w:szCs w:val="16"/>
          <w:u w:val="single" w:color="auto"/>
          <w:color w:val="262626"/>
        </w:rPr>
        <w:t>onfid</w:t>
      </w:r>
      <w:r>
        <w:rPr>
          <w:rFonts w:ascii="Arial" w:cs="Arial" w:eastAsia="Arial" w:hAnsi="Arial"/>
          <w:sz w:val="16"/>
          <w:szCs w:val="16"/>
          <w:u w:val="single" w:color="auto"/>
          <w:color w:val="363636"/>
        </w:rPr>
        <w:t>e</w:t>
      </w:r>
      <w:r>
        <w:rPr>
          <w:rFonts w:ascii="Arial" w:cs="Arial" w:eastAsia="Arial" w:hAnsi="Arial"/>
          <w:sz w:val="16"/>
          <w:szCs w:val="16"/>
          <w:u w:val="single" w:color="auto"/>
          <w:color w:val="262626"/>
        </w:rPr>
        <w:t>n</w:t>
      </w:r>
      <w:r>
        <w:rPr>
          <w:rFonts w:ascii="Arial" w:cs="Arial" w:eastAsia="Arial" w:hAnsi="Arial"/>
          <w:sz w:val="16"/>
          <w:szCs w:val="16"/>
          <w:u w:val="single" w:color="auto"/>
          <w:color w:val="363636"/>
        </w:rPr>
        <w:t>t</w:t>
      </w:r>
      <w:r>
        <w:rPr>
          <w:rFonts w:ascii="Arial" w:cs="Arial" w:eastAsia="Arial" w:hAnsi="Arial"/>
          <w:sz w:val="16"/>
          <w:szCs w:val="16"/>
          <w:u w:val="single" w:color="auto"/>
          <w:color w:val="262626"/>
        </w:rPr>
        <w:t>i</w:t>
      </w:r>
      <w:r>
        <w:rPr>
          <w:rFonts w:ascii="Arial" w:cs="Arial" w:eastAsia="Arial" w:hAnsi="Arial"/>
          <w:sz w:val="16"/>
          <w:szCs w:val="16"/>
          <w:u w:val="single" w:color="auto"/>
          <w:color w:val="363636"/>
        </w:rPr>
        <w:t>a</w:t>
      </w:r>
      <w:r>
        <w:rPr>
          <w:rFonts w:ascii="Arial" w:cs="Arial" w:eastAsia="Arial" w:hAnsi="Arial"/>
          <w:sz w:val="16"/>
          <w:szCs w:val="16"/>
          <w:u w:val="single" w:color="auto"/>
          <w:color w:val="262626"/>
        </w:rPr>
        <w:t>l</w:t>
      </w:r>
      <w:r>
        <w:rPr>
          <w:rFonts w:ascii="Arial" w:cs="Arial" w:eastAsia="Arial" w:hAnsi="Arial"/>
          <w:sz w:val="16"/>
          <w:szCs w:val="16"/>
          <w:u w:val="single" w:color="auto"/>
          <w:color w:val="363636"/>
        </w:rPr>
        <w:t>i</w:t>
      </w:r>
      <w:r>
        <w:rPr>
          <w:rFonts w:ascii="Arial" w:cs="Arial" w:eastAsia="Arial" w:hAnsi="Arial"/>
          <w:sz w:val="16"/>
          <w:szCs w:val="16"/>
          <w:u w:val="single" w:color="auto"/>
          <w:color w:val="262626"/>
        </w:rPr>
        <w:t>ty</w:t>
      </w:r>
      <w:r>
        <w:rPr>
          <w:rFonts w:ascii="Arial" w:cs="Arial" w:eastAsia="Arial" w:hAnsi="Arial"/>
          <w:sz w:val="16"/>
          <w:szCs w:val="16"/>
          <w:color w:val="363636"/>
        </w:rPr>
        <w:t xml:space="preserve"> </w:t>
      </w:r>
      <w:r>
        <w:rPr>
          <w:rFonts w:ascii="Arial" w:cs="Arial" w:eastAsia="Arial" w:hAnsi="Arial"/>
          <w:sz w:val="16"/>
          <w:szCs w:val="16"/>
          <w:u w:val="single" w:color="auto"/>
          <w:color w:val="363636"/>
        </w:rPr>
        <w:t>A</w:t>
      </w:r>
      <w:r>
        <w:rPr>
          <w:rFonts w:ascii="Arial" w:cs="Arial" w:eastAsia="Arial" w:hAnsi="Arial"/>
          <w:sz w:val="16"/>
          <w:szCs w:val="16"/>
          <w:u w:val="single" w:color="auto"/>
          <w:color w:val="262626"/>
        </w:rPr>
        <w:t>gr</w:t>
      </w:r>
      <w:r>
        <w:rPr>
          <w:rFonts w:ascii="Arial" w:cs="Arial" w:eastAsia="Arial" w:hAnsi="Arial"/>
          <w:sz w:val="16"/>
          <w:szCs w:val="16"/>
          <w:u w:val="single" w:color="auto"/>
          <w:color w:val="363636"/>
        </w:rPr>
        <w:t>ee</w:t>
      </w:r>
      <w:r>
        <w:rPr>
          <w:rFonts w:ascii="Arial" w:cs="Arial" w:eastAsia="Arial" w:hAnsi="Arial"/>
          <w:sz w:val="16"/>
          <w:szCs w:val="16"/>
          <w:u w:val="single" w:color="auto"/>
          <w:color w:val="262626"/>
        </w:rPr>
        <w:t>m</w:t>
      </w:r>
      <w:r>
        <w:rPr>
          <w:rFonts w:ascii="Arial" w:cs="Arial" w:eastAsia="Arial" w:hAnsi="Arial"/>
          <w:sz w:val="16"/>
          <w:szCs w:val="16"/>
          <w:u w:val="single" w:color="auto"/>
          <w:color w:val="363636"/>
        </w:rPr>
        <w:t>e</w:t>
      </w:r>
      <w:r>
        <w:rPr>
          <w:rFonts w:ascii="Arial" w:cs="Arial" w:eastAsia="Arial" w:hAnsi="Arial"/>
          <w:sz w:val="16"/>
          <w:szCs w:val="16"/>
          <w:u w:val="single" w:color="auto"/>
          <w:color w:val="262626"/>
        </w:rPr>
        <w:t>n</w:t>
      </w:r>
      <w:r>
        <w:rPr>
          <w:rFonts w:ascii="Arial" w:cs="Arial" w:eastAsia="Arial" w:hAnsi="Arial"/>
          <w:sz w:val="16"/>
          <w:szCs w:val="16"/>
          <w:u w:val="single" w:color="auto"/>
          <w:color w:val="363636"/>
        </w:rPr>
        <w:t>t</w:t>
      </w:r>
      <w:r>
        <w:rPr>
          <w:rFonts w:ascii="Arial" w:cs="Arial" w:eastAsia="Arial" w:hAnsi="Arial"/>
          <w:sz w:val="16"/>
          <w:szCs w:val="16"/>
          <w:color w:val="363636"/>
        </w:rPr>
        <w:t>")</w:t>
      </w:r>
      <w:r>
        <w:rPr>
          <w:rFonts w:ascii="Arial" w:cs="Arial" w:eastAsia="Arial" w:hAnsi="Arial"/>
          <w:sz w:val="16"/>
          <w:szCs w:val="16"/>
          <w:color w:val="545454"/>
        </w:rPr>
        <w:t>,</w:t>
      </w:r>
      <w:r>
        <w:rPr>
          <w:rFonts w:ascii="Arial" w:cs="Arial" w:eastAsia="Arial" w:hAnsi="Arial"/>
          <w:sz w:val="16"/>
          <w:szCs w:val="16"/>
          <w:color w:val="363636"/>
        </w:rPr>
        <w:t xml:space="preserve"> </w:t>
      </w:r>
      <w:r>
        <w:rPr>
          <w:rFonts w:ascii="Arial" w:cs="Arial" w:eastAsia="Arial" w:hAnsi="Arial"/>
          <w:sz w:val="16"/>
          <w:szCs w:val="16"/>
          <w:color w:val="262626"/>
        </w:rPr>
        <w:t>pr</w:t>
      </w:r>
      <w:r>
        <w:rPr>
          <w:rFonts w:ascii="Arial" w:cs="Arial" w:eastAsia="Arial" w:hAnsi="Arial"/>
          <w:sz w:val="16"/>
          <w:szCs w:val="16"/>
          <w:color w:val="363636"/>
        </w:rPr>
        <w:t>i</w:t>
      </w:r>
      <w:r>
        <w:rPr>
          <w:rFonts w:ascii="Arial" w:cs="Arial" w:eastAsia="Arial" w:hAnsi="Arial"/>
          <w:sz w:val="16"/>
          <w:szCs w:val="16"/>
          <w:color w:val="262626"/>
        </w:rPr>
        <w:t>o</w:t>
      </w:r>
      <w:r>
        <w:rPr>
          <w:rFonts w:ascii="Arial" w:cs="Arial" w:eastAsia="Arial" w:hAnsi="Arial"/>
          <w:sz w:val="16"/>
          <w:szCs w:val="16"/>
          <w:color w:val="363636"/>
        </w:rPr>
        <w:t xml:space="preserve">r </w:t>
      </w:r>
      <w:r>
        <w:rPr>
          <w:rFonts w:ascii="Arial" w:cs="Arial" w:eastAsia="Arial" w:hAnsi="Arial"/>
          <w:sz w:val="16"/>
          <w:szCs w:val="16"/>
          <w:color w:val="262626"/>
        </w:rPr>
        <w:t>to or on your Start D</w:t>
      </w:r>
      <w:r>
        <w:rPr>
          <w:rFonts w:ascii="Arial" w:cs="Arial" w:eastAsia="Arial" w:hAnsi="Arial"/>
          <w:sz w:val="16"/>
          <w:szCs w:val="16"/>
          <w:color w:val="363636"/>
        </w:rPr>
        <w:t>a</w:t>
      </w:r>
      <w:r>
        <w:rPr>
          <w:rFonts w:ascii="Arial" w:cs="Arial" w:eastAsia="Arial" w:hAnsi="Arial"/>
          <w:sz w:val="16"/>
          <w:szCs w:val="16"/>
          <w:color w:val="262626"/>
        </w:rPr>
        <w:t>t</w:t>
      </w:r>
      <w:r>
        <w:rPr>
          <w:rFonts w:ascii="Arial" w:cs="Arial" w:eastAsia="Arial" w:hAnsi="Arial"/>
          <w:sz w:val="16"/>
          <w:szCs w:val="16"/>
          <w:color w:val="363636"/>
        </w:rPr>
        <w:t>e</w:t>
      </w:r>
      <w:r>
        <w:rPr>
          <w:rFonts w:ascii="Arial" w:cs="Arial" w:eastAsia="Arial" w:hAnsi="Arial"/>
          <w:sz w:val="16"/>
          <w:szCs w:val="16"/>
          <w:color w:val="262626"/>
        </w:rPr>
        <w:t>.</w:t>
      </w:r>
    </w:p>
    <w:p>
      <w:pPr>
        <w:spacing w:after="0" w:line="1" w:lineRule="exact"/>
        <w:rPr>
          <w:rFonts w:ascii="Arial" w:cs="Arial" w:eastAsia="Arial" w:hAnsi="Arial"/>
          <w:sz w:val="16"/>
          <w:szCs w:val="16"/>
          <w:color w:val="363636"/>
        </w:rPr>
      </w:pPr>
    </w:p>
    <w:p>
      <w:pPr>
        <w:ind w:left="1163" w:right="140" w:hanging="286"/>
        <w:spacing w:after="0" w:line="244" w:lineRule="auto"/>
        <w:tabs>
          <w:tab w:leader="none" w:pos="1162" w:val="left"/>
        </w:tabs>
        <w:numPr>
          <w:ilvl w:val="1"/>
          <w:numId w:val="335"/>
        </w:numPr>
        <w:rPr>
          <w:rFonts w:ascii="Arial" w:cs="Arial" w:eastAsia="Arial" w:hAnsi="Arial"/>
          <w:sz w:val="18"/>
          <w:szCs w:val="18"/>
          <w:color w:val="363636"/>
        </w:rPr>
      </w:pPr>
      <w:r>
        <w:rPr>
          <w:rFonts w:ascii="Arial" w:cs="Arial" w:eastAsia="Arial" w:hAnsi="Arial"/>
          <w:sz w:val="19"/>
          <w:szCs w:val="19"/>
          <w:b w:val="1"/>
          <w:bCs w:val="1"/>
          <w:u w:val="single" w:color="auto"/>
          <w:color w:val="111111"/>
        </w:rPr>
        <w:t>Ri</w:t>
      </w:r>
      <w:r>
        <w:rPr>
          <w:rFonts w:ascii="Arial" w:cs="Arial" w:eastAsia="Arial" w:hAnsi="Arial"/>
          <w:sz w:val="19"/>
          <w:szCs w:val="19"/>
          <w:b w:val="1"/>
          <w:bCs w:val="1"/>
          <w:u w:val="single" w:color="auto"/>
          <w:color w:val="262626"/>
        </w:rPr>
        <w:t>g</w:t>
      </w:r>
      <w:r>
        <w:rPr>
          <w:rFonts w:ascii="Arial" w:cs="Arial" w:eastAsia="Arial" w:hAnsi="Arial"/>
          <w:sz w:val="19"/>
          <w:szCs w:val="19"/>
          <w:b w:val="1"/>
          <w:bCs w:val="1"/>
          <w:u w:val="single" w:color="auto"/>
          <w:color w:val="111111"/>
        </w:rPr>
        <w:t>ht</w:t>
      </w:r>
      <w:r>
        <w:rPr>
          <w:rFonts w:ascii="Arial" w:cs="Arial" w:eastAsia="Arial" w:hAnsi="Arial"/>
          <w:sz w:val="19"/>
          <w:szCs w:val="19"/>
          <w:b w:val="1"/>
          <w:bCs w:val="1"/>
          <w:color w:val="111111"/>
        </w:rPr>
        <w:t xml:space="preserve"> </w:t>
      </w:r>
      <w:r>
        <w:rPr>
          <w:rFonts w:ascii="Arial" w:cs="Arial" w:eastAsia="Arial" w:hAnsi="Arial"/>
          <w:sz w:val="19"/>
          <w:szCs w:val="19"/>
          <w:b w:val="1"/>
          <w:bCs w:val="1"/>
          <w:u w:val="single" w:color="auto"/>
          <w:color w:val="262626"/>
        </w:rPr>
        <w:t>t</w:t>
      </w:r>
      <w:r>
        <w:rPr>
          <w:rFonts w:ascii="Arial" w:cs="Arial" w:eastAsia="Arial" w:hAnsi="Arial"/>
          <w:sz w:val="19"/>
          <w:szCs w:val="19"/>
          <w:b w:val="1"/>
          <w:bCs w:val="1"/>
          <w:u w:val="single" w:color="auto"/>
          <w:color w:val="111111"/>
        </w:rPr>
        <w:t>o</w:t>
      </w:r>
      <w:r>
        <w:rPr>
          <w:rFonts w:ascii="Arial" w:cs="Arial" w:eastAsia="Arial" w:hAnsi="Arial"/>
          <w:sz w:val="19"/>
          <w:szCs w:val="19"/>
          <w:b w:val="1"/>
          <w:bCs w:val="1"/>
          <w:color w:val="111111"/>
        </w:rPr>
        <w:t xml:space="preserve"> </w:t>
      </w:r>
      <w:r>
        <w:rPr>
          <w:rFonts w:ascii="Arial" w:cs="Arial" w:eastAsia="Arial" w:hAnsi="Arial"/>
          <w:sz w:val="19"/>
          <w:szCs w:val="19"/>
          <w:b w:val="1"/>
          <w:bCs w:val="1"/>
          <w:u w:val="single" w:color="auto"/>
          <w:color w:val="262626"/>
        </w:rPr>
        <w:t>W</w:t>
      </w:r>
      <w:r>
        <w:rPr>
          <w:rFonts w:ascii="Arial" w:cs="Arial" w:eastAsia="Arial" w:hAnsi="Arial"/>
          <w:sz w:val="19"/>
          <w:szCs w:val="19"/>
          <w:b w:val="1"/>
          <w:bCs w:val="1"/>
          <w:u w:val="single" w:color="auto"/>
          <w:color w:val="111111"/>
        </w:rPr>
        <w:t>ork</w:t>
      </w:r>
      <w:r>
        <w:rPr>
          <w:rFonts w:ascii="Arial" w:cs="Arial" w:eastAsia="Arial" w:hAnsi="Arial"/>
          <w:sz w:val="19"/>
          <w:szCs w:val="19"/>
          <w:b w:val="1"/>
          <w:bCs w:val="1"/>
          <w:color w:val="111111"/>
        </w:rPr>
        <w:t xml:space="preserve">. </w:t>
      </w:r>
      <w:r>
        <w:rPr>
          <w:rFonts w:ascii="Arial" w:cs="Arial" w:eastAsia="Arial" w:hAnsi="Arial"/>
          <w:sz w:val="17"/>
          <w:szCs w:val="17"/>
          <w:color w:val="363636"/>
        </w:rPr>
        <w:t>F</w:t>
      </w:r>
      <w:r>
        <w:rPr>
          <w:rFonts w:ascii="Arial" w:cs="Arial" w:eastAsia="Arial" w:hAnsi="Arial"/>
          <w:sz w:val="17"/>
          <w:szCs w:val="17"/>
          <w:color w:val="262626"/>
        </w:rPr>
        <w:t>or purpo</w:t>
      </w:r>
      <w:r>
        <w:rPr>
          <w:rFonts w:ascii="Arial" w:cs="Arial" w:eastAsia="Arial" w:hAnsi="Arial"/>
          <w:sz w:val="17"/>
          <w:szCs w:val="17"/>
          <w:color w:val="363636"/>
        </w:rPr>
        <w:t>ses</w:t>
      </w:r>
      <w:r>
        <w:rPr>
          <w:rFonts w:ascii="Arial" w:cs="Arial" w:eastAsia="Arial" w:hAnsi="Arial"/>
          <w:sz w:val="19"/>
          <w:szCs w:val="19"/>
          <w:b w:val="1"/>
          <w:bCs w:val="1"/>
          <w:color w:val="111111"/>
        </w:rPr>
        <w:t xml:space="preserve"> </w:t>
      </w:r>
      <w:r>
        <w:rPr>
          <w:rFonts w:ascii="Arial" w:cs="Arial" w:eastAsia="Arial" w:hAnsi="Arial"/>
          <w:sz w:val="17"/>
          <w:szCs w:val="17"/>
          <w:color w:val="262626"/>
        </w:rPr>
        <w:t>of fed</w:t>
      </w:r>
      <w:r>
        <w:rPr>
          <w:rFonts w:ascii="Arial" w:cs="Arial" w:eastAsia="Arial" w:hAnsi="Arial"/>
          <w:sz w:val="17"/>
          <w:szCs w:val="17"/>
          <w:color w:val="363636"/>
        </w:rPr>
        <w:t>e</w:t>
      </w:r>
      <w:r>
        <w:rPr>
          <w:rFonts w:ascii="Arial" w:cs="Arial" w:eastAsia="Arial" w:hAnsi="Arial"/>
          <w:sz w:val="17"/>
          <w:szCs w:val="17"/>
          <w:color w:val="262626"/>
        </w:rPr>
        <w:t>ra</w:t>
      </w:r>
      <w:r>
        <w:rPr>
          <w:rFonts w:ascii="Arial" w:cs="Arial" w:eastAsia="Arial" w:hAnsi="Arial"/>
          <w:sz w:val="17"/>
          <w:szCs w:val="17"/>
          <w:color w:val="111111"/>
        </w:rPr>
        <w:t>l</w:t>
      </w:r>
      <w:r>
        <w:rPr>
          <w:rFonts w:ascii="Arial" w:cs="Arial" w:eastAsia="Arial" w:hAnsi="Arial"/>
          <w:sz w:val="19"/>
          <w:szCs w:val="19"/>
          <w:b w:val="1"/>
          <w:bCs w:val="1"/>
          <w:color w:val="111111"/>
        </w:rPr>
        <w:t xml:space="preserve"> </w:t>
      </w:r>
      <w:r>
        <w:rPr>
          <w:rFonts w:ascii="Arial" w:cs="Arial" w:eastAsia="Arial" w:hAnsi="Arial"/>
          <w:sz w:val="17"/>
          <w:szCs w:val="17"/>
          <w:color w:val="262626"/>
        </w:rPr>
        <w:t>imm</w:t>
      </w:r>
      <w:r>
        <w:rPr>
          <w:rFonts w:ascii="Arial" w:cs="Arial" w:eastAsia="Arial" w:hAnsi="Arial"/>
          <w:sz w:val="17"/>
          <w:szCs w:val="17"/>
          <w:color w:val="111111"/>
        </w:rPr>
        <w:t>i</w:t>
      </w:r>
      <w:r>
        <w:rPr>
          <w:rFonts w:ascii="Arial" w:cs="Arial" w:eastAsia="Arial" w:hAnsi="Arial"/>
          <w:sz w:val="17"/>
          <w:szCs w:val="17"/>
          <w:color w:val="363636"/>
        </w:rPr>
        <w:t>gra</w:t>
      </w:r>
      <w:r>
        <w:rPr>
          <w:rFonts w:ascii="Arial" w:cs="Arial" w:eastAsia="Arial" w:hAnsi="Arial"/>
          <w:sz w:val="17"/>
          <w:szCs w:val="17"/>
          <w:color w:val="262626"/>
        </w:rPr>
        <w:t>tion</w:t>
      </w:r>
      <w:r>
        <w:rPr>
          <w:rFonts w:ascii="Arial" w:cs="Arial" w:eastAsia="Arial" w:hAnsi="Arial"/>
          <w:sz w:val="19"/>
          <w:szCs w:val="19"/>
          <w:b w:val="1"/>
          <w:bCs w:val="1"/>
          <w:color w:val="111111"/>
        </w:rPr>
        <w:t xml:space="preserve"> </w:t>
      </w:r>
      <w:r>
        <w:rPr>
          <w:rFonts w:ascii="Arial" w:cs="Arial" w:eastAsia="Arial" w:hAnsi="Arial"/>
          <w:sz w:val="17"/>
          <w:szCs w:val="17"/>
          <w:color w:val="111111"/>
        </w:rPr>
        <w:t>l</w:t>
      </w:r>
      <w:r>
        <w:rPr>
          <w:rFonts w:ascii="Arial" w:cs="Arial" w:eastAsia="Arial" w:hAnsi="Arial"/>
          <w:sz w:val="17"/>
          <w:szCs w:val="17"/>
          <w:color w:val="363636"/>
        </w:rPr>
        <w:t>aw,</w:t>
      </w:r>
      <w:r>
        <w:rPr>
          <w:rFonts w:ascii="Arial" w:cs="Arial" w:eastAsia="Arial" w:hAnsi="Arial"/>
          <w:sz w:val="19"/>
          <w:szCs w:val="19"/>
          <w:b w:val="1"/>
          <w:bCs w:val="1"/>
          <w:color w:val="111111"/>
        </w:rPr>
        <w:t xml:space="preserve"> </w:t>
      </w:r>
      <w:r>
        <w:rPr>
          <w:rFonts w:ascii="Arial" w:cs="Arial" w:eastAsia="Arial" w:hAnsi="Arial"/>
          <w:sz w:val="17"/>
          <w:szCs w:val="17"/>
          <w:color w:val="262626"/>
        </w:rPr>
        <w:t>you w</w:t>
      </w:r>
      <w:r>
        <w:rPr>
          <w:rFonts w:ascii="Arial" w:cs="Arial" w:eastAsia="Arial" w:hAnsi="Arial"/>
          <w:sz w:val="17"/>
          <w:szCs w:val="17"/>
          <w:color w:val="363636"/>
        </w:rPr>
        <w:t>i</w:t>
      </w:r>
      <w:r>
        <w:rPr>
          <w:rFonts w:ascii="Arial" w:cs="Arial" w:eastAsia="Arial" w:hAnsi="Arial"/>
          <w:sz w:val="17"/>
          <w:szCs w:val="17"/>
          <w:color w:val="262626"/>
        </w:rPr>
        <w:t>ll b</w:t>
      </w:r>
      <w:r>
        <w:rPr>
          <w:rFonts w:ascii="Arial" w:cs="Arial" w:eastAsia="Arial" w:hAnsi="Arial"/>
          <w:sz w:val="17"/>
          <w:szCs w:val="17"/>
          <w:color w:val="363636"/>
        </w:rPr>
        <w:t>e</w:t>
      </w:r>
      <w:r>
        <w:rPr>
          <w:rFonts w:ascii="Arial" w:cs="Arial" w:eastAsia="Arial" w:hAnsi="Arial"/>
          <w:sz w:val="19"/>
          <w:szCs w:val="19"/>
          <w:b w:val="1"/>
          <w:bCs w:val="1"/>
          <w:color w:val="111111"/>
        </w:rPr>
        <w:t xml:space="preserve"> </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quir</w:t>
      </w:r>
      <w:r>
        <w:rPr>
          <w:rFonts w:ascii="Arial" w:cs="Arial" w:eastAsia="Arial" w:hAnsi="Arial"/>
          <w:sz w:val="17"/>
          <w:szCs w:val="17"/>
          <w:color w:val="363636"/>
        </w:rPr>
        <w:t>e</w:t>
      </w:r>
      <w:r>
        <w:rPr>
          <w:rFonts w:ascii="Arial" w:cs="Arial" w:eastAsia="Arial" w:hAnsi="Arial"/>
          <w:sz w:val="17"/>
          <w:szCs w:val="17"/>
          <w:color w:val="262626"/>
        </w:rPr>
        <w:t>d to</w:t>
      </w:r>
      <w:r>
        <w:rPr>
          <w:rFonts w:ascii="Arial" w:cs="Arial" w:eastAsia="Arial" w:hAnsi="Arial"/>
          <w:sz w:val="19"/>
          <w:szCs w:val="19"/>
          <w:b w:val="1"/>
          <w:bCs w:val="1"/>
          <w:color w:val="111111"/>
        </w:rPr>
        <w:t xml:space="preserve"> </w:t>
      </w:r>
      <w:r>
        <w:rPr>
          <w:rFonts w:ascii="Arial" w:cs="Arial" w:eastAsia="Arial" w:hAnsi="Arial"/>
          <w:sz w:val="17"/>
          <w:szCs w:val="17"/>
          <w:color w:val="363636"/>
        </w:rPr>
        <w:t>p</w:t>
      </w:r>
      <w:r>
        <w:rPr>
          <w:rFonts w:ascii="Arial" w:cs="Arial" w:eastAsia="Arial" w:hAnsi="Arial"/>
          <w:sz w:val="17"/>
          <w:szCs w:val="17"/>
          <w:color w:val="262626"/>
        </w:rPr>
        <w:t>ro</w:t>
      </w:r>
      <w:r>
        <w:rPr>
          <w:rFonts w:ascii="Arial" w:cs="Arial" w:eastAsia="Arial" w:hAnsi="Arial"/>
          <w:sz w:val="17"/>
          <w:szCs w:val="17"/>
          <w:color w:val="363636"/>
        </w:rPr>
        <w:t>vi</w:t>
      </w:r>
      <w:r>
        <w:rPr>
          <w:rFonts w:ascii="Arial" w:cs="Arial" w:eastAsia="Arial" w:hAnsi="Arial"/>
          <w:sz w:val="17"/>
          <w:szCs w:val="17"/>
          <w:color w:val="262626"/>
        </w:rPr>
        <w:t>d</w:t>
      </w:r>
      <w:r>
        <w:rPr>
          <w:rFonts w:ascii="Arial" w:cs="Arial" w:eastAsia="Arial" w:hAnsi="Arial"/>
          <w:sz w:val="17"/>
          <w:szCs w:val="17"/>
          <w:color w:val="363636"/>
        </w:rPr>
        <w:t>e</w:t>
      </w:r>
      <w:r>
        <w:rPr>
          <w:rFonts w:ascii="Arial" w:cs="Arial" w:eastAsia="Arial" w:hAnsi="Arial"/>
          <w:sz w:val="19"/>
          <w:szCs w:val="19"/>
          <w:b w:val="1"/>
          <w:bCs w:val="1"/>
          <w:color w:val="111111"/>
        </w:rPr>
        <w:t xml:space="preserve"> </w:t>
      </w:r>
      <w:r>
        <w:rPr>
          <w:rFonts w:ascii="Arial" w:cs="Arial" w:eastAsia="Arial" w:hAnsi="Arial"/>
          <w:sz w:val="17"/>
          <w:szCs w:val="17"/>
          <w:color w:val="262626"/>
        </w:rPr>
        <w:t>to th</w:t>
      </w:r>
      <w:r>
        <w:rPr>
          <w:rFonts w:ascii="Arial" w:cs="Arial" w:eastAsia="Arial" w:hAnsi="Arial"/>
          <w:sz w:val="17"/>
          <w:szCs w:val="17"/>
          <w:color w:val="363636"/>
        </w:rPr>
        <w:t>e C</w:t>
      </w:r>
      <w:r>
        <w:rPr>
          <w:rFonts w:ascii="Arial" w:cs="Arial" w:eastAsia="Arial" w:hAnsi="Arial"/>
          <w:sz w:val="17"/>
          <w:szCs w:val="17"/>
          <w:color w:val="262626"/>
        </w:rPr>
        <w:t>o</w:t>
      </w:r>
      <w:r>
        <w:rPr>
          <w:rFonts w:ascii="Arial" w:cs="Arial" w:eastAsia="Arial" w:hAnsi="Arial"/>
          <w:sz w:val="17"/>
          <w:szCs w:val="17"/>
          <w:color w:val="363636"/>
        </w:rPr>
        <w:t>m</w:t>
      </w:r>
      <w:r>
        <w:rPr>
          <w:rFonts w:ascii="Arial" w:cs="Arial" w:eastAsia="Arial" w:hAnsi="Arial"/>
          <w:sz w:val="17"/>
          <w:szCs w:val="17"/>
          <w:color w:val="262626"/>
        </w:rPr>
        <w:t>pa</w:t>
      </w:r>
      <w:r>
        <w:rPr>
          <w:rFonts w:ascii="Arial" w:cs="Arial" w:eastAsia="Arial" w:hAnsi="Arial"/>
          <w:sz w:val="17"/>
          <w:szCs w:val="17"/>
          <w:color w:val="363636"/>
        </w:rPr>
        <w:t>ny</w:t>
      </w:r>
      <w:r>
        <w:rPr>
          <w:rFonts w:ascii="Arial" w:cs="Arial" w:eastAsia="Arial" w:hAnsi="Arial"/>
          <w:sz w:val="19"/>
          <w:szCs w:val="19"/>
          <w:b w:val="1"/>
          <w:bCs w:val="1"/>
          <w:color w:val="111111"/>
        </w:rPr>
        <w:t xml:space="preserve"> </w:t>
      </w:r>
      <w:r>
        <w:rPr>
          <w:rFonts w:ascii="Arial" w:cs="Arial" w:eastAsia="Arial" w:hAnsi="Arial"/>
          <w:sz w:val="17"/>
          <w:szCs w:val="17"/>
          <w:color w:val="262626"/>
        </w:rPr>
        <w:t>docu</w:t>
      </w:r>
      <w:r>
        <w:rPr>
          <w:rFonts w:ascii="Arial" w:cs="Arial" w:eastAsia="Arial" w:hAnsi="Arial"/>
          <w:sz w:val="17"/>
          <w:szCs w:val="17"/>
          <w:color w:val="363636"/>
        </w:rPr>
        <w:t>me</w:t>
      </w:r>
      <w:r>
        <w:rPr>
          <w:rFonts w:ascii="Arial" w:cs="Arial" w:eastAsia="Arial" w:hAnsi="Arial"/>
          <w:sz w:val="17"/>
          <w:szCs w:val="17"/>
          <w:color w:val="262626"/>
        </w:rPr>
        <w:t>nta</w:t>
      </w:r>
      <w:r>
        <w:rPr>
          <w:rFonts w:ascii="Arial" w:cs="Arial" w:eastAsia="Arial" w:hAnsi="Arial"/>
          <w:sz w:val="17"/>
          <w:szCs w:val="17"/>
          <w:color w:val="363636"/>
        </w:rPr>
        <w:t>ry ev</w:t>
      </w:r>
      <w:r>
        <w:rPr>
          <w:rFonts w:ascii="Arial" w:cs="Arial" w:eastAsia="Arial" w:hAnsi="Arial"/>
          <w:sz w:val="17"/>
          <w:szCs w:val="17"/>
          <w:color w:val="262626"/>
        </w:rPr>
        <w:t>id</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ce</w:t>
      </w:r>
      <w:r>
        <w:rPr>
          <w:rFonts w:ascii="Arial" w:cs="Arial" w:eastAsia="Arial" w:hAnsi="Arial"/>
          <w:sz w:val="19"/>
          <w:szCs w:val="19"/>
          <w:b w:val="1"/>
          <w:bCs w:val="1"/>
          <w:color w:val="111111"/>
        </w:rPr>
        <w:t xml:space="preserve"> </w:t>
      </w:r>
      <w:r>
        <w:rPr>
          <w:rFonts w:ascii="Arial" w:cs="Arial" w:eastAsia="Arial" w:hAnsi="Arial"/>
          <w:sz w:val="17"/>
          <w:szCs w:val="17"/>
          <w:color w:val="262626"/>
        </w:rPr>
        <w:t>o</w:t>
      </w:r>
      <w:r>
        <w:rPr>
          <w:rFonts w:ascii="Arial" w:cs="Arial" w:eastAsia="Arial" w:hAnsi="Arial"/>
          <w:sz w:val="17"/>
          <w:szCs w:val="17"/>
          <w:color w:val="363636"/>
        </w:rPr>
        <w:t>f y</w:t>
      </w:r>
      <w:r>
        <w:rPr>
          <w:rFonts w:ascii="Arial" w:cs="Arial" w:eastAsia="Arial" w:hAnsi="Arial"/>
          <w:sz w:val="17"/>
          <w:szCs w:val="17"/>
          <w:color w:val="262626"/>
        </w:rPr>
        <w:t>o</w:t>
      </w:r>
      <w:r>
        <w:rPr>
          <w:rFonts w:ascii="Arial" w:cs="Arial" w:eastAsia="Arial" w:hAnsi="Arial"/>
          <w:sz w:val="17"/>
          <w:szCs w:val="17"/>
          <w:color w:val="363636"/>
        </w:rPr>
        <w:t>ur</w:t>
      </w:r>
      <w:r>
        <w:rPr>
          <w:rFonts w:ascii="Arial" w:cs="Arial" w:eastAsia="Arial" w:hAnsi="Arial"/>
          <w:sz w:val="19"/>
          <w:szCs w:val="19"/>
          <w:b w:val="1"/>
          <w:bCs w:val="1"/>
          <w:color w:val="111111"/>
        </w:rPr>
        <w:t xml:space="preserve"> </w:t>
      </w:r>
      <w:r>
        <w:rPr>
          <w:rFonts w:ascii="Arial" w:cs="Arial" w:eastAsia="Arial" w:hAnsi="Arial"/>
          <w:sz w:val="17"/>
          <w:szCs w:val="17"/>
          <w:color w:val="363636"/>
        </w:rPr>
        <w:t>i</w:t>
      </w:r>
      <w:r>
        <w:rPr>
          <w:rFonts w:ascii="Arial" w:cs="Arial" w:eastAsia="Arial" w:hAnsi="Arial"/>
          <w:sz w:val="17"/>
          <w:szCs w:val="17"/>
          <w:color w:val="262626"/>
        </w:rPr>
        <w:t>d</w:t>
      </w:r>
      <w:r>
        <w:rPr>
          <w:rFonts w:ascii="Arial" w:cs="Arial" w:eastAsia="Arial" w:hAnsi="Arial"/>
          <w:sz w:val="17"/>
          <w:szCs w:val="17"/>
          <w:color w:val="363636"/>
        </w:rPr>
        <w:t>en</w:t>
      </w:r>
      <w:r>
        <w:rPr>
          <w:rFonts w:ascii="Arial" w:cs="Arial" w:eastAsia="Arial" w:hAnsi="Arial"/>
          <w:sz w:val="17"/>
          <w:szCs w:val="17"/>
          <w:color w:val="262626"/>
        </w:rPr>
        <w:t>t</w:t>
      </w:r>
      <w:r>
        <w:rPr>
          <w:rFonts w:ascii="Arial" w:cs="Arial" w:eastAsia="Arial" w:hAnsi="Arial"/>
          <w:sz w:val="17"/>
          <w:szCs w:val="17"/>
          <w:color w:val="363636"/>
        </w:rPr>
        <w:t>ity an</w:t>
      </w:r>
      <w:r>
        <w:rPr>
          <w:rFonts w:ascii="Arial" w:cs="Arial" w:eastAsia="Arial" w:hAnsi="Arial"/>
          <w:sz w:val="17"/>
          <w:szCs w:val="17"/>
          <w:color w:val="262626"/>
        </w:rPr>
        <w:t>d</w:t>
      </w:r>
      <w:r>
        <w:rPr>
          <w:rFonts w:ascii="Arial" w:cs="Arial" w:eastAsia="Arial" w:hAnsi="Arial"/>
          <w:sz w:val="17"/>
          <w:szCs w:val="17"/>
          <w:color w:val="363636"/>
        </w:rPr>
        <w:t xml:space="preserve"> elig</w:t>
      </w:r>
      <w:r>
        <w:rPr>
          <w:rFonts w:ascii="Arial" w:cs="Arial" w:eastAsia="Arial" w:hAnsi="Arial"/>
          <w:sz w:val="17"/>
          <w:szCs w:val="17"/>
          <w:color w:val="262626"/>
        </w:rPr>
        <w:t>ib</w:t>
      </w:r>
      <w:r>
        <w:rPr>
          <w:rFonts w:ascii="Arial" w:cs="Arial" w:eastAsia="Arial" w:hAnsi="Arial"/>
          <w:sz w:val="17"/>
          <w:szCs w:val="17"/>
          <w:color w:val="363636"/>
        </w:rPr>
        <w:t>ility for e</w:t>
      </w:r>
      <w:r>
        <w:rPr>
          <w:rFonts w:ascii="Arial" w:cs="Arial" w:eastAsia="Arial" w:hAnsi="Arial"/>
          <w:sz w:val="17"/>
          <w:szCs w:val="17"/>
          <w:color w:val="262626"/>
        </w:rPr>
        <w:t>mp</w:t>
      </w:r>
      <w:r>
        <w:rPr>
          <w:rFonts w:ascii="Arial" w:cs="Arial" w:eastAsia="Arial" w:hAnsi="Arial"/>
          <w:sz w:val="17"/>
          <w:szCs w:val="17"/>
          <w:color w:val="111111"/>
        </w:rPr>
        <w:t>l</w:t>
      </w:r>
      <w:r>
        <w:rPr>
          <w:rFonts w:ascii="Arial" w:cs="Arial" w:eastAsia="Arial" w:hAnsi="Arial"/>
          <w:sz w:val="17"/>
          <w:szCs w:val="17"/>
          <w:color w:val="363636"/>
        </w:rPr>
        <w:t>oy</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 xml:space="preserve">t </w:t>
      </w:r>
      <w:r>
        <w:rPr>
          <w:rFonts w:ascii="Arial" w:cs="Arial" w:eastAsia="Arial" w:hAnsi="Arial"/>
          <w:sz w:val="17"/>
          <w:szCs w:val="17"/>
          <w:color w:val="262626"/>
        </w:rPr>
        <w:t>in</w:t>
      </w:r>
      <w:r>
        <w:rPr>
          <w:rFonts w:ascii="Arial" w:cs="Arial" w:eastAsia="Arial" w:hAnsi="Arial"/>
          <w:sz w:val="17"/>
          <w:szCs w:val="17"/>
          <w:color w:val="363636"/>
        </w:rPr>
        <w:t xml:space="preserve"> t</w:t>
      </w:r>
      <w:r>
        <w:rPr>
          <w:rFonts w:ascii="Arial" w:cs="Arial" w:eastAsia="Arial" w:hAnsi="Arial"/>
          <w:sz w:val="17"/>
          <w:szCs w:val="17"/>
          <w:color w:val="262626"/>
        </w:rPr>
        <w:t>h</w:t>
      </w:r>
      <w:r>
        <w:rPr>
          <w:rFonts w:ascii="Arial" w:cs="Arial" w:eastAsia="Arial" w:hAnsi="Arial"/>
          <w:sz w:val="17"/>
          <w:szCs w:val="17"/>
          <w:color w:val="363636"/>
        </w:rPr>
        <w:t>e U</w:t>
      </w:r>
      <w:r>
        <w:rPr>
          <w:rFonts w:ascii="Arial" w:cs="Arial" w:eastAsia="Arial" w:hAnsi="Arial"/>
          <w:sz w:val="17"/>
          <w:szCs w:val="17"/>
          <w:color w:val="262626"/>
        </w:rPr>
        <w:t>ni</w:t>
      </w:r>
      <w:r>
        <w:rPr>
          <w:rFonts w:ascii="Arial" w:cs="Arial" w:eastAsia="Arial" w:hAnsi="Arial"/>
          <w:sz w:val="17"/>
          <w:szCs w:val="17"/>
          <w:color w:val="363636"/>
        </w:rPr>
        <w:t>te</w:t>
      </w:r>
      <w:r>
        <w:rPr>
          <w:rFonts w:ascii="Arial" w:cs="Arial" w:eastAsia="Arial" w:hAnsi="Arial"/>
          <w:sz w:val="17"/>
          <w:szCs w:val="17"/>
          <w:color w:val="262626"/>
        </w:rPr>
        <w:t>d S</w:t>
      </w:r>
      <w:r>
        <w:rPr>
          <w:rFonts w:ascii="Arial" w:cs="Arial" w:eastAsia="Arial" w:hAnsi="Arial"/>
          <w:sz w:val="17"/>
          <w:szCs w:val="17"/>
          <w:color w:val="363636"/>
        </w:rPr>
        <w:t>tates</w:t>
      </w:r>
      <w:r>
        <w:rPr>
          <w:rFonts w:ascii="Arial" w:cs="Arial" w:eastAsia="Arial" w:hAnsi="Arial"/>
          <w:sz w:val="17"/>
          <w:szCs w:val="17"/>
          <w:color w:val="262626"/>
        </w:rPr>
        <w:t>. Su</w:t>
      </w:r>
      <w:r>
        <w:rPr>
          <w:rFonts w:ascii="Arial" w:cs="Arial" w:eastAsia="Arial" w:hAnsi="Arial"/>
          <w:sz w:val="17"/>
          <w:szCs w:val="17"/>
          <w:color w:val="363636"/>
        </w:rPr>
        <w:t>c</w:t>
      </w:r>
      <w:r>
        <w:rPr>
          <w:rFonts w:ascii="Arial" w:cs="Arial" w:eastAsia="Arial" w:hAnsi="Arial"/>
          <w:sz w:val="17"/>
          <w:szCs w:val="17"/>
          <w:color w:val="262626"/>
        </w:rPr>
        <w:t>h do</w:t>
      </w:r>
      <w:r>
        <w:rPr>
          <w:rFonts w:ascii="Arial" w:cs="Arial" w:eastAsia="Arial" w:hAnsi="Arial"/>
          <w:sz w:val="17"/>
          <w:szCs w:val="17"/>
          <w:color w:val="363636"/>
        </w:rPr>
        <w:t>c</w:t>
      </w:r>
      <w:r>
        <w:rPr>
          <w:rFonts w:ascii="Arial" w:cs="Arial" w:eastAsia="Arial" w:hAnsi="Arial"/>
          <w:sz w:val="17"/>
          <w:szCs w:val="17"/>
          <w:color w:val="262626"/>
        </w:rPr>
        <w:t>um</w:t>
      </w:r>
      <w:r>
        <w:rPr>
          <w:rFonts w:ascii="Arial" w:cs="Arial" w:eastAsia="Arial" w:hAnsi="Arial"/>
          <w:sz w:val="17"/>
          <w:szCs w:val="17"/>
          <w:color w:val="363636"/>
        </w:rPr>
        <w:t>e</w:t>
      </w:r>
      <w:r>
        <w:rPr>
          <w:rFonts w:ascii="Arial" w:cs="Arial" w:eastAsia="Arial" w:hAnsi="Arial"/>
          <w:sz w:val="17"/>
          <w:szCs w:val="17"/>
          <w:color w:val="262626"/>
        </w:rPr>
        <w:t>nt</w:t>
      </w:r>
      <w:r>
        <w:rPr>
          <w:rFonts w:ascii="Arial" w:cs="Arial" w:eastAsia="Arial" w:hAnsi="Arial"/>
          <w:sz w:val="17"/>
          <w:szCs w:val="17"/>
          <w:color w:val="363636"/>
        </w:rPr>
        <w:t>a</w:t>
      </w:r>
      <w:r>
        <w:rPr>
          <w:rFonts w:ascii="Arial" w:cs="Arial" w:eastAsia="Arial" w:hAnsi="Arial"/>
          <w:sz w:val="17"/>
          <w:szCs w:val="17"/>
          <w:color w:val="262626"/>
        </w:rPr>
        <w:t>ti</w:t>
      </w:r>
      <w:r>
        <w:rPr>
          <w:rFonts w:ascii="Arial" w:cs="Arial" w:eastAsia="Arial" w:hAnsi="Arial"/>
          <w:sz w:val="17"/>
          <w:szCs w:val="17"/>
          <w:color w:val="363636"/>
        </w:rPr>
        <w:t>o</w:t>
      </w:r>
      <w:r>
        <w:rPr>
          <w:rFonts w:ascii="Arial" w:cs="Arial" w:eastAsia="Arial" w:hAnsi="Arial"/>
          <w:sz w:val="17"/>
          <w:szCs w:val="17"/>
          <w:color w:val="262626"/>
        </w:rPr>
        <w:t>n mu</w:t>
      </w:r>
      <w:r>
        <w:rPr>
          <w:rFonts w:ascii="Arial" w:cs="Arial" w:eastAsia="Arial" w:hAnsi="Arial"/>
          <w:sz w:val="17"/>
          <w:szCs w:val="17"/>
          <w:color w:val="363636"/>
        </w:rPr>
        <w:t xml:space="preserve">st </w:t>
      </w:r>
      <w:r>
        <w:rPr>
          <w:rFonts w:ascii="Arial" w:cs="Arial" w:eastAsia="Arial" w:hAnsi="Arial"/>
          <w:sz w:val="17"/>
          <w:szCs w:val="17"/>
          <w:color w:val="262626"/>
        </w:rPr>
        <w:t>b</w:t>
      </w:r>
      <w:r>
        <w:rPr>
          <w:rFonts w:ascii="Arial" w:cs="Arial" w:eastAsia="Arial" w:hAnsi="Arial"/>
          <w:sz w:val="17"/>
          <w:szCs w:val="17"/>
          <w:color w:val="363636"/>
        </w:rPr>
        <w:t xml:space="preserve">e </w:t>
      </w:r>
      <w:r>
        <w:rPr>
          <w:rFonts w:ascii="Arial" w:cs="Arial" w:eastAsia="Arial" w:hAnsi="Arial"/>
          <w:sz w:val="17"/>
          <w:szCs w:val="17"/>
          <w:color w:val="262626"/>
        </w:rPr>
        <w:t>pro</w:t>
      </w:r>
      <w:r>
        <w:rPr>
          <w:rFonts w:ascii="Arial" w:cs="Arial" w:eastAsia="Arial" w:hAnsi="Arial"/>
          <w:sz w:val="17"/>
          <w:szCs w:val="17"/>
          <w:color w:val="363636"/>
        </w:rPr>
        <w:t>v</w:t>
      </w:r>
      <w:r>
        <w:rPr>
          <w:rFonts w:ascii="Arial" w:cs="Arial" w:eastAsia="Arial" w:hAnsi="Arial"/>
          <w:sz w:val="17"/>
          <w:szCs w:val="17"/>
          <w:color w:val="111111"/>
        </w:rPr>
        <w:t>i</w:t>
      </w:r>
      <w:r>
        <w:rPr>
          <w:rFonts w:ascii="Arial" w:cs="Arial" w:eastAsia="Arial" w:hAnsi="Arial"/>
          <w:sz w:val="17"/>
          <w:szCs w:val="17"/>
          <w:color w:val="262626"/>
        </w:rPr>
        <w:t>d</w:t>
      </w:r>
      <w:r>
        <w:rPr>
          <w:rFonts w:ascii="Arial" w:cs="Arial" w:eastAsia="Arial" w:hAnsi="Arial"/>
          <w:sz w:val="17"/>
          <w:szCs w:val="17"/>
          <w:color w:val="363636"/>
        </w:rPr>
        <w:t>e</w:t>
      </w:r>
      <w:r>
        <w:rPr>
          <w:rFonts w:ascii="Arial" w:cs="Arial" w:eastAsia="Arial" w:hAnsi="Arial"/>
          <w:sz w:val="17"/>
          <w:szCs w:val="17"/>
          <w:color w:val="262626"/>
        </w:rPr>
        <w:t>d</w:t>
      </w:r>
      <w:r>
        <w:rPr>
          <w:rFonts w:ascii="Arial" w:cs="Arial" w:eastAsia="Arial" w:hAnsi="Arial"/>
          <w:sz w:val="17"/>
          <w:szCs w:val="17"/>
          <w:color w:val="363636"/>
        </w:rPr>
        <w:t xml:space="preserve"> t</w:t>
      </w:r>
      <w:r>
        <w:rPr>
          <w:rFonts w:ascii="Arial" w:cs="Arial" w:eastAsia="Arial" w:hAnsi="Arial"/>
          <w:sz w:val="17"/>
          <w:szCs w:val="17"/>
          <w:color w:val="262626"/>
        </w:rPr>
        <w:t>o u</w:t>
      </w:r>
      <w:r>
        <w:rPr>
          <w:rFonts w:ascii="Arial" w:cs="Arial" w:eastAsia="Arial" w:hAnsi="Arial"/>
          <w:sz w:val="17"/>
          <w:szCs w:val="17"/>
          <w:color w:val="363636"/>
        </w:rPr>
        <w:t>s wi</w:t>
      </w:r>
      <w:r>
        <w:rPr>
          <w:rFonts w:ascii="Arial" w:cs="Arial" w:eastAsia="Arial" w:hAnsi="Arial"/>
          <w:sz w:val="17"/>
          <w:szCs w:val="17"/>
          <w:color w:val="262626"/>
        </w:rPr>
        <w:t>thin</w:t>
      </w:r>
      <w:r>
        <w:rPr>
          <w:rFonts w:ascii="Arial" w:cs="Arial" w:eastAsia="Arial" w:hAnsi="Arial"/>
          <w:sz w:val="17"/>
          <w:szCs w:val="17"/>
          <w:color w:val="363636"/>
        </w:rPr>
        <w:t xml:space="preserve"> t</w:t>
      </w:r>
      <w:r>
        <w:rPr>
          <w:rFonts w:ascii="Arial" w:cs="Arial" w:eastAsia="Arial" w:hAnsi="Arial"/>
          <w:sz w:val="17"/>
          <w:szCs w:val="17"/>
          <w:color w:val="262626"/>
        </w:rPr>
        <w:t>hr</w:t>
      </w:r>
      <w:r>
        <w:rPr>
          <w:rFonts w:ascii="Arial" w:cs="Arial" w:eastAsia="Arial" w:hAnsi="Arial"/>
          <w:sz w:val="17"/>
          <w:szCs w:val="17"/>
          <w:color w:val="363636"/>
        </w:rPr>
        <w:t xml:space="preserve">ee (3) </w:t>
      </w:r>
      <w:r>
        <w:rPr>
          <w:rFonts w:ascii="Arial" w:cs="Arial" w:eastAsia="Arial" w:hAnsi="Arial"/>
          <w:sz w:val="17"/>
          <w:szCs w:val="17"/>
          <w:color w:val="262626"/>
        </w:rPr>
        <w:t>bu</w:t>
      </w:r>
      <w:r>
        <w:rPr>
          <w:rFonts w:ascii="Arial" w:cs="Arial" w:eastAsia="Arial" w:hAnsi="Arial"/>
          <w:sz w:val="17"/>
          <w:szCs w:val="17"/>
          <w:color w:val="363636"/>
        </w:rPr>
        <w:t xml:space="preserve">siness </w:t>
      </w:r>
      <w:r>
        <w:rPr>
          <w:rFonts w:ascii="Arial" w:cs="Arial" w:eastAsia="Arial" w:hAnsi="Arial"/>
          <w:sz w:val="17"/>
          <w:szCs w:val="17"/>
          <w:color w:val="262626"/>
        </w:rPr>
        <w:t>d</w:t>
      </w:r>
      <w:r>
        <w:rPr>
          <w:rFonts w:ascii="Arial" w:cs="Arial" w:eastAsia="Arial" w:hAnsi="Arial"/>
          <w:sz w:val="17"/>
          <w:szCs w:val="17"/>
          <w:color w:val="363636"/>
        </w:rPr>
        <w:t>ays of y</w:t>
      </w:r>
      <w:r>
        <w:rPr>
          <w:rFonts w:ascii="Arial" w:cs="Arial" w:eastAsia="Arial" w:hAnsi="Arial"/>
          <w:sz w:val="17"/>
          <w:szCs w:val="17"/>
          <w:color w:val="262626"/>
        </w:rPr>
        <w:t>our St</w:t>
      </w:r>
      <w:r>
        <w:rPr>
          <w:rFonts w:ascii="Arial" w:cs="Arial" w:eastAsia="Arial" w:hAnsi="Arial"/>
          <w:sz w:val="17"/>
          <w:szCs w:val="17"/>
          <w:color w:val="363636"/>
        </w:rPr>
        <w:t>a</w:t>
      </w:r>
      <w:r>
        <w:rPr>
          <w:rFonts w:ascii="Arial" w:cs="Arial" w:eastAsia="Arial" w:hAnsi="Arial"/>
          <w:sz w:val="17"/>
          <w:szCs w:val="17"/>
          <w:color w:val="262626"/>
        </w:rPr>
        <w:t>rt D</w:t>
      </w:r>
      <w:r>
        <w:rPr>
          <w:rFonts w:ascii="Arial" w:cs="Arial" w:eastAsia="Arial" w:hAnsi="Arial"/>
          <w:sz w:val="17"/>
          <w:szCs w:val="17"/>
          <w:color w:val="363636"/>
        </w:rPr>
        <w:t>a</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545454"/>
        </w:rPr>
        <w:t>,</w:t>
      </w:r>
      <w:r>
        <w:rPr>
          <w:rFonts w:ascii="Arial" w:cs="Arial" w:eastAsia="Arial" w:hAnsi="Arial"/>
          <w:sz w:val="17"/>
          <w:szCs w:val="17"/>
          <w:color w:val="363636"/>
        </w:rPr>
        <w:t xml:space="preserve"> o</w:t>
      </w:r>
      <w:r>
        <w:rPr>
          <w:rFonts w:ascii="Arial" w:cs="Arial" w:eastAsia="Arial" w:hAnsi="Arial"/>
          <w:sz w:val="17"/>
          <w:szCs w:val="17"/>
          <w:color w:val="262626"/>
        </w:rPr>
        <w:t>r</w:t>
      </w:r>
      <w:r>
        <w:rPr>
          <w:rFonts w:ascii="Arial" w:cs="Arial" w:eastAsia="Arial" w:hAnsi="Arial"/>
          <w:sz w:val="17"/>
          <w:szCs w:val="17"/>
          <w:color w:val="363636"/>
        </w:rPr>
        <w:t xml:space="preserve"> o</w:t>
      </w:r>
      <w:r>
        <w:rPr>
          <w:rFonts w:ascii="Arial" w:cs="Arial" w:eastAsia="Arial" w:hAnsi="Arial"/>
          <w:sz w:val="17"/>
          <w:szCs w:val="17"/>
          <w:color w:val="262626"/>
        </w:rPr>
        <w:t>u</w:t>
      </w:r>
      <w:r>
        <w:rPr>
          <w:rFonts w:ascii="Arial" w:cs="Arial" w:eastAsia="Arial" w:hAnsi="Arial"/>
          <w:sz w:val="17"/>
          <w:szCs w:val="17"/>
          <w:color w:val="363636"/>
        </w:rPr>
        <w:t>r e</w:t>
      </w:r>
      <w:r>
        <w:rPr>
          <w:rFonts w:ascii="Arial" w:cs="Arial" w:eastAsia="Arial" w:hAnsi="Arial"/>
          <w:sz w:val="17"/>
          <w:szCs w:val="17"/>
          <w:color w:val="262626"/>
        </w:rPr>
        <w:t>mplo</w:t>
      </w:r>
      <w:r>
        <w:rPr>
          <w:rFonts w:ascii="Arial" w:cs="Arial" w:eastAsia="Arial" w:hAnsi="Arial"/>
          <w:sz w:val="17"/>
          <w:szCs w:val="17"/>
          <w:color w:val="363636"/>
        </w:rPr>
        <w:t>y</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111111"/>
        </w:rPr>
        <w:t>t</w:t>
      </w:r>
      <w:r>
        <w:rPr>
          <w:rFonts w:ascii="Arial" w:cs="Arial" w:eastAsia="Arial" w:hAnsi="Arial"/>
          <w:sz w:val="17"/>
          <w:szCs w:val="17"/>
          <w:color w:val="363636"/>
        </w:rPr>
        <w:t xml:space="preserve"> </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l</w:t>
      </w:r>
      <w:r>
        <w:rPr>
          <w:rFonts w:ascii="Arial" w:cs="Arial" w:eastAsia="Arial" w:hAnsi="Arial"/>
          <w:sz w:val="17"/>
          <w:szCs w:val="17"/>
          <w:color w:val="363636"/>
        </w:rPr>
        <w:t>a</w:t>
      </w:r>
      <w:r>
        <w:rPr>
          <w:rFonts w:ascii="Arial" w:cs="Arial" w:eastAsia="Arial" w:hAnsi="Arial"/>
          <w:sz w:val="17"/>
          <w:szCs w:val="17"/>
          <w:color w:val="262626"/>
        </w:rPr>
        <w:t>t</w:t>
      </w:r>
      <w:r>
        <w:rPr>
          <w:rFonts w:ascii="Arial" w:cs="Arial" w:eastAsia="Arial" w:hAnsi="Arial"/>
          <w:sz w:val="17"/>
          <w:szCs w:val="17"/>
          <w:color w:val="363636"/>
        </w:rPr>
        <w:t>i</w:t>
      </w:r>
      <w:r>
        <w:rPr>
          <w:rFonts w:ascii="Arial" w:cs="Arial" w:eastAsia="Arial" w:hAnsi="Arial"/>
          <w:sz w:val="17"/>
          <w:szCs w:val="17"/>
          <w:color w:val="262626"/>
        </w:rPr>
        <w:t>on</w:t>
      </w:r>
      <w:r>
        <w:rPr>
          <w:rFonts w:ascii="Arial" w:cs="Arial" w:eastAsia="Arial" w:hAnsi="Arial"/>
          <w:sz w:val="17"/>
          <w:szCs w:val="17"/>
          <w:color w:val="363636"/>
        </w:rPr>
        <w:t>s</w:t>
      </w:r>
      <w:r>
        <w:rPr>
          <w:rFonts w:ascii="Arial" w:cs="Arial" w:eastAsia="Arial" w:hAnsi="Arial"/>
          <w:sz w:val="17"/>
          <w:szCs w:val="17"/>
          <w:color w:val="262626"/>
        </w:rPr>
        <w:t>hip</w:t>
      </w:r>
      <w:r>
        <w:rPr>
          <w:rFonts w:ascii="Arial" w:cs="Arial" w:eastAsia="Arial" w:hAnsi="Arial"/>
          <w:sz w:val="17"/>
          <w:szCs w:val="17"/>
          <w:color w:val="363636"/>
        </w:rPr>
        <w:t xml:space="preserve"> w</w:t>
      </w:r>
      <w:r>
        <w:rPr>
          <w:rFonts w:ascii="Arial" w:cs="Arial" w:eastAsia="Arial" w:hAnsi="Arial"/>
          <w:sz w:val="17"/>
          <w:szCs w:val="17"/>
          <w:color w:val="262626"/>
        </w:rPr>
        <w:t>ith</w:t>
      </w:r>
      <w:r>
        <w:rPr>
          <w:rFonts w:ascii="Arial" w:cs="Arial" w:eastAsia="Arial" w:hAnsi="Arial"/>
          <w:sz w:val="17"/>
          <w:szCs w:val="17"/>
          <w:color w:val="363636"/>
        </w:rPr>
        <w:t xml:space="preserve"> y</w:t>
      </w:r>
      <w:r>
        <w:rPr>
          <w:rFonts w:ascii="Arial" w:cs="Arial" w:eastAsia="Arial" w:hAnsi="Arial"/>
          <w:sz w:val="17"/>
          <w:szCs w:val="17"/>
          <w:color w:val="262626"/>
        </w:rPr>
        <w:t>ou</w:t>
      </w:r>
      <w:r>
        <w:rPr>
          <w:rFonts w:ascii="Arial" w:cs="Arial" w:eastAsia="Arial" w:hAnsi="Arial"/>
          <w:sz w:val="17"/>
          <w:szCs w:val="17"/>
          <w:color w:val="363636"/>
        </w:rPr>
        <w:t xml:space="preserve"> may </w:t>
      </w:r>
      <w:r>
        <w:rPr>
          <w:rFonts w:ascii="Arial" w:cs="Arial" w:eastAsia="Arial" w:hAnsi="Arial"/>
          <w:sz w:val="17"/>
          <w:szCs w:val="17"/>
          <w:color w:val="262626"/>
        </w:rPr>
        <w:t>b</w:t>
      </w:r>
      <w:r>
        <w:rPr>
          <w:rFonts w:ascii="Arial" w:cs="Arial" w:eastAsia="Arial" w:hAnsi="Arial"/>
          <w:sz w:val="17"/>
          <w:szCs w:val="17"/>
          <w:color w:val="363636"/>
        </w:rPr>
        <w:t>e te</w:t>
      </w:r>
      <w:r>
        <w:rPr>
          <w:rFonts w:ascii="Arial" w:cs="Arial" w:eastAsia="Arial" w:hAnsi="Arial"/>
          <w:sz w:val="17"/>
          <w:szCs w:val="17"/>
          <w:color w:val="262626"/>
        </w:rPr>
        <w:t>rmin</w:t>
      </w:r>
      <w:r>
        <w:rPr>
          <w:rFonts w:ascii="Arial" w:cs="Arial" w:eastAsia="Arial" w:hAnsi="Arial"/>
          <w:sz w:val="17"/>
          <w:szCs w:val="17"/>
          <w:color w:val="363636"/>
        </w:rPr>
        <w:t>a</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262626"/>
        </w:rPr>
        <w:t>d.</w:t>
      </w:r>
    </w:p>
    <w:p>
      <w:pPr>
        <w:spacing w:after="0" w:line="2" w:lineRule="exact"/>
        <w:rPr>
          <w:rFonts w:ascii="Arial" w:cs="Arial" w:eastAsia="Arial" w:hAnsi="Arial"/>
          <w:sz w:val="18"/>
          <w:szCs w:val="18"/>
          <w:color w:val="363636"/>
        </w:rPr>
      </w:pPr>
    </w:p>
    <w:p>
      <w:pPr>
        <w:ind w:left="283" w:hanging="283"/>
        <w:spacing w:after="0"/>
        <w:tabs>
          <w:tab w:leader="none" w:pos="283" w:val="left"/>
        </w:tabs>
        <w:numPr>
          <w:ilvl w:val="0"/>
          <w:numId w:val="335"/>
        </w:numPr>
        <w:rPr>
          <w:rFonts w:ascii="Arial" w:cs="Arial" w:eastAsia="Arial" w:hAnsi="Arial"/>
          <w:sz w:val="18"/>
          <w:szCs w:val="18"/>
          <w:color w:val="171717"/>
        </w:rPr>
      </w:pPr>
      <w:r>
        <w:rPr>
          <w:rFonts w:ascii="Arial" w:cs="Arial" w:eastAsia="Arial" w:hAnsi="Arial"/>
          <w:sz w:val="19"/>
          <w:szCs w:val="19"/>
          <w:b w:val="1"/>
          <w:bCs w:val="1"/>
          <w:u w:val="single" w:color="auto"/>
          <w:color w:val="262626"/>
        </w:rPr>
        <w:t>S</w:t>
      </w:r>
      <w:r>
        <w:rPr>
          <w:rFonts w:ascii="Arial" w:cs="Arial" w:eastAsia="Arial" w:hAnsi="Arial"/>
          <w:sz w:val="19"/>
          <w:szCs w:val="19"/>
          <w:b w:val="1"/>
          <w:bCs w:val="1"/>
          <w:u w:val="single" w:color="auto"/>
          <w:color w:val="111111"/>
        </w:rPr>
        <w:t>u</w:t>
      </w:r>
      <w:r>
        <w:rPr>
          <w:rFonts w:ascii="Arial" w:cs="Arial" w:eastAsia="Arial" w:hAnsi="Arial"/>
          <w:sz w:val="19"/>
          <w:szCs w:val="19"/>
          <w:b w:val="1"/>
          <w:bCs w:val="1"/>
          <w:u w:val="single" w:color="auto"/>
          <w:color w:val="262626"/>
        </w:rPr>
        <w:t>ccesso</w:t>
      </w:r>
      <w:r>
        <w:rPr>
          <w:rFonts w:ascii="Arial" w:cs="Arial" w:eastAsia="Arial" w:hAnsi="Arial"/>
          <w:sz w:val="19"/>
          <w:szCs w:val="19"/>
          <w:b w:val="1"/>
          <w:bCs w:val="1"/>
          <w:u w:val="single" w:color="auto"/>
          <w:color w:val="111111"/>
        </w:rPr>
        <w:t>r</w:t>
      </w:r>
      <w:r>
        <w:rPr>
          <w:rFonts w:ascii="Arial" w:cs="Arial" w:eastAsia="Arial" w:hAnsi="Arial"/>
          <w:sz w:val="19"/>
          <w:szCs w:val="19"/>
          <w:b w:val="1"/>
          <w:bCs w:val="1"/>
          <w:u w:val="single" w:color="auto"/>
          <w:color w:val="262626"/>
        </w:rPr>
        <w:t>s</w:t>
      </w:r>
      <w:r>
        <w:rPr>
          <w:rFonts w:ascii="Arial" w:cs="Arial" w:eastAsia="Arial" w:hAnsi="Arial"/>
          <w:sz w:val="19"/>
          <w:szCs w:val="19"/>
          <w:b w:val="1"/>
          <w:bCs w:val="1"/>
          <w:color w:val="111111"/>
        </w:rPr>
        <w:t>.</w:t>
      </w:r>
    </w:p>
    <w:p>
      <w:pPr>
        <w:spacing w:after="0" w:line="18" w:lineRule="exact"/>
        <w:rPr>
          <w:rFonts w:ascii="Arial" w:cs="Arial" w:eastAsia="Arial" w:hAnsi="Arial"/>
          <w:sz w:val="18"/>
          <w:szCs w:val="18"/>
          <w:color w:val="171717"/>
        </w:rPr>
      </w:pPr>
    </w:p>
    <w:p>
      <w:pPr>
        <w:ind w:left="1163" w:right="80" w:hanging="286"/>
        <w:spacing w:after="0" w:line="245" w:lineRule="auto"/>
        <w:tabs>
          <w:tab w:leader="none" w:pos="1152" w:val="left"/>
        </w:tabs>
        <w:numPr>
          <w:ilvl w:val="1"/>
          <w:numId w:val="335"/>
        </w:numPr>
        <w:rPr>
          <w:rFonts w:ascii="Arial" w:cs="Arial" w:eastAsia="Arial" w:hAnsi="Arial"/>
          <w:sz w:val="18"/>
          <w:szCs w:val="18"/>
          <w:color w:val="262626"/>
        </w:rPr>
      </w:pPr>
      <w:r>
        <w:rPr>
          <w:rFonts w:ascii="Arial" w:cs="Arial" w:eastAsia="Arial" w:hAnsi="Arial"/>
          <w:sz w:val="19"/>
          <w:szCs w:val="19"/>
          <w:b w:val="1"/>
          <w:bCs w:val="1"/>
          <w:u w:val="single" w:color="auto"/>
          <w:color w:val="262626"/>
        </w:rPr>
        <w:t>C</w:t>
      </w:r>
      <w:r>
        <w:rPr>
          <w:rFonts w:ascii="Arial" w:cs="Arial" w:eastAsia="Arial" w:hAnsi="Arial"/>
          <w:sz w:val="19"/>
          <w:szCs w:val="19"/>
          <w:b w:val="1"/>
          <w:bCs w:val="1"/>
          <w:u w:val="single" w:color="auto"/>
          <w:color w:val="111111"/>
        </w:rPr>
        <w:t>o</w:t>
      </w:r>
      <w:r>
        <w:rPr>
          <w:rFonts w:ascii="Arial" w:cs="Arial" w:eastAsia="Arial" w:hAnsi="Arial"/>
          <w:sz w:val="19"/>
          <w:szCs w:val="19"/>
          <w:b w:val="1"/>
          <w:bCs w:val="1"/>
          <w:u w:val="single" w:color="auto"/>
          <w:color w:val="262626"/>
        </w:rPr>
        <w:t>mpa</w:t>
      </w:r>
      <w:r>
        <w:rPr>
          <w:rFonts w:ascii="Arial" w:cs="Arial" w:eastAsia="Arial" w:hAnsi="Arial"/>
          <w:sz w:val="19"/>
          <w:szCs w:val="19"/>
          <w:b w:val="1"/>
          <w:bCs w:val="1"/>
          <w:u w:val="single" w:color="auto"/>
          <w:color w:val="111111"/>
        </w:rPr>
        <w:t>n</w:t>
      </w:r>
      <w:r>
        <w:rPr>
          <w:rFonts w:ascii="Arial" w:cs="Arial" w:eastAsia="Arial" w:hAnsi="Arial"/>
          <w:sz w:val="19"/>
          <w:szCs w:val="19"/>
          <w:b w:val="1"/>
          <w:bCs w:val="1"/>
          <w:u w:val="single" w:color="auto"/>
          <w:color w:val="262626"/>
        </w:rPr>
        <w:t>y</w:t>
      </w:r>
      <w:r>
        <w:rPr>
          <w:rFonts w:ascii="Arial" w:cs="Arial" w:eastAsia="Arial" w:hAnsi="Arial"/>
          <w:sz w:val="19"/>
          <w:szCs w:val="19"/>
          <w:b w:val="1"/>
          <w:bCs w:val="1"/>
          <w:u w:val="single" w:color="auto"/>
          <w:color w:val="363636"/>
        </w:rPr>
        <w:t>'</w:t>
      </w:r>
      <w:r>
        <w:rPr>
          <w:rFonts w:ascii="Arial" w:cs="Arial" w:eastAsia="Arial" w:hAnsi="Arial"/>
          <w:sz w:val="19"/>
          <w:szCs w:val="19"/>
          <w:b w:val="1"/>
          <w:bCs w:val="1"/>
          <w:u w:val="single" w:color="auto"/>
          <w:color w:val="262626"/>
        </w:rPr>
        <w:t>s S</w:t>
      </w:r>
      <w:r>
        <w:rPr>
          <w:rFonts w:ascii="Arial" w:cs="Arial" w:eastAsia="Arial" w:hAnsi="Arial"/>
          <w:sz w:val="19"/>
          <w:szCs w:val="19"/>
          <w:b w:val="1"/>
          <w:bCs w:val="1"/>
          <w:u w:val="single" w:color="auto"/>
          <w:color w:val="111111"/>
        </w:rPr>
        <w:t>u</w:t>
      </w:r>
      <w:r>
        <w:rPr>
          <w:rFonts w:ascii="Arial" w:cs="Arial" w:eastAsia="Arial" w:hAnsi="Arial"/>
          <w:sz w:val="19"/>
          <w:szCs w:val="19"/>
          <w:b w:val="1"/>
          <w:bCs w:val="1"/>
          <w:u w:val="single" w:color="auto"/>
          <w:color w:val="262626"/>
        </w:rPr>
        <w:t>c</w:t>
      </w:r>
      <w:r>
        <w:rPr>
          <w:rFonts w:ascii="Arial" w:cs="Arial" w:eastAsia="Arial" w:hAnsi="Arial"/>
          <w:sz w:val="19"/>
          <w:szCs w:val="19"/>
          <w:b w:val="1"/>
          <w:bCs w:val="1"/>
          <w:u w:val="single" w:color="auto"/>
          <w:color w:val="111111"/>
        </w:rPr>
        <w:t>c</w:t>
      </w:r>
      <w:r>
        <w:rPr>
          <w:rFonts w:ascii="Arial" w:cs="Arial" w:eastAsia="Arial" w:hAnsi="Arial"/>
          <w:sz w:val="19"/>
          <w:szCs w:val="19"/>
          <w:b w:val="1"/>
          <w:bCs w:val="1"/>
          <w:u w:val="single" w:color="auto"/>
          <w:color w:val="262626"/>
        </w:rPr>
        <w:t>ess</w:t>
      </w:r>
      <w:r>
        <w:rPr>
          <w:rFonts w:ascii="Arial" w:cs="Arial" w:eastAsia="Arial" w:hAnsi="Arial"/>
          <w:sz w:val="19"/>
          <w:szCs w:val="19"/>
          <w:b w:val="1"/>
          <w:bCs w:val="1"/>
          <w:u w:val="single" w:color="auto"/>
          <w:color w:val="111111"/>
        </w:rPr>
        <w:t>o</w:t>
      </w:r>
      <w:r>
        <w:rPr>
          <w:rFonts w:ascii="Arial" w:cs="Arial" w:eastAsia="Arial" w:hAnsi="Arial"/>
          <w:sz w:val="19"/>
          <w:szCs w:val="19"/>
          <w:b w:val="1"/>
          <w:bCs w:val="1"/>
          <w:u w:val="single" w:color="auto"/>
          <w:color w:val="262626"/>
        </w:rPr>
        <w:t>rs</w:t>
      </w:r>
      <w:r>
        <w:rPr>
          <w:rFonts w:ascii="Arial" w:cs="Arial" w:eastAsia="Arial" w:hAnsi="Arial"/>
          <w:sz w:val="19"/>
          <w:szCs w:val="19"/>
          <w:b w:val="1"/>
          <w:bCs w:val="1"/>
          <w:color w:val="111111"/>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w:t>
      </w:r>
      <w:r>
        <w:rPr>
          <w:rFonts w:ascii="Arial" w:cs="Arial" w:eastAsia="Arial" w:hAnsi="Arial"/>
          <w:sz w:val="17"/>
          <w:szCs w:val="17"/>
          <w:color w:val="363636"/>
        </w:rPr>
        <w:t>is</w:t>
      </w:r>
      <w:r>
        <w:rPr>
          <w:rFonts w:ascii="Arial" w:cs="Arial" w:eastAsia="Arial" w:hAnsi="Arial"/>
          <w:sz w:val="19"/>
          <w:szCs w:val="19"/>
          <w:b w:val="1"/>
          <w:bCs w:val="1"/>
          <w:color w:val="262626"/>
        </w:rPr>
        <w:t xml:space="preserve"> </w:t>
      </w:r>
      <w:r>
        <w:rPr>
          <w:rFonts w:ascii="Arial" w:cs="Arial" w:eastAsia="Arial" w:hAnsi="Arial"/>
          <w:sz w:val="17"/>
          <w:szCs w:val="17"/>
          <w:color w:val="262626"/>
        </w:rPr>
        <w:t>Agr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ent 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ll b</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bindin</w:t>
      </w:r>
      <w:r>
        <w:rPr>
          <w:rFonts w:ascii="Arial" w:cs="Arial" w:eastAsia="Arial" w:hAnsi="Arial"/>
          <w:sz w:val="17"/>
          <w:szCs w:val="17"/>
          <w:color w:val="363636"/>
        </w:rPr>
        <w:t>g</w:t>
      </w:r>
      <w:r>
        <w:rPr>
          <w:rFonts w:ascii="Arial" w:cs="Arial" w:eastAsia="Arial" w:hAnsi="Arial"/>
          <w:sz w:val="19"/>
          <w:szCs w:val="19"/>
          <w:b w:val="1"/>
          <w:bCs w:val="1"/>
          <w:color w:val="262626"/>
        </w:rPr>
        <w:t xml:space="preserve"> </w:t>
      </w:r>
      <w:r>
        <w:rPr>
          <w:rFonts w:ascii="Arial" w:cs="Arial" w:eastAsia="Arial" w:hAnsi="Arial"/>
          <w:sz w:val="17"/>
          <w:szCs w:val="17"/>
          <w:color w:val="262626"/>
        </w:rPr>
        <w:t>upon</w:t>
      </w:r>
      <w:r>
        <w:rPr>
          <w:rFonts w:ascii="Arial" w:cs="Arial" w:eastAsia="Arial" w:hAnsi="Arial"/>
          <w:sz w:val="19"/>
          <w:szCs w:val="19"/>
          <w:b w:val="1"/>
          <w:bCs w:val="1"/>
          <w:color w:val="262626"/>
        </w:rPr>
        <w:t xml:space="preserve"> </w:t>
      </w:r>
      <w:r>
        <w:rPr>
          <w:rFonts w:ascii="Arial" w:cs="Arial" w:eastAsia="Arial" w:hAnsi="Arial"/>
          <w:sz w:val="17"/>
          <w:szCs w:val="17"/>
          <w:color w:val="363636"/>
        </w:rPr>
        <w:t>any s</w:t>
      </w:r>
      <w:r>
        <w:rPr>
          <w:rFonts w:ascii="Arial" w:cs="Arial" w:eastAsia="Arial" w:hAnsi="Arial"/>
          <w:sz w:val="17"/>
          <w:szCs w:val="17"/>
          <w:color w:val="262626"/>
        </w:rPr>
        <w:t>u</w:t>
      </w:r>
      <w:r>
        <w:rPr>
          <w:rFonts w:ascii="Arial" w:cs="Arial" w:eastAsia="Arial" w:hAnsi="Arial"/>
          <w:sz w:val="17"/>
          <w:szCs w:val="17"/>
          <w:color w:val="363636"/>
        </w:rPr>
        <w:t>ccess</w:t>
      </w:r>
      <w:r>
        <w:rPr>
          <w:rFonts w:ascii="Arial" w:cs="Arial" w:eastAsia="Arial" w:hAnsi="Arial"/>
          <w:sz w:val="17"/>
          <w:szCs w:val="17"/>
          <w:color w:val="262626"/>
        </w:rPr>
        <w:t>o</w:t>
      </w:r>
      <w:r>
        <w:rPr>
          <w:rFonts w:ascii="Arial" w:cs="Arial" w:eastAsia="Arial" w:hAnsi="Arial"/>
          <w:sz w:val="17"/>
          <w:szCs w:val="17"/>
          <w:color w:val="363636"/>
        </w:rPr>
        <w:t>r (w</w:t>
      </w:r>
      <w:r>
        <w:rPr>
          <w:rFonts w:ascii="Arial" w:cs="Arial" w:eastAsia="Arial" w:hAnsi="Arial"/>
          <w:sz w:val="17"/>
          <w:szCs w:val="17"/>
          <w:color w:val="262626"/>
        </w:rPr>
        <w:t>h</w:t>
      </w:r>
      <w:r>
        <w:rPr>
          <w:rFonts w:ascii="Arial" w:cs="Arial" w:eastAsia="Arial" w:hAnsi="Arial"/>
          <w:sz w:val="17"/>
          <w:szCs w:val="17"/>
          <w:color w:val="363636"/>
        </w:rPr>
        <w:t>et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r dir</w:t>
      </w:r>
      <w:r>
        <w:rPr>
          <w:rFonts w:ascii="Arial" w:cs="Arial" w:eastAsia="Arial" w:hAnsi="Arial"/>
          <w:sz w:val="17"/>
          <w:szCs w:val="17"/>
          <w:color w:val="363636"/>
        </w:rPr>
        <w:t>e</w:t>
      </w:r>
      <w:r>
        <w:rPr>
          <w:rFonts w:ascii="Arial" w:cs="Arial" w:eastAsia="Arial" w:hAnsi="Arial"/>
          <w:sz w:val="17"/>
          <w:szCs w:val="17"/>
          <w:color w:val="262626"/>
        </w:rPr>
        <w:t>c</w:t>
      </w:r>
      <w:r>
        <w:rPr>
          <w:rFonts w:ascii="Arial" w:cs="Arial" w:eastAsia="Arial" w:hAnsi="Arial"/>
          <w:sz w:val="17"/>
          <w:szCs w:val="17"/>
          <w:color w:val="363636"/>
        </w:rPr>
        <w:t>t</w:t>
      </w:r>
      <w:r>
        <w:rPr>
          <w:rFonts w:ascii="Arial" w:cs="Arial" w:eastAsia="Arial" w:hAnsi="Arial"/>
          <w:sz w:val="19"/>
          <w:szCs w:val="19"/>
          <w:b w:val="1"/>
          <w:bCs w:val="1"/>
          <w:color w:val="262626"/>
        </w:rPr>
        <w:t xml:space="preserve"> </w:t>
      </w:r>
      <w:r>
        <w:rPr>
          <w:rFonts w:ascii="Arial" w:cs="Arial" w:eastAsia="Arial" w:hAnsi="Arial"/>
          <w:sz w:val="17"/>
          <w:szCs w:val="17"/>
          <w:color w:val="262626"/>
        </w:rPr>
        <w:t>or indir</w:t>
      </w:r>
      <w:r>
        <w:rPr>
          <w:rFonts w:ascii="Arial" w:cs="Arial" w:eastAsia="Arial" w:hAnsi="Arial"/>
          <w:sz w:val="17"/>
          <w:szCs w:val="17"/>
          <w:color w:val="363636"/>
        </w:rPr>
        <w:t>e</w:t>
      </w:r>
      <w:r>
        <w:rPr>
          <w:rFonts w:ascii="Arial" w:cs="Arial" w:eastAsia="Arial" w:hAnsi="Arial"/>
          <w:sz w:val="17"/>
          <w:szCs w:val="17"/>
          <w:color w:val="262626"/>
        </w:rPr>
        <w:t>ct</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nd</w:t>
      </w:r>
      <w:r>
        <w:rPr>
          <w:rFonts w:ascii="Arial" w:cs="Arial" w:eastAsia="Arial" w:hAnsi="Arial"/>
          <w:sz w:val="19"/>
          <w:szCs w:val="19"/>
          <w:b w:val="1"/>
          <w:bCs w:val="1"/>
          <w:color w:val="262626"/>
        </w:rPr>
        <w:t xml:space="preserve"> </w:t>
      </w:r>
      <w:r>
        <w:rPr>
          <w:rFonts w:ascii="Arial" w:cs="Arial" w:eastAsia="Arial" w:hAnsi="Arial"/>
          <w:sz w:val="17"/>
          <w:szCs w:val="17"/>
          <w:color w:val="363636"/>
        </w:rPr>
        <w:t>w</w:t>
      </w:r>
      <w:r>
        <w:rPr>
          <w:rFonts w:ascii="Arial" w:cs="Arial" w:eastAsia="Arial" w:hAnsi="Arial"/>
          <w:sz w:val="17"/>
          <w:szCs w:val="17"/>
          <w:color w:val="262626"/>
        </w:rPr>
        <w:t>h</w:t>
      </w:r>
      <w:r>
        <w:rPr>
          <w:rFonts w:ascii="Arial" w:cs="Arial" w:eastAsia="Arial" w:hAnsi="Arial"/>
          <w:sz w:val="17"/>
          <w:szCs w:val="17"/>
          <w:color w:val="363636"/>
        </w:rPr>
        <w:t>et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r b</w:t>
      </w:r>
      <w:r>
        <w:rPr>
          <w:rFonts w:ascii="Arial" w:cs="Arial" w:eastAsia="Arial" w:hAnsi="Arial"/>
          <w:sz w:val="17"/>
          <w:szCs w:val="17"/>
          <w:color w:val="363636"/>
        </w:rPr>
        <w:t>y</w:t>
      </w:r>
      <w:r>
        <w:rPr>
          <w:rFonts w:ascii="Arial" w:cs="Arial" w:eastAsia="Arial" w:hAnsi="Arial"/>
          <w:sz w:val="19"/>
          <w:szCs w:val="19"/>
          <w:b w:val="1"/>
          <w:bCs w:val="1"/>
          <w:color w:val="262626"/>
        </w:rPr>
        <w:t xml:space="preserve"> </w:t>
      </w:r>
      <w:r>
        <w:rPr>
          <w:rFonts w:ascii="Arial" w:cs="Arial" w:eastAsia="Arial" w:hAnsi="Arial"/>
          <w:sz w:val="17"/>
          <w:szCs w:val="17"/>
          <w:color w:val="262626"/>
        </w:rPr>
        <w:t>purch</w:t>
      </w:r>
      <w:r>
        <w:rPr>
          <w:rFonts w:ascii="Arial" w:cs="Arial" w:eastAsia="Arial" w:hAnsi="Arial"/>
          <w:sz w:val="17"/>
          <w:szCs w:val="17"/>
          <w:color w:val="363636"/>
        </w:rPr>
        <w:t>ase</w:t>
      </w:r>
      <w:r>
        <w:rPr>
          <w:rFonts w:ascii="Arial" w:cs="Arial" w:eastAsia="Arial" w:hAnsi="Arial"/>
          <w:sz w:val="17"/>
          <w:szCs w:val="17"/>
          <w:color w:val="545454"/>
        </w:rPr>
        <w:t>,</w:t>
      </w:r>
      <w:r>
        <w:rPr>
          <w:rFonts w:ascii="Arial" w:cs="Arial" w:eastAsia="Arial" w:hAnsi="Arial"/>
          <w:sz w:val="19"/>
          <w:szCs w:val="19"/>
          <w:b w:val="1"/>
          <w:bCs w:val="1"/>
          <w:color w:val="262626"/>
        </w:rPr>
        <w:t xml:space="preserve"> </w:t>
      </w:r>
      <w:r>
        <w:rPr>
          <w:rFonts w:ascii="Arial" w:cs="Arial" w:eastAsia="Arial" w:hAnsi="Arial"/>
          <w:sz w:val="17"/>
          <w:szCs w:val="17"/>
          <w:color w:val="262626"/>
        </w:rPr>
        <w:t>l</w:t>
      </w:r>
      <w:r>
        <w:rPr>
          <w:rFonts w:ascii="Arial" w:cs="Arial" w:eastAsia="Arial" w:hAnsi="Arial"/>
          <w:sz w:val="17"/>
          <w:szCs w:val="17"/>
          <w:color w:val="363636"/>
        </w:rPr>
        <w:t>ease,</w:t>
      </w:r>
      <w:r>
        <w:rPr>
          <w:rFonts w:ascii="Arial" w:cs="Arial" w:eastAsia="Arial" w:hAnsi="Arial"/>
          <w:sz w:val="19"/>
          <w:szCs w:val="19"/>
          <w:b w:val="1"/>
          <w:bCs w:val="1"/>
          <w:color w:val="262626"/>
        </w:rPr>
        <w:t xml:space="preserve"> </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ge</w:t>
      </w:r>
      <w:r>
        <w:rPr>
          <w:rFonts w:ascii="Arial" w:cs="Arial" w:eastAsia="Arial" w:hAnsi="Arial"/>
          <w:sz w:val="17"/>
          <w:szCs w:val="17"/>
          <w:color w:val="262626"/>
        </w:rPr>
        <w:t>r</w:t>
      </w:r>
      <w:r>
        <w:rPr>
          <w:rFonts w:ascii="Arial" w:cs="Arial" w:eastAsia="Arial" w:hAnsi="Arial"/>
          <w:sz w:val="17"/>
          <w:szCs w:val="17"/>
          <w:color w:val="545454"/>
        </w:rPr>
        <w:t>,</w:t>
      </w:r>
      <w:r>
        <w:rPr>
          <w:rFonts w:ascii="Arial" w:cs="Arial" w:eastAsia="Arial" w:hAnsi="Arial"/>
          <w:sz w:val="17"/>
          <w:szCs w:val="17"/>
          <w:color w:val="262626"/>
        </w:rPr>
        <w:t xml:space="preserve"> con</w:t>
      </w:r>
      <w:r>
        <w:rPr>
          <w:rFonts w:ascii="Arial" w:cs="Arial" w:eastAsia="Arial" w:hAnsi="Arial"/>
          <w:sz w:val="17"/>
          <w:szCs w:val="17"/>
          <w:color w:val="363636"/>
        </w:rPr>
        <w:t>s</w:t>
      </w:r>
      <w:r>
        <w:rPr>
          <w:rFonts w:ascii="Arial" w:cs="Arial" w:eastAsia="Arial" w:hAnsi="Arial"/>
          <w:sz w:val="17"/>
          <w:szCs w:val="17"/>
          <w:color w:val="262626"/>
        </w:rPr>
        <w:t>ol</w:t>
      </w:r>
      <w:r>
        <w:rPr>
          <w:rFonts w:ascii="Arial" w:cs="Arial" w:eastAsia="Arial" w:hAnsi="Arial"/>
          <w:sz w:val="17"/>
          <w:szCs w:val="17"/>
          <w:color w:val="363636"/>
        </w:rPr>
        <w:t>i</w:t>
      </w:r>
      <w:r>
        <w:rPr>
          <w:rFonts w:ascii="Arial" w:cs="Arial" w:eastAsia="Arial" w:hAnsi="Arial"/>
          <w:sz w:val="17"/>
          <w:szCs w:val="17"/>
          <w:color w:val="262626"/>
        </w:rPr>
        <w:t>d</w:t>
      </w:r>
      <w:r>
        <w:rPr>
          <w:rFonts w:ascii="Arial" w:cs="Arial" w:eastAsia="Arial" w:hAnsi="Arial"/>
          <w:sz w:val="17"/>
          <w:szCs w:val="17"/>
          <w:color w:val="363636"/>
        </w:rPr>
        <w:t>at</w:t>
      </w:r>
      <w:r>
        <w:rPr>
          <w:rFonts w:ascii="Arial" w:cs="Arial" w:eastAsia="Arial" w:hAnsi="Arial"/>
          <w:sz w:val="17"/>
          <w:szCs w:val="17"/>
          <w:color w:val="262626"/>
        </w:rPr>
        <w:t>ion</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111111"/>
        </w:rPr>
        <w:t>l</w:t>
      </w:r>
      <w:r>
        <w:rPr>
          <w:rFonts w:ascii="Arial" w:cs="Arial" w:eastAsia="Arial" w:hAnsi="Arial"/>
          <w:sz w:val="17"/>
          <w:szCs w:val="17"/>
          <w:color w:val="262626"/>
        </w:rPr>
        <w:t>iquidation or oth</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w</w:t>
      </w:r>
      <w:r>
        <w:rPr>
          <w:rFonts w:ascii="Arial" w:cs="Arial" w:eastAsia="Arial" w:hAnsi="Arial"/>
          <w:sz w:val="17"/>
          <w:szCs w:val="17"/>
          <w:color w:val="111111"/>
        </w:rPr>
        <w:t>i</w:t>
      </w:r>
      <w:r>
        <w:rPr>
          <w:rFonts w:ascii="Arial" w:cs="Arial" w:eastAsia="Arial" w:hAnsi="Arial"/>
          <w:sz w:val="17"/>
          <w:szCs w:val="17"/>
          <w:color w:val="363636"/>
        </w:rPr>
        <w:t>se)</w:t>
      </w:r>
      <w:r>
        <w:rPr>
          <w:rFonts w:ascii="Arial" w:cs="Arial" w:eastAsia="Arial" w:hAnsi="Arial"/>
          <w:sz w:val="17"/>
          <w:szCs w:val="17"/>
          <w:color w:val="262626"/>
        </w:rPr>
        <w:t xml:space="preserve"> to </w:t>
      </w:r>
      <w:r>
        <w:rPr>
          <w:rFonts w:ascii="Arial" w:cs="Arial" w:eastAsia="Arial" w:hAnsi="Arial"/>
          <w:sz w:val="17"/>
          <w:szCs w:val="17"/>
          <w:color w:val="363636"/>
        </w:rPr>
        <w:t>a</w:t>
      </w:r>
      <w:r>
        <w:rPr>
          <w:rFonts w:ascii="Arial" w:cs="Arial" w:eastAsia="Arial" w:hAnsi="Arial"/>
          <w:sz w:val="17"/>
          <w:szCs w:val="17"/>
          <w:color w:val="262626"/>
        </w:rPr>
        <w:t xml:space="preserve">ll </w:t>
      </w:r>
      <w:r>
        <w:rPr>
          <w:rFonts w:ascii="Arial" w:cs="Arial" w:eastAsia="Arial" w:hAnsi="Arial"/>
          <w:sz w:val="17"/>
          <w:szCs w:val="17"/>
          <w:color w:val="363636"/>
        </w:rPr>
        <w:t>o</w:t>
      </w:r>
      <w:r>
        <w:rPr>
          <w:rFonts w:ascii="Arial" w:cs="Arial" w:eastAsia="Arial" w:hAnsi="Arial"/>
          <w:sz w:val="17"/>
          <w:szCs w:val="17"/>
          <w:color w:val="262626"/>
        </w:rPr>
        <w:t xml:space="preserve">r </w:t>
      </w:r>
      <w:r>
        <w:rPr>
          <w:rFonts w:ascii="Arial" w:cs="Arial" w:eastAsia="Arial" w:hAnsi="Arial"/>
          <w:sz w:val="17"/>
          <w:szCs w:val="17"/>
          <w:color w:val="363636"/>
        </w:rPr>
        <w:t>s</w:t>
      </w:r>
      <w:r>
        <w:rPr>
          <w:rFonts w:ascii="Arial" w:cs="Arial" w:eastAsia="Arial" w:hAnsi="Arial"/>
          <w:sz w:val="17"/>
          <w:szCs w:val="17"/>
          <w:color w:val="262626"/>
        </w:rPr>
        <w:t>ub</w:t>
      </w:r>
      <w:r>
        <w:rPr>
          <w:rFonts w:ascii="Arial" w:cs="Arial" w:eastAsia="Arial" w:hAnsi="Arial"/>
          <w:sz w:val="17"/>
          <w:szCs w:val="17"/>
          <w:color w:val="363636"/>
        </w:rPr>
        <w:t>s</w:t>
      </w:r>
      <w:r>
        <w:rPr>
          <w:rFonts w:ascii="Arial" w:cs="Arial" w:eastAsia="Arial" w:hAnsi="Arial"/>
          <w:sz w:val="17"/>
          <w:szCs w:val="17"/>
          <w:color w:val="262626"/>
        </w:rPr>
        <w:t>tant</w:t>
      </w:r>
      <w:r>
        <w:rPr>
          <w:rFonts w:ascii="Arial" w:cs="Arial" w:eastAsia="Arial" w:hAnsi="Arial"/>
          <w:sz w:val="17"/>
          <w:szCs w:val="17"/>
          <w:color w:val="363636"/>
        </w:rPr>
        <w:t>i</w:t>
      </w:r>
      <w:r>
        <w:rPr>
          <w:rFonts w:ascii="Arial" w:cs="Arial" w:eastAsia="Arial" w:hAnsi="Arial"/>
          <w:sz w:val="17"/>
          <w:szCs w:val="17"/>
          <w:color w:val="262626"/>
        </w:rPr>
        <w:t>all</w:t>
      </w:r>
      <w:r>
        <w:rPr>
          <w:rFonts w:ascii="Arial" w:cs="Arial" w:eastAsia="Arial" w:hAnsi="Arial"/>
          <w:sz w:val="17"/>
          <w:szCs w:val="17"/>
          <w:color w:val="363636"/>
        </w:rPr>
        <w:t>y a</w:t>
      </w:r>
      <w:r>
        <w:rPr>
          <w:rFonts w:ascii="Arial" w:cs="Arial" w:eastAsia="Arial" w:hAnsi="Arial"/>
          <w:sz w:val="17"/>
          <w:szCs w:val="17"/>
          <w:color w:val="262626"/>
        </w:rPr>
        <w:t>ll o</w:t>
      </w:r>
      <w:r>
        <w:rPr>
          <w:rFonts w:ascii="Arial" w:cs="Arial" w:eastAsia="Arial" w:hAnsi="Arial"/>
          <w:sz w:val="17"/>
          <w:szCs w:val="17"/>
          <w:color w:val="363636"/>
        </w:rPr>
        <w:t>f t</w:t>
      </w:r>
      <w:r>
        <w:rPr>
          <w:rFonts w:ascii="Arial" w:cs="Arial" w:eastAsia="Arial" w:hAnsi="Arial"/>
          <w:sz w:val="17"/>
          <w:szCs w:val="17"/>
          <w:color w:val="262626"/>
        </w:rPr>
        <w:t>h</w:t>
      </w:r>
      <w:r>
        <w:rPr>
          <w:rFonts w:ascii="Arial" w:cs="Arial" w:eastAsia="Arial" w:hAnsi="Arial"/>
          <w:sz w:val="17"/>
          <w:szCs w:val="17"/>
          <w:color w:val="363636"/>
        </w:rPr>
        <w:t>e C</w:t>
      </w:r>
      <w:r>
        <w:rPr>
          <w:rFonts w:ascii="Arial" w:cs="Arial" w:eastAsia="Arial" w:hAnsi="Arial"/>
          <w:sz w:val="17"/>
          <w:szCs w:val="17"/>
          <w:color w:val="262626"/>
        </w:rPr>
        <w:t>omp</w:t>
      </w:r>
      <w:r>
        <w:rPr>
          <w:rFonts w:ascii="Arial" w:cs="Arial" w:eastAsia="Arial" w:hAnsi="Arial"/>
          <w:sz w:val="17"/>
          <w:szCs w:val="17"/>
          <w:color w:val="363636"/>
        </w:rPr>
        <w:t>a</w:t>
      </w:r>
      <w:r>
        <w:rPr>
          <w:rFonts w:ascii="Arial" w:cs="Arial" w:eastAsia="Arial" w:hAnsi="Arial"/>
          <w:sz w:val="17"/>
          <w:szCs w:val="17"/>
          <w:color w:val="262626"/>
        </w:rPr>
        <w:t>ny</w:t>
      </w:r>
      <w:r>
        <w:rPr>
          <w:rFonts w:ascii="Arial" w:cs="Arial" w:eastAsia="Arial" w:hAnsi="Arial"/>
          <w:sz w:val="17"/>
          <w:szCs w:val="17"/>
          <w:color w:val="545454"/>
        </w:rPr>
        <w:t>'</w:t>
      </w:r>
      <w:r>
        <w:rPr>
          <w:rFonts w:ascii="Arial" w:cs="Arial" w:eastAsia="Arial" w:hAnsi="Arial"/>
          <w:sz w:val="17"/>
          <w:szCs w:val="17"/>
          <w:color w:val="363636"/>
        </w:rPr>
        <w:t>s</w:t>
      </w:r>
      <w:r>
        <w:rPr>
          <w:rFonts w:ascii="Arial" w:cs="Arial" w:eastAsia="Arial" w:hAnsi="Arial"/>
          <w:sz w:val="17"/>
          <w:szCs w:val="17"/>
          <w:color w:val="262626"/>
        </w:rPr>
        <w:t xml:space="preserve"> bu</w:t>
      </w:r>
      <w:r>
        <w:rPr>
          <w:rFonts w:ascii="Arial" w:cs="Arial" w:eastAsia="Arial" w:hAnsi="Arial"/>
          <w:sz w:val="17"/>
          <w:szCs w:val="17"/>
          <w:color w:val="363636"/>
        </w:rPr>
        <w:t>si</w:t>
      </w:r>
      <w:r>
        <w:rPr>
          <w:rFonts w:ascii="Arial" w:cs="Arial" w:eastAsia="Arial" w:hAnsi="Arial"/>
          <w:sz w:val="17"/>
          <w:szCs w:val="17"/>
          <w:color w:val="262626"/>
        </w:rPr>
        <w:t>n</w:t>
      </w:r>
      <w:r>
        <w:rPr>
          <w:rFonts w:ascii="Arial" w:cs="Arial" w:eastAsia="Arial" w:hAnsi="Arial"/>
          <w:sz w:val="17"/>
          <w:szCs w:val="17"/>
          <w:color w:val="363636"/>
        </w:rPr>
        <w:t>ess</w:t>
      </w:r>
      <w:r>
        <w:rPr>
          <w:rFonts w:ascii="Arial" w:cs="Arial" w:eastAsia="Arial" w:hAnsi="Arial"/>
          <w:sz w:val="17"/>
          <w:szCs w:val="17"/>
          <w:color w:val="262626"/>
        </w:rPr>
        <w:t xml:space="preserve"> an</w:t>
      </w:r>
      <w:r>
        <w:rPr>
          <w:rFonts w:ascii="Arial" w:cs="Arial" w:eastAsia="Arial" w:hAnsi="Arial"/>
          <w:sz w:val="17"/>
          <w:szCs w:val="17"/>
          <w:color w:val="363636"/>
        </w:rPr>
        <w:t>d/</w:t>
      </w:r>
      <w:r>
        <w:rPr>
          <w:rFonts w:ascii="Arial" w:cs="Arial" w:eastAsia="Arial" w:hAnsi="Arial"/>
          <w:sz w:val="17"/>
          <w:szCs w:val="17"/>
          <w:color w:val="262626"/>
        </w:rPr>
        <w:t>o</w:t>
      </w:r>
      <w:r>
        <w:rPr>
          <w:rFonts w:ascii="Arial" w:cs="Arial" w:eastAsia="Arial" w:hAnsi="Arial"/>
          <w:sz w:val="17"/>
          <w:szCs w:val="17"/>
          <w:color w:val="363636"/>
        </w:rPr>
        <w:t>r asse</w:t>
      </w:r>
      <w:r>
        <w:rPr>
          <w:rFonts w:ascii="Arial" w:cs="Arial" w:eastAsia="Arial" w:hAnsi="Arial"/>
          <w:sz w:val="17"/>
          <w:szCs w:val="17"/>
          <w:color w:val="262626"/>
        </w:rPr>
        <w:t>t</w:t>
      </w:r>
      <w:r>
        <w:rPr>
          <w:rFonts w:ascii="Arial" w:cs="Arial" w:eastAsia="Arial" w:hAnsi="Arial"/>
          <w:sz w:val="17"/>
          <w:szCs w:val="17"/>
          <w:color w:val="363636"/>
        </w:rPr>
        <w:t>s</w:t>
      </w:r>
      <w:r>
        <w:rPr>
          <w:rFonts w:ascii="Arial" w:cs="Arial" w:eastAsia="Arial" w:hAnsi="Arial"/>
          <w:sz w:val="17"/>
          <w:szCs w:val="17"/>
          <w:color w:val="111111"/>
        </w:rPr>
        <w:t>.</w:t>
      </w:r>
      <w:r>
        <w:rPr>
          <w:rFonts w:ascii="Arial" w:cs="Arial" w:eastAsia="Arial" w:hAnsi="Arial"/>
          <w:sz w:val="17"/>
          <w:szCs w:val="17"/>
          <w:color w:val="262626"/>
        </w:rPr>
        <w:t xml:space="preserve"> </w:t>
      </w:r>
      <w:r>
        <w:rPr>
          <w:rFonts w:ascii="Arial" w:cs="Arial" w:eastAsia="Arial" w:hAnsi="Arial"/>
          <w:sz w:val="17"/>
          <w:szCs w:val="17"/>
          <w:color w:val="363636"/>
        </w:rPr>
        <w:t>F</w:t>
      </w:r>
      <w:r>
        <w:rPr>
          <w:rFonts w:ascii="Arial" w:cs="Arial" w:eastAsia="Arial" w:hAnsi="Arial"/>
          <w:sz w:val="17"/>
          <w:szCs w:val="17"/>
          <w:color w:val="262626"/>
        </w:rPr>
        <w:t xml:space="preserve">or </w:t>
      </w:r>
      <w:r>
        <w:rPr>
          <w:rFonts w:ascii="Arial" w:cs="Arial" w:eastAsia="Arial" w:hAnsi="Arial"/>
          <w:sz w:val="17"/>
          <w:szCs w:val="17"/>
          <w:color w:val="363636"/>
        </w:rPr>
        <w:t>a</w:t>
      </w:r>
      <w:r>
        <w:rPr>
          <w:rFonts w:ascii="Arial" w:cs="Arial" w:eastAsia="Arial" w:hAnsi="Arial"/>
          <w:sz w:val="17"/>
          <w:szCs w:val="17"/>
          <w:color w:val="262626"/>
        </w:rPr>
        <w:t>ll purpo</w:t>
      </w:r>
      <w:r>
        <w:rPr>
          <w:rFonts w:ascii="Arial" w:cs="Arial" w:eastAsia="Arial" w:hAnsi="Arial"/>
          <w:sz w:val="17"/>
          <w:szCs w:val="17"/>
          <w:color w:val="363636"/>
        </w:rPr>
        <w:t>ses</w:t>
      </w:r>
      <w:r>
        <w:rPr>
          <w:rFonts w:ascii="Arial" w:cs="Arial" w:eastAsia="Arial" w:hAnsi="Arial"/>
          <w:sz w:val="17"/>
          <w:szCs w:val="17"/>
          <w:color w:val="262626"/>
        </w:rPr>
        <w:t xml:space="preserve"> u</w:t>
      </w:r>
      <w:r>
        <w:rPr>
          <w:rFonts w:ascii="Arial" w:cs="Arial" w:eastAsia="Arial" w:hAnsi="Arial"/>
          <w:sz w:val="17"/>
          <w:szCs w:val="17"/>
          <w:color w:val="363636"/>
        </w:rPr>
        <w:t>n</w:t>
      </w:r>
      <w:r>
        <w:rPr>
          <w:rFonts w:ascii="Arial" w:cs="Arial" w:eastAsia="Arial" w:hAnsi="Arial"/>
          <w:sz w:val="17"/>
          <w:szCs w:val="17"/>
          <w:color w:val="262626"/>
        </w:rPr>
        <w:t>d</w:t>
      </w:r>
      <w:r>
        <w:rPr>
          <w:rFonts w:ascii="Arial" w:cs="Arial" w:eastAsia="Arial" w:hAnsi="Arial"/>
          <w:sz w:val="17"/>
          <w:szCs w:val="17"/>
          <w:color w:val="363636"/>
        </w:rPr>
        <w:t>er</w:t>
      </w:r>
      <w:r>
        <w:rPr>
          <w:rFonts w:ascii="Arial" w:cs="Arial" w:eastAsia="Arial" w:hAnsi="Arial"/>
          <w:sz w:val="17"/>
          <w:szCs w:val="17"/>
          <w:color w:val="262626"/>
        </w:rPr>
        <w:t xml:space="preserve"> thi</w:t>
      </w:r>
      <w:r>
        <w:rPr>
          <w:rFonts w:ascii="Arial" w:cs="Arial" w:eastAsia="Arial" w:hAnsi="Arial"/>
          <w:sz w:val="17"/>
          <w:szCs w:val="17"/>
          <w:color w:val="363636"/>
        </w:rPr>
        <w:t>s</w:t>
      </w:r>
      <w:r>
        <w:rPr>
          <w:rFonts w:ascii="Arial" w:cs="Arial" w:eastAsia="Arial" w:hAnsi="Arial"/>
          <w:sz w:val="17"/>
          <w:szCs w:val="17"/>
          <w:color w:val="262626"/>
        </w:rPr>
        <w:t xml:space="preserve"> Agr</w:t>
      </w:r>
      <w:r>
        <w:rPr>
          <w:rFonts w:ascii="Arial" w:cs="Arial" w:eastAsia="Arial" w:hAnsi="Arial"/>
          <w:sz w:val="17"/>
          <w:szCs w:val="17"/>
          <w:color w:val="363636"/>
        </w:rPr>
        <w:t>eement</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the term</w:t>
      </w:r>
      <w:r>
        <w:rPr>
          <w:rFonts w:ascii="Arial" w:cs="Arial" w:eastAsia="Arial" w:hAnsi="Arial"/>
          <w:sz w:val="17"/>
          <w:szCs w:val="17"/>
          <w:color w:val="262626"/>
        </w:rPr>
        <w:t xml:space="preserve"> </w:t>
      </w:r>
      <w:r>
        <w:rPr>
          <w:rFonts w:ascii="Arial" w:cs="Arial" w:eastAsia="Arial" w:hAnsi="Arial"/>
          <w:sz w:val="17"/>
          <w:szCs w:val="17"/>
          <w:color w:val="545454"/>
        </w:rPr>
        <w:t>"</w:t>
      </w:r>
      <w:r>
        <w:rPr>
          <w:rFonts w:ascii="Arial" w:cs="Arial" w:eastAsia="Arial" w:hAnsi="Arial"/>
          <w:sz w:val="17"/>
          <w:szCs w:val="17"/>
          <w:u w:val="single" w:color="auto"/>
          <w:color w:val="363636"/>
        </w:rPr>
        <w:t>C</w:t>
      </w:r>
      <w:r>
        <w:rPr>
          <w:rFonts w:ascii="Arial" w:cs="Arial" w:eastAsia="Arial" w:hAnsi="Arial"/>
          <w:sz w:val="17"/>
          <w:szCs w:val="17"/>
          <w:u w:val="single" w:color="auto"/>
          <w:color w:val="262626"/>
        </w:rPr>
        <w:t>ompan</w:t>
      </w:r>
      <w:r>
        <w:rPr>
          <w:rFonts w:ascii="Arial" w:cs="Arial" w:eastAsia="Arial" w:hAnsi="Arial"/>
          <w:sz w:val="17"/>
          <w:szCs w:val="17"/>
          <w:u w:val="single" w:color="auto"/>
          <w:color w:val="363636"/>
        </w:rPr>
        <w:t>y</w:t>
      </w:r>
      <w:r>
        <w:rPr>
          <w:rFonts w:ascii="Arial" w:cs="Arial" w:eastAsia="Arial" w:hAnsi="Arial"/>
          <w:sz w:val="17"/>
          <w:szCs w:val="17"/>
          <w:color w:val="363636"/>
        </w:rPr>
        <w:t>" 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 xml:space="preserve">ll </w:t>
      </w:r>
      <w:r>
        <w:rPr>
          <w:rFonts w:ascii="Arial" w:cs="Arial" w:eastAsia="Arial" w:hAnsi="Arial"/>
          <w:sz w:val="17"/>
          <w:szCs w:val="17"/>
          <w:color w:val="363636"/>
        </w:rPr>
        <w:t>in</w:t>
      </w:r>
      <w:r>
        <w:rPr>
          <w:rFonts w:ascii="Arial" w:cs="Arial" w:eastAsia="Arial" w:hAnsi="Arial"/>
          <w:sz w:val="17"/>
          <w:szCs w:val="17"/>
          <w:color w:val="262626"/>
        </w:rPr>
        <w:t>clud</w:t>
      </w:r>
      <w:r>
        <w:rPr>
          <w:rFonts w:ascii="Arial" w:cs="Arial" w:eastAsia="Arial" w:hAnsi="Arial"/>
          <w:sz w:val="17"/>
          <w:szCs w:val="17"/>
          <w:color w:val="363636"/>
        </w:rPr>
        <w:t>e</w:t>
      </w:r>
      <w:r>
        <w:rPr>
          <w:rFonts w:ascii="Arial" w:cs="Arial" w:eastAsia="Arial" w:hAnsi="Arial"/>
          <w:sz w:val="17"/>
          <w:szCs w:val="17"/>
          <w:color w:val="262626"/>
        </w:rPr>
        <w:t xml:space="preserve"> a</w:t>
      </w:r>
      <w:r>
        <w:rPr>
          <w:rFonts w:ascii="Arial" w:cs="Arial" w:eastAsia="Arial" w:hAnsi="Arial"/>
          <w:sz w:val="17"/>
          <w:szCs w:val="17"/>
          <w:color w:val="363636"/>
        </w:rPr>
        <w:t>ny s</w:t>
      </w:r>
      <w:r>
        <w:rPr>
          <w:rFonts w:ascii="Arial" w:cs="Arial" w:eastAsia="Arial" w:hAnsi="Arial"/>
          <w:sz w:val="17"/>
          <w:szCs w:val="17"/>
          <w:color w:val="262626"/>
        </w:rPr>
        <w:t>u</w:t>
      </w:r>
      <w:r>
        <w:rPr>
          <w:rFonts w:ascii="Arial" w:cs="Arial" w:eastAsia="Arial" w:hAnsi="Arial"/>
          <w:sz w:val="17"/>
          <w:szCs w:val="17"/>
          <w:color w:val="363636"/>
        </w:rPr>
        <w:t>ccess</w:t>
      </w:r>
      <w:r>
        <w:rPr>
          <w:rFonts w:ascii="Arial" w:cs="Arial" w:eastAsia="Arial" w:hAnsi="Arial"/>
          <w:sz w:val="17"/>
          <w:szCs w:val="17"/>
          <w:color w:val="262626"/>
        </w:rPr>
        <w:t xml:space="preserve">or </w:t>
      </w:r>
      <w:r>
        <w:rPr>
          <w:rFonts w:ascii="Arial" w:cs="Arial" w:eastAsia="Arial" w:hAnsi="Arial"/>
          <w:sz w:val="17"/>
          <w:szCs w:val="17"/>
          <w:color w:val="363636"/>
        </w:rPr>
        <w:t>t</w:t>
      </w:r>
      <w:r>
        <w:rPr>
          <w:rFonts w:ascii="Arial" w:cs="Arial" w:eastAsia="Arial" w:hAnsi="Arial"/>
          <w:sz w:val="17"/>
          <w:szCs w:val="17"/>
          <w:color w:val="262626"/>
        </w:rPr>
        <w:t>o th</w:t>
      </w:r>
      <w:r>
        <w:rPr>
          <w:rFonts w:ascii="Arial" w:cs="Arial" w:eastAsia="Arial" w:hAnsi="Arial"/>
          <w:sz w:val="17"/>
          <w:szCs w:val="17"/>
          <w:color w:val="363636"/>
        </w:rPr>
        <w:t>e C</w:t>
      </w:r>
      <w:r>
        <w:rPr>
          <w:rFonts w:ascii="Arial" w:cs="Arial" w:eastAsia="Arial" w:hAnsi="Arial"/>
          <w:sz w:val="17"/>
          <w:szCs w:val="17"/>
          <w:color w:val="262626"/>
        </w:rPr>
        <w:t>omp</w:t>
      </w:r>
      <w:r>
        <w:rPr>
          <w:rFonts w:ascii="Arial" w:cs="Arial" w:eastAsia="Arial" w:hAnsi="Arial"/>
          <w:sz w:val="17"/>
          <w:szCs w:val="17"/>
          <w:color w:val="363636"/>
        </w:rPr>
        <w:t>any</w:t>
      </w:r>
      <w:r>
        <w:rPr>
          <w:rFonts w:ascii="Arial" w:cs="Arial" w:eastAsia="Arial" w:hAnsi="Arial"/>
          <w:sz w:val="17"/>
          <w:szCs w:val="17"/>
          <w:color w:val="545454"/>
        </w:rPr>
        <w:t>'</w:t>
      </w:r>
      <w:r>
        <w:rPr>
          <w:rFonts w:ascii="Arial" w:cs="Arial" w:eastAsia="Arial" w:hAnsi="Arial"/>
          <w:sz w:val="17"/>
          <w:szCs w:val="17"/>
          <w:color w:val="363636"/>
        </w:rPr>
        <w:t>s</w:t>
      </w:r>
      <w:r>
        <w:rPr>
          <w:rFonts w:ascii="Arial" w:cs="Arial" w:eastAsia="Arial" w:hAnsi="Arial"/>
          <w:sz w:val="17"/>
          <w:szCs w:val="17"/>
          <w:color w:val="262626"/>
        </w:rPr>
        <w:t xml:space="preserve"> bu</w:t>
      </w:r>
      <w:r>
        <w:rPr>
          <w:rFonts w:ascii="Arial" w:cs="Arial" w:eastAsia="Arial" w:hAnsi="Arial"/>
          <w:sz w:val="17"/>
          <w:szCs w:val="17"/>
          <w:color w:val="363636"/>
        </w:rPr>
        <w:t>s</w:t>
      </w:r>
      <w:r>
        <w:rPr>
          <w:rFonts w:ascii="Arial" w:cs="Arial" w:eastAsia="Arial" w:hAnsi="Arial"/>
          <w:sz w:val="17"/>
          <w:szCs w:val="17"/>
          <w:color w:val="262626"/>
        </w:rPr>
        <w:t>in</w:t>
      </w:r>
      <w:r>
        <w:rPr>
          <w:rFonts w:ascii="Arial" w:cs="Arial" w:eastAsia="Arial" w:hAnsi="Arial"/>
          <w:sz w:val="17"/>
          <w:szCs w:val="17"/>
          <w:color w:val="363636"/>
        </w:rPr>
        <w:t>ess</w:t>
      </w:r>
      <w:r>
        <w:rPr>
          <w:rFonts w:ascii="Arial" w:cs="Arial" w:eastAsia="Arial" w:hAnsi="Arial"/>
          <w:sz w:val="17"/>
          <w:szCs w:val="17"/>
          <w:color w:val="262626"/>
        </w:rPr>
        <w:t xml:space="preserve"> or </w:t>
      </w:r>
      <w:r>
        <w:rPr>
          <w:rFonts w:ascii="Arial" w:cs="Arial" w:eastAsia="Arial" w:hAnsi="Arial"/>
          <w:sz w:val="17"/>
          <w:szCs w:val="17"/>
          <w:color w:val="363636"/>
        </w:rPr>
        <w:t>assets</w:t>
      </w:r>
      <w:r>
        <w:rPr>
          <w:rFonts w:ascii="Arial" w:cs="Arial" w:eastAsia="Arial" w:hAnsi="Arial"/>
          <w:sz w:val="17"/>
          <w:szCs w:val="17"/>
          <w:color w:val="262626"/>
        </w:rPr>
        <w:t xml:space="preserve"> th</w:t>
      </w:r>
      <w:r>
        <w:rPr>
          <w:rFonts w:ascii="Arial" w:cs="Arial" w:eastAsia="Arial" w:hAnsi="Arial"/>
          <w:sz w:val="17"/>
          <w:szCs w:val="17"/>
          <w:color w:val="363636"/>
        </w:rPr>
        <w:t>at</w:t>
      </w:r>
      <w:r>
        <w:rPr>
          <w:rFonts w:ascii="Arial" w:cs="Arial" w:eastAsia="Arial" w:hAnsi="Arial"/>
          <w:sz w:val="17"/>
          <w:szCs w:val="17"/>
          <w:color w:val="262626"/>
        </w:rPr>
        <w:t xml:space="preserve"> b</w:t>
      </w:r>
      <w:r>
        <w:rPr>
          <w:rFonts w:ascii="Arial" w:cs="Arial" w:eastAsia="Arial" w:hAnsi="Arial"/>
          <w:sz w:val="17"/>
          <w:szCs w:val="17"/>
          <w:color w:val="363636"/>
        </w:rPr>
        <w:t>ec</w:t>
      </w:r>
      <w:r>
        <w:rPr>
          <w:rFonts w:ascii="Arial" w:cs="Arial" w:eastAsia="Arial" w:hAnsi="Arial"/>
          <w:sz w:val="17"/>
          <w:szCs w:val="17"/>
          <w:color w:val="262626"/>
        </w:rPr>
        <w:t>om</w:t>
      </w:r>
      <w:r>
        <w:rPr>
          <w:rFonts w:ascii="Arial" w:cs="Arial" w:eastAsia="Arial" w:hAnsi="Arial"/>
          <w:sz w:val="17"/>
          <w:szCs w:val="17"/>
          <w:color w:val="363636"/>
        </w:rPr>
        <w:t>es</w:t>
      </w:r>
      <w:r>
        <w:rPr>
          <w:rFonts w:ascii="Arial" w:cs="Arial" w:eastAsia="Arial" w:hAnsi="Arial"/>
          <w:sz w:val="17"/>
          <w:szCs w:val="17"/>
          <w:color w:val="262626"/>
        </w:rPr>
        <w:t xml:space="preserve"> bound b</w:t>
      </w:r>
      <w:r>
        <w:rPr>
          <w:rFonts w:ascii="Arial" w:cs="Arial" w:eastAsia="Arial" w:hAnsi="Arial"/>
          <w:sz w:val="17"/>
          <w:szCs w:val="17"/>
          <w:color w:val="363636"/>
        </w:rPr>
        <w:t>y this</w:t>
      </w:r>
      <w:r>
        <w:rPr>
          <w:rFonts w:ascii="Arial" w:cs="Arial" w:eastAsia="Arial" w:hAnsi="Arial"/>
          <w:sz w:val="17"/>
          <w:szCs w:val="17"/>
          <w:color w:val="262626"/>
        </w:rPr>
        <w:t xml:space="preserve"> </w:t>
      </w:r>
      <w:r>
        <w:rPr>
          <w:rFonts w:ascii="Arial" w:cs="Arial" w:eastAsia="Arial" w:hAnsi="Arial"/>
          <w:sz w:val="17"/>
          <w:szCs w:val="17"/>
          <w:color w:val="363636"/>
        </w:rPr>
        <w:t>Agree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t</w:t>
      </w:r>
      <w:r>
        <w:rPr>
          <w:rFonts w:ascii="Arial" w:cs="Arial" w:eastAsia="Arial" w:hAnsi="Arial"/>
          <w:sz w:val="17"/>
          <w:szCs w:val="17"/>
          <w:color w:val="262626"/>
        </w:rPr>
        <w:t>.</w:t>
      </w:r>
    </w:p>
    <w:p>
      <w:pPr>
        <w:spacing w:after="0" w:line="1" w:lineRule="exact"/>
        <w:rPr>
          <w:rFonts w:ascii="Arial" w:cs="Arial" w:eastAsia="Arial" w:hAnsi="Arial"/>
          <w:sz w:val="18"/>
          <w:szCs w:val="18"/>
          <w:color w:val="262626"/>
        </w:rPr>
      </w:pPr>
    </w:p>
    <w:p>
      <w:pPr>
        <w:ind w:left="1163" w:right="260" w:hanging="286"/>
        <w:spacing w:after="0"/>
        <w:tabs>
          <w:tab w:leader="none" w:pos="1162" w:val="left"/>
        </w:tabs>
        <w:numPr>
          <w:ilvl w:val="1"/>
          <w:numId w:val="335"/>
        </w:numPr>
        <w:rPr>
          <w:rFonts w:ascii="Arial" w:cs="Arial" w:eastAsia="Arial" w:hAnsi="Arial"/>
          <w:sz w:val="18"/>
          <w:szCs w:val="18"/>
          <w:color w:val="262626"/>
        </w:rPr>
      </w:pPr>
      <w:r>
        <w:rPr>
          <w:rFonts w:ascii="Arial" w:cs="Arial" w:eastAsia="Arial" w:hAnsi="Arial"/>
          <w:sz w:val="19"/>
          <w:szCs w:val="19"/>
          <w:b w:val="1"/>
          <w:bCs w:val="1"/>
          <w:u w:val="single" w:color="auto"/>
          <w:color w:val="262626"/>
        </w:rPr>
        <w:t>Your Success</w:t>
      </w:r>
      <w:r>
        <w:rPr>
          <w:rFonts w:ascii="Arial" w:cs="Arial" w:eastAsia="Arial" w:hAnsi="Arial"/>
          <w:sz w:val="19"/>
          <w:szCs w:val="19"/>
          <w:b w:val="1"/>
          <w:bCs w:val="1"/>
          <w:u w:val="single" w:color="auto"/>
          <w:color w:val="111111"/>
        </w:rPr>
        <w:t>o</w:t>
      </w:r>
      <w:r>
        <w:rPr>
          <w:rFonts w:ascii="Arial" w:cs="Arial" w:eastAsia="Arial" w:hAnsi="Arial"/>
          <w:sz w:val="19"/>
          <w:szCs w:val="19"/>
          <w:b w:val="1"/>
          <w:bCs w:val="1"/>
          <w:u w:val="single" w:color="auto"/>
          <w:color w:val="262626"/>
        </w:rPr>
        <w:t>rs</w:t>
      </w:r>
      <w:r>
        <w:rPr>
          <w:rFonts w:ascii="Arial" w:cs="Arial" w:eastAsia="Arial" w:hAnsi="Arial"/>
          <w:sz w:val="19"/>
          <w:szCs w:val="19"/>
          <w:b w:val="1"/>
          <w:bCs w:val="1"/>
          <w:color w:val="111111"/>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hi</w:t>
      </w:r>
      <w:r>
        <w:rPr>
          <w:rFonts w:ascii="Arial" w:cs="Arial" w:eastAsia="Arial" w:hAnsi="Arial"/>
          <w:sz w:val="17"/>
          <w:szCs w:val="17"/>
          <w:color w:val="363636"/>
        </w:rPr>
        <w:t>s Agreeme</w:t>
      </w:r>
      <w:r>
        <w:rPr>
          <w:rFonts w:ascii="Arial" w:cs="Arial" w:eastAsia="Arial" w:hAnsi="Arial"/>
          <w:sz w:val="17"/>
          <w:szCs w:val="17"/>
          <w:color w:val="262626"/>
        </w:rPr>
        <w:t>n</w:t>
      </w:r>
      <w:r>
        <w:rPr>
          <w:rFonts w:ascii="Arial" w:cs="Arial" w:eastAsia="Arial" w:hAnsi="Arial"/>
          <w:sz w:val="17"/>
          <w:szCs w:val="17"/>
          <w:color w:val="363636"/>
        </w:rPr>
        <w:t>t</w:t>
      </w:r>
      <w:r>
        <w:rPr>
          <w:rFonts w:ascii="Arial" w:cs="Arial" w:eastAsia="Arial" w:hAnsi="Arial"/>
          <w:sz w:val="19"/>
          <w:szCs w:val="19"/>
          <w:b w:val="1"/>
          <w:bCs w:val="1"/>
          <w:color w:val="262626"/>
        </w:rPr>
        <w:t xml:space="preserve"> </w:t>
      </w:r>
      <w:r>
        <w:rPr>
          <w:rFonts w:ascii="Arial" w:cs="Arial" w:eastAsia="Arial" w:hAnsi="Arial"/>
          <w:sz w:val="17"/>
          <w:szCs w:val="17"/>
          <w:color w:val="262626"/>
        </w:rPr>
        <w:t>and</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ll o</w:t>
      </w:r>
      <w:r>
        <w:rPr>
          <w:rFonts w:ascii="Arial" w:cs="Arial" w:eastAsia="Arial" w:hAnsi="Arial"/>
          <w:sz w:val="17"/>
          <w:szCs w:val="17"/>
          <w:color w:val="363636"/>
        </w:rPr>
        <w:t>f your rights</w:t>
      </w:r>
      <w:r>
        <w:rPr>
          <w:rFonts w:ascii="Arial" w:cs="Arial" w:eastAsia="Arial" w:hAnsi="Arial"/>
          <w:sz w:val="19"/>
          <w:szCs w:val="19"/>
          <w:b w:val="1"/>
          <w:bCs w:val="1"/>
          <w:color w:val="262626"/>
        </w:rPr>
        <w:t xml:space="preserve"> </w:t>
      </w:r>
      <w:r>
        <w:rPr>
          <w:rFonts w:ascii="Arial" w:cs="Arial" w:eastAsia="Arial" w:hAnsi="Arial"/>
          <w:sz w:val="17"/>
          <w:szCs w:val="17"/>
          <w:color w:val="262626"/>
        </w:rPr>
        <w:t>h</w:t>
      </w:r>
      <w:r>
        <w:rPr>
          <w:rFonts w:ascii="Arial" w:cs="Arial" w:eastAsia="Arial" w:hAnsi="Arial"/>
          <w:sz w:val="17"/>
          <w:szCs w:val="17"/>
          <w:color w:val="363636"/>
        </w:rPr>
        <w:t>ere</w:t>
      </w:r>
      <w:r>
        <w:rPr>
          <w:rFonts w:ascii="Arial" w:cs="Arial" w:eastAsia="Arial" w:hAnsi="Arial"/>
          <w:sz w:val="17"/>
          <w:szCs w:val="17"/>
          <w:color w:val="262626"/>
        </w:rPr>
        <w:t>und</w:t>
      </w:r>
      <w:r>
        <w:rPr>
          <w:rFonts w:ascii="Arial" w:cs="Arial" w:eastAsia="Arial" w:hAnsi="Arial"/>
          <w:sz w:val="17"/>
          <w:szCs w:val="17"/>
          <w:color w:val="363636"/>
        </w:rPr>
        <w:t>er sha</w:t>
      </w:r>
      <w:r>
        <w:rPr>
          <w:rFonts w:ascii="Arial" w:cs="Arial" w:eastAsia="Arial" w:hAnsi="Arial"/>
          <w:sz w:val="17"/>
          <w:szCs w:val="17"/>
          <w:color w:val="262626"/>
        </w:rPr>
        <w:t>ll i</w:t>
      </w:r>
      <w:r>
        <w:rPr>
          <w:rFonts w:ascii="Arial" w:cs="Arial" w:eastAsia="Arial" w:hAnsi="Arial"/>
          <w:sz w:val="17"/>
          <w:szCs w:val="17"/>
          <w:color w:val="363636"/>
        </w:rPr>
        <w:t>n</w:t>
      </w:r>
      <w:r>
        <w:rPr>
          <w:rFonts w:ascii="Arial" w:cs="Arial" w:eastAsia="Arial" w:hAnsi="Arial"/>
          <w:sz w:val="17"/>
          <w:szCs w:val="17"/>
          <w:color w:val="262626"/>
        </w:rPr>
        <w:t>u</w:t>
      </w:r>
      <w:r>
        <w:rPr>
          <w:rFonts w:ascii="Arial" w:cs="Arial" w:eastAsia="Arial" w:hAnsi="Arial"/>
          <w:sz w:val="17"/>
          <w:szCs w:val="17"/>
          <w:color w:val="363636"/>
        </w:rPr>
        <w:t>re t</w:t>
      </w:r>
      <w:r>
        <w:rPr>
          <w:rFonts w:ascii="Arial" w:cs="Arial" w:eastAsia="Arial" w:hAnsi="Arial"/>
          <w:sz w:val="17"/>
          <w:szCs w:val="17"/>
          <w:color w:val="262626"/>
        </w:rPr>
        <w:t>o</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e</w:t>
      </w:r>
      <w:r>
        <w:rPr>
          <w:rFonts w:ascii="Arial" w:cs="Arial" w:eastAsia="Arial" w:hAnsi="Arial"/>
          <w:sz w:val="17"/>
          <w:szCs w:val="17"/>
          <w:color w:val="262626"/>
        </w:rPr>
        <w:t>fit</w:t>
      </w:r>
      <w:r>
        <w:rPr>
          <w:rFonts w:ascii="Arial" w:cs="Arial" w:eastAsia="Arial" w:hAnsi="Arial"/>
          <w:sz w:val="19"/>
          <w:szCs w:val="19"/>
          <w:b w:val="1"/>
          <w:bCs w:val="1"/>
          <w:color w:val="262626"/>
        </w:rPr>
        <w:t xml:space="preserve"> </w:t>
      </w:r>
      <w:r>
        <w:rPr>
          <w:rFonts w:ascii="Arial" w:cs="Arial" w:eastAsia="Arial" w:hAnsi="Arial"/>
          <w:sz w:val="17"/>
          <w:szCs w:val="17"/>
          <w:color w:val="363636"/>
        </w:rPr>
        <w:t>o</w:t>
      </w:r>
      <w:r>
        <w:rPr>
          <w:rFonts w:ascii="Arial" w:cs="Arial" w:eastAsia="Arial" w:hAnsi="Arial"/>
          <w:sz w:val="17"/>
          <w:szCs w:val="17"/>
          <w:color w:val="262626"/>
        </w:rPr>
        <w:t>f</w:t>
      </w:r>
      <w:r>
        <w:rPr>
          <w:rFonts w:ascii="Arial" w:cs="Arial" w:eastAsia="Arial" w:hAnsi="Arial"/>
          <w:sz w:val="17"/>
          <w:szCs w:val="17"/>
          <w:color w:val="545454"/>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nd b</w:t>
      </w:r>
      <w:r>
        <w:rPr>
          <w:rFonts w:ascii="Arial" w:cs="Arial" w:eastAsia="Arial" w:hAnsi="Arial"/>
          <w:sz w:val="17"/>
          <w:szCs w:val="17"/>
          <w:color w:val="363636"/>
        </w:rPr>
        <w:t>e e</w:t>
      </w:r>
      <w:r>
        <w:rPr>
          <w:rFonts w:ascii="Arial" w:cs="Arial" w:eastAsia="Arial" w:hAnsi="Arial"/>
          <w:sz w:val="17"/>
          <w:szCs w:val="17"/>
          <w:color w:val="262626"/>
        </w:rPr>
        <w:t>n</w:t>
      </w:r>
      <w:r>
        <w:rPr>
          <w:rFonts w:ascii="Arial" w:cs="Arial" w:eastAsia="Arial" w:hAnsi="Arial"/>
          <w:sz w:val="17"/>
          <w:szCs w:val="17"/>
          <w:color w:val="363636"/>
        </w:rPr>
        <w:t>fo</w:t>
      </w:r>
      <w:r>
        <w:rPr>
          <w:rFonts w:ascii="Arial" w:cs="Arial" w:eastAsia="Arial" w:hAnsi="Arial"/>
          <w:sz w:val="17"/>
          <w:szCs w:val="17"/>
          <w:color w:val="111111"/>
        </w:rPr>
        <w:t>r</w:t>
      </w:r>
      <w:r>
        <w:rPr>
          <w:rFonts w:ascii="Arial" w:cs="Arial" w:eastAsia="Arial" w:hAnsi="Arial"/>
          <w:sz w:val="17"/>
          <w:szCs w:val="17"/>
          <w:color w:val="363636"/>
        </w:rPr>
        <w:t>cea</w:t>
      </w:r>
      <w:r>
        <w:rPr>
          <w:rFonts w:ascii="Arial" w:cs="Arial" w:eastAsia="Arial" w:hAnsi="Arial"/>
          <w:sz w:val="17"/>
          <w:szCs w:val="17"/>
          <w:color w:val="262626"/>
        </w:rPr>
        <w:t>bl</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y, yo</w:t>
      </w:r>
      <w:r>
        <w:rPr>
          <w:rFonts w:ascii="Arial" w:cs="Arial" w:eastAsia="Arial" w:hAnsi="Arial"/>
          <w:sz w:val="17"/>
          <w:szCs w:val="17"/>
          <w:color w:val="262626"/>
        </w:rPr>
        <w:t>ur p</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so</w:t>
      </w:r>
      <w:r>
        <w:rPr>
          <w:rFonts w:ascii="Arial" w:cs="Arial" w:eastAsia="Arial" w:hAnsi="Arial"/>
          <w:sz w:val="17"/>
          <w:szCs w:val="17"/>
          <w:color w:val="262626"/>
        </w:rPr>
        <w:t>n</w:t>
      </w:r>
      <w:r>
        <w:rPr>
          <w:rFonts w:ascii="Arial" w:cs="Arial" w:eastAsia="Arial" w:hAnsi="Arial"/>
          <w:sz w:val="17"/>
          <w:szCs w:val="17"/>
          <w:color w:val="363636"/>
        </w:rPr>
        <w:t>a</w:t>
      </w:r>
      <w:r>
        <w:rPr>
          <w:rFonts w:ascii="Arial" w:cs="Arial" w:eastAsia="Arial" w:hAnsi="Arial"/>
          <w:sz w:val="17"/>
          <w:szCs w:val="17"/>
          <w:color w:val="262626"/>
        </w:rPr>
        <w:t>l</w:t>
      </w:r>
      <w:r>
        <w:rPr>
          <w:rFonts w:ascii="Arial" w:cs="Arial" w:eastAsia="Arial" w:hAnsi="Arial"/>
          <w:sz w:val="19"/>
          <w:szCs w:val="19"/>
          <w:b w:val="1"/>
          <w:bCs w:val="1"/>
          <w:color w:val="262626"/>
        </w:rPr>
        <w:t xml:space="preserve"> </w:t>
      </w:r>
      <w:r>
        <w:rPr>
          <w:rFonts w:ascii="Arial" w:cs="Arial" w:eastAsia="Arial" w:hAnsi="Arial"/>
          <w:sz w:val="17"/>
          <w:szCs w:val="17"/>
          <w:color w:val="363636"/>
        </w:rPr>
        <w:t>o</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262626"/>
        </w:rPr>
        <w:t>l</w:t>
      </w:r>
      <w:r>
        <w:rPr>
          <w:rFonts w:ascii="Arial" w:cs="Arial" w:eastAsia="Arial" w:hAnsi="Arial"/>
          <w:sz w:val="17"/>
          <w:szCs w:val="17"/>
          <w:color w:val="363636"/>
        </w:rPr>
        <w:t>ega</w:t>
      </w:r>
      <w:r>
        <w:rPr>
          <w:rFonts w:ascii="Arial" w:cs="Arial" w:eastAsia="Arial" w:hAnsi="Arial"/>
          <w:sz w:val="17"/>
          <w:szCs w:val="17"/>
          <w:color w:val="262626"/>
        </w:rPr>
        <w:t>l r</w:t>
      </w:r>
      <w:r>
        <w:rPr>
          <w:rFonts w:ascii="Arial" w:cs="Arial" w:eastAsia="Arial" w:hAnsi="Arial"/>
          <w:sz w:val="17"/>
          <w:szCs w:val="17"/>
          <w:color w:val="363636"/>
        </w:rPr>
        <w:t>e</w:t>
      </w:r>
      <w:r>
        <w:rPr>
          <w:rFonts w:ascii="Arial" w:cs="Arial" w:eastAsia="Arial" w:hAnsi="Arial"/>
          <w:sz w:val="17"/>
          <w:szCs w:val="17"/>
          <w:color w:val="262626"/>
        </w:rPr>
        <w:t>pr</w:t>
      </w:r>
      <w:r>
        <w:rPr>
          <w:rFonts w:ascii="Arial" w:cs="Arial" w:eastAsia="Arial" w:hAnsi="Arial"/>
          <w:sz w:val="17"/>
          <w:szCs w:val="17"/>
          <w:color w:val="363636"/>
        </w:rPr>
        <w:t>ese</w:t>
      </w:r>
      <w:r>
        <w:rPr>
          <w:rFonts w:ascii="Arial" w:cs="Arial" w:eastAsia="Arial" w:hAnsi="Arial"/>
          <w:sz w:val="17"/>
          <w:szCs w:val="17"/>
          <w:color w:val="262626"/>
        </w:rPr>
        <w:t>n</w:t>
      </w:r>
      <w:r>
        <w:rPr>
          <w:rFonts w:ascii="Arial" w:cs="Arial" w:eastAsia="Arial" w:hAnsi="Arial"/>
          <w:sz w:val="17"/>
          <w:szCs w:val="17"/>
          <w:color w:val="363636"/>
        </w:rPr>
        <w:t>tat</w:t>
      </w:r>
      <w:r>
        <w:rPr>
          <w:rFonts w:ascii="Arial" w:cs="Arial" w:eastAsia="Arial" w:hAnsi="Arial"/>
          <w:sz w:val="17"/>
          <w:szCs w:val="17"/>
          <w:color w:val="111111"/>
        </w:rPr>
        <w:t>i</w:t>
      </w:r>
      <w:r>
        <w:rPr>
          <w:rFonts w:ascii="Arial" w:cs="Arial" w:eastAsia="Arial" w:hAnsi="Arial"/>
          <w:sz w:val="17"/>
          <w:szCs w:val="17"/>
          <w:color w:val="363636"/>
        </w:rPr>
        <w:t>ves</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exec</w:t>
      </w:r>
      <w:r>
        <w:rPr>
          <w:rFonts w:ascii="Arial" w:cs="Arial" w:eastAsia="Arial" w:hAnsi="Arial"/>
          <w:sz w:val="17"/>
          <w:szCs w:val="17"/>
          <w:color w:val="262626"/>
        </w:rPr>
        <w:t>u</w:t>
      </w:r>
      <w:r>
        <w:rPr>
          <w:rFonts w:ascii="Arial" w:cs="Arial" w:eastAsia="Arial" w:hAnsi="Arial"/>
          <w:sz w:val="17"/>
          <w:szCs w:val="17"/>
          <w:color w:val="363636"/>
        </w:rPr>
        <w:t>to</w:t>
      </w:r>
      <w:r>
        <w:rPr>
          <w:rFonts w:ascii="Arial" w:cs="Arial" w:eastAsia="Arial" w:hAnsi="Arial"/>
          <w:sz w:val="17"/>
          <w:szCs w:val="17"/>
          <w:color w:val="262626"/>
        </w:rPr>
        <w:t>r</w:t>
      </w:r>
      <w:r>
        <w:rPr>
          <w:rFonts w:ascii="Arial" w:cs="Arial" w:eastAsia="Arial" w:hAnsi="Arial"/>
          <w:sz w:val="17"/>
          <w:szCs w:val="17"/>
          <w:color w:val="363636"/>
        </w:rPr>
        <w:t>s</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dmin</w:t>
      </w:r>
      <w:r>
        <w:rPr>
          <w:rFonts w:ascii="Arial" w:cs="Arial" w:eastAsia="Arial" w:hAnsi="Arial"/>
          <w:sz w:val="17"/>
          <w:szCs w:val="17"/>
          <w:color w:val="363636"/>
        </w:rPr>
        <w:t>istra</w:t>
      </w:r>
      <w:r>
        <w:rPr>
          <w:rFonts w:ascii="Arial" w:cs="Arial" w:eastAsia="Arial" w:hAnsi="Arial"/>
          <w:sz w:val="17"/>
          <w:szCs w:val="17"/>
          <w:color w:val="262626"/>
        </w:rPr>
        <w:t>to</w:t>
      </w:r>
      <w:r>
        <w:rPr>
          <w:rFonts w:ascii="Arial" w:cs="Arial" w:eastAsia="Arial" w:hAnsi="Arial"/>
          <w:sz w:val="17"/>
          <w:szCs w:val="17"/>
          <w:color w:val="363636"/>
        </w:rPr>
        <w:t>rs</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success</w:t>
      </w:r>
      <w:r>
        <w:rPr>
          <w:rFonts w:ascii="Arial" w:cs="Arial" w:eastAsia="Arial" w:hAnsi="Arial"/>
          <w:sz w:val="17"/>
          <w:szCs w:val="17"/>
          <w:color w:val="262626"/>
        </w:rPr>
        <w:t>o</w:t>
      </w:r>
      <w:r>
        <w:rPr>
          <w:rFonts w:ascii="Arial" w:cs="Arial" w:eastAsia="Arial" w:hAnsi="Arial"/>
          <w:sz w:val="17"/>
          <w:szCs w:val="17"/>
          <w:color w:val="363636"/>
        </w:rPr>
        <w:t>rs</w:t>
      </w:r>
      <w:r>
        <w:rPr>
          <w:rFonts w:ascii="Arial" w:cs="Arial" w:eastAsia="Arial" w:hAnsi="Arial"/>
          <w:sz w:val="17"/>
          <w:szCs w:val="17"/>
          <w:color w:val="545454"/>
        </w:rPr>
        <w:t>,</w:t>
      </w:r>
      <w:r>
        <w:rPr>
          <w:rFonts w:ascii="Arial" w:cs="Arial" w:eastAsia="Arial" w:hAnsi="Arial"/>
          <w:sz w:val="17"/>
          <w:szCs w:val="17"/>
          <w:color w:val="262626"/>
        </w:rPr>
        <w:t xml:space="preserve"> h</w:t>
      </w:r>
      <w:r>
        <w:rPr>
          <w:rFonts w:ascii="Arial" w:cs="Arial" w:eastAsia="Arial" w:hAnsi="Arial"/>
          <w:sz w:val="17"/>
          <w:szCs w:val="17"/>
          <w:color w:val="363636"/>
        </w:rPr>
        <w:t>eirs</w:t>
      </w:r>
      <w:r>
        <w:rPr>
          <w:rFonts w:ascii="Arial" w:cs="Arial" w:eastAsia="Arial" w:hAnsi="Arial"/>
          <w:sz w:val="17"/>
          <w:szCs w:val="17"/>
          <w:color w:val="545454"/>
        </w:rPr>
        <w:t>,</w:t>
      </w:r>
      <w:r>
        <w:rPr>
          <w:rFonts w:ascii="Arial" w:cs="Arial" w:eastAsia="Arial" w:hAnsi="Arial"/>
          <w:sz w:val="17"/>
          <w:szCs w:val="17"/>
          <w:color w:val="262626"/>
        </w:rPr>
        <w:t xml:space="preserve"> d</w:t>
      </w:r>
      <w:r>
        <w:rPr>
          <w:rFonts w:ascii="Arial" w:cs="Arial" w:eastAsia="Arial" w:hAnsi="Arial"/>
          <w:sz w:val="17"/>
          <w:szCs w:val="17"/>
          <w:color w:val="363636"/>
        </w:rPr>
        <w:t>istri</w:t>
      </w:r>
      <w:r>
        <w:rPr>
          <w:rFonts w:ascii="Arial" w:cs="Arial" w:eastAsia="Arial" w:hAnsi="Arial"/>
          <w:sz w:val="17"/>
          <w:szCs w:val="17"/>
          <w:color w:val="262626"/>
        </w:rPr>
        <w:t>bu</w:t>
      </w:r>
      <w:r>
        <w:rPr>
          <w:rFonts w:ascii="Arial" w:cs="Arial" w:eastAsia="Arial" w:hAnsi="Arial"/>
          <w:sz w:val="17"/>
          <w:szCs w:val="17"/>
          <w:color w:val="363636"/>
        </w:rPr>
        <w:t>tees</w:t>
      </w:r>
      <w:r>
        <w:rPr>
          <w:rFonts w:ascii="Arial" w:cs="Arial" w:eastAsia="Arial" w:hAnsi="Arial"/>
          <w:sz w:val="17"/>
          <w:szCs w:val="17"/>
          <w:color w:val="545454"/>
        </w:rPr>
        <w:t>,</w:t>
      </w:r>
      <w:r>
        <w:rPr>
          <w:rFonts w:ascii="Arial" w:cs="Arial" w:eastAsia="Arial" w:hAnsi="Arial"/>
          <w:sz w:val="17"/>
          <w:szCs w:val="17"/>
          <w:color w:val="262626"/>
        </w:rPr>
        <w:t xml:space="preserve"> d</w:t>
      </w:r>
      <w:r>
        <w:rPr>
          <w:rFonts w:ascii="Arial" w:cs="Arial" w:eastAsia="Arial" w:hAnsi="Arial"/>
          <w:sz w:val="17"/>
          <w:szCs w:val="17"/>
          <w:color w:val="363636"/>
        </w:rPr>
        <w:t>evisees an</w:t>
      </w:r>
      <w:r>
        <w:rPr>
          <w:rFonts w:ascii="Arial" w:cs="Arial" w:eastAsia="Arial" w:hAnsi="Arial"/>
          <w:sz w:val="17"/>
          <w:szCs w:val="17"/>
          <w:color w:val="262626"/>
        </w:rPr>
        <w:t>d l</w:t>
      </w:r>
      <w:r>
        <w:rPr>
          <w:rFonts w:ascii="Arial" w:cs="Arial" w:eastAsia="Arial" w:hAnsi="Arial"/>
          <w:sz w:val="17"/>
          <w:szCs w:val="17"/>
          <w:color w:val="363636"/>
        </w:rPr>
        <w:t>ega</w:t>
      </w:r>
      <w:r>
        <w:rPr>
          <w:rFonts w:ascii="Arial" w:cs="Arial" w:eastAsia="Arial" w:hAnsi="Arial"/>
          <w:sz w:val="17"/>
          <w:szCs w:val="17"/>
          <w:color w:val="262626"/>
        </w:rPr>
        <w:t>t</w:t>
      </w:r>
      <w:r>
        <w:rPr>
          <w:rFonts w:ascii="Arial" w:cs="Arial" w:eastAsia="Arial" w:hAnsi="Arial"/>
          <w:sz w:val="17"/>
          <w:szCs w:val="17"/>
          <w:color w:val="363636"/>
        </w:rPr>
        <w:t>ees</w:t>
      </w:r>
      <w:r>
        <w:rPr>
          <w:rFonts w:ascii="Arial" w:cs="Arial" w:eastAsia="Arial" w:hAnsi="Arial"/>
          <w:sz w:val="17"/>
          <w:szCs w:val="17"/>
          <w:color w:val="545454"/>
        </w:rPr>
        <w:t>.</w:t>
      </w:r>
    </w:p>
    <w:p>
      <w:pPr>
        <w:spacing w:after="0" w:line="1" w:lineRule="exact"/>
        <w:rPr>
          <w:rFonts w:ascii="Arial" w:cs="Arial" w:eastAsia="Arial" w:hAnsi="Arial"/>
          <w:sz w:val="18"/>
          <w:szCs w:val="18"/>
          <w:color w:val="262626"/>
        </w:rPr>
      </w:pPr>
    </w:p>
    <w:p>
      <w:pPr>
        <w:ind w:left="283" w:hanging="283"/>
        <w:spacing w:after="0"/>
        <w:tabs>
          <w:tab w:leader="none" w:pos="283" w:val="left"/>
        </w:tabs>
        <w:numPr>
          <w:ilvl w:val="0"/>
          <w:numId w:val="335"/>
        </w:numPr>
        <w:rPr>
          <w:rFonts w:ascii="Arial" w:cs="Arial" w:eastAsia="Arial" w:hAnsi="Arial"/>
          <w:sz w:val="19"/>
          <w:szCs w:val="19"/>
          <w:b w:val="1"/>
          <w:bCs w:val="1"/>
          <w:color w:val="111111"/>
        </w:rPr>
      </w:pPr>
      <w:r>
        <w:rPr>
          <w:rFonts w:ascii="Arial" w:cs="Arial" w:eastAsia="Arial" w:hAnsi="Arial"/>
          <w:sz w:val="19"/>
          <w:szCs w:val="19"/>
          <w:b w:val="1"/>
          <w:bCs w:val="1"/>
          <w:u w:val="single" w:color="auto"/>
          <w:color w:val="262626"/>
        </w:rPr>
        <w:t>M</w:t>
      </w:r>
      <w:r>
        <w:rPr>
          <w:rFonts w:ascii="Arial" w:cs="Arial" w:eastAsia="Arial" w:hAnsi="Arial"/>
          <w:sz w:val="19"/>
          <w:szCs w:val="19"/>
          <w:b w:val="1"/>
          <w:bCs w:val="1"/>
          <w:u w:val="single" w:color="auto"/>
          <w:color w:val="111111"/>
        </w:rPr>
        <w:t>i</w:t>
      </w:r>
      <w:r>
        <w:rPr>
          <w:rFonts w:ascii="Arial" w:cs="Arial" w:eastAsia="Arial" w:hAnsi="Arial"/>
          <w:sz w:val="19"/>
          <w:szCs w:val="19"/>
          <w:b w:val="1"/>
          <w:bCs w:val="1"/>
          <w:u w:val="single" w:color="auto"/>
          <w:color w:val="262626"/>
        </w:rPr>
        <w:t>sce</w:t>
      </w:r>
      <w:r>
        <w:rPr>
          <w:rFonts w:ascii="Arial" w:cs="Arial" w:eastAsia="Arial" w:hAnsi="Arial"/>
          <w:sz w:val="19"/>
          <w:szCs w:val="19"/>
          <w:b w:val="1"/>
          <w:bCs w:val="1"/>
          <w:u w:val="single" w:color="auto"/>
          <w:color w:val="111111"/>
        </w:rPr>
        <w:t>ll</w:t>
      </w:r>
      <w:r>
        <w:rPr>
          <w:rFonts w:ascii="Arial" w:cs="Arial" w:eastAsia="Arial" w:hAnsi="Arial"/>
          <w:sz w:val="19"/>
          <w:szCs w:val="19"/>
          <w:b w:val="1"/>
          <w:bCs w:val="1"/>
          <w:u w:val="single" w:color="auto"/>
          <w:color w:val="262626"/>
        </w:rPr>
        <w:t>a</w:t>
      </w:r>
      <w:r>
        <w:rPr>
          <w:rFonts w:ascii="Arial" w:cs="Arial" w:eastAsia="Arial" w:hAnsi="Arial"/>
          <w:sz w:val="19"/>
          <w:szCs w:val="19"/>
          <w:b w:val="1"/>
          <w:bCs w:val="1"/>
          <w:u w:val="single" w:color="auto"/>
          <w:color w:val="111111"/>
        </w:rPr>
        <w:t>n</w:t>
      </w:r>
      <w:r>
        <w:rPr>
          <w:rFonts w:ascii="Arial" w:cs="Arial" w:eastAsia="Arial" w:hAnsi="Arial"/>
          <w:sz w:val="19"/>
          <w:szCs w:val="19"/>
          <w:b w:val="1"/>
          <w:bCs w:val="1"/>
          <w:u w:val="single" w:color="auto"/>
          <w:color w:val="262626"/>
        </w:rPr>
        <w:t>eo</w:t>
      </w:r>
      <w:r>
        <w:rPr>
          <w:rFonts w:ascii="Arial" w:cs="Arial" w:eastAsia="Arial" w:hAnsi="Arial"/>
          <w:sz w:val="19"/>
          <w:szCs w:val="19"/>
          <w:b w:val="1"/>
          <w:bCs w:val="1"/>
          <w:u w:val="single" w:color="auto"/>
          <w:color w:val="111111"/>
        </w:rPr>
        <w:t>u</w:t>
      </w:r>
      <w:r>
        <w:rPr>
          <w:rFonts w:ascii="Arial" w:cs="Arial" w:eastAsia="Arial" w:hAnsi="Arial"/>
          <w:sz w:val="19"/>
          <w:szCs w:val="19"/>
          <w:b w:val="1"/>
          <w:bCs w:val="1"/>
          <w:u w:val="single" w:color="auto"/>
          <w:color w:val="262626"/>
        </w:rPr>
        <w:t>s Prov</w:t>
      </w:r>
      <w:r>
        <w:rPr>
          <w:rFonts w:ascii="Arial" w:cs="Arial" w:eastAsia="Arial" w:hAnsi="Arial"/>
          <w:sz w:val="19"/>
          <w:szCs w:val="19"/>
          <w:b w:val="1"/>
          <w:bCs w:val="1"/>
          <w:u w:val="single" w:color="auto"/>
          <w:color w:val="111111"/>
        </w:rPr>
        <w:t>i</w:t>
      </w:r>
      <w:r>
        <w:rPr>
          <w:rFonts w:ascii="Arial" w:cs="Arial" w:eastAsia="Arial" w:hAnsi="Arial"/>
          <w:sz w:val="19"/>
          <w:szCs w:val="19"/>
          <w:b w:val="1"/>
          <w:bCs w:val="1"/>
          <w:u w:val="single" w:color="auto"/>
          <w:color w:val="262626"/>
        </w:rPr>
        <w:t>s</w:t>
      </w:r>
      <w:r>
        <w:rPr>
          <w:rFonts w:ascii="Arial" w:cs="Arial" w:eastAsia="Arial" w:hAnsi="Arial"/>
          <w:sz w:val="19"/>
          <w:szCs w:val="19"/>
          <w:b w:val="1"/>
          <w:bCs w:val="1"/>
          <w:u w:val="single" w:color="auto"/>
          <w:color w:val="111111"/>
        </w:rPr>
        <w:t>ion</w:t>
      </w:r>
      <w:r>
        <w:rPr>
          <w:rFonts w:ascii="Arial" w:cs="Arial" w:eastAsia="Arial" w:hAnsi="Arial"/>
          <w:sz w:val="19"/>
          <w:szCs w:val="19"/>
          <w:b w:val="1"/>
          <w:bCs w:val="1"/>
          <w:u w:val="single" w:color="auto"/>
          <w:color w:val="262626"/>
        </w:rPr>
        <w:t>s</w:t>
      </w:r>
      <w:r>
        <w:rPr>
          <w:rFonts w:ascii="Arial" w:cs="Arial" w:eastAsia="Arial" w:hAnsi="Arial"/>
          <w:sz w:val="19"/>
          <w:szCs w:val="19"/>
          <w:b w:val="1"/>
          <w:bCs w:val="1"/>
          <w:color w:val="111111"/>
        </w:rPr>
        <w:t>.</w:t>
      </w:r>
    </w:p>
    <w:p>
      <w:pPr>
        <w:spacing w:after="0" w:line="18" w:lineRule="exact"/>
        <w:rPr>
          <w:rFonts w:ascii="Arial" w:cs="Arial" w:eastAsia="Arial" w:hAnsi="Arial"/>
          <w:sz w:val="19"/>
          <w:szCs w:val="19"/>
          <w:b w:val="1"/>
          <w:bCs w:val="1"/>
          <w:color w:val="111111"/>
        </w:rPr>
      </w:pPr>
    </w:p>
    <w:p>
      <w:pPr>
        <w:jc w:val="both"/>
        <w:ind w:left="1163" w:right="180" w:hanging="286"/>
        <w:spacing w:after="0" w:line="244" w:lineRule="auto"/>
        <w:tabs>
          <w:tab w:leader="none" w:pos="1152" w:val="left"/>
        </w:tabs>
        <w:numPr>
          <w:ilvl w:val="1"/>
          <w:numId w:val="335"/>
        </w:numPr>
        <w:rPr>
          <w:rFonts w:ascii="Arial" w:cs="Arial" w:eastAsia="Arial" w:hAnsi="Arial"/>
          <w:sz w:val="18"/>
          <w:szCs w:val="18"/>
          <w:color w:val="363636"/>
        </w:rPr>
      </w:pPr>
      <w:r>
        <w:rPr>
          <w:rFonts w:ascii="Arial" w:cs="Arial" w:eastAsia="Arial" w:hAnsi="Arial"/>
          <w:sz w:val="19"/>
          <w:szCs w:val="19"/>
          <w:b w:val="1"/>
          <w:bCs w:val="1"/>
          <w:u w:val="single" w:color="auto"/>
          <w:color w:val="262626"/>
        </w:rPr>
        <w:t>Notice</w:t>
      </w:r>
      <w:r>
        <w:rPr>
          <w:rFonts w:ascii="Arial" w:cs="Arial" w:eastAsia="Arial" w:hAnsi="Arial"/>
          <w:sz w:val="19"/>
          <w:szCs w:val="19"/>
          <w:b w:val="1"/>
          <w:bCs w:val="1"/>
          <w:color w:val="262626"/>
        </w:rPr>
        <w:t xml:space="preserve">. </w:t>
      </w:r>
      <w:r>
        <w:rPr>
          <w:rFonts w:ascii="Arial" w:cs="Arial" w:eastAsia="Arial" w:hAnsi="Arial"/>
          <w:sz w:val="17"/>
          <w:szCs w:val="17"/>
          <w:color w:val="363636"/>
        </w:rPr>
        <w:t>N</w:t>
      </w:r>
      <w:r>
        <w:rPr>
          <w:rFonts w:ascii="Arial" w:cs="Arial" w:eastAsia="Arial" w:hAnsi="Arial"/>
          <w:sz w:val="17"/>
          <w:szCs w:val="17"/>
          <w:color w:val="262626"/>
        </w:rPr>
        <w:t>oti</w:t>
      </w:r>
      <w:r>
        <w:rPr>
          <w:rFonts w:ascii="Arial" w:cs="Arial" w:eastAsia="Arial" w:hAnsi="Arial"/>
          <w:sz w:val="17"/>
          <w:szCs w:val="17"/>
          <w:color w:val="363636"/>
        </w:rPr>
        <w:t>ces a</w:t>
      </w:r>
      <w:r>
        <w:rPr>
          <w:rFonts w:ascii="Arial" w:cs="Arial" w:eastAsia="Arial" w:hAnsi="Arial"/>
          <w:sz w:val="17"/>
          <w:szCs w:val="17"/>
          <w:color w:val="262626"/>
        </w:rPr>
        <w:t>nd</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ll oth</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363636"/>
        </w:rPr>
        <w:t>c</w:t>
      </w:r>
      <w:r>
        <w:rPr>
          <w:rFonts w:ascii="Arial" w:cs="Arial" w:eastAsia="Arial" w:hAnsi="Arial"/>
          <w:sz w:val="17"/>
          <w:szCs w:val="17"/>
          <w:color w:val="262626"/>
        </w:rPr>
        <w:t>ommuni</w:t>
      </w:r>
      <w:r>
        <w:rPr>
          <w:rFonts w:ascii="Arial" w:cs="Arial" w:eastAsia="Arial" w:hAnsi="Arial"/>
          <w:sz w:val="17"/>
          <w:szCs w:val="17"/>
          <w:color w:val="363636"/>
        </w:rPr>
        <w:t>cati</w:t>
      </w:r>
      <w:r>
        <w:rPr>
          <w:rFonts w:ascii="Arial" w:cs="Arial" w:eastAsia="Arial" w:hAnsi="Arial"/>
          <w:sz w:val="17"/>
          <w:szCs w:val="17"/>
          <w:color w:val="262626"/>
        </w:rPr>
        <w:t>on</w:t>
      </w:r>
      <w:r>
        <w:rPr>
          <w:rFonts w:ascii="Arial" w:cs="Arial" w:eastAsia="Arial" w:hAnsi="Arial"/>
          <w:sz w:val="17"/>
          <w:szCs w:val="17"/>
          <w:color w:val="363636"/>
        </w:rPr>
        <w:t>s co</w:t>
      </w:r>
      <w:r>
        <w:rPr>
          <w:rFonts w:ascii="Arial" w:cs="Arial" w:eastAsia="Arial" w:hAnsi="Arial"/>
          <w:sz w:val="17"/>
          <w:szCs w:val="17"/>
          <w:color w:val="262626"/>
        </w:rPr>
        <w:t>n</w:t>
      </w:r>
      <w:r>
        <w:rPr>
          <w:rFonts w:ascii="Arial" w:cs="Arial" w:eastAsia="Arial" w:hAnsi="Arial"/>
          <w:sz w:val="17"/>
          <w:szCs w:val="17"/>
          <w:color w:val="363636"/>
        </w:rPr>
        <w:t>te</w:t>
      </w:r>
      <w:r>
        <w:rPr>
          <w:rFonts w:ascii="Arial" w:cs="Arial" w:eastAsia="Arial" w:hAnsi="Arial"/>
          <w:sz w:val="17"/>
          <w:szCs w:val="17"/>
          <w:color w:val="262626"/>
        </w:rPr>
        <w:t>m</w:t>
      </w:r>
      <w:r>
        <w:rPr>
          <w:rFonts w:ascii="Arial" w:cs="Arial" w:eastAsia="Arial" w:hAnsi="Arial"/>
          <w:sz w:val="17"/>
          <w:szCs w:val="17"/>
          <w:color w:val="363636"/>
        </w:rPr>
        <w:t>p</w:t>
      </w:r>
      <w:r>
        <w:rPr>
          <w:rFonts w:ascii="Arial" w:cs="Arial" w:eastAsia="Arial" w:hAnsi="Arial"/>
          <w:sz w:val="17"/>
          <w:szCs w:val="17"/>
          <w:color w:val="262626"/>
        </w:rPr>
        <w:t>l</w:t>
      </w:r>
      <w:r>
        <w:rPr>
          <w:rFonts w:ascii="Arial" w:cs="Arial" w:eastAsia="Arial" w:hAnsi="Arial"/>
          <w:sz w:val="17"/>
          <w:szCs w:val="17"/>
          <w:color w:val="363636"/>
        </w:rPr>
        <w:t>ate</w:t>
      </w:r>
      <w:r>
        <w:rPr>
          <w:rFonts w:ascii="Arial" w:cs="Arial" w:eastAsia="Arial" w:hAnsi="Arial"/>
          <w:sz w:val="17"/>
          <w:szCs w:val="17"/>
          <w:color w:val="262626"/>
        </w:rPr>
        <w:t>d by thi</w:t>
      </w:r>
      <w:r>
        <w:rPr>
          <w:rFonts w:ascii="Arial" w:cs="Arial" w:eastAsia="Arial" w:hAnsi="Arial"/>
          <w:sz w:val="17"/>
          <w:szCs w:val="17"/>
          <w:color w:val="363636"/>
        </w:rPr>
        <w:t>s</w:t>
      </w:r>
      <w:r>
        <w:rPr>
          <w:rFonts w:ascii="Arial" w:cs="Arial" w:eastAsia="Arial" w:hAnsi="Arial"/>
          <w:sz w:val="19"/>
          <w:szCs w:val="19"/>
          <w:b w:val="1"/>
          <w:bCs w:val="1"/>
          <w:color w:val="262626"/>
        </w:rPr>
        <w:t xml:space="preserve"> </w:t>
      </w:r>
      <w:r>
        <w:rPr>
          <w:rFonts w:ascii="Arial" w:cs="Arial" w:eastAsia="Arial" w:hAnsi="Arial"/>
          <w:sz w:val="17"/>
          <w:szCs w:val="17"/>
          <w:color w:val="262626"/>
        </w:rPr>
        <w:t>A</w:t>
      </w:r>
      <w:r>
        <w:rPr>
          <w:rFonts w:ascii="Arial" w:cs="Arial" w:eastAsia="Arial" w:hAnsi="Arial"/>
          <w:sz w:val="17"/>
          <w:szCs w:val="17"/>
          <w:color w:val="363636"/>
        </w:rPr>
        <w:t>g</w:t>
      </w:r>
      <w:r>
        <w:rPr>
          <w:rFonts w:ascii="Arial" w:cs="Arial" w:eastAsia="Arial" w:hAnsi="Arial"/>
          <w:sz w:val="17"/>
          <w:szCs w:val="17"/>
          <w:color w:val="262626"/>
        </w:rPr>
        <w:t>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en</w:t>
      </w:r>
      <w:r>
        <w:rPr>
          <w:rFonts w:ascii="Arial" w:cs="Arial" w:eastAsia="Arial" w:hAnsi="Arial"/>
          <w:sz w:val="17"/>
          <w:szCs w:val="17"/>
          <w:color w:val="262626"/>
        </w:rPr>
        <w:t>t</w:t>
      </w:r>
      <w:r>
        <w:rPr>
          <w:rFonts w:ascii="Arial" w:cs="Arial" w:eastAsia="Arial" w:hAnsi="Arial"/>
          <w:sz w:val="19"/>
          <w:szCs w:val="19"/>
          <w:b w:val="1"/>
          <w:bCs w:val="1"/>
          <w:color w:val="262626"/>
        </w:rPr>
        <w:t xml:space="preserve"> </w:t>
      </w:r>
      <w:r>
        <w:rPr>
          <w:rFonts w:ascii="Arial" w:cs="Arial" w:eastAsia="Arial" w:hAnsi="Arial"/>
          <w:sz w:val="17"/>
          <w:szCs w:val="17"/>
          <w:color w:val="363636"/>
        </w:rPr>
        <w:t>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111111"/>
        </w:rPr>
        <w:t>ll</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 in w</w:t>
      </w:r>
      <w:r>
        <w:rPr>
          <w:rFonts w:ascii="Arial" w:cs="Arial" w:eastAsia="Arial" w:hAnsi="Arial"/>
          <w:sz w:val="17"/>
          <w:szCs w:val="17"/>
          <w:color w:val="262626"/>
        </w:rPr>
        <w:t>rit</w:t>
      </w:r>
      <w:r>
        <w:rPr>
          <w:rFonts w:ascii="Arial" w:cs="Arial" w:eastAsia="Arial" w:hAnsi="Arial"/>
          <w:sz w:val="17"/>
          <w:szCs w:val="17"/>
          <w:color w:val="363636"/>
        </w:rPr>
        <w:t>i</w:t>
      </w:r>
      <w:r>
        <w:rPr>
          <w:rFonts w:ascii="Arial" w:cs="Arial" w:eastAsia="Arial" w:hAnsi="Arial"/>
          <w:sz w:val="17"/>
          <w:szCs w:val="17"/>
          <w:color w:val="262626"/>
        </w:rPr>
        <w:t>n</w:t>
      </w:r>
      <w:r>
        <w:rPr>
          <w:rFonts w:ascii="Arial" w:cs="Arial" w:eastAsia="Arial" w:hAnsi="Arial"/>
          <w:sz w:val="17"/>
          <w:szCs w:val="17"/>
          <w:color w:val="363636"/>
        </w:rPr>
        <w:t>g an</w:t>
      </w:r>
      <w:r>
        <w:rPr>
          <w:rFonts w:ascii="Arial" w:cs="Arial" w:eastAsia="Arial" w:hAnsi="Arial"/>
          <w:sz w:val="17"/>
          <w:szCs w:val="17"/>
          <w:color w:val="262626"/>
        </w:rPr>
        <w:t>d</w:t>
      </w:r>
      <w:r>
        <w:rPr>
          <w:rFonts w:ascii="Arial" w:cs="Arial" w:eastAsia="Arial" w:hAnsi="Arial"/>
          <w:sz w:val="19"/>
          <w:szCs w:val="19"/>
          <w:b w:val="1"/>
          <w:bCs w:val="1"/>
          <w:color w:val="262626"/>
        </w:rPr>
        <w:t xml:space="preserve"> </w:t>
      </w:r>
      <w:r>
        <w:rPr>
          <w:rFonts w:ascii="Arial" w:cs="Arial" w:eastAsia="Arial" w:hAnsi="Arial"/>
          <w:sz w:val="17"/>
          <w:szCs w:val="17"/>
          <w:color w:val="363636"/>
        </w:rPr>
        <w:t>shall</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d</w:t>
      </w:r>
      <w:r>
        <w:rPr>
          <w:rFonts w:ascii="Arial" w:cs="Arial" w:eastAsia="Arial" w:hAnsi="Arial"/>
          <w:sz w:val="17"/>
          <w:szCs w:val="17"/>
          <w:color w:val="363636"/>
        </w:rPr>
        <w:t>eeme</w:t>
      </w:r>
      <w:r>
        <w:rPr>
          <w:rFonts w:ascii="Arial" w:cs="Arial" w:eastAsia="Arial" w:hAnsi="Arial"/>
          <w:sz w:val="17"/>
          <w:szCs w:val="17"/>
          <w:color w:val="262626"/>
        </w:rPr>
        <w:t>d to h</w:t>
      </w:r>
      <w:r>
        <w:rPr>
          <w:rFonts w:ascii="Arial" w:cs="Arial" w:eastAsia="Arial" w:hAnsi="Arial"/>
          <w:sz w:val="17"/>
          <w:szCs w:val="17"/>
          <w:color w:val="363636"/>
        </w:rPr>
        <w:t>ave</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een</w:t>
      </w:r>
      <w:r>
        <w:rPr>
          <w:rFonts w:ascii="Arial" w:cs="Arial" w:eastAsia="Arial" w:hAnsi="Arial"/>
          <w:sz w:val="19"/>
          <w:szCs w:val="19"/>
          <w:b w:val="1"/>
          <w:bCs w:val="1"/>
          <w:color w:val="262626"/>
        </w:rPr>
        <w:t xml:space="preserve"> </w:t>
      </w:r>
      <w:r>
        <w:rPr>
          <w:rFonts w:ascii="Arial" w:cs="Arial" w:eastAsia="Arial" w:hAnsi="Arial"/>
          <w:sz w:val="17"/>
          <w:szCs w:val="17"/>
          <w:color w:val="262626"/>
        </w:rPr>
        <w:t>du</w:t>
      </w:r>
      <w:r>
        <w:rPr>
          <w:rFonts w:ascii="Arial" w:cs="Arial" w:eastAsia="Arial" w:hAnsi="Arial"/>
          <w:sz w:val="17"/>
          <w:szCs w:val="17"/>
          <w:color w:val="363636"/>
        </w:rPr>
        <w:t>ly</w:t>
      </w:r>
      <w:r>
        <w:rPr>
          <w:rFonts w:ascii="Arial" w:cs="Arial" w:eastAsia="Arial" w:hAnsi="Arial"/>
          <w:sz w:val="19"/>
          <w:szCs w:val="19"/>
          <w:b w:val="1"/>
          <w:bCs w:val="1"/>
          <w:color w:val="262626"/>
        </w:rPr>
        <w:t xml:space="preserve"> </w:t>
      </w:r>
      <w:r>
        <w:rPr>
          <w:rFonts w:ascii="Arial" w:cs="Arial" w:eastAsia="Arial" w:hAnsi="Arial"/>
          <w:sz w:val="17"/>
          <w:szCs w:val="17"/>
          <w:color w:val="363636"/>
        </w:rPr>
        <w:t>given w</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n p</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s</w:t>
      </w:r>
      <w:r>
        <w:rPr>
          <w:rFonts w:ascii="Arial" w:cs="Arial" w:eastAsia="Arial" w:hAnsi="Arial"/>
          <w:sz w:val="17"/>
          <w:szCs w:val="17"/>
          <w:color w:val="262626"/>
        </w:rPr>
        <w:t>o</w:t>
      </w:r>
      <w:r>
        <w:rPr>
          <w:rFonts w:ascii="Arial" w:cs="Arial" w:eastAsia="Arial" w:hAnsi="Arial"/>
          <w:sz w:val="17"/>
          <w:szCs w:val="17"/>
          <w:color w:val="363636"/>
        </w:rPr>
        <w:t>na</w:t>
      </w:r>
      <w:r>
        <w:rPr>
          <w:rFonts w:ascii="Arial" w:cs="Arial" w:eastAsia="Arial" w:hAnsi="Arial"/>
          <w:sz w:val="17"/>
          <w:szCs w:val="17"/>
          <w:color w:val="262626"/>
        </w:rPr>
        <w:t>ll</w:t>
      </w:r>
      <w:r>
        <w:rPr>
          <w:rFonts w:ascii="Arial" w:cs="Arial" w:eastAsia="Arial" w:hAnsi="Arial"/>
          <w:sz w:val="17"/>
          <w:szCs w:val="17"/>
          <w:color w:val="363636"/>
        </w:rPr>
        <w:t xml:space="preserve">y </w:t>
      </w:r>
      <w:r>
        <w:rPr>
          <w:rFonts w:ascii="Arial" w:cs="Arial" w:eastAsia="Arial" w:hAnsi="Arial"/>
          <w:sz w:val="17"/>
          <w:szCs w:val="17"/>
          <w:color w:val="262626"/>
        </w:rPr>
        <w:t>d</w:t>
      </w:r>
      <w:r>
        <w:rPr>
          <w:rFonts w:ascii="Arial" w:cs="Arial" w:eastAsia="Arial" w:hAnsi="Arial"/>
          <w:sz w:val="17"/>
          <w:szCs w:val="17"/>
          <w:color w:val="363636"/>
        </w:rPr>
        <w:t>e</w:t>
      </w:r>
      <w:r>
        <w:rPr>
          <w:rFonts w:ascii="Arial" w:cs="Arial" w:eastAsia="Arial" w:hAnsi="Arial"/>
          <w:sz w:val="17"/>
          <w:szCs w:val="17"/>
          <w:color w:val="262626"/>
        </w:rPr>
        <w:t>li</w:t>
      </w:r>
      <w:r>
        <w:rPr>
          <w:rFonts w:ascii="Arial" w:cs="Arial" w:eastAsia="Arial" w:hAnsi="Arial"/>
          <w:sz w:val="17"/>
          <w:szCs w:val="17"/>
          <w:color w:val="363636"/>
        </w:rPr>
        <w:t>ve</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d or</w:t>
      </w:r>
      <w:r>
        <w:rPr>
          <w:rFonts w:ascii="Arial" w:cs="Arial" w:eastAsia="Arial" w:hAnsi="Arial"/>
          <w:sz w:val="17"/>
          <w:szCs w:val="17"/>
          <w:color w:val="363636"/>
        </w:rPr>
        <w:t xml:space="preserve"> w</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n m</w:t>
      </w:r>
      <w:r>
        <w:rPr>
          <w:rFonts w:ascii="Arial" w:cs="Arial" w:eastAsia="Arial" w:hAnsi="Arial"/>
          <w:sz w:val="17"/>
          <w:szCs w:val="17"/>
          <w:color w:val="363636"/>
        </w:rPr>
        <w:t>a</w:t>
      </w:r>
      <w:r>
        <w:rPr>
          <w:rFonts w:ascii="Arial" w:cs="Arial" w:eastAsia="Arial" w:hAnsi="Arial"/>
          <w:sz w:val="17"/>
          <w:szCs w:val="17"/>
          <w:color w:val="262626"/>
        </w:rPr>
        <w:t>i</w:t>
      </w:r>
      <w:r>
        <w:rPr>
          <w:rFonts w:ascii="Arial" w:cs="Arial" w:eastAsia="Arial" w:hAnsi="Arial"/>
          <w:sz w:val="17"/>
          <w:szCs w:val="17"/>
          <w:color w:val="111111"/>
        </w:rPr>
        <w:t>l</w:t>
      </w:r>
      <w:r>
        <w:rPr>
          <w:rFonts w:ascii="Arial" w:cs="Arial" w:eastAsia="Arial" w:hAnsi="Arial"/>
          <w:sz w:val="17"/>
          <w:szCs w:val="17"/>
          <w:color w:val="363636"/>
        </w:rPr>
        <w:t>e</w:t>
      </w:r>
      <w:r>
        <w:rPr>
          <w:rFonts w:ascii="Arial" w:cs="Arial" w:eastAsia="Arial" w:hAnsi="Arial"/>
          <w:sz w:val="17"/>
          <w:szCs w:val="17"/>
          <w:color w:val="262626"/>
        </w:rPr>
        <w:t>d b</w:t>
      </w:r>
      <w:r>
        <w:rPr>
          <w:rFonts w:ascii="Arial" w:cs="Arial" w:eastAsia="Arial" w:hAnsi="Arial"/>
          <w:sz w:val="17"/>
          <w:szCs w:val="17"/>
          <w:color w:val="363636"/>
        </w:rPr>
        <w:t>y U.</w:t>
      </w:r>
      <w:r>
        <w:rPr>
          <w:rFonts w:ascii="Arial" w:cs="Arial" w:eastAsia="Arial" w:hAnsi="Arial"/>
          <w:sz w:val="17"/>
          <w:szCs w:val="17"/>
          <w:color w:val="262626"/>
        </w:rPr>
        <w:t>S</w:t>
      </w:r>
      <w:r>
        <w:rPr>
          <w:rFonts w:ascii="Arial" w:cs="Arial" w:eastAsia="Arial" w:hAnsi="Arial"/>
          <w:sz w:val="17"/>
          <w:szCs w:val="17"/>
          <w:color w:val="111111"/>
        </w:rPr>
        <w:t>.</w:t>
      </w:r>
      <w:r>
        <w:rPr>
          <w:rFonts w:ascii="Arial" w:cs="Arial" w:eastAsia="Arial" w:hAnsi="Arial"/>
          <w:sz w:val="17"/>
          <w:szCs w:val="17"/>
          <w:color w:val="363636"/>
        </w:rPr>
        <w:t xml:space="preserve"> regis</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d or ce</w:t>
      </w:r>
      <w:r>
        <w:rPr>
          <w:rFonts w:ascii="Arial" w:cs="Arial" w:eastAsia="Arial" w:hAnsi="Arial"/>
          <w:sz w:val="17"/>
          <w:szCs w:val="17"/>
          <w:color w:val="363636"/>
        </w:rPr>
        <w:t>rt</w:t>
      </w:r>
      <w:r>
        <w:rPr>
          <w:rFonts w:ascii="Arial" w:cs="Arial" w:eastAsia="Arial" w:hAnsi="Arial"/>
          <w:sz w:val="17"/>
          <w:szCs w:val="17"/>
          <w:color w:val="262626"/>
        </w:rPr>
        <w:t>i</w:t>
      </w:r>
      <w:r>
        <w:rPr>
          <w:rFonts w:ascii="Arial" w:cs="Arial" w:eastAsia="Arial" w:hAnsi="Arial"/>
          <w:sz w:val="17"/>
          <w:szCs w:val="17"/>
          <w:color w:val="363636"/>
        </w:rPr>
        <w:t>fie</w:t>
      </w:r>
      <w:r>
        <w:rPr>
          <w:rFonts w:ascii="Arial" w:cs="Arial" w:eastAsia="Arial" w:hAnsi="Arial"/>
          <w:sz w:val="17"/>
          <w:szCs w:val="17"/>
          <w:color w:val="262626"/>
        </w:rPr>
        <w:t>d</w:t>
      </w:r>
      <w:r>
        <w:rPr>
          <w:rFonts w:ascii="Arial" w:cs="Arial" w:eastAsia="Arial" w:hAnsi="Arial"/>
          <w:sz w:val="17"/>
          <w:szCs w:val="17"/>
          <w:color w:val="363636"/>
        </w:rPr>
        <w:t xml:space="preserve"> m</w:t>
      </w:r>
      <w:r>
        <w:rPr>
          <w:rFonts w:ascii="Arial" w:cs="Arial" w:eastAsia="Arial" w:hAnsi="Arial"/>
          <w:sz w:val="17"/>
          <w:szCs w:val="17"/>
          <w:color w:val="262626"/>
        </w:rPr>
        <w:t>ail</w:t>
      </w:r>
      <w:r>
        <w:rPr>
          <w:rFonts w:ascii="Arial" w:cs="Arial" w:eastAsia="Arial" w:hAnsi="Arial"/>
          <w:sz w:val="17"/>
          <w:szCs w:val="17"/>
          <w:color w:val="545454"/>
        </w:rPr>
        <w:t>,</w:t>
      </w:r>
      <w:r>
        <w:rPr>
          <w:rFonts w:ascii="Arial" w:cs="Arial" w:eastAsia="Arial" w:hAnsi="Arial"/>
          <w:sz w:val="17"/>
          <w:szCs w:val="17"/>
          <w:color w:val="363636"/>
        </w:rPr>
        <w:t xml:space="preserve"> ret</w:t>
      </w:r>
      <w:r>
        <w:rPr>
          <w:rFonts w:ascii="Arial" w:cs="Arial" w:eastAsia="Arial" w:hAnsi="Arial"/>
          <w:sz w:val="17"/>
          <w:szCs w:val="17"/>
          <w:color w:val="262626"/>
        </w:rPr>
        <w:t>urn</w:t>
      </w:r>
      <w:r>
        <w:rPr>
          <w:rFonts w:ascii="Arial" w:cs="Arial" w:eastAsia="Arial" w:hAnsi="Arial"/>
          <w:sz w:val="17"/>
          <w:szCs w:val="17"/>
          <w:color w:val="363636"/>
        </w:rPr>
        <w:t xml:space="preserve"> rec</w:t>
      </w:r>
      <w:r>
        <w:rPr>
          <w:rFonts w:ascii="Arial" w:cs="Arial" w:eastAsia="Arial" w:hAnsi="Arial"/>
          <w:sz w:val="17"/>
          <w:szCs w:val="17"/>
          <w:color w:val="262626"/>
        </w:rPr>
        <w:t>eip</w:t>
      </w:r>
      <w:r>
        <w:rPr>
          <w:rFonts w:ascii="Arial" w:cs="Arial" w:eastAsia="Arial" w:hAnsi="Arial"/>
          <w:sz w:val="17"/>
          <w:szCs w:val="17"/>
          <w:color w:val="363636"/>
        </w:rPr>
        <w:t xml:space="preserve">t </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qu</w:t>
      </w:r>
      <w:r>
        <w:rPr>
          <w:rFonts w:ascii="Arial" w:cs="Arial" w:eastAsia="Arial" w:hAnsi="Arial"/>
          <w:sz w:val="17"/>
          <w:szCs w:val="17"/>
          <w:color w:val="363636"/>
        </w:rPr>
        <w:t>es</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262626"/>
        </w:rPr>
        <w:t>d</w:t>
      </w:r>
      <w:r>
        <w:rPr>
          <w:rFonts w:ascii="Arial" w:cs="Arial" w:eastAsia="Arial" w:hAnsi="Arial"/>
          <w:sz w:val="17"/>
          <w:szCs w:val="17"/>
          <w:color w:val="363636"/>
        </w:rPr>
        <w:t xml:space="preserve"> a</w:t>
      </w:r>
      <w:r>
        <w:rPr>
          <w:rFonts w:ascii="Arial" w:cs="Arial" w:eastAsia="Arial" w:hAnsi="Arial"/>
          <w:sz w:val="17"/>
          <w:szCs w:val="17"/>
          <w:color w:val="262626"/>
        </w:rPr>
        <w:t>nd</w:t>
      </w:r>
      <w:r>
        <w:rPr>
          <w:rFonts w:ascii="Arial" w:cs="Arial" w:eastAsia="Arial" w:hAnsi="Arial"/>
          <w:sz w:val="17"/>
          <w:szCs w:val="17"/>
          <w:color w:val="363636"/>
        </w:rPr>
        <w:t xml:space="preserve"> p</w:t>
      </w:r>
      <w:r>
        <w:rPr>
          <w:rFonts w:ascii="Arial" w:cs="Arial" w:eastAsia="Arial" w:hAnsi="Arial"/>
          <w:sz w:val="17"/>
          <w:szCs w:val="17"/>
          <w:color w:val="262626"/>
        </w:rPr>
        <w:t>o</w:t>
      </w:r>
      <w:r>
        <w:rPr>
          <w:rFonts w:ascii="Arial" w:cs="Arial" w:eastAsia="Arial" w:hAnsi="Arial"/>
          <w:sz w:val="17"/>
          <w:szCs w:val="17"/>
          <w:color w:val="363636"/>
        </w:rPr>
        <w:t xml:space="preserve">stage </w:t>
      </w:r>
      <w:r>
        <w:rPr>
          <w:rFonts w:ascii="Arial" w:cs="Arial" w:eastAsia="Arial" w:hAnsi="Arial"/>
          <w:sz w:val="17"/>
          <w:szCs w:val="17"/>
          <w:color w:val="262626"/>
        </w:rPr>
        <w:t>pr</w:t>
      </w:r>
      <w:r>
        <w:rPr>
          <w:rFonts w:ascii="Arial" w:cs="Arial" w:eastAsia="Arial" w:hAnsi="Arial"/>
          <w:sz w:val="17"/>
          <w:szCs w:val="17"/>
          <w:color w:val="363636"/>
        </w:rPr>
        <w:t>e</w:t>
      </w:r>
      <w:r>
        <w:rPr>
          <w:rFonts w:ascii="Arial" w:cs="Arial" w:eastAsia="Arial" w:hAnsi="Arial"/>
          <w:sz w:val="17"/>
          <w:szCs w:val="17"/>
          <w:color w:val="262626"/>
        </w:rPr>
        <w:t>p</w:t>
      </w:r>
      <w:r>
        <w:rPr>
          <w:rFonts w:ascii="Arial" w:cs="Arial" w:eastAsia="Arial" w:hAnsi="Arial"/>
          <w:sz w:val="17"/>
          <w:szCs w:val="17"/>
          <w:color w:val="363636"/>
        </w:rPr>
        <w:t>a</w:t>
      </w:r>
      <w:r>
        <w:rPr>
          <w:rFonts w:ascii="Arial" w:cs="Arial" w:eastAsia="Arial" w:hAnsi="Arial"/>
          <w:sz w:val="17"/>
          <w:szCs w:val="17"/>
          <w:color w:val="262626"/>
        </w:rPr>
        <w:t>id. I</w:t>
      </w:r>
      <w:r>
        <w:rPr>
          <w:rFonts w:ascii="Arial" w:cs="Arial" w:eastAsia="Arial" w:hAnsi="Arial"/>
          <w:sz w:val="17"/>
          <w:szCs w:val="17"/>
          <w:color w:val="363636"/>
        </w:rPr>
        <w:t>n y</w:t>
      </w:r>
      <w:r>
        <w:rPr>
          <w:rFonts w:ascii="Arial" w:cs="Arial" w:eastAsia="Arial" w:hAnsi="Arial"/>
          <w:sz w:val="17"/>
          <w:szCs w:val="17"/>
          <w:color w:val="262626"/>
        </w:rPr>
        <w:t>o</w:t>
      </w:r>
      <w:r>
        <w:rPr>
          <w:rFonts w:ascii="Arial" w:cs="Arial" w:eastAsia="Arial" w:hAnsi="Arial"/>
          <w:sz w:val="17"/>
          <w:szCs w:val="17"/>
          <w:color w:val="363636"/>
        </w:rPr>
        <w:t>ur case</w:t>
      </w:r>
      <w:r>
        <w:rPr>
          <w:rFonts w:ascii="Arial" w:cs="Arial" w:eastAsia="Arial" w:hAnsi="Arial"/>
          <w:sz w:val="17"/>
          <w:szCs w:val="17"/>
          <w:color w:val="545454"/>
        </w:rPr>
        <w:t>,</w:t>
      </w:r>
      <w:r>
        <w:rPr>
          <w:rFonts w:ascii="Arial" w:cs="Arial" w:eastAsia="Arial" w:hAnsi="Arial"/>
          <w:sz w:val="17"/>
          <w:szCs w:val="17"/>
          <w:color w:val="363636"/>
        </w:rPr>
        <w:t xml:space="preserve"> m</w:t>
      </w:r>
      <w:r>
        <w:rPr>
          <w:rFonts w:ascii="Arial" w:cs="Arial" w:eastAsia="Arial" w:hAnsi="Arial"/>
          <w:sz w:val="17"/>
          <w:szCs w:val="17"/>
          <w:color w:val="262626"/>
        </w:rPr>
        <w:t>a</w:t>
      </w:r>
      <w:r>
        <w:rPr>
          <w:rFonts w:ascii="Arial" w:cs="Arial" w:eastAsia="Arial" w:hAnsi="Arial"/>
          <w:sz w:val="17"/>
          <w:szCs w:val="17"/>
          <w:color w:val="363636"/>
        </w:rPr>
        <w:t>i</w:t>
      </w:r>
      <w:r>
        <w:rPr>
          <w:rFonts w:ascii="Arial" w:cs="Arial" w:eastAsia="Arial" w:hAnsi="Arial"/>
          <w:sz w:val="17"/>
          <w:szCs w:val="17"/>
          <w:color w:val="262626"/>
        </w:rPr>
        <w:t>l</w:t>
      </w:r>
      <w:r>
        <w:rPr>
          <w:rFonts w:ascii="Arial" w:cs="Arial" w:eastAsia="Arial" w:hAnsi="Arial"/>
          <w:sz w:val="17"/>
          <w:szCs w:val="17"/>
          <w:color w:val="363636"/>
        </w:rPr>
        <w:t>e</w:t>
      </w:r>
      <w:r>
        <w:rPr>
          <w:rFonts w:ascii="Arial" w:cs="Arial" w:eastAsia="Arial" w:hAnsi="Arial"/>
          <w:sz w:val="17"/>
          <w:szCs w:val="17"/>
          <w:color w:val="262626"/>
        </w:rPr>
        <w:t>d</w:t>
      </w:r>
      <w:r>
        <w:rPr>
          <w:rFonts w:ascii="Arial" w:cs="Arial" w:eastAsia="Arial" w:hAnsi="Arial"/>
          <w:sz w:val="17"/>
          <w:szCs w:val="17"/>
          <w:color w:val="363636"/>
        </w:rPr>
        <w:t xml:space="preserve"> n</w:t>
      </w:r>
      <w:r>
        <w:rPr>
          <w:rFonts w:ascii="Arial" w:cs="Arial" w:eastAsia="Arial" w:hAnsi="Arial"/>
          <w:sz w:val="17"/>
          <w:szCs w:val="17"/>
          <w:color w:val="262626"/>
        </w:rPr>
        <w:t>o</w:t>
      </w:r>
      <w:r>
        <w:rPr>
          <w:rFonts w:ascii="Arial" w:cs="Arial" w:eastAsia="Arial" w:hAnsi="Arial"/>
          <w:sz w:val="17"/>
          <w:szCs w:val="17"/>
          <w:color w:val="363636"/>
        </w:rPr>
        <w:t>t</w:t>
      </w:r>
      <w:r>
        <w:rPr>
          <w:rFonts w:ascii="Arial" w:cs="Arial" w:eastAsia="Arial" w:hAnsi="Arial"/>
          <w:sz w:val="17"/>
          <w:szCs w:val="17"/>
          <w:color w:val="262626"/>
        </w:rPr>
        <w:t>ic</w:t>
      </w:r>
      <w:r>
        <w:rPr>
          <w:rFonts w:ascii="Arial" w:cs="Arial" w:eastAsia="Arial" w:hAnsi="Arial"/>
          <w:sz w:val="17"/>
          <w:szCs w:val="17"/>
          <w:color w:val="363636"/>
        </w:rPr>
        <w:t>es s</w:t>
      </w:r>
      <w:r>
        <w:rPr>
          <w:rFonts w:ascii="Arial" w:cs="Arial" w:eastAsia="Arial" w:hAnsi="Arial"/>
          <w:sz w:val="17"/>
          <w:szCs w:val="17"/>
          <w:color w:val="262626"/>
        </w:rPr>
        <w:t>hall b</w:t>
      </w:r>
      <w:r>
        <w:rPr>
          <w:rFonts w:ascii="Arial" w:cs="Arial" w:eastAsia="Arial" w:hAnsi="Arial"/>
          <w:sz w:val="17"/>
          <w:szCs w:val="17"/>
          <w:color w:val="363636"/>
        </w:rPr>
        <w:t>e a</w:t>
      </w:r>
      <w:r>
        <w:rPr>
          <w:rFonts w:ascii="Arial" w:cs="Arial" w:eastAsia="Arial" w:hAnsi="Arial"/>
          <w:sz w:val="17"/>
          <w:szCs w:val="17"/>
          <w:color w:val="262626"/>
        </w:rPr>
        <w:t>dd</w:t>
      </w:r>
      <w:r>
        <w:rPr>
          <w:rFonts w:ascii="Arial" w:cs="Arial" w:eastAsia="Arial" w:hAnsi="Arial"/>
          <w:sz w:val="17"/>
          <w:szCs w:val="17"/>
          <w:color w:val="363636"/>
        </w:rPr>
        <w:t>resse</w:t>
      </w:r>
      <w:r>
        <w:rPr>
          <w:rFonts w:ascii="Arial" w:cs="Arial" w:eastAsia="Arial" w:hAnsi="Arial"/>
          <w:sz w:val="17"/>
          <w:szCs w:val="17"/>
          <w:color w:val="262626"/>
        </w:rPr>
        <w:t>d to</w:t>
      </w:r>
      <w:r>
        <w:rPr>
          <w:rFonts w:ascii="Arial" w:cs="Arial" w:eastAsia="Arial" w:hAnsi="Arial"/>
          <w:sz w:val="17"/>
          <w:szCs w:val="17"/>
          <w:color w:val="363636"/>
        </w:rPr>
        <w:t xml:space="preserve"> y</w:t>
      </w:r>
      <w:r>
        <w:rPr>
          <w:rFonts w:ascii="Arial" w:cs="Arial" w:eastAsia="Arial" w:hAnsi="Arial"/>
          <w:sz w:val="17"/>
          <w:szCs w:val="17"/>
          <w:color w:val="262626"/>
        </w:rPr>
        <w:t>ou</w:t>
      </w:r>
      <w:r>
        <w:rPr>
          <w:rFonts w:ascii="Arial" w:cs="Arial" w:eastAsia="Arial" w:hAnsi="Arial"/>
          <w:sz w:val="17"/>
          <w:szCs w:val="17"/>
          <w:color w:val="363636"/>
        </w:rPr>
        <w:t xml:space="preserve"> at </w:t>
      </w:r>
      <w:r>
        <w:rPr>
          <w:rFonts w:ascii="Arial" w:cs="Arial" w:eastAsia="Arial" w:hAnsi="Arial"/>
          <w:sz w:val="17"/>
          <w:szCs w:val="17"/>
          <w:color w:val="262626"/>
        </w:rPr>
        <w:t>th</w:t>
      </w:r>
      <w:r>
        <w:rPr>
          <w:rFonts w:ascii="Arial" w:cs="Arial" w:eastAsia="Arial" w:hAnsi="Arial"/>
          <w:sz w:val="17"/>
          <w:szCs w:val="17"/>
          <w:color w:val="363636"/>
        </w:rPr>
        <w:t xml:space="preserve">e </w:t>
      </w:r>
      <w:r>
        <w:rPr>
          <w:rFonts w:ascii="Arial" w:cs="Arial" w:eastAsia="Arial" w:hAnsi="Arial"/>
          <w:sz w:val="17"/>
          <w:szCs w:val="17"/>
          <w:color w:val="262626"/>
        </w:rPr>
        <w:t>hom</w:t>
      </w:r>
      <w:r>
        <w:rPr>
          <w:rFonts w:ascii="Arial" w:cs="Arial" w:eastAsia="Arial" w:hAnsi="Arial"/>
          <w:sz w:val="17"/>
          <w:szCs w:val="17"/>
          <w:color w:val="363636"/>
        </w:rPr>
        <w:t>e a</w:t>
      </w:r>
      <w:r>
        <w:rPr>
          <w:rFonts w:ascii="Arial" w:cs="Arial" w:eastAsia="Arial" w:hAnsi="Arial"/>
          <w:sz w:val="17"/>
          <w:szCs w:val="17"/>
          <w:color w:val="262626"/>
        </w:rPr>
        <w:t>dd</w:t>
      </w:r>
      <w:r>
        <w:rPr>
          <w:rFonts w:ascii="Arial" w:cs="Arial" w:eastAsia="Arial" w:hAnsi="Arial"/>
          <w:sz w:val="17"/>
          <w:szCs w:val="17"/>
          <w:color w:val="363636"/>
        </w:rPr>
        <w:t>ress t</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3"/>
          </w:cols>
          <w:pgMar w:left="317" w:top="1291" w:right="379" w:bottom="1440" w:gutter="0" w:footer="0" w:header="0"/>
        </w:sectPr>
      </w:pPr>
    </w:p>
    <w:bookmarkStart w:id="456" w:name="page457"/>
    <w:bookmarkEnd w:id="456"/>
    <w:p>
      <w:pPr>
        <w:ind w:left="1080" w:right="80"/>
        <w:spacing w:after="0" w:line="251" w:lineRule="auto"/>
        <w:rPr>
          <w:sz w:val="20"/>
          <w:szCs w:val="20"/>
          <w:color w:val="auto"/>
        </w:rPr>
      </w:pPr>
      <w:r>
        <w:rPr>
          <w:rFonts w:ascii="Arial" w:cs="Arial" w:eastAsia="Arial" w:hAnsi="Arial"/>
          <w:sz w:val="18"/>
          <w:szCs w:val="18"/>
          <w:color w:val="262626"/>
        </w:rPr>
        <w:t xml:space="preserve">you </w:t>
      </w:r>
      <w:r>
        <w:rPr>
          <w:rFonts w:ascii="Arial" w:cs="Arial" w:eastAsia="Arial" w:hAnsi="Arial"/>
          <w:sz w:val="18"/>
          <w:szCs w:val="18"/>
          <w:color w:val="363636"/>
        </w:rPr>
        <w:t>m</w:t>
      </w:r>
      <w:r>
        <w:rPr>
          <w:rFonts w:ascii="Arial" w:cs="Arial" w:eastAsia="Arial" w:hAnsi="Arial"/>
          <w:sz w:val="18"/>
          <w:szCs w:val="18"/>
          <w:color w:val="262626"/>
        </w:rPr>
        <w:t>o</w:t>
      </w:r>
      <w:r>
        <w:rPr>
          <w:rFonts w:ascii="Arial" w:cs="Arial" w:eastAsia="Arial" w:hAnsi="Arial"/>
          <w:sz w:val="18"/>
          <w:szCs w:val="18"/>
          <w:color w:val="363636"/>
        </w:rPr>
        <w:t>s</w:t>
      </w:r>
      <w:r>
        <w:rPr>
          <w:rFonts w:ascii="Arial" w:cs="Arial" w:eastAsia="Arial" w:hAnsi="Arial"/>
          <w:sz w:val="18"/>
          <w:szCs w:val="18"/>
          <w:color w:val="262626"/>
        </w:rPr>
        <w:t>t r</w:t>
      </w:r>
      <w:r>
        <w:rPr>
          <w:rFonts w:ascii="Arial" w:cs="Arial" w:eastAsia="Arial" w:hAnsi="Arial"/>
          <w:sz w:val="18"/>
          <w:szCs w:val="18"/>
          <w:color w:val="363636"/>
        </w:rPr>
        <w:t>ecen</w:t>
      </w:r>
      <w:r>
        <w:rPr>
          <w:rFonts w:ascii="Arial" w:cs="Arial" w:eastAsia="Arial" w:hAnsi="Arial"/>
          <w:sz w:val="18"/>
          <w:szCs w:val="18"/>
          <w:color w:val="262626"/>
        </w:rPr>
        <w:t>tl</w:t>
      </w:r>
      <w:r>
        <w:rPr>
          <w:rFonts w:ascii="Arial" w:cs="Arial" w:eastAsia="Arial" w:hAnsi="Arial"/>
          <w:sz w:val="18"/>
          <w:szCs w:val="18"/>
          <w:color w:val="363636"/>
        </w:rPr>
        <w:t>y</w:t>
      </w:r>
      <w:r>
        <w:rPr>
          <w:rFonts w:ascii="Arial" w:cs="Arial" w:eastAsia="Arial" w:hAnsi="Arial"/>
          <w:sz w:val="18"/>
          <w:szCs w:val="18"/>
          <w:color w:val="262626"/>
        </w:rPr>
        <w:t xml:space="preserve"> communic</w:t>
      </w:r>
      <w:r>
        <w:rPr>
          <w:rFonts w:ascii="Arial" w:cs="Arial" w:eastAsia="Arial" w:hAnsi="Arial"/>
          <w:sz w:val="18"/>
          <w:szCs w:val="18"/>
          <w:color w:val="363636"/>
        </w:rPr>
        <w:t>ate</w:t>
      </w:r>
      <w:r>
        <w:rPr>
          <w:rFonts w:ascii="Arial" w:cs="Arial" w:eastAsia="Arial" w:hAnsi="Arial"/>
          <w:sz w:val="18"/>
          <w:szCs w:val="18"/>
          <w:color w:val="262626"/>
        </w:rPr>
        <w:t xml:space="preserve">d </w:t>
      </w:r>
      <w:r>
        <w:rPr>
          <w:rFonts w:ascii="Arial" w:cs="Arial" w:eastAsia="Arial" w:hAnsi="Arial"/>
          <w:sz w:val="18"/>
          <w:szCs w:val="18"/>
          <w:color w:val="363636"/>
        </w:rPr>
        <w:t>to</w:t>
      </w:r>
      <w:r>
        <w:rPr>
          <w:rFonts w:ascii="Arial" w:cs="Arial" w:eastAsia="Arial" w:hAnsi="Arial"/>
          <w:sz w:val="18"/>
          <w:szCs w:val="18"/>
          <w:color w:val="262626"/>
        </w:rPr>
        <w:t xml:space="preserve"> th</w:t>
      </w:r>
      <w:r>
        <w:rPr>
          <w:rFonts w:ascii="Arial" w:cs="Arial" w:eastAsia="Arial" w:hAnsi="Arial"/>
          <w:sz w:val="18"/>
          <w:szCs w:val="18"/>
          <w:color w:val="363636"/>
        </w:rPr>
        <w:t>e C</w:t>
      </w:r>
      <w:r>
        <w:rPr>
          <w:rFonts w:ascii="Arial" w:cs="Arial" w:eastAsia="Arial" w:hAnsi="Arial"/>
          <w:sz w:val="18"/>
          <w:szCs w:val="18"/>
          <w:color w:val="262626"/>
        </w:rPr>
        <w:t>o</w:t>
      </w:r>
      <w:r>
        <w:rPr>
          <w:rFonts w:ascii="Arial" w:cs="Arial" w:eastAsia="Arial" w:hAnsi="Arial"/>
          <w:sz w:val="18"/>
          <w:szCs w:val="18"/>
          <w:color w:val="363636"/>
        </w:rPr>
        <w:t>m</w:t>
      </w:r>
      <w:r>
        <w:rPr>
          <w:rFonts w:ascii="Arial" w:cs="Arial" w:eastAsia="Arial" w:hAnsi="Arial"/>
          <w:sz w:val="18"/>
          <w:szCs w:val="18"/>
          <w:color w:val="262626"/>
        </w:rPr>
        <w:t>pan</w:t>
      </w:r>
      <w:r>
        <w:rPr>
          <w:rFonts w:ascii="Arial" w:cs="Arial" w:eastAsia="Arial" w:hAnsi="Arial"/>
          <w:sz w:val="18"/>
          <w:szCs w:val="18"/>
          <w:color w:val="363636"/>
        </w:rPr>
        <w:t>y</w:t>
      </w:r>
      <w:r>
        <w:rPr>
          <w:rFonts w:ascii="Arial" w:cs="Arial" w:eastAsia="Arial" w:hAnsi="Arial"/>
          <w:sz w:val="18"/>
          <w:szCs w:val="18"/>
          <w:color w:val="262626"/>
        </w:rPr>
        <w:t xml:space="preserve"> in </w:t>
      </w:r>
      <w:r>
        <w:rPr>
          <w:rFonts w:ascii="Arial" w:cs="Arial" w:eastAsia="Arial" w:hAnsi="Arial"/>
          <w:sz w:val="18"/>
          <w:szCs w:val="18"/>
          <w:color w:val="363636"/>
        </w:rPr>
        <w:t>w</w:t>
      </w:r>
      <w:r>
        <w:rPr>
          <w:rFonts w:ascii="Arial" w:cs="Arial" w:eastAsia="Arial" w:hAnsi="Arial"/>
          <w:sz w:val="18"/>
          <w:szCs w:val="18"/>
          <w:color w:val="262626"/>
        </w:rPr>
        <w:t>ri</w:t>
      </w:r>
      <w:r>
        <w:rPr>
          <w:rFonts w:ascii="Arial" w:cs="Arial" w:eastAsia="Arial" w:hAnsi="Arial"/>
          <w:sz w:val="18"/>
          <w:szCs w:val="18"/>
          <w:color w:val="363636"/>
        </w:rPr>
        <w:t>ting</w:t>
      </w:r>
      <w:r>
        <w:rPr>
          <w:rFonts w:ascii="Arial" w:cs="Arial" w:eastAsia="Arial" w:hAnsi="Arial"/>
          <w:sz w:val="18"/>
          <w:szCs w:val="18"/>
          <w:color w:val="111111"/>
        </w:rPr>
        <w:t>.</w:t>
      </w:r>
      <w:r>
        <w:rPr>
          <w:rFonts w:ascii="Arial" w:cs="Arial" w:eastAsia="Arial" w:hAnsi="Arial"/>
          <w:sz w:val="18"/>
          <w:szCs w:val="18"/>
          <w:color w:val="262626"/>
        </w:rPr>
        <w:t xml:space="preserve"> In </w:t>
      </w:r>
      <w:r>
        <w:rPr>
          <w:rFonts w:ascii="Arial" w:cs="Arial" w:eastAsia="Arial" w:hAnsi="Arial"/>
          <w:sz w:val="18"/>
          <w:szCs w:val="18"/>
          <w:color w:val="363636"/>
        </w:rPr>
        <w:t>the case o</w:t>
      </w:r>
      <w:r>
        <w:rPr>
          <w:rFonts w:ascii="Arial" w:cs="Arial" w:eastAsia="Arial" w:hAnsi="Arial"/>
          <w:sz w:val="18"/>
          <w:szCs w:val="18"/>
          <w:color w:val="262626"/>
        </w:rPr>
        <w:t xml:space="preserve">f </w:t>
      </w:r>
      <w:r>
        <w:rPr>
          <w:rFonts w:ascii="Arial" w:cs="Arial" w:eastAsia="Arial" w:hAnsi="Arial"/>
          <w:sz w:val="18"/>
          <w:szCs w:val="18"/>
          <w:color w:val="363636"/>
        </w:rPr>
        <w:t>t</w:t>
      </w:r>
      <w:r>
        <w:rPr>
          <w:rFonts w:ascii="Arial" w:cs="Arial" w:eastAsia="Arial" w:hAnsi="Arial"/>
          <w:sz w:val="18"/>
          <w:szCs w:val="18"/>
          <w:color w:val="262626"/>
        </w:rPr>
        <w:t>h</w:t>
      </w:r>
      <w:r>
        <w:rPr>
          <w:rFonts w:ascii="Arial" w:cs="Arial" w:eastAsia="Arial" w:hAnsi="Arial"/>
          <w:sz w:val="18"/>
          <w:szCs w:val="18"/>
          <w:color w:val="363636"/>
        </w:rPr>
        <w:t>e C</w:t>
      </w:r>
      <w:r>
        <w:rPr>
          <w:rFonts w:ascii="Arial" w:cs="Arial" w:eastAsia="Arial" w:hAnsi="Arial"/>
          <w:sz w:val="18"/>
          <w:szCs w:val="18"/>
          <w:color w:val="262626"/>
        </w:rPr>
        <w:t>omp</w:t>
      </w:r>
      <w:r>
        <w:rPr>
          <w:rFonts w:ascii="Arial" w:cs="Arial" w:eastAsia="Arial" w:hAnsi="Arial"/>
          <w:sz w:val="18"/>
          <w:szCs w:val="18"/>
          <w:color w:val="363636"/>
        </w:rPr>
        <w:t>a</w:t>
      </w:r>
      <w:r>
        <w:rPr>
          <w:rFonts w:ascii="Arial" w:cs="Arial" w:eastAsia="Arial" w:hAnsi="Arial"/>
          <w:sz w:val="18"/>
          <w:szCs w:val="18"/>
          <w:color w:val="262626"/>
        </w:rPr>
        <w:t>ny</w:t>
      </w:r>
      <w:r>
        <w:rPr>
          <w:rFonts w:ascii="Arial" w:cs="Arial" w:eastAsia="Arial" w:hAnsi="Arial"/>
          <w:sz w:val="18"/>
          <w:szCs w:val="18"/>
          <w:color w:val="545454"/>
        </w:rPr>
        <w:t>,</w:t>
      </w:r>
      <w:r>
        <w:rPr>
          <w:rFonts w:ascii="Arial" w:cs="Arial" w:eastAsia="Arial" w:hAnsi="Arial"/>
          <w:sz w:val="18"/>
          <w:szCs w:val="18"/>
          <w:color w:val="262626"/>
        </w:rPr>
        <w:t xml:space="preserve"> m</w:t>
      </w:r>
      <w:r>
        <w:rPr>
          <w:rFonts w:ascii="Arial" w:cs="Arial" w:eastAsia="Arial" w:hAnsi="Arial"/>
          <w:sz w:val="18"/>
          <w:szCs w:val="18"/>
          <w:color w:val="363636"/>
        </w:rPr>
        <w:t>a</w:t>
      </w:r>
      <w:r>
        <w:rPr>
          <w:rFonts w:ascii="Arial" w:cs="Arial" w:eastAsia="Arial" w:hAnsi="Arial"/>
          <w:sz w:val="18"/>
          <w:szCs w:val="18"/>
          <w:color w:val="262626"/>
        </w:rPr>
        <w:t>i</w:t>
      </w:r>
      <w:r>
        <w:rPr>
          <w:rFonts w:ascii="Arial" w:cs="Arial" w:eastAsia="Arial" w:hAnsi="Arial"/>
          <w:sz w:val="18"/>
          <w:szCs w:val="18"/>
          <w:color w:val="111111"/>
        </w:rPr>
        <w:t>l</w:t>
      </w:r>
      <w:r>
        <w:rPr>
          <w:rFonts w:ascii="Arial" w:cs="Arial" w:eastAsia="Arial" w:hAnsi="Arial"/>
          <w:sz w:val="18"/>
          <w:szCs w:val="18"/>
          <w:color w:val="363636"/>
        </w:rPr>
        <w:t>e</w:t>
      </w:r>
      <w:r>
        <w:rPr>
          <w:rFonts w:ascii="Arial" w:cs="Arial" w:eastAsia="Arial" w:hAnsi="Arial"/>
          <w:sz w:val="18"/>
          <w:szCs w:val="18"/>
          <w:color w:val="262626"/>
        </w:rPr>
        <w:t>d n</w:t>
      </w:r>
      <w:r>
        <w:rPr>
          <w:rFonts w:ascii="Arial" w:cs="Arial" w:eastAsia="Arial" w:hAnsi="Arial"/>
          <w:sz w:val="18"/>
          <w:szCs w:val="18"/>
          <w:color w:val="363636"/>
        </w:rPr>
        <w:t>ot</w:t>
      </w:r>
      <w:r>
        <w:rPr>
          <w:rFonts w:ascii="Arial" w:cs="Arial" w:eastAsia="Arial" w:hAnsi="Arial"/>
          <w:sz w:val="18"/>
          <w:szCs w:val="18"/>
          <w:color w:val="262626"/>
        </w:rPr>
        <w:t>i</w:t>
      </w:r>
      <w:r>
        <w:rPr>
          <w:rFonts w:ascii="Arial" w:cs="Arial" w:eastAsia="Arial" w:hAnsi="Arial"/>
          <w:sz w:val="18"/>
          <w:szCs w:val="18"/>
          <w:color w:val="363636"/>
        </w:rPr>
        <w:t>ces s</w:t>
      </w:r>
      <w:r>
        <w:rPr>
          <w:rFonts w:ascii="Arial" w:cs="Arial" w:eastAsia="Arial" w:hAnsi="Arial"/>
          <w:sz w:val="18"/>
          <w:szCs w:val="18"/>
          <w:color w:val="262626"/>
        </w:rPr>
        <w:t>h</w:t>
      </w:r>
      <w:r>
        <w:rPr>
          <w:rFonts w:ascii="Arial" w:cs="Arial" w:eastAsia="Arial" w:hAnsi="Arial"/>
          <w:sz w:val="18"/>
          <w:szCs w:val="18"/>
          <w:color w:val="363636"/>
        </w:rPr>
        <w:t>a</w:t>
      </w:r>
      <w:r>
        <w:rPr>
          <w:rFonts w:ascii="Arial" w:cs="Arial" w:eastAsia="Arial" w:hAnsi="Arial"/>
          <w:sz w:val="18"/>
          <w:szCs w:val="18"/>
          <w:color w:val="111111"/>
        </w:rPr>
        <w:t>ll</w:t>
      </w:r>
      <w:r>
        <w:rPr>
          <w:rFonts w:ascii="Arial" w:cs="Arial" w:eastAsia="Arial" w:hAnsi="Arial"/>
          <w:sz w:val="18"/>
          <w:szCs w:val="18"/>
          <w:color w:val="262626"/>
        </w:rPr>
        <w:t xml:space="preserve"> b</w:t>
      </w:r>
      <w:r>
        <w:rPr>
          <w:rFonts w:ascii="Arial" w:cs="Arial" w:eastAsia="Arial" w:hAnsi="Arial"/>
          <w:sz w:val="18"/>
          <w:szCs w:val="18"/>
          <w:color w:val="363636"/>
        </w:rPr>
        <w:t>e a</w:t>
      </w:r>
      <w:r>
        <w:rPr>
          <w:rFonts w:ascii="Arial" w:cs="Arial" w:eastAsia="Arial" w:hAnsi="Arial"/>
          <w:sz w:val="18"/>
          <w:szCs w:val="18"/>
          <w:color w:val="262626"/>
        </w:rPr>
        <w:t>ddr</w:t>
      </w:r>
      <w:r>
        <w:rPr>
          <w:rFonts w:ascii="Arial" w:cs="Arial" w:eastAsia="Arial" w:hAnsi="Arial"/>
          <w:sz w:val="18"/>
          <w:szCs w:val="18"/>
          <w:color w:val="363636"/>
        </w:rPr>
        <w:t>esse</w:t>
      </w:r>
      <w:r>
        <w:rPr>
          <w:rFonts w:ascii="Arial" w:cs="Arial" w:eastAsia="Arial" w:hAnsi="Arial"/>
          <w:sz w:val="18"/>
          <w:szCs w:val="18"/>
          <w:color w:val="262626"/>
        </w:rPr>
        <w:t xml:space="preserve">d </w:t>
      </w:r>
      <w:r>
        <w:rPr>
          <w:rFonts w:ascii="Arial" w:cs="Arial" w:eastAsia="Arial" w:hAnsi="Arial"/>
          <w:sz w:val="18"/>
          <w:szCs w:val="18"/>
          <w:color w:val="363636"/>
        </w:rPr>
        <w:t>to</w:t>
      </w:r>
      <w:r>
        <w:rPr>
          <w:rFonts w:ascii="Arial" w:cs="Arial" w:eastAsia="Arial" w:hAnsi="Arial"/>
          <w:sz w:val="18"/>
          <w:szCs w:val="18"/>
          <w:color w:val="262626"/>
        </w:rPr>
        <w:t xml:space="preserve"> it</w:t>
      </w:r>
      <w:r>
        <w:rPr>
          <w:rFonts w:ascii="Arial" w:cs="Arial" w:eastAsia="Arial" w:hAnsi="Arial"/>
          <w:sz w:val="18"/>
          <w:szCs w:val="18"/>
          <w:color w:val="363636"/>
        </w:rPr>
        <w:t>s co</w:t>
      </w:r>
      <w:r>
        <w:rPr>
          <w:rFonts w:ascii="Arial" w:cs="Arial" w:eastAsia="Arial" w:hAnsi="Arial"/>
          <w:sz w:val="18"/>
          <w:szCs w:val="18"/>
          <w:color w:val="262626"/>
        </w:rPr>
        <w:t>rp</w:t>
      </w:r>
      <w:r>
        <w:rPr>
          <w:rFonts w:ascii="Arial" w:cs="Arial" w:eastAsia="Arial" w:hAnsi="Arial"/>
          <w:sz w:val="18"/>
          <w:szCs w:val="18"/>
          <w:color w:val="363636"/>
        </w:rPr>
        <w:t>o</w:t>
      </w:r>
      <w:r>
        <w:rPr>
          <w:rFonts w:ascii="Arial" w:cs="Arial" w:eastAsia="Arial" w:hAnsi="Arial"/>
          <w:sz w:val="18"/>
          <w:szCs w:val="18"/>
          <w:color w:val="262626"/>
        </w:rPr>
        <w:t>ra</w:t>
      </w:r>
      <w:r>
        <w:rPr>
          <w:rFonts w:ascii="Arial" w:cs="Arial" w:eastAsia="Arial" w:hAnsi="Arial"/>
          <w:sz w:val="18"/>
          <w:szCs w:val="18"/>
          <w:color w:val="363636"/>
        </w:rPr>
        <w:t>te</w:t>
      </w:r>
      <w:r>
        <w:rPr>
          <w:rFonts w:ascii="Arial" w:cs="Arial" w:eastAsia="Arial" w:hAnsi="Arial"/>
          <w:sz w:val="18"/>
          <w:szCs w:val="18"/>
          <w:color w:val="262626"/>
        </w:rPr>
        <w:t xml:space="preserve"> h</w:t>
      </w:r>
      <w:r>
        <w:rPr>
          <w:rFonts w:ascii="Arial" w:cs="Arial" w:eastAsia="Arial" w:hAnsi="Arial"/>
          <w:sz w:val="18"/>
          <w:szCs w:val="18"/>
          <w:color w:val="363636"/>
        </w:rPr>
        <w:t>ea</w:t>
      </w:r>
      <w:r>
        <w:rPr>
          <w:rFonts w:ascii="Arial" w:cs="Arial" w:eastAsia="Arial" w:hAnsi="Arial"/>
          <w:sz w:val="18"/>
          <w:szCs w:val="18"/>
          <w:color w:val="262626"/>
        </w:rPr>
        <w:t>d</w:t>
      </w:r>
      <w:r>
        <w:rPr>
          <w:rFonts w:ascii="Arial" w:cs="Arial" w:eastAsia="Arial" w:hAnsi="Arial"/>
          <w:sz w:val="18"/>
          <w:szCs w:val="18"/>
          <w:color w:val="363636"/>
        </w:rPr>
        <w:t>q</w:t>
      </w:r>
      <w:r>
        <w:rPr>
          <w:rFonts w:ascii="Arial" w:cs="Arial" w:eastAsia="Arial" w:hAnsi="Arial"/>
          <w:sz w:val="18"/>
          <w:szCs w:val="18"/>
          <w:color w:val="262626"/>
        </w:rPr>
        <w:t>u</w:t>
      </w:r>
      <w:r>
        <w:rPr>
          <w:rFonts w:ascii="Arial" w:cs="Arial" w:eastAsia="Arial" w:hAnsi="Arial"/>
          <w:sz w:val="18"/>
          <w:szCs w:val="18"/>
          <w:color w:val="363636"/>
        </w:rPr>
        <w:t>a</w:t>
      </w:r>
      <w:r>
        <w:rPr>
          <w:rFonts w:ascii="Arial" w:cs="Arial" w:eastAsia="Arial" w:hAnsi="Arial"/>
          <w:sz w:val="18"/>
          <w:szCs w:val="18"/>
          <w:color w:val="262626"/>
        </w:rPr>
        <w:t>rt</w:t>
      </w:r>
      <w:r>
        <w:rPr>
          <w:rFonts w:ascii="Arial" w:cs="Arial" w:eastAsia="Arial" w:hAnsi="Arial"/>
          <w:sz w:val="18"/>
          <w:szCs w:val="18"/>
          <w:color w:val="363636"/>
        </w:rPr>
        <w:t>ers, a</w:t>
      </w:r>
      <w:r>
        <w:rPr>
          <w:rFonts w:ascii="Arial" w:cs="Arial" w:eastAsia="Arial" w:hAnsi="Arial"/>
          <w:sz w:val="18"/>
          <w:szCs w:val="18"/>
          <w:color w:val="262626"/>
        </w:rPr>
        <w:t xml:space="preserve">nd </w:t>
      </w:r>
      <w:r>
        <w:rPr>
          <w:rFonts w:ascii="Arial" w:cs="Arial" w:eastAsia="Arial" w:hAnsi="Arial"/>
          <w:sz w:val="18"/>
          <w:szCs w:val="18"/>
          <w:color w:val="363636"/>
        </w:rPr>
        <w:t>a</w:t>
      </w:r>
      <w:r>
        <w:rPr>
          <w:rFonts w:ascii="Arial" w:cs="Arial" w:eastAsia="Arial" w:hAnsi="Arial"/>
          <w:sz w:val="18"/>
          <w:szCs w:val="18"/>
          <w:color w:val="262626"/>
        </w:rPr>
        <w:t xml:space="preserve">ll </w:t>
      </w:r>
      <w:r>
        <w:rPr>
          <w:rFonts w:ascii="Arial" w:cs="Arial" w:eastAsia="Arial" w:hAnsi="Arial"/>
          <w:sz w:val="18"/>
          <w:szCs w:val="18"/>
          <w:color w:val="363636"/>
        </w:rPr>
        <w:t>n</w:t>
      </w:r>
      <w:r>
        <w:rPr>
          <w:rFonts w:ascii="Arial" w:cs="Arial" w:eastAsia="Arial" w:hAnsi="Arial"/>
          <w:sz w:val="18"/>
          <w:szCs w:val="18"/>
          <w:color w:val="262626"/>
        </w:rPr>
        <w:t>o</w:t>
      </w:r>
      <w:r>
        <w:rPr>
          <w:rFonts w:ascii="Arial" w:cs="Arial" w:eastAsia="Arial" w:hAnsi="Arial"/>
          <w:sz w:val="18"/>
          <w:szCs w:val="18"/>
          <w:color w:val="363636"/>
        </w:rPr>
        <w:t>tices shall</w:t>
      </w:r>
      <w:r>
        <w:rPr>
          <w:rFonts w:ascii="Arial" w:cs="Arial" w:eastAsia="Arial" w:hAnsi="Arial"/>
          <w:sz w:val="18"/>
          <w:szCs w:val="18"/>
          <w:color w:val="262626"/>
        </w:rPr>
        <w:t xml:space="preserve"> b</w:t>
      </w:r>
      <w:r>
        <w:rPr>
          <w:rFonts w:ascii="Arial" w:cs="Arial" w:eastAsia="Arial" w:hAnsi="Arial"/>
          <w:sz w:val="18"/>
          <w:szCs w:val="18"/>
          <w:color w:val="363636"/>
        </w:rPr>
        <w:t>e</w:t>
      </w:r>
      <w:r>
        <w:rPr>
          <w:rFonts w:ascii="Arial" w:cs="Arial" w:eastAsia="Arial" w:hAnsi="Arial"/>
          <w:sz w:val="18"/>
          <w:szCs w:val="18"/>
          <w:color w:val="262626"/>
        </w:rPr>
        <w:t xml:space="preserve"> d</w:t>
      </w:r>
      <w:r>
        <w:rPr>
          <w:rFonts w:ascii="Arial" w:cs="Arial" w:eastAsia="Arial" w:hAnsi="Arial"/>
          <w:sz w:val="18"/>
          <w:szCs w:val="18"/>
          <w:color w:val="363636"/>
        </w:rPr>
        <w:t>irec</w:t>
      </w:r>
      <w:r>
        <w:rPr>
          <w:rFonts w:ascii="Arial" w:cs="Arial" w:eastAsia="Arial" w:hAnsi="Arial"/>
          <w:sz w:val="18"/>
          <w:szCs w:val="18"/>
          <w:color w:val="262626"/>
        </w:rPr>
        <w:t>t</w:t>
      </w:r>
      <w:r>
        <w:rPr>
          <w:rFonts w:ascii="Arial" w:cs="Arial" w:eastAsia="Arial" w:hAnsi="Arial"/>
          <w:sz w:val="18"/>
          <w:szCs w:val="18"/>
          <w:color w:val="363636"/>
        </w:rPr>
        <w:t>e</w:t>
      </w:r>
      <w:r>
        <w:rPr>
          <w:rFonts w:ascii="Arial" w:cs="Arial" w:eastAsia="Arial" w:hAnsi="Arial"/>
          <w:sz w:val="18"/>
          <w:szCs w:val="18"/>
          <w:color w:val="262626"/>
        </w:rPr>
        <w:t xml:space="preserve">d </w:t>
      </w:r>
      <w:r>
        <w:rPr>
          <w:rFonts w:ascii="Arial" w:cs="Arial" w:eastAsia="Arial" w:hAnsi="Arial"/>
          <w:sz w:val="18"/>
          <w:szCs w:val="18"/>
          <w:color w:val="363636"/>
        </w:rPr>
        <w:t>t</w:t>
      </w:r>
      <w:r>
        <w:rPr>
          <w:rFonts w:ascii="Arial" w:cs="Arial" w:eastAsia="Arial" w:hAnsi="Arial"/>
          <w:sz w:val="18"/>
          <w:szCs w:val="18"/>
          <w:color w:val="262626"/>
        </w:rPr>
        <w:t xml:space="preserve">o </w:t>
      </w:r>
      <w:r>
        <w:rPr>
          <w:rFonts w:ascii="Arial" w:cs="Arial" w:eastAsia="Arial" w:hAnsi="Arial"/>
          <w:sz w:val="18"/>
          <w:szCs w:val="18"/>
          <w:color w:val="363636"/>
        </w:rPr>
        <w:t>t</w:t>
      </w:r>
      <w:r>
        <w:rPr>
          <w:rFonts w:ascii="Arial" w:cs="Arial" w:eastAsia="Arial" w:hAnsi="Arial"/>
          <w:sz w:val="18"/>
          <w:szCs w:val="18"/>
          <w:color w:val="262626"/>
        </w:rPr>
        <w:t>h</w:t>
      </w:r>
      <w:r>
        <w:rPr>
          <w:rFonts w:ascii="Arial" w:cs="Arial" w:eastAsia="Arial" w:hAnsi="Arial"/>
          <w:sz w:val="18"/>
          <w:szCs w:val="18"/>
          <w:color w:val="363636"/>
        </w:rPr>
        <w:t>e atten</w:t>
      </w:r>
      <w:r>
        <w:rPr>
          <w:rFonts w:ascii="Arial" w:cs="Arial" w:eastAsia="Arial" w:hAnsi="Arial"/>
          <w:sz w:val="18"/>
          <w:szCs w:val="18"/>
          <w:color w:val="262626"/>
        </w:rPr>
        <w:t>t</w:t>
      </w:r>
      <w:r>
        <w:rPr>
          <w:rFonts w:ascii="Arial" w:cs="Arial" w:eastAsia="Arial" w:hAnsi="Arial"/>
          <w:sz w:val="18"/>
          <w:szCs w:val="18"/>
          <w:color w:val="363636"/>
        </w:rPr>
        <w:t>i</w:t>
      </w:r>
      <w:r>
        <w:rPr>
          <w:rFonts w:ascii="Arial" w:cs="Arial" w:eastAsia="Arial" w:hAnsi="Arial"/>
          <w:sz w:val="18"/>
          <w:szCs w:val="18"/>
          <w:color w:val="262626"/>
        </w:rPr>
        <w:t>on o</w:t>
      </w:r>
      <w:r>
        <w:rPr>
          <w:rFonts w:ascii="Arial" w:cs="Arial" w:eastAsia="Arial" w:hAnsi="Arial"/>
          <w:sz w:val="18"/>
          <w:szCs w:val="18"/>
          <w:color w:val="363636"/>
        </w:rPr>
        <w:t>f i</w:t>
      </w:r>
      <w:r>
        <w:rPr>
          <w:rFonts w:ascii="Arial" w:cs="Arial" w:eastAsia="Arial" w:hAnsi="Arial"/>
          <w:sz w:val="18"/>
          <w:szCs w:val="18"/>
          <w:color w:val="262626"/>
        </w:rPr>
        <w:t>t</w:t>
      </w:r>
      <w:r>
        <w:rPr>
          <w:rFonts w:ascii="Arial" w:cs="Arial" w:eastAsia="Arial" w:hAnsi="Arial"/>
          <w:sz w:val="18"/>
          <w:szCs w:val="18"/>
          <w:color w:val="363636"/>
        </w:rPr>
        <w:t>s</w:t>
      </w:r>
      <w:r>
        <w:rPr>
          <w:rFonts w:ascii="Arial" w:cs="Arial" w:eastAsia="Arial" w:hAnsi="Arial"/>
          <w:sz w:val="18"/>
          <w:szCs w:val="18"/>
          <w:color w:val="262626"/>
        </w:rPr>
        <w:t xml:space="preserve"> S</w:t>
      </w:r>
      <w:r>
        <w:rPr>
          <w:rFonts w:ascii="Arial" w:cs="Arial" w:eastAsia="Arial" w:hAnsi="Arial"/>
          <w:sz w:val="18"/>
          <w:szCs w:val="18"/>
          <w:color w:val="363636"/>
        </w:rPr>
        <w:t>ecretary</w:t>
      </w:r>
      <w:r>
        <w:rPr>
          <w:rFonts w:ascii="Arial" w:cs="Arial" w:eastAsia="Arial" w:hAnsi="Arial"/>
          <w:sz w:val="18"/>
          <w:szCs w:val="18"/>
          <w:color w:val="545454"/>
        </w:rPr>
        <w:t>.</w:t>
      </w:r>
    </w:p>
    <w:p>
      <w:pPr>
        <w:spacing w:after="0" w:line="1" w:lineRule="exact"/>
        <w:rPr>
          <w:sz w:val="20"/>
          <w:szCs w:val="20"/>
          <w:color w:val="auto"/>
        </w:rPr>
      </w:pPr>
    </w:p>
    <w:p>
      <w:pPr>
        <w:jc w:val="both"/>
        <w:ind w:left="1080" w:hanging="286"/>
        <w:spacing w:after="0" w:line="247" w:lineRule="auto"/>
        <w:tabs>
          <w:tab w:leader="none" w:pos="1080" w:val="left"/>
        </w:tabs>
        <w:numPr>
          <w:ilvl w:val="0"/>
          <w:numId w:val="336"/>
        </w:numPr>
        <w:rPr>
          <w:rFonts w:ascii="Arial" w:cs="Arial" w:eastAsia="Arial" w:hAnsi="Arial"/>
          <w:sz w:val="18"/>
          <w:szCs w:val="18"/>
          <w:color w:val="363636"/>
        </w:rPr>
      </w:pPr>
      <w:r>
        <w:rPr>
          <w:rFonts w:ascii="Arial" w:cs="Arial" w:eastAsia="Arial" w:hAnsi="Arial"/>
          <w:sz w:val="19"/>
          <w:szCs w:val="19"/>
          <w:b w:val="1"/>
          <w:bCs w:val="1"/>
          <w:u w:val="single" w:color="auto"/>
          <w:color w:val="262626"/>
        </w:rPr>
        <w:t>Mo</w:t>
      </w:r>
      <w:r>
        <w:rPr>
          <w:rFonts w:ascii="Arial" w:cs="Arial" w:eastAsia="Arial" w:hAnsi="Arial"/>
          <w:sz w:val="19"/>
          <w:szCs w:val="19"/>
          <w:b w:val="1"/>
          <w:bCs w:val="1"/>
          <w:u w:val="single" w:color="auto"/>
          <w:color w:val="111111"/>
        </w:rPr>
        <w:t>d</w:t>
      </w:r>
      <w:r>
        <w:rPr>
          <w:rFonts w:ascii="Arial" w:cs="Arial" w:eastAsia="Arial" w:hAnsi="Arial"/>
          <w:sz w:val="19"/>
          <w:szCs w:val="19"/>
          <w:b w:val="1"/>
          <w:bCs w:val="1"/>
          <w:u w:val="single" w:color="auto"/>
          <w:color w:val="262626"/>
        </w:rPr>
        <w:t>ificatio</w:t>
      </w:r>
      <w:r>
        <w:rPr>
          <w:rFonts w:ascii="Arial" w:cs="Arial" w:eastAsia="Arial" w:hAnsi="Arial"/>
          <w:sz w:val="19"/>
          <w:szCs w:val="19"/>
          <w:b w:val="1"/>
          <w:bCs w:val="1"/>
          <w:u w:val="single" w:color="auto"/>
          <w:color w:val="111111"/>
        </w:rPr>
        <w:t>n</w:t>
      </w:r>
      <w:r>
        <w:rPr>
          <w:rFonts w:ascii="Arial" w:cs="Arial" w:eastAsia="Arial" w:hAnsi="Arial"/>
          <w:sz w:val="19"/>
          <w:szCs w:val="19"/>
          <w:b w:val="1"/>
          <w:bCs w:val="1"/>
          <w:u w:val="single" w:color="auto"/>
          <w:color w:val="262626"/>
        </w:rPr>
        <w:t>s a</w:t>
      </w:r>
      <w:r>
        <w:rPr>
          <w:rFonts w:ascii="Arial" w:cs="Arial" w:eastAsia="Arial" w:hAnsi="Arial"/>
          <w:sz w:val="19"/>
          <w:szCs w:val="19"/>
          <w:b w:val="1"/>
          <w:bCs w:val="1"/>
          <w:u w:val="single" w:color="auto"/>
          <w:color w:val="111111"/>
        </w:rPr>
        <w:t>nd</w:t>
      </w:r>
      <w:r>
        <w:rPr>
          <w:rFonts w:ascii="Arial" w:cs="Arial" w:eastAsia="Arial" w:hAnsi="Arial"/>
          <w:sz w:val="19"/>
          <w:szCs w:val="19"/>
          <w:b w:val="1"/>
          <w:bCs w:val="1"/>
          <w:color w:val="262626"/>
        </w:rPr>
        <w:t xml:space="preserve"> </w:t>
      </w:r>
      <w:r>
        <w:rPr>
          <w:rFonts w:ascii="Arial" w:cs="Arial" w:eastAsia="Arial" w:hAnsi="Arial"/>
          <w:sz w:val="19"/>
          <w:szCs w:val="19"/>
          <w:b w:val="1"/>
          <w:bCs w:val="1"/>
          <w:u w:val="single" w:color="auto"/>
          <w:color w:val="262626"/>
        </w:rPr>
        <w:t>Wa</w:t>
      </w:r>
      <w:r>
        <w:rPr>
          <w:rFonts w:ascii="Arial" w:cs="Arial" w:eastAsia="Arial" w:hAnsi="Arial"/>
          <w:sz w:val="19"/>
          <w:szCs w:val="19"/>
          <w:b w:val="1"/>
          <w:bCs w:val="1"/>
          <w:u w:val="single" w:color="auto"/>
          <w:color w:val="111111"/>
        </w:rPr>
        <w:t>i</w:t>
      </w:r>
      <w:r>
        <w:rPr>
          <w:rFonts w:ascii="Arial" w:cs="Arial" w:eastAsia="Arial" w:hAnsi="Arial"/>
          <w:sz w:val="19"/>
          <w:szCs w:val="19"/>
          <w:b w:val="1"/>
          <w:bCs w:val="1"/>
          <w:u w:val="single" w:color="auto"/>
          <w:color w:val="262626"/>
        </w:rPr>
        <w:t>vers</w:t>
      </w:r>
      <w:r>
        <w:rPr>
          <w:rFonts w:ascii="Arial" w:cs="Arial" w:eastAsia="Arial" w:hAnsi="Arial"/>
          <w:sz w:val="19"/>
          <w:szCs w:val="19"/>
          <w:b w:val="1"/>
          <w:bCs w:val="1"/>
          <w:color w:val="262626"/>
        </w:rPr>
        <w:t xml:space="preserve">. </w:t>
      </w:r>
      <w:r>
        <w:rPr>
          <w:rFonts w:ascii="Arial" w:cs="Arial" w:eastAsia="Arial" w:hAnsi="Arial"/>
          <w:sz w:val="17"/>
          <w:szCs w:val="17"/>
          <w:color w:val="363636"/>
        </w:rPr>
        <w:t>No</w:t>
      </w:r>
      <w:r>
        <w:rPr>
          <w:rFonts w:ascii="Arial" w:cs="Arial" w:eastAsia="Arial" w:hAnsi="Arial"/>
          <w:sz w:val="19"/>
          <w:szCs w:val="19"/>
          <w:b w:val="1"/>
          <w:bCs w:val="1"/>
          <w:color w:val="262626"/>
        </w:rPr>
        <w:t xml:space="preserve"> </w:t>
      </w:r>
      <w:r>
        <w:rPr>
          <w:rFonts w:ascii="Arial" w:cs="Arial" w:eastAsia="Arial" w:hAnsi="Arial"/>
          <w:sz w:val="17"/>
          <w:szCs w:val="17"/>
          <w:color w:val="262626"/>
        </w:rPr>
        <w:t>provi</w:t>
      </w:r>
      <w:r>
        <w:rPr>
          <w:rFonts w:ascii="Arial" w:cs="Arial" w:eastAsia="Arial" w:hAnsi="Arial"/>
          <w:sz w:val="17"/>
          <w:szCs w:val="17"/>
          <w:color w:val="363636"/>
        </w:rPr>
        <w:t>s</w:t>
      </w:r>
      <w:r>
        <w:rPr>
          <w:rFonts w:ascii="Arial" w:cs="Arial" w:eastAsia="Arial" w:hAnsi="Arial"/>
          <w:sz w:val="17"/>
          <w:szCs w:val="17"/>
          <w:color w:val="262626"/>
        </w:rPr>
        <w:t>i</w:t>
      </w:r>
      <w:r>
        <w:rPr>
          <w:rFonts w:ascii="Arial" w:cs="Arial" w:eastAsia="Arial" w:hAnsi="Arial"/>
          <w:sz w:val="17"/>
          <w:szCs w:val="17"/>
          <w:color w:val="363636"/>
        </w:rPr>
        <w:t>o</w:t>
      </w:r>
      <w:r>
        <w:rPr>
          <w:rFonts w:ascii="Arial" w:cs="Arial" w:eastAsia="Arial" w:hAnsi="Arial"/>
          <w:sz w:val="17"/>
          <w:szCs w:val="17"/>
          <w:color w:val="262626"/>
        </w:rPr>
        <w:t>n o</w:t>
      </w:r>
      <w:r>
        <w:rPr>
          <w:rFonts w:ascii="Arial" w:cs="Arial" w:eastAsia="Arial" w:hAnsi="Arial"/>
          <w:sz w:val="17"/>
          <w:szCs w:val="17"/>
          <w:color w:val="363636"/>
        </w:rPr>
        <w:t>f this Agree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nt</w:t>
      </w:r>
      <w:r>
        <w:rPr>
          <w:rFonts w:ascii="Arial" w:cs="Arial" w:eastAsia="Arial" w:hAnsi="Arial"/>
          <w:sz w:val="19"/>
          <w:szCs w:val="19"/>
          <w:b w:val="1"/>
          <w:bCs w:val="1"/>
          <w:color w:val="262626"/>
        </w:rPr>
        <w:t xml:space="preserve"> </w:t>
      </w:r>
      <w:r>
        <w:rPr>
          <w:rFonts w:ascii="Arial" w:cs="Arial" w:eastAsia="Arial" w:hAnsi="Arial"/>
          <w:sz w:val="17"/>
          <w:szCs w:val="17"/>
          <w:color w:val="363636"/>
        </w:rPr>
        <w:t>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ll b</w:t>
      </w:r>
      <w:r>
        <w:rPr>
          <w:rFonts w:ascii="Arial" w:cs="Arial" w:eastAsia="Arial" w:hAnsi="Arial"/>
          <w:sz w:val="17"/>
          <w:szCs w:val="17"/>
          <w:color w:val="363636"/>
        </w:rPr>
        <w:t>e mo</w:t>
      </w:r>
      <w:r>
        <w:rPr>
          <w:rFonts w:ascii="Arial" w:cs="Arial" w:eastAsia="Arial" w:hAnsi="Arial"/>
          <w:sz w:val="17"/>
          <w:szCs w:val="17"/>
          <w:color w:val="262626"/>
        </w:rPr>
        <w:t>d</w:t>
      </w:r>
      <w:r>
        <w:rPr>
          <w:rFonts w:ascii="Arial" w:cs="Arial" w:eastAsia="Arial" w:hAnsi="Arial"/>
          <w:sz w:val="17"/>
          <w:szCs w:val="17"/>
          <w:color w:val="363636"/>
        </w:rPr>
        <w:t>ifie</w:t>
      </w:r>
      <w:r>
        <w:rPr>
          <w:rFonts w:ascii="Arial" w:cs="Arial" w:eastAsia="Arial" w:hAnsi="Arial"/>
          <w:sz w:val="17"/>
          <w:szCs w:val="17"/>
          <w:color w:val="262626"/>
        </w:rPr>
        <w:t>d</w:t>
      </w:r>
      <w:r>
        <w:rPr>
          <w:rFonts w:ascii="Arial" w:cs="Arial" w:eastAsia="Arial" w:hAnsi="Arial"/>
          <w:sz w:val="17"/>
          <w:szCs w:val="17"/>
          <w:color w:val="545454"/>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wa</w:t>
      </w:r>
      <w:r>
        <w:rPr>
          <w:rFonts w:ascii="Arial" w:cs="Arial" w:eastAsia="Arial" w:hAnsi="Arial"/>
          <w:sz w:val="17"/>
          <w:szCs w:val="17"/>
          <w:color w:val="262626"/>
        </w:rPr>
        <w:t>i</w:t>
      </w:r>
      <w:r>
        <w:rPr>
          <w:rFonts w:ascii="Arial" w:cs="Arial" w:eastAsia="Arial" w:hAnsi="Arial"/>
          <w:sz w:val="17"/>
          <w:szCs w:val="17"/>
          <w:color w:val="363636"/>
        </w:rPr>
        <w:t>ve</w:t>
      </w:r>
      <w:r>
        <w:rPr>
          <w:rFonts w:ascii="Arial" w:cs="Arial" w:eastAsia="Arial" w:hAnsi="Arial"/>
          <w:sz w:val="17"/>
          <w:szCs w:val="17"/>
          <w:color w:val="262626"/>
        </w:rPr>
        <w:t>d or d</w:t>
      </w:r>
      <w:r>
        <w:rPr>
          <w:rFonts w:ascii="Arial" w:cs="Arial" w:eastAsia="Arial" w:hAnsi="Arial"/>
          <w:sz w:val="17"/>
          <w:szCs w:val="17"/>
          <w:color w:val="111111"/>
        </w:rPr>
        <w:t>i</w:t>
      </w:r>
      <w:r>
        <w:rPr>
          <w:rFonts w:ascii="Arial" w:cs="Arial" w:eastAsia="Arial" w:hAnsi="Arial"/>
          <w:sz w:val="17"/>
          <w:szCs w:val="17"/>
          <w:color w:val="363636"/>
        </w:rPr>
        <w:t>sc</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r</w:t>
      </w:r>
      <w:r>
        <w:rPr>
          <w:rFonts w:ascii="Arial" w:cs="Arial" w:eastAsia="Arial" w:hAnsi="Arial"/>
          <w:sz w:val="17"/>
          <w:szCs w:val="17"/>
          <w:color w:val="363636"/>
        </w:rPr>
        <w:t>ge</w:t>
      </w:r>
      <w:r>
        <w:rPr>
          <w:rFonts w:ascii="Arial" w:cs="Arial" w:eastAsia="Arial" w:hAnsi="Arial"/>
          <w:sz w:val="17"/>
          <w:szCs w:val="17"/>
          <w:color w:val="262626"/>
        </w:rPr>
        <w:t>d un</w:t>
      </w:r>
      <w:r>
        <w:rPr>
          <w:rFonts w:ascii="Arial" w:cs="Arial" w:eastAsia="Arial" w:hAnsi="Arial"/>
          <w:sz w:val="17"/>
          <w:szCs w:val="17"/>
          <w:color w:val="111111"/>
        </w:rPr>
        <w:t>l</w:t>
      </w:r>
      <w:r>
        <w:rPr>
          <w:rFonts w:ascii="Arial" w:cs="Arial" w:eastAsia="Arial" w:hAnsi="Arial"/>
          <w:sz w:val="17"/>
          <w:szCs w:val="17"/>
          <w:color w:val="363636"/>
        </w:rPr>
        <w:t>ess</w:t>
      </w:r>
      <w:r>
        <w:rPr>
          <w:rFonts w:ascii="Arial" w:cs="Arial" w:eastAsia="Arial" w:hAnsi="Arial"/>
          <w:sz w:val="19"/>
          <w:szCs w:val="19"/>
          <w:b w:val="1"/>
          <w:bCs w:val="1"/>
          <w:color w:val="262626"/>
        </w:rPr>
        <w:t xml:space="preserve"> </w:t>
      </w:r>
      <w:r>
        <w:rPr>
          <w:rFonts w:ascii="Arial" w:cs="Arial" w:eastAsia="Arial" w:hAnsi="Arial"/>
          <w:sz w:val="17"/>
          <w:szCs w:val="17"/>
          <w:color w:val="262626"/>
        </w:rPr>
        <w:t>th</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modi</w:t>
      </w:r>
      <w:r>
        <w:rPr>
          <w:rFonts w:ascii="Arial" w:cs="Arial" w:eastAsia="Arial" w:hAnsi="Arial"/>
          <w:sz w:val="17"/>
          <w:szCs w:val="17"/>
          <w:color w:val="363636"/>
        </w:rPr>
        <w:t>fica</w:t>
      </w:r>
      <w:r>
        <w:rPr>
          <w:rFonts w:ascii="Arial" w:cs="Arial" w:eastAsia="Arial" w:hAnsi="Arial"/>
          <w:sz w:val="17"/>
          <w:szCs w:val="17"/>
          <w:color w:val="262626"/>
        </w:rPr>
        <w:t>tion</w:t>
      </w:r>
      <w:r>
        <w:rPr>
          <w:rFonts w:ascii="Arial" w:cs="Arial" w:eastAsia="Arial" w:hAnsi="Arial"/>
          <w:sz w:val="17"/>
          <w:szCs w:val="17"/>
          <w:color w:val="545454"/>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wa</w:t>
      </w:r>
      <w:r>
        <w:rPr>
          <w:rFonts w:ascii="Arial" w:cs="Arial" w:eastAsia="Arial" w:hAnsi="Arial"/>
          <w:sz w:val="17"/>
          <w:szCs w:val="17"/>
          <w:color w:val="111111"/>
        </w:rPr>
        <w:t>i</w:t>
      </w:r>
      <w:r>
        <w:rPr>
          <w:rFonts w:ascii="Arial" w:cs="Arial" w:eastAsia="Arial" w:hAnsi="Arial"/>
          <w:sz w:val="17"/>
          <w:szCs w:val="17"/>
          <w:color w:val="363636"/>
        </w:rPr>
        <w:t>ve</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363636"/>
        </w:rPr>
        <w:t>o</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262626"/>
        </w:rPr>
        <w:t>di</w:t>
      </w:r>
      <w:r>
        <w:rPr>
          <w:rFonts w:ascii="Arial" w:cs="Arial" w:eastAsia="Arial" w:hAnsi="Arial"/>
          <w:sz w:val="17"/>
          <w:szCs w:val="17"/>
          <w:color w:val="363636"/>
        </w:rPr>
        <w:t>sc</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r</w:t>
      </w:r>
      <w:r>
        <w:rPr>
          <w:rFonts w:ascii="Arial" w:cs="Arial" w:eastAsia="Arial" w:hAnsi="Arial"/>
          <w:sz w:val="17"/>
          <w:szCs w:val="17"/>
          <w:color w:val="363636"/>
        </w:rPr>
        <w:t>ge</w:t>
      </w:r>
      <w:r>
        <w:rPr>
          <w:rFonts w:ascii="Arial" w:cs="Arial" w:eastAsia="Arial" w:hAnsi="Arial"/>
          <w:sz w:val="17"/>
          <w:szCs w:val="17"/>
          <w:color w:val="262626"/>
        </w:rPr>
        <w:t xml:space="preserve"> i</w:t>
      </w:r>
      <w:r>
        <w:rPr>
          <w:rFonts w:ascii="Arial" w:cs="Arial" w:eastAsia="Arial" w:hAnsi="Arial"/>
          <w:sz w:val="17"/>
          <w:szCs w:val="17"/>
          <w:color w:val="363636"/>
        </w:rPr>
        <w:t>s agree</w:t>
      </w:r>
      <w:r>
        <w:rPr>
          <w:rFonts w:ascii="Arial" w:cs="Arial" w:eastAsia="Arial" w:hAnsi="Arial"/>
          <w:sz w:val="17"/>
          <w:szCs w:val="17"/>
          <w:color w:val="262626"/>
        </w:rPr>
        <w:t xml:space="preserve">d </w:t>
      </w:r>
      <w:r>
        <w:rPr>
          <w:rFonts w:ascii="Arial" w:cs="Arial" w:eastAsia="Arial" w:hAnsi="Arial"/>
          <w:sz w:val="17"/>
          <w:szCs w:val="17"/>
          <w:color w:val="363636"/>
        </w:rPr>
        <w:t>to</w:t>
      </w:r>
      <w:r>
        <w:rPr>
          <w:rFonts w:ascii="Arial" w:cs="Arial" w:eastAsia="Arial" w:hAnsi="Arial"/>
          <w:sz w:val="17"/>
          <w:szCs w:val="17"/>
          <w:color w:val="262626"/>
        </w:rPr>
        <w:t xml:space="preserve"> in </w:t>
      </w:r>
      <w:r>
        <w:rPr>
          <w:rFonts w:ascii="Arial" w:cs="Arial" w:eastAsia="Arial" w:hAnsi="Arial"/>
          <w:sz w:val="17"/>
          <w:szCs w:val="17"/>
          <w:color w:val="363636"/>
        </w:rPr>
        <w:t>writing an</w:t>
      </w:r>
      <w:r>
        <w:rPr>
          <w:rFonts w:ascii="Arial" w:cs="Arial" w:eastAsia="Arial" w:hAnsi="Arial"/>
          <w:sz w:val="17"/>
          <w:szCs w:val="17"/>
          <w:color w:val="262626"/>
        </w:rPr>
        <w:t xml:space="preserve">d </w:t>
      </w:r>
      <w:r>
        <w:rPr>
          <w:rFonts w:ascii="Arial" w:cs="Arial" w:eastAsia="Arial" w:hAnsi="Arial"/>
          <w:sz w:val="17"/>
          <w:szCs w:val="17"/>
          <w:color w:val="363636"/>
        </w:rPr>
        <w:t>signe</w:t>
      </w:r>
      <w:r>
        <w:rPr>
          <w:rFonts w:ascii="Arial" w:cs="Arial" w:eastAsia="Arial" w:hAnsi="Arial"/>
          <w:sz w:val="17"/>
          <w:szCs w:val="17"/>
          <w:color w:val="262626"/>
        </w:rPr>
        <w:t>d b</w:t>
      </w:r>
      <w:r>
        <w:rPr>
          <w:rFonts w:ascii="Arial" w:cs="Arial" w:eastAsia="Arial" w:hAnsi="Arial"/>
          <w:sz w:val="17"/>
          <w:szCs w:val="17"/>
          <w:color w:val="363636"/>
        </w:rPr>
        <w:t>y you an</w:t>
      </w:r>
      <w:r>
        <w:rPr>
          <w:rFonts w:ascii="Arial" w:cs="Arial" w:eastAsia="Arial" w:hAnsi="Arial"/>
          <w:sz w:val="17"/>
          <w:szCs w:val="17"/>
          <w:color w:val="262626"/>
        </w:rPr>
        <w:t>d b</w:t>
      </w:r>
      <w:r>
        <w:rPr>
          <w:rFonts w:ascii="Arial" w:cs="Arial" w:eastAsia="Arial" w:hAnsi="Arial"/>
          <w:sz w:val="17"/>
          <w:szCs w:val="17"/>
          <w:color w:val="363636"/>
        </w:rPr>
        <w:t>y an a</w:t>
      </w:r>
      <w:r>
        <w:rPr>
          <w:rFonts w:ascii="Arial" w:cs="Arial" w:eastAsia="Arial" w:hAnsi="Arial"/>
          <w:sz w:val="17"/>
          <w:szCs w:val="17"/>
          <w:color w:val="262626"/>
        </w:rPr>
        <w:t>u</w:t>
      </w:r>
      <w:r>
        <w:rPr>
          <w:rFonts w:ascii="Arial" w:cs="Arial" w:eastAsia="Arial" w:hAnsi="Arial"/>
          <w:sz w:val="17"/>
          <w:szCs w:val="17"/>
          <w:color w:val="363636"/>
        </w:rPr>
        <w:t>th</w:t>
      </w:r>
      <w:r>
        <w:rPr>
          <w:rFonts w:ascii="Arial" w:cs="Arial" w:eastAsia="Arial" w:hAnsi="Arial"/>
          <w:sz w:val="17"/>
          <w:szCs w:val="17"/>
          <w:color w:val="262626"/>
        </w:rPr>
        <w:t>or</w:t>
      </w:r>
      <w:r>
        <w:rPr>
          <w:rFonts w:ascii="Arial" w:cs="Arial" w:eastAsia="Arial" w:hAnsi="Arial"/>
          <w:sz w:val="17"/>
          <w:szCs w:val="17"/>
          <w:color w:val="363636"/>
        </w:rPr>
        <w:t>i</w:t>
      </w:r>
      <w:r>
        <w:rPr>
          <w:rFonts w:ascii="Arial" w:cs="Arial" w:eastAsia="Arial" w:hAnsi="Arial"/>
          <w:sz w:val="17"/>
          <w:szCs w:val="17"/>
          <w:color w:val="545454"/>
        </w:rPr>
        <w:t>z</w:t>
      </w:r>
      <w:r>
        <w:rPr>
          <w:rFonts w:ascii="Arial" w:cs="Arial" w:eastAsia="Arial" w:hAnsi="Arial"/>
          <w:sz w:val="17"/>
          <w:szCs w:val="17"/>
          <w:color w:val="363636"/>
        </w:rPr>
        <w:t>e</w:t>
      </w:r>
      <w:r>
        <w:rPr>
          <w:rFonts w:ascii="Arial" w:cs="Arial" w:eastAsia="Arial" w:hAnsi="Arial"/>
          <w:sz w:val="17"/>
          <w:szCs w:val="17"/>
          <w:color w:val="262626"/>
        </w:rPr>
        <w:t>d o</w:t>
      </w:r>
      <w:r>
        <w:rPr>
          <w:rFonts w:ascii="Arial" w:cs="Arial" w:eastAsia="Arial" w:hAnsi="Arial"/>
          <w:sz w:val="17"/>
          <w:szCs w:val="17"/>
          <w:color w:val="363636"/>
        </w:rPr>
        <w:t>ffi</w:t>
      </w:r>
      <w:r>
        <w:rPr>
          <w:rFonts w:ascii="Arial" w:cs="Arial" w:eastAsia="Arial" w:hAnsi="Arial"/>
          <w:sz w:val="17"/>
          <w:szCs w:val="17"/>
          <w:color w:val="262626"/>
        </w:rPr>
        <w:t>c</w:t>
      </w:r>
      <w:r>
        <w:rPr>
          <w:rFonts w:ascii="Arial" w:cs="Arial" w:eastAsia="Arial" w:hAnsi="Arial"/>
          <w:sz w:val="17"/>
          <w:szCs w:val="17"/>
          <w:color w:val="363636"/>
        </w:rPr>
        <w:t>e</w:t>
      </w:r>
      <w:r>
        <w:rPr>
          <w:rFonts w:ascii="Arial" w:cs="Arial" w:eastAsia="Arial" w:hAnsi="Arial"/>
          <w:sz w:val="17"/>
          <w:szCs w:val="17"/>
          <w:color w:val="262626"/>
        </w:rPr>
        <w:t>r o</w:t>
      </w:r>
      <w:r>
        <w:rPr>
          <w:rFonts w:ascii="Arial" w:cs="Arial" w:eastAsia="Arial" w:hAnsi="Arial"/>
          <w:sz w:val="17"/>
          <w:szCs w:val="17"/>
          <w:color w:val="363636"/>
        </w:rPr>
        <w:t>f the C</w:t>
      </w:r>
      <w:r>
        <w:rPr>
          <w:rFonts w:ascii="Arial" w:cs="Arial" w:eastAsia="Arial" w:hAnsi="Arial"/>
          <w:sz w:val="17"/>
          <w:szCs w:val="17"/>
          <w:color w:val="262626"/>
        </w:rPr>
        <w:t>o</w:t>
      </w:r>
      <w:r>
        <w:rPr>
          <w:rFonts w:ascii="Arial" w:cs="Arial" w:eastAsia="Arial" w:hAnsi="Arial"/>
          <w:sz w:val="17"/>
          <w:szCs w:val="17"/>
          <w:color w:val="363636"/>
        </w:rPr>
        <w:t>m</w:t>
      </w:r>
      <w:r>
        <w:rPr>
          <w:rFonts w:ascii="Arial" w:cs="Arial" w:eastAsia="Arial" w:hAnsi="Arial"/>
          <w:sz w:val="17"/>
          <w:szCs w:val="17"/>
          <w:color w:val="262626"/>
        </w:rPr>
        <w:t>p</w:t>
      </w:r>
      <w:r>
        <w:rPr>
          <w:rFonts w:ascii="Arial" w:cs="Arial" w:eastAsia="Arial" w:hAnsi="Arial"/>
          <w:sz w:val="17"/>
          <w:szCs w:val="17"/>
          <w:color w:val="363636"/>
        </w:rPr>
        <w:t>any (</w:t>
      </w:r>
      <w:r>
        <w:rPr>
          <w:rFonts w:ascii="Arial" w:cs="Arial" w:eastAsia="Arial" w:hAnsi="Arial"/>
          <w:sz w:val="17"/>
          <w:szCs w:val="17"/>
          <w:color w:val="262626"/>
        </w:rPr>
        <w:t>oth</w:t>
      </w:r>
      <w:r>
        <w:rPr>
          <w:rFonts w:ascii="Arial" w:cs="Arial" w:eastAsia="Arial" w:hAnsi="Arial"/>
          <w:sz w:val="17"/>
          <w:szCs w:val="17"/>
          <w:color w:val="363636"/>
        </w:rPr>
        <w:t>er</w:t>
      </w:r>
      <w:r>
        <w:rPr>
          <w:rFonts w:ascii="Arial" w:cs="Arial" w:eastAsia="Arial" w:hAnsi="Arial"/>
          <w:sz w:val="17"/>
          <w:szCs w:val="17"/>
          <w:color w:val="262626"/>
        </w:rPr>
        <w:t xml:space="preserve"> th</w:t>
      </w:r>
      <w:r>
        <w:rPr>
          <w:rFonts w:ascii="Arial" w:cs="Arial" w:eastAsia="Arial" w:hAnsi="Arial"/>
          <w:sz w:val="17"/>
          <w:szCs w:val="17"/>
          <w:color w:val="363636"/>
        </w:rPr>
        <w:t>an y</w:t>
      </w:r>
      <w:r>
        <w:rPr>
          <w:rFonts w:ascii="Arial" w:cs="Arial" w:eastAsia="Arial" w:hAnsi="Arial"/>
          <w:sz w:val="17"/>
          <w:szCs w:val="17"/>
          <w:color w:val="262626"/>
        </w:rPr>
        <w:t>ou</w:t>
      </w:r>
      <w:r>
        <w:rPr>
          <w:rFonts w:ascii="Arial" w:cs="Arial" w:eastAsia="Arial" w:hAnsi="Arial"/>
          <w:sz w:val="17"/>
          <w:szCs w:val="17"/>
          <w:color w:val="363636"/>
        </w:rPr>
        <w:t>). N</w:t>
      </w:r>
      <w:r>
        <w:rPr>
          <w:rFonts w:ascii="Arial" w:cs="Arial" w:eastAsia="Arial" w:hAnsi="Arial"/>
          <w:sz w:val="17"/>
          <w:szCs w:val="17"/>
          <w:color w:val="262626"/>
        </w:rPr>
        <w:t xml:space="preserve">o </w:t>
      </w:r>
      <w:r>
        <w:rPr>
          <w:rFonts w:ascii="Arial" w:cs="Arial" w:eastAsia="Arial" w:hAnsi="Arial"/>
          <w:sz w:val="17"/>
          <w:szCs w:val="17"/>
          <w:color w:val="363636"/>
        </w:rPr>
        <w:t>wa</w:t>
      </w:r>
      <w:r>
        <w:rPr>
          <w:rFonts w:ascii="Arial" w:cs="Arial" w:eastAsia="Arial" w:hAnsi="Arial"/>
          <w:sz w:val="17"/>
          <w:szCs w:val="17"/>
          <w:color w:val="262626"/>
        </w:rPr>
        <w:t>i</w:t>
      </w:r>
      <w:r>
        <w:rPr>
          <w:rFonts w:ascii="Arial" w:cs="Arial" w:eastAsia="Arial" w:hAnsi="Arial"/>
          <w:sz w:val="17"/>
          <w:szCs w:val="17"/>
          <w:color w:val="363636"/>
        </w:rPr>
        <w:t>ver</w:t>
      </w:r>
      <w:r>
        <w:rPr>
          <w:rFonts w:ascii="Arial" w:cs="Arial" w:eastAsia="Arial" w:hAnsi="Arial"/>
          <w:sz w:val="17"/>
          <w:szCs w:val="17"/>
          <w:color w:val="262626"/>
        </w:rPr>
        <w:t xml:space="preserve"> b</w:t>
      </w:r>
      <w:r>
        <w:rPr>
          <w:rFonts w:ascii="Arial" w:cs="Arial" w:eastAsia="Arial" w:hAnsi="Arial"/>
          <w:sz w:val="17"/>
          <w:szCs w:val="17"/>
          <w:color w:val="363636"/>
        </w:rPr>
        <w:t>y e</w:t>
      </w:r>
      <w:r>
        <w:rPr>
          <w:rFonts w:ascii="Arial" w:cs="Arial" w:eastAsia="Arial" w:hAnsi="Arial"/>
          <w:sz w:val="17"/>
          <w:szCs w:val="17"/>
          <w:color w:val="262626"/>
        </w:rPr>
        <w:t>i</w:t>
      </w:r>
      <w:r>
        <w:rPr>
          <w:rFonts w:ascii="Arial" w:cs="Arial" w:eastAsia="Arial" w:hAnsi="Arial"/>
          <w:sz w:val="17"/>
          <w:szCs w:val="17"/>
          <w:color w:val="363636"/>
        </w:rPr>
        <w:t>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 xml:space="preserve">r </w:t>
      </w:r>
      <w:r>
        <w:rPr>
          <w:rFonts w:ascii="Arial" w:cs="Arial" w:eastAsia="Arial" w:hAnsi="Arial"/>
          <w:sz w:val="17"/>
          <w:szCs w:val="17"/>
          <w:color w:val="363636"/>
        </w:rPr>
        <w:t>party</w:t>
      </w:r>
      <w:r>
        <w:rPr>
          <w:rFonts w:ascii="Arial" w:cs="Arial" w:eastAsia="Arial" w:hAnsi="Arial"/>
          <w:sz w:val="17"/>
          <w:szCs w:val="17"/>
          <w:color w:val="262626"/>
        </w:rPr>
        <w:t xml:space="preserve"> o</w:t>
      </w:r>
      <w:r>
        <w:rPr>
          <w:rFonts w:ascii="Arial" w:cs="Arial" w:eastAsia="Arial" w:hAnsi="Arial"/>
          <w:sz w:val="17"/>
          <w:szCs w:val="17"/>
          <w:color w:val="363636"/>
        </w:rPr>
        <w:t>f</w:t>
      </w:r>
      <w:r>
        <w:rPr>
          <w:rFonts w:ascii="Arial" w:cs="Arial" w:eastAsia="Arial" w:hAnsi="Arial"/>
          <w:sz w:val="17"/>
          <w:szCs w:val="17"/>
          <w:color w:val="262626"/>
        </w:rPr>
        <w:t xml:space="preserve"> any br</w:t>
      </w:r>
      <w:r>
        <w:rPr>
          <w:rFonts w:ascii="Arial" w:cs="Arial" w:eastAsia="Arial" w:hAnsi="Arial"/>
          <w:sz w:val="17"/>
          <w:szCs w:val="17"/>
          <w:color w:val="363636"/>
        </w:rPr>
        <w:t>ea</w:t>
      </w:r>
      <w:r>
        <w:rPr>
          <w:rFonts w:ascii="Arial" w:cs="Arial" w:eastAsia="Arial" w:hAnsi="Arial"/>
          <w:sz w:val="17"/>
          <w:szCs w:val="17"/>
          <w:color w:val="262626"/>
        </w:rPr>
        <w:t>c</w:t>
      </w:r>
      <w:r>
        <w:rPr>
          <w:rFonts w:ascii="Arial" w:cs="Arial" w:eastAsia="Arial" w:hAnsi="Arial"/>
          <w:sz w:val="17"/>
          <w:szCs w:val="17"/>
          <w:color w:val="363636"/>
        </w:rPr>
        <w:t>h</w:t>
      </w:r>
      <w:r>
        <w:rPr>
          <w:rFonts w:ascii="Arial" w:cs="Arial" w:eastAsia="Arial" w:hAnsi="Arial"/>
          <w:sz w:val="17"/>
          <w:szCs w:val="17"/>
          <w:color w:val="262626"/>
        </w:rPr>
        <w:t xml:space="preserve"> of</w:t>
      </w:r>
      <w:r>
        <w:rPr>
          <w:rFonts w:ascii="Arial" w:cs="Arial" w:eastAsia="Arial" w:hAnsi="Arial"/>
          <w:sz w:val="17"/>
          <w:szCs w:val="17"/>
          <w:color w:val="545454"/>
        </w:rPr>
        <w:t>,</w:t>
      </w:r>
      <w:r>
        <w:rPr>
          <w:rFonts w:ascii="Arial" w:cs="Arial" w:eastAsia="Arial" w:hAnsi="Arial"/>
          <w:sz w:val="17"/>
          <w:szCs w:val="17"/>
          <w:color w:val="262626"/>
        </w:rPr>
        <w:t xml:space="preserve"> or o</w:t>
      </w:r>
      <w:r>
        <w:rPr>
          <w:rFonts w:ascii="Arial" w:cs="Arial" w:eastAsia="Arial" w:hAnsi="Arial"/>
          <w:sz w:val="17"/>
          <w:szCs w:val="17"/>
          <w:color w:val="363636"/>
        </w:rPr>
        <w:t>f co</w:t>
      </w:r>
      <w:r>
        <w:rPr>
          <w:rFonts w:ascii="Arial" w:cs="Arial" w:eastAsia="Arial" w:hAnsi="Arial"/>
          <w:sz w:val="17"/>
          <w:szCs w:val="17"/>
          <w:color w:val="262626"/>
        </w:rPr>
        <w:t>mp</w:t>
      </w:r>
      <w:r>
        <w:rPr>
          <w:rFonts w:ascii="Arial" w:cs="Arial" w:eastAsia="Arial" w:hAnsi="Arial"/>
          <w:sz w:val="17"/>
          <w:szCs w:val="17"/>
          <w:color w:val="111111"/>
        </w:rPr>
        <w:t>li</w:t>
      </w:r>
      <w:r>
        <w:rPr>
          <w:rFonts w:ascii="Arial" w:cs="Arial" w:eastAsia="Arial" w:hAnsi="Arial"/>
          <w:sz w:val="17"/>
          <w:szCs w:val="17"/>
          <w:color w:val="363636"/>
        </w:rPr>
        <w:t>a</w:t>
      </w:r>
      <w:r>
        <w:rPr>
          <w:rFonts w:ascii="Arial" w:cs="Arial" w:eastAsia="Arial" w:hAnsi="Arial"/>
          <w:sz w:val="17"/>
          <w:szCs w:val="17"/>
          <w:color w:val="262626"/>
        </w:rPr>
        <w:t>n</w:t>
      </w:r>
      <w:r>
        <w:rPr>
          <w:rFonts w:ascii="Arial" w:cs="Arial" w:eastAsia="Arial" w:hAnsi="Arial"/>
          <w:sz w:val="17"/>
          <w:szCs w:val="17"/>
          <w:color w:val="363636"/>
        </w:rPr>
        <w:t>ce w</w:t>
      </w:r>
      <w:r>
        <w:rPr>
          <w:rFonts w:ascii="Arial" w:cs="Arial" w:eastAsia="Arial" w:hAnsi="Arial"/>
          <w:sz w:val="17"/>
          <w:szCs w:val="17"/>
          <w:color w:val="262626"/>
        </w:rPr>
        <w:t>ith</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n</w:t>
      </w:r>
      <w:r>
        <w:rPr>
          <w:rFonts w:ascii="Arial" w:cs="Arial" w:eastAsia="Arial" w:hAnsi="Arial"/>
          <w:sz w:val="17"/>
          <w:szCs w:val="17"/>
          <w:color w:val="363636"/>
        </w:rPr>
        <w:t>y c</w:t>
      </w:r>
      <w:r>
        <w:rPr>
          <w:rFonts w:ascii="Arial" w:cs="Arial" w:eastAsia="Arial" w:hAnsi="Arial"/>
          <w:sz w:val="17"/>
          <w:szCs w:val="17"/>
          <w:color w:val="262626"/>
        </w:rPr>
        <w:t>ondit</w:t>
      </w:r>
      <w:r>
        <w:rPr>
          <w:rFonts w:ascii="Arial" w:cs="Arial" w:eastAsia="Arial" w:hAnsi="Arial"/>
          <w:sz w:val="17"/>
          <w:szCs w:val="17"/>
          <w:color w:val="363636"/>
        </w:rPr>
        <w:t>i</w:t>
      </w:r>
      <w:r>
        <w:rPr>
          <w:rFonts w:ascii="Arial" w:cs="Arial" w:eastAsia="Arial" w:hAnsi="Arial"/>
          <w:sz w:val="17"/>
          <w:szCs w:val="17"/>
          <w:color w:val="262626"/>
        </w:rPr>
        <w:t>on or pro</w:t>
      </w:r>
      <w:r>
        <w:rPr>
          <w:rFonts w:ascii="Arial" w:cs="Arial" w:eastAsia="Arial" w:hAnsi="Arial"/>
          <w:sz w:val="17"/>
          <w:szCs w:val="17"/>
          <w:color w:val="363636"/>
        </w:rPr>
        <w:t>v</w:t>
      </w:r>
      <w:r>
        <w:rPr>
          <w:rFonts w:ascii="Arial" w:cs="Arial" w:eastAsia="Arial" w:hAnsi="Arial"/>
          <w:sz w:val="17"/>
          <w:szCs w:val="17"/>
          <w:color w:val="262626"/>
        </w:rPr>
        <w:t>i</w:t>
      </w:r>
      <w:r>
        <w:rPr>
          <w:rFonts w:ascii="Arial" w:cs="Arial" w:eastAsia="Arial" w:hAnsi="Arial"/>
          <w:sz w:val="17"/>
          <w:szCs w:val="17"/>
          <w:color w:val="363636"/>
        </w:rPr>
        <w:t>s</w:t>
      </w:r>
      <w:r>
        <w:rPr>
          <w:rFonts w:ascii="Arial" w:cs="Arial" w:eastAsia="Arial" w:hAnsi="Arial"/>
          <w:sz w:val="17"/>
          <w:szCs w:val="17"/>
          <w:color w:val="262626"/>
        </w:rPr>
        <w:t>ion o</w:t>
      </w:r>
      <w:r>
        <w:rPr>
          <w:rFonts w:ascii="Arial" w:cs="Arial" w:eastAsia="Arial" w:hAnsi="Arial"/>
          <w:sz w:val="17"/>
          <w:szCs w:val="17"/>
          <w:color w:val="363636"/>
        </w:rPr>
        <w:t>f</w:t>
      </w:r>
      <w:r>
        <w:rPr>
          <w:rFonts w:ascii="Arial" w:cs="Arial" w:eastAsia="Arial" w:hAnsi="Arial"/>
          <w:sz w:val="17"/>
          <w:szCs w:val="17"/>
          <w:color w:val="262626"/>
        </w:rPr>
        <w:t xml:space="preserve"> </w:t>
      </w:r>
      <w:r>
        <w:rPr>
          <w:rFonts w:ascii="Arial" w:cs="Arial" w:eastAsia="Arial" w:hAnsi="Arial"/>
          <w:sz w:val="17"/>
          <w:szCs w:val="17"/>
          <w:color w:val="111111"/>
        </w:rPr>
        <w:t>t</w:t>
      </w:r>
      <w:r>
        <w:rPr>
          <w:rFonts w:ascii="Arial" w:cs="Arial" w:eastAsia="Arial" w:hAnsi="Arial"/>
          <w:sz w:val="17"/>
          <w:szCs w:val="17"/>
          <w:color w:val="262626"/>
        </w:rPr>
        <w:t>hi</w:t>
      </w:r>
      <w:r>
        <w:rPr>
          <w:rFonts w:ascii="Arial" w:cs="Arial" w:eastAsia="Arial" w:hAnsi="Arial"/>
          <w:sz w:val="17"/>
          <w:szCs w:val="17"/>
          <w:color w:val="363636"/>
        </w:rPr>
        <w:t>s</w:t>
      </w:r>
      <w:r>
        <w:rPr>
          <w:rFonts w:ascii="Arial" w:cs="Arial" w:eastAsia="Arial" w:hAnsi="Arial"/>
          <w:sz w:val="17"/>
          <w:szCs w:val="17"/>
          <w:color w:val="262626"/>
        </w:rPr>
        <w:t xml:space="preserve"> A</w:t>
      </w:r>
      <w:r>
        <w:rPr>
          <w:rFonts w:ascii="Arial" w:cs="Arial" w:eastAsia="Arial" w:hAnsi="Arial"/>
          <w:sz w:val="17"/>
          <w:szCs w:val="17"/>
          <w:color w:val="363636"/>
        </w:rPr>
        <w:t>g</w:t>
      </w:r>
      <w:r>
        <w:rPr>
          <w:rFonts w:ascii="Arial" w:cs="Arial" w:eastAsia="Arial" w:hAnsi="Arial"/>
          <w:sz w:val="17"/>
          <w:szCs w:val="17"/>
          <w:color w:val="262626"/>
        </w:rPr>
        <w:t>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nt b</w:t>
      </w:r>
      <w:r>
        <w:rPr>
          <w:rFonts w:ascii="Arial" w:cs="Arial" w:eastAsia="Arial" w:hAnsi="Arial"/>
          <w:sz w:val="17"/>
          <w:szCs w:val="17"/>
          <w:color w:val="363636"/>
        </w:rPr>
        <w:t>y</w:t>
      </w:r>
      <w:r>
        <w:rPr>
          <w:rFonts w:ascii="Arial" w:cs="Arial" w:eastAsia="Arial" w:hAnsi="Arial"/>
          <w:sz w:val="17"/>
          <w:szCs w:val="17"/>
          <w:color w:val="262626"/>
        </w:rPr>
        <w:t xml:space="preserve"> th</w:t>
      </w:r>
      <w:r>
        <w:rPr>
          <w:rFonts w:ascii="Arial" w:cs="Arial" w:eastAsia="Arial" w:hAnsi="Arial"/>
          <w:sz w:val="17"/>
          <w:szCs w:val="17"/>
          <w:color w:val="363636"/>
        </w:rPr>
        <w:t>e</w:t>
      </w:r>
      <w:r>
        <w:rPr>
          <w:rFonts w:ascii="Arial" w:cs="Arial" w:eastAsia="Arial" w:hAnsi="Arial"/>
          <w:sz w:val="17"/>
          <w:szCs w:val="17"/>
          <w:color w:val="262626"/>
        </w:rPr>
        <w:t xml:space="preserve"> oth</w:t>
      </w:r>
      <w:r>
        <w:rPr>
          <w:rFonts w:ascii="Arial" w:cs="Arial" w:eastAsia="Arial" w:hAnsi="Arial"/>
          <w:sz w:val="17"/>
          <w:szCs w:val="17"/>
          <w:color w:val="363636"/>
        </w:rPr>
        <w:t>er</w:t>
      </w:r>
      <w:r>
        <w:rPr>
          <w:rFonts w:ascii="Arial" w:cs="Arial" w:eastAsia="Arial" w:hAnsi="Arial"/>
          <w:sz w:val="17"/>
          <w:szCs w:val="17"/>
          <w:color w:val="262626"/>
        </w:rPr>
        <w:t xml:space="preserve"> par</w:t>
      </w:r>
      <w:r>
        <w:rPr>
          <w:rFonts w:ascii="Arial" w:cs="Arial" w:eastAsia="Arial" w:hAnsi="Arial"/>
          <w:sz w:val="17"/>
          <w:szCs w:val="17"/>
          <w:color w:val="363636"/>
        </w:rPr>
        <w:t>ty s</w:t>
      </w:r>
      <w:r>
        <w:rPr>
          <w:rFonts w:ascii="Arial" w:cs="Arial" w:eastAsia="Arial" w:hAnsi="Arial"/>
          <w:sz w:val="17"/>
          <w:szCs w:val="17"/>
          <w:color w:val="262626"/>
        </w:rPr>
        <w:t>hall b</w:t>
      </w:r>
      <w:r>
        <w:rPr>
          <w:rFonts w:ascii="Arial" w:cs="Arial" w:eastAsia="Arial" w:hAnsi="Arial"/>
          <w:sz w:val="17"/>
          <w:szCs w:val="17"/>
          <w:color w:val="363636"/>
        </w:rPr>
        <w:t>e</w:t>
      </w:r>
      <w:r>
        <w:rPr>
          <w:rFonts w:ascii="Arial" w:cs="Arial" w:eastAsia="Arial" w:hAnsi="Arial"/>
          <w:sz w:val="17"/>
          <w:szCs w:val="17"/>
          <w:color w:val="262626"/>
        </w:rPr>
        <w:t xml:space="preserve"> co</w:t>
      </w:r>
      <w:r>
        <w:rPr>
          <w:rFonts w:ascii="Arial" w:cs="Arial" w:eastAsia="Arial" w:hAnsi="Arial"/>
          <w:sz w:val="17"/>
          <w:szCs w:val="17"/>
          <w:color w:val="363636"/>
        </w:rPr>
        <w:t>nsi</w:t>
      </w:r>
      <w:r>
        <w:rPr>
          <w:rFonts w:ascii="Arial" w:cs="Arial" w:eastAsia="Arial" w:hAnsi="Arial"/>
          <w:sz w:val="17"/>
          <w:szCs w:val="17"/>
          <w:color w:val="262626"/>
        </w:rPr>
        <w:t>d</w:t>
      </w:r>
      <w:r>
        <w:rPr>
          <w:rFonts w:ascii="Arial" w:cs="Arial" w:eastAsia="Arial" w:hAnsi="Arial"/>
          <w:sz w:val="17"/>
          <w:szCs w:val="17"/>
          <w:color w:val="363636"/>
        </w:rPr>
        <w:t>ere</w:t>
      </w:r>
      <w:r>
        <w:rPr>
          <w:rFonts w:ascii="Arial" w:cs="Arial" w:eastAsia="Arial" w:hAnsi="Arial"/>
          <w:sz w:val="17"/>
          <w:szCs w:val="17"/>
          <w:color w:val="262626"/>
        </w:rPr>
        <w:t xml:space="preserve">d </w:t>
      </w:r>
      <w:r>
        <w:rPr>
          <w:rFonts w:ascii="Arial" w:cs="Arial" w:eastAsia="Arial" w:hAnsi="Arial"/>
          <w:sz w:val="17"/>
          <w:szCs w:val="17"/>
          <w:color w:val="363636"/>
        </w:rPr>
        <w:t>a wa</w:t>
      </w:r>
      <w:r>
        <w:rPr>
          <w:rFonts w:ascii="Arial" w:cs="Arial" w:eastAsia="Arial" w:hAnsi="Arial"/>
          <w:sz w:val="17"/>
          <w:szCs w:val="17"/>
          <w:color w:val="262626"/>
        </w:rPr>
        <w:t>i</w:t>
      </w:r>
      <w:r>
        <w:rPr>
          <w:rFonts w:ascii="Arial" w:cs="Arial" w:eastAsia="Arial" w:hAnsi="Arial"/>
          <w:sz w:val="17"/>
          <w:szCs w:val="17"/>
          <w:color w:val="363636"/>
        </w:rPr>
        <w:t>ve</w:t>
      </w:r>
      <w:r>
        <w:rPr>
          <w:rFonts w:ascii="Arial" w:cs="Arial" w:eastAsia="Arial" w:hAnsi="Arial"/>
          <w:sz w:val="17"/>
          <w:szCs w:val="17"/>
          <w:color w:val="262626"/>
        </w:rPr>
        <w:t>r o</w:t>
      </w:r>
      <w:r>
        <w:rPr>
          <w:rFonts w:ascii="Arial" w:cs="Arial" w:eastAsia="Arial" w:hAnsi="Arial"/>
          <w:sz w:val="17"/>
          <w:szCs w:val="17"/>
          <w:color w:val="363636"/>
        </w:rPr>
        <w:t>f any</w:t>
      </w:r>
      <w:r>
        <w:rPr>
          <w:rFonts w:ascii="Arial" w:cs="Arial" w:eastAsia="Arial" w:hAnsi="Arial"/>
          <w:sz w:val="17"/>
          <w:szCs w:val="17"/>
          <w:color w:val="262626"/>
        </w:rPr>
        <w:t xml:space="preserve"> o</w:t>
      </w:r>
      <w:r>
        <w:rPr>
          <w:rFonts w:ascii="Arial" w:cs="Arial" w:eastAsia="Arial" w:hAnsi="Arial"/>
          <w:sz w:val="17"/>
          <w:szCs w:val="17"/>
          <w:color w:val="363636"/>
        </w:rPr>
        <w:t>th</w:t>
      </w:r>
      <w:r>
        <w:rPr>
          <w:rFonts w:ascii="Arial" w:cs="Arial" w:eastAsia="Arial" w:hAnsi="Arial"/>
          <w:sz w:val="17"/>
          <w:szCs w:val="17"/>
          <w:color w:val="262626"/>
        </w:rPr>
        <w:t>e</w:t>
      </w:r>
      <w:r>
        <w:rPr>
          <w:rFonts w:ascii="Arial" w:cs="Arial" w:eastAsia="Arial" w:hAnsi="Arial"/>
          <w:sz w:val="17"/>
          <w:szCs w:val="17"/>
          <w:color w:val="363636"/>
        </w:rPr>
        <w:t>r c</w:t>
      </w:r>
      <w:r>
        <w:rPr>
          <w:rFonts w:ascii="Arial" w:cs="Arial" w:eastAsia="Arial" w:hAnsi="Arial"/>
          <w:sz w:val="17"/>
          <w:szCs w:val="17"/>
          <w:color w:val="262626"/>
        </w:rPr>
        <w:t>ondi</w:t>
      </w:r>
      <w:r>
        <w:rPr>
          <w:rFonts w:ascii="Arial" w:cs="Arial" w:eastAsia="Arial" w:hAnsi="Arial"/>
          <w:sz w:val="17"/>
          <w:szCs w:val="17"/>
          <w:color w:val="363636"/>
        </w:rPr>
        <w:t>ti</w:t>
      </w:r>
      <w:r>
        <w:rPr>
          <w:rFonts w:ascii="Arial" w:cs="Arial" w:eastAsia="Arial" w:hAnsi="Arial"/>
          <w:sz w:val="17"/>
          <w:szCs w:val="17"/>
          <w:color w:val="262626"/>
        </w:rPr>
        <w:t>o</w:t>
      </w:r>
      <w:r>
        <w:rPr>
          <w:rFonts w:ascii="Arial" w:cs="Arial" w:eastAsia="Arial" w:hAnsi="Arial"/>
          <w:sz w:val="17"/>
          <w:szCs w:val="17"/>
          <w:color w:val="363636"/>
        </w:rPr>
        <w:t>n</w:t>
      </w:r>
      <w:r>
        <w:rPr>
          <w:rFonts w:ascii="Arial" w:cs="Arial" w:eastAsia="Arial" w:hAnsi="Arial"/>
          <w:sz w:val="17"/>
          <w:szCs w:val="17"/>
          <w:color w:val="262626"/>
        </w:rPr>
        <w:t xml:space="preserve"> or pro</w:t>
      </w:r>
      <w:r>
        <w:rPr>
          <w:rFonts w:ascii="Arial" w:cs="Arial" w:eastAsia="Arial" w:hAnsi="Arial"/>
          <w:sz w:val="17"/>
          <w:szCs w:val="17"/>
          <w:color w:val="363636"/>
        </w:rPr>
        <w:t>v</w:t>
      </w:r>
      <w:r>
        <w:rPr>
          <w:rFonts w:ascii="Arial" w:cs="Arial" w:eastAsia="Arial" w:hAnsi="Arial"/>
          <w:sz w:val="17"/>
          <w:szCs w:val="17"/>
          <w:color w:val="262626"/>
        </w:rPr>
        <w:t>i</w:t>
      </w:r>
      <w:r>
        <w:rPr>
          <w:rFonts w:ascii="Arial" w:cs="Arial" w:eastAsia="Arial" w:hAnsi="Arial"/>
          <w:sz w:val="17"/>
          <w:szCs w:val="17"/>
          <w:color w:val="363636"/>
        </w:rPr>
        <w:t>si</w:t>
      </w:r>
      <w:r>
        <w:rPr>
          <w:rFonts w:ascii="Arial" w:cs="Arial" w:eastAsia="Arial" w:hAnsi="Arial"/>
          <w:sz w:val="17"/>
          <w:szCs w:val="17"/>
          <w:color w:val="262626"/>
        </w:rPr>
        <w:t>on o</w:t>
      </w:r>
      <w:r>
        <w:rPr>
          <w:rFonts w:ascii="Arial" w:cs="Arial" w:eastAsia="Arial" w:hAnsi="Arial"/>
          <w:sz w:val="17"/>
          <w:szCs w:val="17"/>
          <w:color w:val="363636"/>
        </w:rPr>
        <w:t>r</w:t>
      </w:r>
      <w:r>
        <w:rPr>
          <w:rFonts w:ascii="Arial" w:cs="Arial" w:eastAsia="Arial" w:hAnsi="Arial"/>
          <w:sz w:val="17"/>
          <w:szCs w:val="17"/>
          <w:color w:val="262626"/>
        </w:rPr>
        <w:t xml:space="preserve"> o</w:t>
      </w:r>
      <w:r>
        <w:rPr>
          <w:rFonts w:ascii="Arial" w:cs="Arial" w:eastAsia="Arial" w:hAnsi="Arial"/>
          <w:sz w:val="17"/>
          <w:szCs w:val="17"/>
          <w:color w:val="363636"/>
        </w:rPr>
        <w:t>f t</w:t>
      </w:r>
      <w:r>
        <w:rPr>
          <w:rFonts w:ascii="Arial" w:cs="Arial" w:eastAsia="Arial" w:hAnsi="Arial"/>
          <w:sz w:val="17"/>
          <w:szCs w:val="17"/>
          <w:color w:val="262626"/>
        </w:rPr>
        <w:t>h</w:t>
      </w:r>
      <w:r>
        <w:rPr>
          <w:rFonts w:ascii="Arial" w:cs="Arial" w:eastAsia="Arial" w:hAnsi="Arial"/>
          <w:sz w:val="17"/>
          <w:szCs w:val="17"/>
          <w:color w:val="363636"/>
        </w:rPr>
        <w:t>e same c</w:t>
      </w:r>
      <w:r>
        <w:rPr>
          <w:rFonts w:ascii="Arial" w:cs="Arial" w:eastAsia="Arial" w:hAnsi="Arial"/>
          <w:sz w:val="17"/>
          <w:szCs w:val="17"/>
          <w:color w:val="262626"/>
        </w:rPr>
        <w:t>o</w:t>
      </w:r>
      <w:r>
        <w:rPr>
          <w:rFonts w:ascii="Arial" w:cs="Arial" w:eastAsia="Arial" w:hAnsi="Arial"/>
          <w:sz w:val="17"/>
          <w:szCs w:val="17"/>
          <w:color w:val="363636"/>
        </w:rPr>
        <w:t>n</w:t>
      </w:r>
      <w:r>
        <w:rPr>
          <w:rFonts w:ascii="Arial" w:cs="Arial" w:eastAsia="Arial" w:hAnsi="Arial"/>
          <w:sz w:val="17"/>
          <w:szCs w:val="17"/>
          <w:color w:val="262626"/>
        </w:rPr>
        <w:t>dit</w:t>
      </w:r>
      <w:r>
        <w:rPr>
          <w:rFonts w:ascii="Arial" w:cs="Arial" w:eastAsia="Arial" w:hAnsi="Arial"/>
          <w:sz w:val="17"/>
          <w:szCs w:val="17"/>
          <w:color w:val="363636"/>
        </w:rPr>
        <w:t>i</w:t>
      </w:r>
      <w:r>
        <w:rPr>
          <w:rFonts w:ascii="Arial" w:cs="Arial" w:eastAsia="Arial" w:hAnsi="Arial"/>
          <w:sz w:val="17"/>
          <w:szCs w:val="17"/>
          <w:color w:val="262626"/>
        </w:rPr>
        <w:t>o</w:t>
      </w:r>
      <w:r>
        <w:rPr>
          <w:rFonts w:ascii="Arial" w:cs="Arial" w:eastAsia="Arial" w:hAnsi="Arial"/>
          <w:sz w:val="17"/>
          <w:szCs w:val="17"/>
          <w:color w:val="363636"/>
        </w:rPr>
        <w:t>n</w:t>
      </w:r>
      <w:r>
        <w:rPr>
          <w:rFonts w:ascii="Arial" w:cs="Arial" w:eastAsia="Arial" w:hAnsi="Arial"/>
          <w:sz w:val="17"/>
          <w:szCs w:val="17"/>
          <w:color w:val="262626"/>
        </w:rPr>
        <w:t xml:space="preserve"> or pro</w:t>
      </w:r>
      <w:r>
        <w:rPr>
          <w:rFonts w:ascii="Arial" w:cs="Arial" w:eastAsia="Arial" w:hAnsi="Arial"/>
          <w:sz w:val="17"/>
          <w:szCs w:val="17"/>
          <w:color w:val="363636"/>
        </w:rPr>
        <w:t>v</w:t>
      </w:r>
      <w:r>
        <w:rPr>
          <w:rFonts w:ascii="Arial" w:cs="Arial" w:eastAsia="Arial" w:hAnsi="Arial"/>
          <w:sz w:val="17"/>
          <w:szCs w:val="17"/>
          <w:color w:val="262626"/>
        </w:rPr>
        <w:t>i</w:t>
      </w:r>
      <w:r>
        <w:rPr>
          <w:rFonts w:ascii="Arial" w:cs="Arial" w:eastAsia="Arial" w:hAnsi="Arial"/>
          <w:sz w:val="17"/>
          <w:szCs w:val="17"/>
          <w:color w:val="363636"/>
        </w:rPr>
        <w:t>si</w:t>
      </w:r>
      <w:r>
        <w:rPr>
          <w:rFonts w:ascii="Arial" w:cs="Arial" w:eastAsia="Arial" w:hAnsi="Arial"/>
          <w:sz w:val="17"/>
          <w:szCs w:val="17"/>
          <w:color w:val="262626"/>
        </w:rPr>
        <w:t xml:space="preserve">on </w:t>
      </w:r>
      <w:r>
        <w:rPr>
          <w:rFonts w:ascii="Arial" w:cs="Arial" w:eastAsia="Arial" w:hAnsi="Arial"/>
          <w:sz w:val="17"/>
          <w:szCs w:val="17"/>
          <w:color w:val="363636"/>
        </w:rPr>
        <w:t>at an</w:t>
      </w:r>
      <w:r>
        <w:rPr>
          <w:rFonts w:ascii="Arial" w:cs="Arial" w:eastAsia="Arial" w:hAnsi="Arial"/>
          <w:sz w:val="17"/>
          <w:szCs w:val="17"/>
          <w:color w:val="262626"/>
        </w:rPr>
        <w:t>o</w:t>
      </w:r>
      <w:r>
        <w:rPr>
          <w:rFonts w:ascii="Arial" w:cs="Arial" w:eastAsia="Arial" w:hAnsi="Arial"/>
          <w:sz w:val="17"/>
          <w:szCs w:val="17"/>
          <w:color w:val="363636"/>
        </w:rPr>
        <w:t>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r tim</w:t>
      </w:r>
      <w:r>
        <w:rPr>
          <w:rFonts w:ascii="Arial" w:cs="Arial" w:eastAsia="Arial" w:hAnsi="Arial"/>
          <w:sz w:val="17"/>
          <w:szCs w:val="17"/>
          <w:color w:val="363636"/>
        </w:rPr>
        <w:t>e</w:t>
      </w:r>
      <w:r>
        <w:rPr>
          <w:rFonts w:ascii="Arial" w:cs="Arial" w:eastAsia="Arial" w:hAnsi="Arial"/>
          <w:sz w:val="17"/>
          <w:szCs w:val="17"/>
          <w:color w:val="111111"/>
        </w:rPr>
        <w:t>.</w:t>
      </w:r>
    </w:p>
    <w:p>
      <w:pPr>
        <w:ind w:left="1080" w:hanging="286"/>
        <w:spacing w:after="0"/>
        <w:tabs>
          <w:tab w:leader="none" w:pos="1080" w:val="left"/>
        </w:tabs>
        <w:numPr>
          <w:ilvl w:val="0"/>
          <w:numId w:val="336"/>
        </w:numPr>
        <w:rPr>
          <w:rFonts w:ascii="Arial" w:cs="Arial" w:eastAsia="Arial" w:hAnsi="Arial"/>
          <w:sz w:val="17"/>
          <w:szCs w:val="17"/>
          <w:color w:val="262626"/>
        </w:rPr>
      </w:pPr>
      <w:r>
        <w:rPr>
          <w:rFonts w:ascii="Arial" w:cs="Arial" w:eastAsia="Arial" w:hAnsi="Arial"/>
          <w:sz w:val="18"/>
          <w:szCs w:val="18"/>
          <w:b w:val="1"/>
          <w:bCs w:val="1"/>
          <w:u w:val="single" w:color="auto"/>
          <w:color w:val="262626"/>
        </w:rPr>
        <w:t>Wh</w:t>
      </w:r>
      <w:r>
        <w:rPr>
          <w:rFonts w:ascii="Arial" w:cs="Arial" w:eastAsia="Arial" w:hAnsi="Arial"/>
          <w:sz w:val="18"/>
          <w:szCs w:val="18"/>
          <w:b w:val="1"/>
          <w:bCs w:val="1"/>
          <w:u w:val="single" w:color="auto"/>
          <w:color w:val="111111"/>
        </w:rPr>
        <w:t>ol</w:t>
      </w:r>
      <w:r>
        <w:rPr>
          <w:rFonts w:ascii="Arial" w:cs="Arial" w:eastAsia="Arial" w:hAnsi="Arial"/>
          <w:sz w:val="18"/>
          <w:szCs w:val="18"/>
          <w:b w:val="1"/>
          <w:bCs w:val="1"/>
          <w:u w:val="single" w:color="auto"/>
          <w:color w:val="262626"/>
        </w:rPr>
        <w:t>e Ag</w:t>
      </w:r>
      <w:r>
        <w:rPr>
          <w:rFonts w:ascii="Arial" w:cs="Arial" w:eastAsia="Arial" w:hAnsi="Arial"/>
          <w:sz w:val="18"/>
          <w:szCs w:val="18"/>
          <w:b w:val="1"/>
          <w:bCs w:val="1"/>
          <w:u w:val="single" w:color="auto"/>
          <w:color w:val="111111"/>
        </w:rPr>
        <w:t>r</w:t>
      </w:r>
      <w:r>
        <w:rPr>
          <w:rFonts w:ascii="Arial" w:cs="Arial" w:eastAsia="Arial" w:hAnsi="Arial"/>
          <w:sz w:val="18"/>
          <w:szCs w:val="18"/>
          <w:b w:val="1"/>
          <w:bCs w:val="1"/>
          <w:u w:val="single" w:color="auto"/>
          <w:color w:val="262626"/>
        </w:rPr>
        <w:t>eement</w:t>
      </w:r>
      <w:r>
        <w:rPr>
          <w:rFonts w:ascii="Arial" w:cs="Arial" w:eastAsia="Arial" w:hAnsi="Arial"/>
          <w:sz w:val="18"/>
          <w:szCs w:val="18"/>
          <w:b w:val="1"/>
          <w:bCs w:val="1"/>
          <w:color w:val="262626"/>
        </w:rPr>
        <w:t xml:space="preserve">. </w:t>
      </w:r>
      <w:r>
        <w:rPr>
          <w:rFonts w:ascii="Arial" w:cs="Arial" w:eastAsia="Arial" w:hAnsi="Arial"/>
          <w:sz w:val="16"/>
          <w:szCs w:val="16"/>
          <w:color w:val="363636"/>
        </w:rPr>
        <w:t>N</w:t>
      </w:r>
      <w:r>
        <w:rPr>
          <w:rFonts w:ascii="Arial" w:cs="Arial" w:eastAsia="Arial" w:hAnsi="Arial"/>
          <w:sz w:val="16"/>
          <w:szCs w:val="16"/>
          <w:color w:val="262626"/>
        </w:rPr>
        <w:t>o oth</w:t>
      </w:r>
      <w:r>
        <w:rPr>
          <w:rFonts w:ascii="Arial" w:cs="Arial" w:eastAsia="Arial" w:hAnsi="Arial"/>
          <w:sz w:val="16"/>
          <w:szCs w:val="16"/>
          <w:color w:val="363636"/>
        </w:rPr>
        <w:t>er ag</w:t>
      </w:r>
      <w:r>
        <w:rPr>
          <w:rFonts w:ascii="Arial" w:cs="Arial" w:eastAsia="Arial" w:hAnsi="Arial"/>
          <w:sz w:val="16"/>
          <w:szCs w:val="16"/>
          <w:color w:val="262626"/>
        </w:rPr>
        <w:t>reemen</w:t>
      </w:r>
      <w:r>
        <w:rPr>
          <w:rFonts w:ascii="Arial" w:cs="Arial" w:eastAsia="Arial" w:hAnsi="Arial"/>
          <w:sz w:val="16"/>
          <w:szCs w:val="16"/>
          <w:color w:val="363636"/>
        </w:rPr>
        <w:t>ts</w:t>
      </w:r>
      <w:r>
        <w:rPr>
          <w:rFonts w:ascii="Arial" w:cs="Arial" w:eastAsia="Arial" w:hAnsi="Arial"/>
          <w:sz w:val="16"/>
          <w:szCs w:val="16"/>
          <w:color w:val="545454"/>
        </w:rPr>
        <w:t>,</w:t>
      </w:r>
      <w:r>
        <w:rPr>
          <w:rFonts w:ascii="Arial" w:cs="Arial" w:eastAsia="Arial" w:hAnsi="Arial"/>
          <w:sz w:val="18"/>
          <w:szCs w:val="18"/>
          <w:b w:val="1"/>
          <w:bCs w:val="1"/>
          <w:color w:val="262626"/>
        </w:rPr>
        <w:t xml:space="preserve"> </w:t>
      </w:r>
      <w:r>
        <w:rPr>
          <w:rFonts w:ascii="Arial" w:cs="Arial" w:eastAsia="Arial" w:hAnsi="Arial"/>
          <w:sz w:val="16"/>
          <w:szCs w:val="16"/>
          <w:color w:val="363636"/>
        </w:rPr>
        <w:t>re</w:t>
      </w:r>
      <w:r>
        <w:rPr>
          <w:rFonts w:ascii="Arial" w:cs="Arial" w:eastAsia="Arial" w:hAnsi="Arial"/>
          <w:sz w:val="16"/>
          <w:szCs w:val="16"/>
          <w:color w:val="262626"/>
        </w:rPr>
        <w:t>p</w:t>
      </w:r>
      <w:r>
        <w:rPr>
          <w:rFonts w:ascii="Arial" w:cs="Arial" w:eastAsia="Arial" w:hAnsi="Arial"/>
          <w:sz w:val="16"/>
          <w:szCs w:val="16"/>
          <w:color w:val="363636"/>
        </w:rPr>
        <w:t>resentations</w:t>
      </w:r>
      <w:r>
        <w:rPr>
          <w:rFonts w:ascii="Arial" w:cs="Arial" w:eastAsia="Arial" w:hAnsi="Arial"/>
          <w:sz w:val="18"/>
          <w:szCs w:val="18"/>
          <w:b w:val="1"/>
          <w:bCs w:val="1"/>
          <w:color w:val="262626"/>
        </w:rPr>
        <w:t xml:space="preserve"> </w:t>
      </w:r>
      <w:r>
        <w:rPr>
          <w:rFonts w:ascii="Arial" w:cs="Arial" w:eastAsia="Arial" w:hAnsi="Arial"/>
          <w:sz w:val="16"/>
          <w:szCs w:val="16"/>
          <w:color w:val="262626"/>
        </w:rPr>
        <w:t>o</w:t>
      </w:r>
      <w:r>
        <w:rPr>
          <w:rFonts w:ascii="Arial" w:cs="Arial" w:eastAsia="Arial" w:hAnsi="Arial"/>
          <w:sz w:val="16"/>
          <w:szCs w:val="16"/>
          <w:color w:val="363636"/>
        </w:rPr>
        <w:t>r</w:t>
      </w:r>
      <w:r>
        <w:rPr>
          <w:rFonts w:ascii="Arial" w:cs="Arial" w:eastAsia="Arial" w:hAnsi="Arial"/>
          <w:sz w:val="18"/>
          <w:szCs w:val="18"/>
          <w:b w:val="1"/>
          <w:bCs w:val="1"/>
          <w:color w:val="262626"/>
        </w:rPr>
        <w:t xml:space="preserve"> </w:t>
      </w:r>
      <w:r>
        <w:rPr>
          <w:rFonts w:ascii="Arial" w:cs="Arial" w:eastAsia="Arial" w:hAnsi="Arial"/>
          <w:sz w:val="16"/>
          <w:szCs w:val="16"/>
          <w:color w:val="262626"/>
        </w:rPr>
        <w:t>u</w:t>
      </w:r>
      <w:r>
        <w:rPr>
          <w:rFonts w:ascii="Arial" w:cs="Arial" w:eastAsia="Arial" w:hAnsi="Arial"/>
          <w:sz w:val="16"/>
          <w:szCs w:val="16"/>
          <w:color w:val="363636"/>
        </w:rPr>
        <w:t>n</w:t>
      </w:r>
      <w:r>
        <w:rPr>
          <w:rFonts w:ascii="Arial" w:cs="Arial" w:eastAsia="Arial" w:hAnsi="Arial"/>
          <w:sz w:val="16"/>
          <w:szCs w:val="16"/>
          <w:color w:val="262626"/>
        </w:rPr>
        <w:t>d</w:t>
      </w:r>
      <w:r>
        <w:rPr>
          <w:rFonts w:ascii="Arial" w:cs="Arial" w:eastAsia="Arial" w:hAnsi="Arial"/>
          <w:sz w:val="16"/>
          <w:szCs w:val="16"/>
          <w:color w:val="363636"/>
        </w:rPr>
        <w:t>ers</w:t>
      </w:r>
      <w:r>
        <w:rPr>
          <w:rFonts w:ascii="Arial" w:cs="Arial" w:eastAsia="Arial" w:hAnsi="Arial"/>
          <w:sz w:val="16"/>
          <w:szCs w:val="16"/>
          <w:color w:val="262626"/>
        </w:rPr>
        <w:t>t</w:t>
      </w:r>
      <w:r>
        <w:rPr>
          <w:rFonts w:ascii="Arial" w:cs="Arial" w:eastAsia="Arial" w:hAnsi="Arial"/>
          <w:sz w:val="16"/>
          <w:szCs w:val="16"/>
          <w:color w:val="363636"/>
        </w:rPr>
        <w:t>an</w:t>
      </w:r>
      <w:r>
        <w:rPr>
          <w:rFonts w:ascii="Arial" w:cs="Arial" w:eastAsia="Arial" w:hAnsi="Arial"/>
          <w:sz w:val="16"/>
          <w:szCs w:val="16"/>
          <w:color w:val="262626"/>
        </w:rPr>
        <w:t>d</w:t>
      </w:r>
      <w:r>
        <w:rPr>
          <w:rFonts w:ascii="Arial" w:cs="Arial" w:eastAsia="Arial" w:hAnsi="Arial"/>
          <w:sz w:val="16"/>
          <w:szCs w:val="16"/>
          <w:color w:val="363636"/>
        </w:rPr>
        <w:t>ings (w</w:t>
      </w:r>
      <w:r>
        <w:rPr>
          <w:rFonts w:ascii="Arial" w:cs="Arial" w:eastAsia="Arial" w:hAnsi="Arial"/>
          <w:sz w:val="16"/>
          <w:szCs w:val="16"/>
          <w:color w:val="262626"/>
        </w:rPr>
        <w:t>h</w:t>
      </w:r>
      <w:r>
        <w:rPr>
          <w:rFonts w:ascii="Arial" w:cs="Arial" w:eastAsia="Arial" w:hAnsi="Arial"/>
          <w:sz w:val="16"/>
          <w:szCs w:val="16"/>
          <w:color w:val="363636"/>
        </w:rPr>
        <w:t>et</w:t>
      </w:r>
      <w:r>
        <w:rPr>
          <w:rFonts w:ascii="Arial" w:cs="Arial" w:eastAsia="Arial" w:hAnsi="Arial"/>
          <w:sz w:val="16"/>
          <w:szCs w:val="16"/>
          <w:color w:val="262626"/>
        </w:rPr>
        <w:t>h</w:t>
      </w:r>
      <w:r>
        <w:rPr>
          <w:rFonts w:ascii="Arial" w:cs="Arial" w:eastAsia="Arial" w:hAnsi="Arial"/>
          <w:sz w:val="16"/>
          <w:szCs w:val="16"/>
          <w:color w:val="363636"/>
        </w:rPr>
        <w:t>e</w:t>
      </w:r>
      <w:r>
        <w:rPr>
          <w:rFonts w:ascii="Arial" w:cs="Arial" w:eastAsia="Arial" w:hAnsi="Arial"/>
          <w:sz w:val="16"/>
          <w:szCs w:val="16"/>
          <w:color w:val="262626"/>
        </w:rPr>
        <w:t>r or</w:t>
      </w:r>
      <w:r>
        <w:rPr>
          <w:rFonts w:ascii="Arial" w:cs="Arial" w:eastAsia="Arial" w:hAnsi="Arial"/>
          <w:sz w:val="16"/>
          <w:szCs w:val="16"/>
          <w:color w:val="363636"/>
        </w:rPr>
        <w:t>a</w:t>
      </w:r>
      <w:r>
        <w:rPr>
          <w:rFonts w:ascii="Arial" w:cs="Arial" w:eastAsia="Arial" w:hAnsi="Arial"/>
          <w:sz w:val="16"/>
          <w:szCs w:val="16"/>
          <w:color w:val="111111"/>
        </w:rPr>
        <w:t>l</w:t>
      </w:r>
      <w:r>
        <w:rPr>
          <w:rFonts w:ascii="Arial" w:cs="Arial" w:eastAsia="Arial" w:hAnsi="Arial"/>
          <w:sz w:val="18"/>
          <w:szCs w:val="18"/>
          <w:b w:val="1"/>
          <w:bCs w:val="1"/>
          <w:color w:val="262626"/>
        </w:rPr>
        <w:t xml:space="preserve"> </w:t>
      </w:r>
      <w:r>
        <w:rPr>
          <w:rFonts w:ascii="Arial" w:cs="Arial" w:eastAsia="Arial" w:hAnsi="Arial"/>
          <w:sz w:val="16"/>
          <w:szCs w:val="16"/>
          <w:color w:val="262626"/>
        </w:rPr>
        <w:t>or</w:t>
      </w:r>
      <w:r>
        <w:rPr>
          <w:rFonts w:ascii="Arial" w:cs="Arial" w:eastAsia="Arial" w:hAnsi="Arial"/>
          <w:sz w:val="18"/>
          <w:szCs w:val="18"/>
          <w:b w:val="1"/>
          <w:bCs w:val="1"/>
          <w:color w:val="262626"/>
        </w:rPr>
        <w:t xml:space="preserve"> </w:t>
      </w:r>
      <w:r>
        <w:rPr>
          <w:rFonts w:ascii="Arial" w:cs="Arial" w:eastAsia="Arial" w:hAnsi="Arial"/>
          <w:sz w:val="16"/>
          <w:szCs w:val="16"/>
          <w:color w:val="363636"/>
        </w:rPr>
        <w:t>w</w:t>
      </w:r>
      <w:r>
        <w:rPr>
          <w:rFonts w:ascii="Arial" w:cs="Arial" w:eastAsia="Arial" w:hAnsi="Arial"/>
          <w:sz w:val="16"/>
          <w:szCs w:val="16"/>
          <w:color w:val="262626"/>
        </w:rPr>
        <w:t>r</w:t>
      </w:r>
      <w:r>
        <w:rPr>
          <w:rFonts w:ascii="Arial" w:cs="Arial" w:eastAsia="Arial" w:hAnsi="Arial"/>
          <w:sz w:val="16"/>
          <w:szCs w:val="16"/>
          <w:color w:val="363636"/>
        </w:rPr>
        <w:t>i</w:t>
      </w:r>
      <w:r>
        <w:rPr>
          <w:rFonts w:ascii="Arial" w:cs="Arial" w:eastAsia="Arial" w:hAnsi="Arial"/>
          <w:sz w:val="16"/>
          <w:szCs w:val="16"/>
          <w:color w:val="262626"/>
        </w:rPr>
        <w:t>tt</w:t>
      </w:r>
      <w:r>
        <w:rPr>
          <w:rFonts w:ascii="Arial" w:cs="Arial" w:eastAsia="Arial" w:hAnsi="Arial"/>
          <w:sz w:val="16"/>
          <w:szCs w:val="16"/>
          <w:color w:val="363636"/>
        </w:rPr>
        <w:t>e</w:t>
      </w:r>
      <w:r>
        <w:rPr>
          <w:rFonts w:ascii="Arial" w:cs="Arial" w:eastAsia="Arial" w:hAnsi="Arial"/>
          <w:sz w:val="16"/>
          <w:szCs w:val="16"/>
          <w:color w:val="262626"/>
        </w:rPr>
        <w:t>n</w:t>
      </w:r>
      <w:r>
        <w:rPr>
          <w:rFonts w:ascii="Arial" w:cs="Arial" w:eastAsia="Arial" w:hAnsi="Arial"/>
          <w:sz w:val="18"/>
          <w:szCs w:val="18"/>
          <w:b w:val="1"/>
          <w:bCs w:val="1"/>
          <w:color w:val="262626"/>
        </w:rPr>
        <w:t xml:space="preserve"> </w:t>
      </w:r>
      <w:r>
        <w:rPr>
          <w:rFonts w:ascii="Arial" w:cs="Arial" w:eastAsia="Arial" w:hAnsi="Arial"/>
          <w:sz w:val="16"/>
          <w:szCs w:val="16"/>
          <w:color w:val="363636"/>
        </w:rPr>
        <w:t>an</w:t>
      </w:r>
      <w:r>
        <w:rPr>
          <w:rFonts w:ascii="Arial" w:cs="Arial" w:eastAsia="Arial" w:hAnsi="Arial"/>
          <w:sz w:val="16"/>
          <w:szCs w:val="16"/>
          <w:color w:val="262626"/>
        </w:rPr>
        <w:t>d</w:t>
      </w:r>
      <w:r>
        <w:rPr>
          <w:rFonts w:ascii="Arial" w:cs="Arial" w:eastAsia="Arial" w:hAnsi="Arial"/>
          <w:sz w:val="18"/>
          <w:szCs w:val="18"/>
          <w:b w:val="1"/>
          <w:bCs w:val="1"/>
          <w:color w:val="262626"/>
        </w:rPr>
        <w:t xml:space="preserve"> </w:t>
      </w:r>
      <w:r>
        <w:rPr>
          <w:rFonts w:ascii="Arial" w:cs="Arial" w:eastAsia="Arial" w:hAnsi="Arial"/>
          <w:sz w:val="16"/>
          <w:szCs w:val="16"/>
          <w:color w:val="363636"/>
        </w:rPr>
        <w:t>w</w:t>
      </w:r>
      <w:r>
        <w:rPr>
          <w:rFonts w:ascii="Arial" w:cs="Arial" w:eastAsia="Arial" w:hAnsi="Arial"/>
          <w:sz w:val="16"/>
          <w:szCs w:val="16"/>
          <w:color w:val="262626"/>
        </w:rPr>
        <w:t>h</w:t>
      </w:r>
      <w:r>
        <w:rPr>
          <w:rFonts w:ascii="Arial" w:cs="Arial" w:eastAsia="Arial" w:hAnsi="Arial"/>
          <w:sz w:val="16"/>
          <w:szCs w:val="16"/>
          <w:color w:val="363636"/>
        </w:rPr>
        <w:t>e</w:t>
      </w:r>
      <w:r>
        <w:rPr>
          <w:rFonts w:ascii="Arial" w:cs="Arial" w:eastAsia="Arial" w:hAnsi="Arial"/>
          <w:sz w:val="16"/>
          <w:szCs w:val="16"/>
          <w:color w:val="262626"/>
        </w:rPr>
        <w:t>t</w:t>
      </w:r>
      <w:r>
        <w:rPr>
          <w:rFonts w:ascii="Arial" w:cs="Arial" w:eastAsia="Arial" w:hAnsi="Arial"/>
          <w:sz w:val="16"/>
          <w:szCs w:val="16"/>
          <w:color w:val="363636"/>
        </w:rPr>
        <w:t>he</w:t>
      </w:r>
      <w:r>
        <w:rPr>
          <w:rFonts w:ascii="Arial" w:cs="Arial" w:eastAsia="Arial" w:hAnsi="Arial"/>
          <w:sz w:val="16"/>
          <w:szCs w:val="16"/>
          <w:color w:val="262626"/>
        </w:rPr>
        <w:t>r</w:t>
      </w:r>
      <w:r>
        <w:rPr>
          <w:rFonts w:ascii="Arial" w:cs="Arial" w:eastAsia="Arial" w:hAnsi="Arial"/>
          <w:sz w:val="18"/>
          <w:szCs w:val="18"/>
          <w:b w:val="1"/>
          <w:bCs w:val="1"/>
          <w:color w:val="262626"/>
        </w:rPr>
        <w:t xml:space="preserve"> </w:t>
      </w:r>
      <w:r>
        <w:rPr>
          <w:rFonts w:ascii="Arial" w:cs="Arial" w:eastAsia="Arial" w:hAnsi="Arial"/>
          <w:sz w:val="16"/>
          <w:szCs w:val="16"/>
          <w:color w:val="363636"/>
        </w:rPr>
        <w:t>ex</w:t>
      </w:r>
      <w:r>
        <w:rPr>
          <w:rFonts w:ascii="Arial" w:cs="Arial" w:eastAsia="Arial" w:hAnsi="Arial"/>
          <w:sz w:val="16"/>
          <w:szCs w:val="16"/>
          <w:color w:val="262626"/>
        </w:rPr>
        <w:t>pr</w:t>
      </w:r>
      <w:r>
        <w:rPr>
          <w:rFonts w:ascii="Arial" w:cs="Arial" w:eastAsia="Arial" w:hAnsi="Arial"/>
          <w:sz w:val="16"/>
          <w:szCs w:val="16"/>
          <w:color w:val="363636"/>
        </w:rPr>
        <w:t>ess o</w:t>
      </w:r>
      <w:r>
        <w:rPr>
          <w:rFonts w:ascii="Arial" w:cs="Arial" w:eastAsia="Arial" w:hAnsi="Arial"/>
          <w:sz w:val="16"/>
          <w:szCs w:val="16"/>
          <w:color w:val="262626"/>
        </w:rPr>
        <w:t>r i</w:t>
      </w:r>
      <w:r>
        <w:rPr>
          <w:rFonts w:ascii="Arial" w:cs="Arial" w:eastAsia="Arial" w:hAnsi="Arial"/>
          <w:sz w:val="16"/>
          <w:szCs w:val="16"/>
          <w:color w:val="363636"/>
        </w:rPr>
        <w:t>m</w:t>
      </w:r>
      <w:r>
        <w:rPr>
          <w:rFonts w:ascii="Arial" w:cs="Arial" w:eastAsia="Arial" w:hAnsi="Arial"/>
          <w:sz w:val="16"/>
          <w:szCs w:val="16"/>
          <w:color w:val="262626"/>
        </w:rPr>
        <w:t>pl</w:t>
      </w:r>
      <w:r>
        <w:rPr>
          <w:rFonts w:ascii="Arial" w:cs="Arial" w:eastAsia="Arial" w:hAnsi="Arial"/>
          <w:sz w:val="16"/>
          <w:szCs w:val="16"/>
          <w:color w:val="363636"/>
        </w:rPr>
        <w:t>ie</w:t>
      </w:r>
      <w:r>
        <w:rPr>
          <w:rFonts w:ascii="Arial" w:cs="Arial" w:eastAsia="Arial" w:hAnsi="Arial"/>
          <w:sz w:val="16"/>
          <w:szCs w:val="16"/>
          <w:color w:val="262626"/>
        </w:rPr>
        <w:t>d</w:t>
      </w:r>
      <w:r>
        <w:rPr>
          <w:rFonts w:ascii="Arial" w:cs="Arial" w:eastAsia="Arial" w:hAnsi="Arial"/>
          <w:sz w:val="16"/>
          <w:szCs w:val="16"/>
          <w:color w:val="363636"/>
        </w:rPr>
        <w:t>)</w:t>
      </w:r>
    </w:p>
    <w:p>
      <w:pPr>
        <w:spacing w:after="0" w:line="20" w:lineRule="exact"/>
        <w:rPr>
          <w:rFonts w:ascii="Arial" w:cs="Arial" w:eastAsia="Arial" w:hAnsi="Arial"/>
          <w:sz w:val="17"/>
          <w:szCs w:val="17"/>
          <w:color w:val="262626"/>
        </w:rPr>
      </w:pPr>
    </w:p>
    <w:p>
      <w:pPr>
        <w:jc w:val="both"/>
        <w:ind w:left="1080" w:right="60"/>
        <w:spacing w:after="0" w:line="272" w:lineRule="auto"/>
        <w:rPr>
          <w:rFonts w:ascii="Arial" w:cs="Arial" w:eastAsia="Arial" w:hAnsi="Arial"/>
          <w:sz w:val="17"/>
          <w:szCs w:val="17"/>
          <w:color w:val="262626"/>
        </w:rPr>
      </w:pPr>
      <w:r>
        <w:rPr>
          <w:rFonts w:ascii="Arial" w:cs="Arial" w:eastAsia="Arial" w:hAnsi="Arial"/>
          <w:sz w:val="16"/>
          <w:szCs w:val="16"/>
          <w:color w:val="363636"/>
        </w:rPr>
        <w:t>w</w:t>
      </w:r>
      <w:r>
        <w:rPr>
          <w:rFonts w:ascii="Arial" w:cs="Arial" w:eastAsia="Arial" w:hAnsi="Arial"/>
          <w:sz w:val="16"/>
          <w:szCs w:val="16"/>
          <w:color w:val="262626"/>
        </w:rPr>
        <w:t>hi</w:t>
      </w:r>
      <w:r>
        <w:rPr>
          <w:rFonts w:ascii="Arial" w:cs="Arial" w:eastAsia="Arial" w:hAnsi="Arial"/>
          <w:sz w:val="16"/>
          <w:szCs w:val="16"/>
          <w:color w:val="363636"/>
        </w:rPr>
        <w:t>c</w:t>
      </w:r>
      <w:r>
        <w:rPr>
          <w:rFonts w:ascii="Arial" w:cs="Arial" w:eastAsia="Arial" w:hAnsi="Arial"/>
          <w:sz w:val="16"/>
          <w:szCs w:val="16"/>
          <w:color w:val="262626"/>
        </w:rPr>
        <w:t>h</w:t>
      </w:r>
      <w:r>
        <w:rPr>
          <w:rFonts w:ascii="Arial" w:cs="Arial" w:eastAsia="Arial" w:hAnsi="Arial"/>
          <w:sz w:val="16"/>
          <w:szCs w:val="16"/>
          <w:color w:val="363636"/>
        </w:rPr>
        <w:t xml:space="preserve"> are </w:t>
      </w:r>
      <w:r>
        <w:rPr>
          <w:rFonts w:ascii="Arial" w:cs="Arial" w:eastAsia="Arial" w:hAnsi="Arial"/>
          <w:sz w:val="16"/>
          <w:szCs w:val="16"/>
          <w:color w:val="262626"/>
        </w:rPr>
        <w:t>n</w:t>
      </w:r>
      <w:r>
        <w:rPr>
          <w:rFonts w:ascii="Arial" w:cs="Arial" w:eastAsia="Arial" w:hAnsi="Arial"/>
          <w:sz w:val="16"/>
          <w:szCs w:val="16"/>
          <w:color w:val="363636"/>
        </w:rPr>
        <w:t>ot ex</w:t>
      </w:r>
      <w:r>
        <w:rPr>
          <w:rFonts w:ascii="Arial" w:cs="Arial" w:eastAsia="Arial" w:hAnsi="Arial"/>
          <w:sz w:val="16"/>
          <w:szCs w:val="16"/>
          <w:color w:val="262626"/>
        </w:rPr>
        <w:t>pr</w:t>
      </w:r>
      <w:r>
        <w:rPr>
          <w:rFonts w:ascii="Arial" w:cs="Arial" w:eastAsia="Arial" w:hAnsi="Arial"/>
          <w:sz w:val="16"/>
          <w:szCs w:val="16"/>
          <w:color w:val="363636"/>
        </w:rPr>
        <w:t>ess</w:t>
      </w:r>
      <w:r>
        <w:rPr>
          <w:rFonts w:ascii="Arial" w:cs="Arial" w:eastAsia="Arial" w:hAnsi="Arial"/>
          <w:sz w:val="16"/>
          <w:szCs w:val="16"/>
          <w:color w:val="111111"/>
        </w:rPr>
        <w:t>l</w:t>
      </w:r>
      <w:r>
        <w:rPr>
          <w:rFonts w:ascii="Arial" w:cs="Arial" w:eastAsia="Arial" w:hAnsi="Arial"/>
          <w:sz w:val="16"/>
          <w:szCs w:val="16"/>
          <w:color w:val="363636"/>
        </w:rPr>
        <w:t>y se</w:t>
      </w:r>
      <w:r>
        <w:rPr>
          <w:rFonts w:ascii="Arial" w:cs="Arial" w:eastAsia="Arial" w:hAnsi="Arial"/>
          <w:sz w:val="16"/>
          <w:szCs w:val="16"/>
          <w:color w:val="262626"/>
        </w:rPr>
        <w:t>t</w:t>
      </w:r>
      <w:r>
        <w:rPr>
          <w:rFonts w:ascii="Arial" w:cs="Arial" w:eastAsia="Arial" w:hAnsi="Arial"/>
          <w:sz w:val="16"/>
          <w:szCs w:val="16"/>
          <w:color w:val="363636"/>
        </w:rPr>
        <w:t xml:space="preserve"> fo</w:t>
      </w:r>
      <w:r>
        <w:rPr>
          <w:rFonts w:ascii="Arial" w:cs="Arial" w:eastAsia="Arial" w:hAnsi="Arial"/>
          <w:sz w:val="16"/>
          <w:szCs w:val="16"/>
          <w:color w:val="262626"/>
        </w:rPr>
        <w:t>rth in th</w:t>
      </w:r>
      <w:r>
        <w:rPr>
          <w:rFonts w:ascii="Arial" w:cs="Arial" w:eastAsia="Arial" w:hAnsi="Arial"/>
          <w:sz w:val="16"/>
          <w:szCs w:val="16"/>
          <w:color w:val="111111"/>
        </w:rPr>
        <w:t>i</w:t>
      </w:r>
      <w:r>
        <w:rPr>
          <w:rFonts w:ascii="Arial" w:cs="Arial" w:eastAsia="Arial" w:hAnsi="Arial"/>
          <w:sz w:val="16"/>
          <w:szCs w:val="16"/>
          <w:color w:val="363636"/>
        </w:rPr>
        <w:t xml:space="preserve">s </w:t>
      </w:r>
      <w:r>
        <w:rPr>
          <w:rFonts w:ascii="Arial" w:cs="Arial" w:eastAsia="Arial" w:hAnsi="Arial"/>
          <w:sz w:val="16"/>
          <w:szCs w:val="16"/>
          <w:color w:val="262626"/>
        </w:rPr>
        <w:t>A</w:t>
      </w:r>
      <w:r>
        <w:rPr>
          <w:rFonts w:ascii="Arial" w:cs="Arial" w:eastAsia="Arial" w:hAnsi="Arial"/>
          <w:sz w:val="16"/>
          <w:szCs w:val="16"/>
          <w:color w:val="363636"/>
        </w:rPr>
        <w:t>g</w:t>
      </w:r>
      <w:r>
        <w:rPr>
          <w:rFonts w:ascii="Arial" w:cs="Arial" w:eastAsia="Arial" w:hAnsi="Arial"/>
          <w:sz w:val="16"/>
          <w:szCs w:val="16"/>
          <w:color w:val="262626"/>
        </w:rPr>
        <w:t>r</w:t>
      </w:r>
      <w:r>
        <w:rPr>
          <w:rFonts w:ascii="Arial" w:cs="Arial" w:eastAsia="Arial" w:hAnsi="Arial"/>
          <w:sz w:val="16"/>
          <w:szCs w:val="16"/>
          <w:color w:val="363636"/>
        </w:rPr>
        <w:t>ee</w:t>
      </w:r>
      <w:r>
        <w:rPr>
          <w:rFonts w:ascii="Arial" w:cs="Arial" w:eastAsia="Arial" w:hAnsi="Arial"/>
          <w:sz w:val="16"/>
          <w:szCs w:val="16"/>
          <w:color w:val="262626"/>
        </w:rPr>
        <w:t>m</w:t>
      </w:r>
      <w:r>
        <w:rPr>
          <w:rFonts w:ascii="Arial" w:cs="Arial" w:eastAsia="Arial" w:hAnsi="Arial"/>
          <w:sz w:val="16"/>
          <w:szCs w:val="16"/>
          <w:color w:val="363636"/>
        </w:rPr>
        <w:t>e</w:t>
      </w:r>
      <w:r>
        <w:rPr>
          <w:rFonts w:ascii="Arial" w:cs="Arial" w:eastAsia="Arial" w:hAnsi="Arial"/>
          <w:sz w:val="16"/>
          <w:szCs w:val="16"/>
          <w:color w:val="262626"/>
        </w:rPr>
        <w:t>n</w:t>
      </w:r>
      <w:r>
        <w:rPr>
          <w:rFonts w:ascii="Arial" w:cs="Arial" w:eastAsia="Arial" w:hAnsi="Arial"/>
          <w:sz w:val="16"/>
          <w:szCs w:val="16"/>
          <w:color w:val="363636"/>
        </w:rPr>
        <w:t xml:space="preserve">t </w:t>
      </w:r>
      <w:r>
        <w:rPr>
          <w:rFonts w:ascii="Arial" w:cs="Arial" w:eastAsia="Arial" w:hAnsi="Arial"/>
          <w:sz w:val="16"/>
          <w:szCs w:val="16"/>
          <w:color w:val="262626"/>
        </w:rPr>
        <w:t>h</w:t>
      </w:r>
      <w:r>
        <w:rPr>
          <w:rFonts w:ascii="Arial" w:cs="Arial" w:eastAsia="Arial" w:hAnsi="Arial"/>
          <w:sz w:val="16"/>
          <w:szCs w:val="16"/>
          <w:color w:val="363636"/>
        </w:rPr>
        <w:t xml:space="preserve">ave </w:t>
      </w:r>
      <w:r>
        <w:rPr>
          <w:rFonts w:ascii="Arial" w:cs="Arial" w:eastAsia="Arial" w:hAnsi="Arial"/>
          <w:sz w:val="16"/>
          <w:szCs w:val="16"/>
          <w:color w:val="262626"/>
        </w:rPr>
        <w:t>b</w:t>
      </w:r>
      <w:r>
        <w:rPr>
          <w:rFonts w:ascii="Arial" w:cs="Arial" w:eastAsia="Arial" w:hAnsi="Arial"/>
          <w:sz w:val="16"/>
          <w:szCs w:val="16"/>
          <w:color w:val="363636"/>
        </w:rPr>
        <w:t>ee</w:t>
      </w:r>
      <w:r>
        <w:rPr>
          <w:rFonts w:ascii="Arial" w:cs="Arial" w:eastAsia="Arial" w:hAnsi="Arial"/>
          <w:sz w:val="16"/>
          <w:szCs w:val="16"/>
          <w:color w:val="262626"/>
        </w:rPr>
        <w:t>n m</w:t>
      </w:r>
      <w:r>
        <w:rPr>
          <w:rFonts w:ascii="Arial" w:cs="Arial" w:eastAsia="Arial" w:hAnsi="Arial"/>
          <w:sz w:val="16"/>
          <w:szCs w:val="16"/>
          <w:color w:val="363636"/>
        </w:rPr>
        <w:t>a</w:t>
      </w:r>
      <w:r>
        <w:rPr>
          <w:rFonts w:ascii="Arial" w:cs="Arial" w:eastAsia="Arial" w:hAnsi="Arial"/>
          <w:sz w:val="16"/>
          <w:szCs w:val="16"/>
          <w:color w:val="262626"/>
        </w:rPr>
        <w:t>d</w:t>
      </w:r>
      <w:r>
        <w:rPr>
          <w:rFonts w:ascii="Arial" w:cs="Arial" w:eastAsia="Arial" w:hAnsi="Arial"/>
          <w:sz w:val="16"/>
          <w:szCs w:val="16"/>
          <w:color w:val="363636"/>
        </w:rPr>
        <w:t xml:space="preserve">e </w:t>
      </w:r>
      <w:r>
        <w:rPr>
          <w:rFonts w:ascii="Arial" w:cs="Arial" w:eastAsia="Arial" w:hAnsi="Arial"/>
          <w:sz w:val="16"/>
          <w:szCs w:val="16"/>
          <w:color w:val="262626"/>
        </w:rPr>
        <w:t>or</w:t>
      </w:r>
      <w:r>
        <w:rPr>
          <w:rFonts w:ascii="Arial" w:cs="Arial" w:eastAsia="Arial" w:hAnsi="Arial"/>
          <w:sz w:val="16"/>
          <w:szCs w:val="16"/>
          <w:color w:val="363636"/>
        </w:rPr>
        <w:t xml:space="preserve"> e</w:t>
      </w:r>
      <w:r>
        <w:rPr>
          <w:rFonts w:ascii="Arial" w:cs="Arial" w:eastAsia="Arial" w:hAnsi="Arial"/>
          <w:sz w:val="16"/>
          <w:szCs w:val="16"/>
          <w:color w:val="262626"/>
        </w:rPr>
        <w:t>n</w:t>
      </w:r>
      <w:r>
        <w:rPr>
          <w:rFonts w:ascii="Arial" w:cs="Arial" w:eastAsia="Arial" w:hAnsi="Arial"/>
          <w:sz w:val="16"/>
          <w:szCs w:val="16"/>
          <w:color w:val="363636"/>
        </w:rPr>
        <w:t>te</w:t>
      </w:r>
      <w:r>
        <w:rPr>
          <w:rFonts w:ascii="Arial" w:cs="Arial" w:eastAsia="Arial" w:hAnsi="Arial"/>
          <w:sz w:val="16"/>
          <w:szCs w:val="16"/>
          <w:color w:val="262626"/>
        </w:rPr>
        <w:t>r</w:t>
      </w:r>
      <w:r>
        <w:rPr>
          <w:rFonts w:ascii="Arial" w:cs="Arial" w:eastAsia="Arial" w:hAnsi="Arial"/>
          <w:sz w:val="16"/>
          <w:szCs w:val="16"/>
          <w:color w:val="363636"/>
        </w:rPr>
        <w:t>e</w:t>
      </w:r>
      <w:r>
        <w:rPr>
          <w:rFonts w:ascii="Arial" w:cs="Arial" w:eastAsia="Arial" w:hAnsi="Arial"/>
          <w:sz w:val="16"/>
          <w:szCs w:val="16"/>
          <w:color w:val="262626"/>
        </w:rPr>
        <w:t>d int</w:t>
      </w:r>
      <w:r>
        <w:rPr>
          <w:rFonts w:ascii="Arial" w:cs="Arial" w:eastAsia="Arial" w:hAnsi="Arial"/>
          <w:sz w:val="16"/>
          <w:szCs w:val="16"/>
          <w:color w:val="363636"/>
        </w:rPr>
        <w:t xml:space="preserve">o </w:t>
      </w:r>
      <w:r>
        <w:rPr>
          <w:rFonts w:ascii="Arial" w:cs="Arial" w:eastAsia="Arial" w:hAnsi="Arial"/>
          <w:sz w:val="16"/>
          <w:szCs w:val="16"/>
          <w:color w:val="262626"/>
        </w:rPr>
        <w:t>b</w:t>
      </w:r>
      <w:r>
        <w:rPr>
          <w:rFonts w:ascii="Arial" w:cs="Arial" w:eastAsia="Arial" w:hAnsi="Arial"/>
          <w:sz w:val="16"/>
          <w:szCs w:val="16"/>
          <w:color w:val="363636"/>
        </w:rPr>
        <w:t xml:space="preserve">y </w:t>
      </w:r>
      <w:r>
        <w:rPr>
          <w:rFonts w:ascii="Arial" w:cs="Arial" w:eastAsia="Arial" w:hAnsi="Arial"/>
          <w:sz w:val="16"/>
          <w:szCs w:val="16"/>
          <w:color w:val="262626"/>
        </w:rPr>
        <w:t>eith</w:t>
      </w:r>
      <w:r>
        <w:rPr>
          <w:rFonts w:ascii="Arial" w:cs="Arial" w:eastAsia="Arial" w:hAnsi="Arial"/>
          <w:sz w:val="16"/>
          <w:szCs w:val="16"/>
          <w:color w:val="363636"/>
        </w:rPr>
        <w:t>e</w:t>
      </w:r>
      <w:r>
        <w:rPr>
          <w:rFonts w:ascii="Arial" w:cs="Arial" w:eastAsia="Arial" w:hAnsi="Arial"/>
          <w:sz w:val="16"/>
          <w:szCs w:val="16"/>
          <w:color w:val="262626"/>
        </w:rPr>
        <w:t>r p</w:t>
      </w:r>
      <w:r>
        <w:rPr>
          <w:rFonts w:ascii="Arial" w:cs="Arial" w:eastAsia="Arial" w:hAnsi="Arial"/>
          <w:sz w:val="16"/>
          <w:szCs w:val="16"/>
          <w:color w:val="363636"/>
        </w:rPr>
        <w:t>arty w</w:t>
      </w:r>
      <w:r>
        <w:rPr>
          <w:rFonts w:ascii="Arial" w:cs="Arial" w:eastAsia="Arial" w:hAnsi="Arial"/>
          <w:sz w:val="16"/>
          <w:szCs w:val="16"/>
          <w:color w:val="262626"/>
        </w:rPr>
        <w:t>ith r</w:t>
      </w:r>
      <w:r>
        <w:rPr>
          <w:rFonts w:ascii="Arial" w:cs="Arial" w:eastAsia="Arial" w:hAnsi="Arial"/>
          <w:sz w:val="16"/>
          <w:szCs w:val="16"/>
          <w:color w:val="363636"/>
        </w:rPr>
        <w:t xml:space="preserve">espect </w:t>
      </w:r>
      <w:r>
        <w:rPr>
          <w:rFonts w:ascii="Arial" w:cs="Arial" w:eastAsia="Arial" w:hAnsi="Arial"/>
          <w:sz w:val="16"/>
          <w:szCs w:val="16"/>
          <w:color w:val="262626"/>
        </w:rPr>
        <w:t>t</w:t>
      </w:r>
      <w:r>
        <w:rPr>
          <w:rFonts w:ascii="Arial" w:cs="Arial" w:eastAsia="Arial" w:hAnsi="Arial"/>
          <w:sz w:val="16"/>
          <w:szCs w:val="16"/>
          <w:color w:val="363636"/>
        </w:rPr>
        <w:t>o the s</w:t>
      </w:r>
      <w:r>
        <w:rPr>
          <w:rFonts w:ascii="Arial" w:cs="Arial" w:eastAsia="Arial" w:hAnsi="Arial"/>
          <w:sz w:val="16"/>
          <w:szCs w:val="16"/>
          <w:color w:val="262626"/>
        </w:rPr>
        <w:t>ub</w:t>
      </w:r>
      <w:r>
        <w:rPr>
          <w:rFonts w:ascii="Arial" w:cs="Arial" w:eastAsia="Arial" w:hAnsi="Arial"/>
          <w:sz w:val="16"/>
          <w:szCs w:val="16"/>
          <w:color w:val="363636"/>
        </w:rPr>
        <w:t>je</w:t>
      </w:r>
      <w:r>
        <w:rPr>
          <w:rFonts w:ascii="Arial" w:cs="Arial" w:eastAsia="Arial" w:hAnsi="Arial"/>
          <w:sz w:val="16"/>
          <w:szCs w:val="16"/>
          <w:color w:val="262626"/>
        </w:rPr>
        <w:t>ct m</w:t>
      </w:r>
      <w:r>
        <w:rPr>
          <w:rFonts w:ascii="Arial" w:cs="Arial" w:eastAsia="Arial" w:hAnsi="Arial"/>
          <w:sz w:val="16"/>
          <w:szCs w:val="16"/>
          <w:color w:val="363636"/>
        </w:rPr>
        <w:t>at</w:t>
      </w:r>
      <w:r>
        <w:rPr>
          <w:rFonts w:ascii="Arial" w:cs="Arial" w:eastAsia="Arial" w:hAnsi="Arial"/>
          <w:sz w:val="16"/>
          <w:szCs w:val="16"/>
          <w:color w:val="262626"/>
        </w:rPr>
        <w:t>t</w:t>
      </w:r>
      <w:r>
        <w:rPr>
          <w:rFonts w:ascii="Arial" w:cs="Arial" w:eastAsia="Arial" w:hAnsi="Arial"/>
          <w:sz w:val="16"/>
          <w:szCs w:val="16"/>
          <w:color w:val="363636"/>
        </w:rPr>
        <w:t>e</w:t>
      </w:r>
      <w:r>
        <w:rPr>
          <w:rFonts w:ascii="Arial" w:cs="Arial" w:eastAsia="Arial" w:hAnsi="Arial"/>
          <w:sz w:val="16"/>
          <w:szCs w:val="16"/>
          <w:color w:val="262626"/>
        </w:rPr>
        <w:t>r</w:t>
      </w:r>
      <w:r>
        <w:rPr>
          <w:rFonts w:ascii="Arial" w:cs="Arial" w:eastAsia="Arial" w:hAnsi="Arial"/>
          <w:sz w:val="16"/>
          <w:szCs w:val="16"/>
          <w:color w:val="363636"/>
        </w:rPr>
        <w:t xml:space="preserve"> hereof. T</w:t>
      </w:r>
      <w:r>
        <w:rPr>
          <w:rFonts w:ascii="Arial" w:cs="Arial" w:eastAsia="Arial" w:hAnsi="Arial"/>
          <w:sz w:val="16"/>
          <w:szCs w:val="16"/>
          <w:color w:val="262626"/>
        </w:rPr>
        <w:t>h</w:t>
      </w:r>
      <w:r>
        <w:rPr>
          <w:rFonts w:ascii="Arial" w:cs="Arial" w:eastAsia="Arial" w:hAnsi="Arial"/>
          <w:sz w:val="16"/>
          <w:szCs w:val="16"/>
          <w:color w:val="363636"/>
        </w:rPr>
        <w:t>is Agreemen</w:t>
      </w:r>
      <w:r>
        <w:rPr>
          <w:rFonts w:ascii="Arial" w:cs="Arial" w:eastAsia="Arial" w:hAnsi="Arial"/>
          <w:sz w:val="16"/>
          <w:szCs w:val="16"/>
          <w:color w:val="262626"/>
        </w:rPr>
        <w:t>t</w:t>
      </w:r>
      <w:r>
        <w:rPr>
          <w:rFonts w:ascii="Arial" w:cs="Arial" w:eastAsia="Arial" w:hAnsi="Arial"/>
          <w:sz w:val="16"/>
          <w:szCs w:val="16"/>
          <w:color w:val="363636"/>
        </w:rPr>
        <w:t xml:space="preserve"> an</w:t>
      </w:r>
      <w:r>
        <w:rPr>
          <w:rFonts w:ascii="Arial" w:cs="Arial" w:eastAsia="Arial" w:hAnsi="Arial"/>
          <w:sz w:val="16"/>
          <w:szCs w:val="16"/>
          <w:color w:val="262626"/>
        </w:rPr>
        <w:t>d</w:t>
      </w:r>
      <w:r>
        <w:rPr>
          <w:rFonts w:ascii="Arial" w:cs="Arial" w:eastAsia="Arial" w:hAnsi="Arial"/>
          <w:sz w:val="16"/>
          <w:szCs w:val="16"/>
          <w:color w:val="363636"/>
        </w:rPr>
        <w:t xml:space="preserve"> the C</w:t>
      </w:r>
      <w:r>
        <w:rPr>
          <w:rFonts w:ascii="Arial" w:cs="Arial" w:eastAsia="Arial" w:hAnsi="Arial"/>
          <w:sz w:val="16"/>
          <w:szCs w:val="16"/>
          <w:color w:val="262626"/>
        </w:rPr>
        <w:t>o</w:t>
      </w:r>
      <w:r>
        <w:rPr>
          <w:rFonts w:ascii="Arial" w:cs="Arial" w:eastAsia="Arial" w:hAnsi="Arial"/>
          <w:sz w:val="16"/>
          <w:szCs w:val="16"/>
          <w:color w:val="363636"/>
        </w:rPr>
        <w:t>nfi</w:t>
      </w:r>
      <w:r>
        <w:rPr>
          <w:rFonts w:ascii="Arial" w:cs="Arial" w:eastAsia="Arial" w:hAnsi="Arial"/>
          <w:sz w:val="16"/>
          <w:szCs w:val="16"/>
          <w:color w:val="262626"/>
        </w:rPr>
        <w:t>d</w:t>
      </w:r>
      <w:r>
        <w:rPr>
          <w:rFonts w:ascii="Arial" w:cs="Arial" w:eastAsia="Arial" w:hAnsi="Arial"/>
          <w:sz w:val="16"/>
          <w:szCs w:val="16"/>
          <w:color w:val="363636"/>
        </w:rPr>
        <w:t>en</w:t>
      </w:r>
      <w:r>
        <w:rPr>
          <w:rFonts w:ascii="Arial" w:cs="Arial" w:eastAsia="Arial" w:hAnsi="Arial"/>
          <w:sz w:val="16"/>
          <w:szCs w:val="16"/>
          <w:color w:val="262626"/>
        </w:rPr>
        <w:t>t</w:t>
      </w:r>
      <w:r>
        <w:rPr>
          <w:rFonts w:ascii="Arial" w:cs="Arial" w:eastAsia="Arial" w:hAnsi="Arial"/>
          <w:sz w:val="16"/>
          <w:szCs w:val="16"/>
          <w:color w:val="363636"/>
        </w:rPr>
        <w:t>ia</w:t>
      </w:r>
      <w:r>
        <w:rPr>
          <w:rFonts w:ascii="Arial" w:cs="Arial" w:eastAsia="Arial" w:hAnsi="Arial"/>
          <w:sz w:val="16"/>
          <w:szCs w:val="16"/>
          <w:color w:val="262626"/>
        </w:rPr>
        <w:t>l</w:t>
      </w:r>
      <w:r>
        <w:rPr>
          <w:rFonts w:ascii="Arial" w:cs="Arial" w:eastAsia="Arial" w:hAnsi="Arial"/>
          <w:sz w:val="16"/>
          <w:szCs w:val="16"/>
          <w:color w:val="363636"/>
        </w:rPr>
        <w:t>i</w:t>
      </w:r>
      <w:r>
        <w:rPr>
          <w:rFonts w:ascii="Arial" w:cs="Arial" w:eastAsia="Arial" w:hAnsi="Arial"/>
          <w:sz w:val="16"/>
          <w:szCs w:val="16"/>
          <w:color w:val="262626"/>
        </w:rPr>
        <w:t>ty</w:t>
      </w:r>
      <w:r>
        <w:rPr>
          <w:rFonts w:ascii="Arial" w:cs="Arial" w:eastAsia="Arial" w:hAnsi="Arial"/>
          <w:sz w:val="16"/>
          <w:szCs w:val="16"/>
          <w:color w:val="363636"/>
        </w:rPr>
        <w:t xml:space="preserve"> Agreement c</w:t>
      </w:r>
      <w:r>
        <w:rPr>
          <w:rFonts w:ascii="Arial" w:cs="Arial" w:eastAsia="Arial" w:hAnsi="Arial"/>
          <w:sz w:val="16"/>
          <w:szCs w:val="16"/>
          <w:color w:val="262626"/>
        </w:rPr>
        <w:t>o</w:t>
      </w:r>
      <w:r>
        <w:rPr>
          <w:rFonts w:ascii="Arial" w:cs="Arial" w:eastAsia="Arial" w:hAnsi="Arial"/>
          <w:sz w:val="16"/>
          <w:szCs w:val="16"/>
          <w:color w:val="363636"/>
        </w:rPr>
        <w:t>ntain t</w:t>
      </w:r>
      <w:r>
        <w:rPr>
          <w:rFonts w:ascii="Arial" w:cs="Arial" w:eastAsia="Arial" w:hAnsi="Arial"/>
          <w:sz w:val="16"/>
          <w:szCs w:val="16"/>
          <w:color w:val="262626"/>
        </w:rPr>
        <w:t>h</w:t>
      </w:r>
      <w:r>
        <w:rPr>
          <w:rFonts w:ascii="Arial" w:cs="Arial" w:eastAsia="Arial" w:hAnsi="Arial"/>
          <w:sz w:val="16"/>
          <w:szCs w:val="16"/>
          <w:color w:val="363636"/>
        </w:rPr>
        <w:t>e e</w:t>
      </w:r>
      <w:r>
        <w:rPr>
          <w:rFonts w:ascii="Arial" w:cs="Arial" w:eastAsia="Arial" w:hAnsi="Arial"/>
          <w:sz w:val="16"/>
          <w:szCs w:val="16"/>
          <w:color w:val="262626"/>
        </w:rPr>
        <w:t>n</w:t>
      </w:r>
      <w:r>
        <w:rPr>
          <w:rFonts w:ascii="Arial" w:cs="Arial" w:eastAsia="Arial" w:hAnsi="Arial"/>
          <w:sz w:val="16"/>
          <w:szCs w:val="16"/>
          <w:color w:val="363636"/>
        </w:rPr>
        <w:t xml:space="preserve">tire </w:t>
      </w:r>
      <w:r>
        <w:rPr>
          <w:rFonts w:ascii="Arial" w:cs="Arial" w:eastAsia="Arial" w:hAnsi="Arial"/>
          <w:sz w:val="16"/>
          <w:szCs w:val="16"/>
          <w:color w:val="262626"/>
        </w:rPr>
        <w:t>und</w:t>
      </w:r>
      <w:r>
        <w:rPr>
          <w:rFonts w:ascii="Arial" w:cs="Arial" w:eastAsia="Arial" w:hAnsi="Arial"/>
          <w:sz w:val="16"/>
          <w:szCs w:val="16"/>
          <w:color w:val="363636"/>
        </w:rPr>
        <w:t>e</w:t>
      </w:r>
      <w:r>
        <w:rPr>
          <w:rFonts w:ascii="Arial" w:cs="Arial" w:eastAsia="Arial" w:hAnsi="Arial"/>
          <w:sz w:val="16"/>
          <w:szCs w:val="16"/>
          <w:color w:val="262626"/>
        </w:rPr>
        <w:t>r</w:t>
      </w:r>
      <w:r>
        <w:rPr>
          <w:rFonts w:ascii="Arial" w:cs="Arial" w:eastAsia="Arial" w:hAnsi="Arial"/>
          <w:sz w:val="16"/>
          <w:szCs w:val="16"/>
          <w:color w:val="363636"/>
        </w:rPr>
        <w:t>s</w:t>
      </w:r>
      <w:r>
        <w:rPr>
          <w:rFonts w:ascii="Arial" w:cs="Arial" w:eastAsia="Arial" w:hAnsi="Arial"/>
          <w:sz w:val="16"/>
          <w:szCs w:val="16"/>
          <w:color w:val="262626"/>
        </w:rPr>
        <w:t>t</w:t>
      </w:r>
      <w:r>
        <w:rPr>
          <w:rFonts w:ascii="Arial" w:cs="Arial" w:eastAsia="Arial" w:hAnsi="Arial"/>
          <w:sz w:val="16"/>
          <w:szCs w:val="16"/>
          <w:color w:val="363636"/>
        </w:rPr>
        <w:t>a</w:t>
      </w:r>
      <w:r>
        <w:rPr>
          <w:rFonts w:ascii="Arial" w:cs="Arial" w:eastAsia="Arial" w:hAnsi="Arial"/>
          <w:sz w:val="16"/>
          <w:szCs w:val="16"/>
          <w:color w:val="262626"/>
        </w:rPr>
        <w:t>ndin</w:t>
      </w:r>
      <w:r>
        <w:rPr>
          <w:rFonts w:ascii="Arial" w:cs="Arial" w:eastAsia="Arial" w:hAnsi="Arial"/>
          <w:sz w:val="16"/>
          <w:szCs w:val="16"/>
          <w:color w:val="363636"/>
        </w:rPr>
        <w:t>g o</w:t>
      </w:r>
      <w:r>
        <w:rPr>
          <w:rFonts w:ascii="Arial" w:cs="Arial" w:eastAsia="Arial" w:hAnsi="Arial"/>
          <w:sz w:val="16"/>
          <w:szCs w:val="16"/>
          <w:color w:val="262626"/>
        </w:rPr>
        <w:t>f</w:t>
      </w:r>
      <w:r>
        <w:rPr>
          <w:rFonts w:ascii="Arial" w:cs="Arial" w:eastAsia="Arial" w:hAnsi="Arial"/>
          <w:sz w:val="16"/>
          <w:szCs w:val="16"/>
          <w:color w:val="363636"/>
        </w:rPr>
        <w:t xml:space="preserve"> t</w:t>
      </w:r>
      <w:r>
        <w:rPr>
          <w:rFonts w:ascii="Arial" w:cs="Arial" w:eastAsia="Arial" w:hAnsi="Arial"/>
          <w:sz w:val="16"/>
          <w:szCs w:val="16"/>
          <w:color w:val="262626"/>
        </w:rPr>
        <w:t>h</w:t>
      </w:r>
      <w:r>
        <w:rPr>
          <w:rFonts w:ascii="Arial" w:cs="Arial" w:eastAsia="Arial" w:hAnsi="Arial"/>
          <w:sz w:val="16"/>
          <w:szCs w:val="16"/>
          <w:color w:val="363636"/>
        </w:rPr>
        <w:t xml:space="preserve">e </w:t>
      </w:r>
      <w:r>
        <w:rPr>
          <w:rFonts w:ascii="Arial" w:cs="Arial" w:eastAsia="Arial" w:hAnsi="Arial"/>
          <w:sz w:val="16"/>
          <w:szCs w:val="16"/>
          <w:color w:val="262626"/>
        </w:rPr>
        <w:t>p</w:t>
      </w:r>
      <w:r>
        <w:rPr>
          <w:rFonts w:ascii="Arial" w:cs="Arial" w:eastAsia="Arial" w:hAnsi="Arial"/>
          <w:sz w:val="16"/>
          <w:szCs w:val="16"/>
          <w:color w:val="363636"/>
        </w:rPr>
        <w:t>a</w:t>
      </w:r>
      <w:r>
        <w:rPr>
          <w:rFonts w:ascii="Arial" w:cs="Arial" w:eastAsia="Arial" w:hAnsi="Arial"/>
          <w:sz w:val="16"/>
          <w:szCs w:val="16"/>
          <w:color w:val="262626"/>
        </w:rPr>
        <w:t>rti</w:t>
      </w:r>
      <w:r>
        <w:rPr>
          <w:rFonts w:ascii="Arial" w:cs="Arial" w:eastAsia="Arial" w:hAnsi="Arial"/>
          <w:sz w:val="16"/>
          <w:szCs w:val="16"/>
          <w:color w:val="363636"/>
        </w:rPr>
        <w:t>es w</w:t>
      </w:r>
      <w:r>
        <w:rPr>
          <w:rFonts w:ascii="Arial" w:cs="Arial" w:eastAsia="Arial" w:hAnsi="Arial"/>
          <w:sz w:val="16"/>
          <w:szCs w:val="16"/>
          <w:color w:val="262626"/>
        </w:rPr>
        <w:t>ith</w:t>
      </w:r>
      <w:r>
        <w:rPr>
          <w:rFonts w:ascii="Arial" w:cs="Arial" w:eastAsia="Arial" w:hAnsi="Arial"/>
          <w:sz w:val="16"/>
          <w:szCs w:val="16"/>
          <w:color w:val="363636"/>
        </w:rPr>
        <w:t xml:space="preserve"> respect </w:t>
      </w:r>
      <w:r>
        <w:rPr>
          <w:rFonts w:ascii="Arial" w:cs="Arial" w:eastAsia="Arial" w:hAnsi="Arial"/>
          <w:sz w:val="16"/>
          <w:szCs w:val="16"/>
          <w:color w:val="262626"/>
        </w:rPr>
        <w:t>t</w:t>
      </w:r>
      <w:r>
        <w:rPr>
          <w:rFonts w:ascii="Arial" w:cs="Arial" w:eastAsia="Arial" w:hAnsi="Arial"/>
          <w:sz w:val="16"/>
          <w:szCs w:val="16"/>
          <w:color w:val="363636"/>
        </w:rPr>
        <w:t>o t</w:t>
      </w:r>
      <w:r>
        <w:rPr>
          <w:rFonts w:ascii="Arial" w:cs="Arial" w:eastAsia="Arial" w:hAnsi="Arial"/>
          <w:sz w:val="16"/>
          <w:szCs w:val="16"/>
          <w:color w:val="262626"/>
        </w:rPr>
        <w:t>h</w:t>
      </w:r>
      <w:r>
        <w:rPr>
          <w:rFonts w:ascii="Arial" w:cs="Arial" w:eastAsia="Arial" w:hAnsi="Arial"/>
          <w:sz w:val="16"/>
          <w:szCs w:val="16"/>
          <w:color w:val="363636"/>
        </w:rPr>
        <w:t>e s</w:t>
      </w:r>
      <w:r>
        <w:rPr>
          <w:rFonts w:ascii="Arial" w:cs="Arial" w:eastAsia="Arial" w:hAnsi="Arial"/>
          <w:sz w:val="16"/>
          <w:szCs w:val="16"/>
          <w:color w:val="262626"/>
        </w:rPr>
        <w:t>ubj</w:t>
      </w:r>
      <w:r>
        <w:rPr>
          <w:rFonts w:ascii="Arial" w:cs="Arial" w:eastAsia="Arial" w:hAnsi="Arial"/>
          <w:sz w:val="16"/>
          <w:szCs w:val="16"/>
          <w:color w:val="363636"/>
        </w:rPr>
        <w:t>e</w:t>
      </w:r>
      <w:r>
        <w:rPr>
          <w:rFonts w:ascii="Arial" w:cs="Arial" w:eastAsia="Arial" w:hAnsi="Arial"/>
          <w:sz w:val="16"/>
          <w:szCs w:val="16"/>
          <w:color w:val="262626"/>
        </w:rPr>
        <w:t>ct m</w:t>
      </w:r>
      <w:r>
        <w:rPr>
          <w:rFonts w:ascii="Arial" w:cs="Arial" w:eastAsia="Arial" w:hAnsi="Arial"/>
          <w:sz w:val="16"/>
          <w:szCs w:val="16"/>
          <w:color w:val="363636"/>
        </w:rPr>
        <w:t>atte</w:t>
      </w:r>
      <w:r>
        <w:rPr>
          <w:rFonts w:ascii="Arial" w:cs="Arial" w:eastAsia="Arial" w:hAnsi="Arial"/>
          <w:sz w:val="16"/>
          <w:szCs w:val="16"/>
          <w:color w:val="262626"/>
        </w:rPr>
        <w:t>r h</w:t>
      </w:r>
      <w:r>
        <w:rPr>
          <w:rFonts w:ascii="Arial" w:cs="Arial" w:eastAsia="Arial" w:hAnsi="Arial"/>
          <w:sz w:val="16"/>
          <w:szCs w:val="16"/>
          <w:color w:val="363636"/>
        </w:rPr>
        <w:t>e</w:t>
      </w:r>
      <w:r>
        <w:rPr>
          <w:rFonts w:ascii="Arial" w:cs="Arial" w:eastAsia="Arial" w:hAnsi="Arial"/>
          <w:sz w:val="16"/>
          <w:szCs w:val="16"/>
          <w:color w:val="262626"/>
        </w:rPr>
        <w:t>r</w:t>
      </w:r>
      <w:r>
        <w:rPr>
          <w:rFonts w:ascii="Arial" w:cs="Arial" w:eastAsia="Arial" w:hAnsi="Arial"/>
          <w:sz w:val="16"/>
          <w:szCs w:val="16"/>
          <w:color w:val="363636"/>
        </w:rPr>
        <w:t>eof.</w:t>
      </w:r>
    </w:p>
    <w:p>
      <w:pPr>
        <w:spacing w:after="0" w:line="1" w:lineRule="exact"/>
        <w:rPr>
          <w:rFonts w:ascii="Arial" w:cs="Arial" w:eastAsia="Arial" w:hAnsi="Arial"/>
          <w:sz w:val="17"/>
          <w:szCs w:val="17"/>
          <w:color w:val="262626"/>
        </w:rPr>
      </w:pPr>
    </w:p>
    <w:p>
      <w:pPr>
        <w:ind w:left="1080" w:hanging="286"/>
        <w:spacing w:after="0"/>
        <w:tabs>
          <w:tab w:leader="none" w:pos="1080" w:val="left"/>
        </w:tabs>
        <w:numPr>
          <w:ilvl w:val="0"/>
          <w:numId w:val="336"/>
        </w:numPr>
        <w:rPr>
          <w:rFonts w:ascii="Arial" w:cs="Arial" w:eastAsia="Arial" w:hAnsi="Arial"/>
          <w:sz w:val="18"/>
          <w:szCs w:val="18"/>
          <w:color w:val="363636"/>
        </w:rPr>
      </w:pPr>
      <w:r>
        <w:rPr>
          <w:rFonts w:ascii="Arial" w:cs="Arial" w:eastAsia="Arial" w:hAnsi="Arial"/>
          <w:sz w:val="19"/>
          <w:szCs w:val="19"/>
          <w:b w:val="1"/>
          <w:bCs w:val="1"/>
          <w:u w:val="single" w:color="auto"/>
          <w:color w:val="262626"/>
        </w:rPr>
        <w:t>Wit</w:t>
      </w:r>
      <w:r>
        <w:rPr>
          <w:rFonts w:ascii="Arial" w:cs="Arial" w:eastAsia="Arial" w:hAnsi="Arial"/>
          <w:sz w:val="19"/>
          <w:szCs w:val="19"/>
          <w:b w:val="1"/>
          <w:bCs w:val="1"/>
          <w:u w:val="single" w:color="auto"/>
          <w:color w:val="111111"/>
        </w:rPr>
        <w:t>hh</w:t>
      </w:r>
      <w:r>
        <w:rPr>
          <w:rFonts w:ascii="Arial" w:cs="Arial" w:eastAsia="Arial" w:hAnsi="Arial"/>
          <w:sz w:val="19"/>
          <w:szCs w:val="19"/>
          <w:b w:val="1"/>
          <w:bCs w:val="1"/>
          <w:u w:val="single" w:color="auto"/>
          <w:color w:val="262626"/>
        </w:rPr>
        <w:t>o</w:t>
      </w:r>
      <w:r>
        <w:rPr>
          <w:rFonts w:ascii="Arial" w:cs="Arial" w:eastAsia="Arial" w:hAnsi="Arial"/>
          <w:sz w:val="19"/>
          <w:szCs w:val="19"/>
          <w:b w:val="1"/>
          <w:bCs w:val="1"/>
          <w:u w:val="single" w:color="auto"/>
          <w:color w:val="111111"/>
        </w:rPr>
        <w:t>ldin</w:t>
      </w:r>
      <w:r>
        <w:rPr>
          <w:rFonts w:ascii="Arial" w:cs="Arial" w:eastAsia="Arial" w:hAnsi="Arial"/>
          <w:sz w:val="19"/>
          <w:szCs w:val="19"/>
          <w:b w:val="1"/>
          <w:bCs w:val="1"/>
          <w:u w:val="single" w:color="auto"/>
          <w:color w:val="262626"/>
        </w:rPr>
        <w:t>g Taxes</w:t>
      </w:r>
      <w:r>
        <w:rPr>
          <w:rFonts w:ascii="Arial" w:cs="Arial" w:eastAsia="Arial" w:hAnsi="Arial"/>
          <w:sz w:val="19"/>
          <w:szCs w:val="19"/>
          <w:b w:val="1"/>
          <w:bCs w:val="1"/>
          <w:color w:val="111111"/>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ll</w:t>
      </w:r>
      <w:r>
        <w:rPr>
          <w:rFonts w:ascii="Arial" w:cs="Arial" w:eastAsia="Arial" w:hAnsi="Arial"/>
          <w:sz w:val="19"/>
          <w:szCs w:val="19"/>
          <w:b w:val="1"/>
          <w:bCs w:val="1"/>
          <w:color w:val="262626"/>
        </w:rPr>
        <w:t xml:space="preserve"> </w:t>
      </w:r>
      <w:r>
        <w:rPr>
          <w:rFonts w:ascii="Arial" w:cs="Arial" w:eastAsia="Arial" w:hAnsi="Arial"/>
          <w:sz w:val="17"/>
          <w:szCs w:val="17"/>
          <w:color w:val="363636"/>
        </w:rPr>
        <w:t>p</w:t>
      </w:r>
      <w:r>
        <w:rPr>
          <w:rFonts w:ascii="Arial" w:cs="Arial" w:eastAsia="Arial" w:hAnsi="Arial"/>
          <w:sz w:val="17"/>
          <w:szCs w:val="17"/>
          <w:color w:val="262626"/>
        </w:rPr>
        <w:t>aym</w:t>
      </w:r>
      <w:r>
        <w:rPr>
          <w:rFonts w:ascii="Arial" w:cs="Arial" w:eastAsia="Arial" w:hAnsi="Arial"/>
          <w:sz w:val="17"/>
          <w:szCs w:val="17"/>
          <w:color w:val="363636"/>
        </w:rPr>
        <w:t>en</w:t>
      </w:r>
      <w:r>
        <w:rPr>
          <w:rFonts w:ascii="Arial" w:cs="Arial" w:eastAsia="Arial" w:hAnsi="Arial"/>
          <w:sz w:val="17"/>
          <w:szCs w:val="17"/>
          <w:color w:val="262626"/>
        </w:rPr>
        <w:t>t</w:t>
      </w:r>
      <w:r>
        <w:rPr>
          <w:rFonts w:ascii="Arial" w:cs="Arial" w:eastAsia="Arial" w:hAnsi="Arial"/>
          <w:sz w:val="17"/>
          <w:szCs w:val="17"/>
          <w:color w:val="363636"/>
        </w:rPr>
        <w:t>s ma</w:t>
      </w:r>
      <w:r>
        <w:rPr>
          <w:rFonts w:ascii="Arial" w:cs="Arial" w:eastAsia="Arial" w:hAnsi="Arial"/>
          <w:sz w:val="17"/>
          <w:szCs w:val="17"/>
          <w:color w:val="262626"/>
        </w:rPr>
        <w:t>d</w:t>
      </w:r>
      <w:r>
        <w:rPr>
          <w:rFonts w:ascii="Arial" w:cs="Arial" w:eastAsia="Arial" w:hAnsi="Arial"/>
          <w:sz w:val="17"/>
          <w:szCs w:val="17"/>
          <w:color w:val="363636"/>
        </w:rPr>
        <w:t>e un</w:t>
      </w:r>
      <w:r>
        <w:rPr>
          <w:rFonts w:ascii="Arial" w:cs="Arial" w:eastAsia="Arial" w:hAnsi="Arial"/>
          <w:sz w:val="17"/>
          <w:szCs w:val="17"/>
          <w:color w:val="262626"/>
        </w:rPr>
        <w:t>d</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hi</w:t>
      </w:r>
      <w:r>
        <w:rPr>
          <w:rFonts w:ascii="Arial" w:cs="Arial" w:eastAsia="Arial" w:hAnsi="Arial"/>
          <w:sz w:val="17"/>
          <w:szCs w:val="17"/>
          <w:color w:val="363636"/>
        </w:rPr>
        <w:t>s Ag</w:t>
      </w:r>
      <w:r>
        <w:rPr>
          <w:rFonts w:ascii="Arial" w:cs="Arial" w:eastAsia="Arial" w:hAnsi="Arial"/>
          <w:sz w:val="17"/>
          <w:szCs w:val="17"/>
          <w:color w:val="262626"/>
        </w:rPr>
        <w:t>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nt</w:t>
      </w:r>
      <w:r>
        <w:rPr>
          <w:rFonts w:ascii="Arial" w:cs="Arial" w:eastAsia="Arial" w:hAnsi="Arial"/>
          <w:sz w:val="19"/>
          <w:szCs w:val="19"/>
          <w:b w:val="1"/>
          <w:bCs w:val="1"/>
          <w:color w:val="262626"/>
        </w:rPr>
        <w:t xml:space="preserve"> </w:t>
      </w:r>
      <w:r>
        <w:rPr>
          <w:rFonts w:ascii="Arial" w:cs="Arial" w:eastAsia="Arial" w:hAnsi="Arial"/>
          <w:sz w:val="17"/>
          <w:szCs w:val="17"/>
          <w:color w:val="363636"/>
        </w:rPr>
        <w:t>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ll b</w:t>
      </w:r>
      <w:r>
        <w:rPr>
          <w:rFonts w:ascii="Arial" w:cs="Arial" w:eastAsia="Arial" w:hAnsi="Arial"/>
          <w:sz w:val="17"/>
          <w:szCs w:val="17"/>
          <w:color w:val="363636"/>
        </w:rPr>
        <w:t>e s</w:t>
      </w:r>
      <w:r>
        <w:rPr>
          <w:rFonts w:ascii="Arial" w:cs="Arial" w:eastAsia="Arial" w:hAnsi="Arial"/>
          <w:sz w:val="17"/>
          <w:szCs w:val="17"/>
          <w:color w:val="262626"/>
        </w:rPr>
        <w:t>ubj</w:t>
      </w:r>
      <w:r>
        <w:rPr>
          <w:rFonts w:ascii="Arial" w:cs="Arial" w:eastAsia="Arial" w:hAnsi="Arial"/>
          <w:sz w:val="17"/>
          <w:szCs w:val="17"/>
          <w:color w:val="363636"/>
        </w:rPr>
        <w:t>ect to re</w:t>
      </w:r>
      <w:r>
        <w:rPr>
          <w:rFonts w:ascii="Arial" w:cs="Arial" w:eastAsia="Arial" w:hAnsi="Arial"/>
          <w:sz w:val="17"/>
          <w:szCs w:val="17"/>
          <w:color w:val="262626"/>
        </w:rPr>
        <w:t>du</w:t>
      </w:r>
      <w:r>
        <w:rPr>
          <w:rFonts w:ascii="Arial" w:cs="Arial" w:eastAsia="Arial" w:hAnsi="Arial"/>
          <w:sz w:val="17"/>
          <w:szCs w:val="17"/>
          <w:color w:val="363636"/>
        </w:rPr>
        <w:t>cti</w:t>
      </w:r>
      <w:r>
        <w:rPr>
          <w:rFonts w:ascii="Arial" w:cs="Arial" w:eastAsia="Arial" w:hAnsi="Arial"/>
          <w:sz w:val="17"/>
          <w:szCs w:val="17"/>
          <w:color w:val="262626"/>
        </w:rPr>
        <w:t>o</w:t>
      </w:r>
      <w:r>
        <w:rPr>
          <w:rFonts w:ascii="Arial" w:cs="Arial" w:eastAsia="Arial" w:hAnsi="Arial"/>
          <w:sz w:val="17"/>
          <w:szCs w:val="17"/>
          <w:color w:val="363636"/>
        </w:rPr>
        <w:t>n</w:t>
      </w:r>
      <w:r>
        <w:rPr>
          <w:rFonts w:ascii="Arial" w:cs="Arial" w:eastAsia="Arial" w:hAnsi="Arial"/>
          <w:sz w:val="19"/>
          <w:szCs w:val="19"/>
          <w:b w:val="1"/>
          <w:bCs w:val="1"/>
          <w:color w:val="262626"/>
        </w:rPr>
        <w:t xml:space="preserve"> </w:t>
      </w:r>
      <w:r>
        <w:rPr>
          <w:rFonts w:ascii="Arial" w:cs="Arial" w:eastAsia="Arial" w:hAnsi="Arial"/>
          <w:sz w:val="17"/>
          <w:szCs w:val="17"/>
          <w:color w:val="262626"/>
        </w:rPr>
        <w:t>to</w:t>
      </w:r>
      <w:r>
        <w:rPr>
          <w:rFonts w:ascii="Arial" w:cs="Arial" w:eastAsia="Arial" w:hAnsi="Arial"/>
          <w:sz w:val="19"/>
          <w:szCs w:val="19"/>
          <w:b w:val="1"/>
          <w:bCs w:val="1"/>
          <w:color w:val="262626"/>
        </w:rPr>
        <w:t xml:space="preserve"> </w:t>
      </w:r>
      <w:r>
        <w:rPr>
          <w:rFonts w:ascii="Arial" w:cs="Arial" w:eastAsia="Arial" w:hAnsi="Arial"/>
          <w:sz w:val="17"/>
          <w:szCs w:val="17"/>
          <w:color w:val="363636"/>
        </w:rPr>
        <w:t>reflect taxes o</w:t>
      </w:r>
      <w:r>
        <w:rPr>
          <w:rFonts w:ascii="Arial" w:cs="Arial" w:eastAsia="Arial" w:hAnsi="Arial"/>
          <w:sz w:val="17"/>
          <w:szCs w:val="17"/>
          <w:color w:val="262626"/>
        </w:rPr>
        <w:t>r oth</w:t>
      </w:r>
      <w:r>
        <w:rPr>
          <w:rFonts w:ascii="Arial" w:cs="Arial" w:eastAsia="Arial" w:hAnsi="Arial"/>
          <w:sz w:val="17"/>
          <w:szCs w:val="17"/>
          <w:color w:val="363636"/>
        </w:rPr>
        <w:t>er</w:t>
      </w:r>
      <w:r>
        <w:rPr>
          <w:rFonts w:ascii="Arial" w:cs="Arial" w:eastAsia="Arial" w:hAnsi="Arial"/>
          <w:sz w:val="19"/>
          <w:szCs w:val="19"/>
          <w:b w:val="1"/>
          <w:bCs w:val="1"/>
          <w:color w:val="262626"/>
        </w:rPr>
        <w:t xml:space="preserve"> </w:t>
      </w:r>
      <w:r>
        <w:rPr>
          <w:rFonts w:ascii="Arial" w:cs="Arial" w:eastAsia="Arial" w:hAnsi="Arial"/>
          <w:sz w:val="17"/>
          <w:szCs w:val="17"/>
          <w:color w:val="262626"/>
        </w:rPr>
        <w:t>ch</w:t>
      </w:r>
      <w:r>
        <w:rPr>
          <w:rFonts w:ascii="Arial" w:cs="Arial" w:eastAsia="Arial" w:hAnsi="Arial"/>
          <w:sz w:val="17"/>
          <w:szCs w:val="17"/>
          <w:color w:val="363636"/>
        </w:rPr>
        <w:t>arges</w:t>
      </w:r>
      <w:r>
        <w:rPr>
          <w:rFonts w:ascii="Arial" w:cs="Arial" w:eastAsia="Arial" w:hAnsi="Arial"/>
          <w:sz w:val="19"/>
          <w:szCs w:val="19"/>
          <w:b w:val="1"/>
          <w:bCs w:val="1"/>
          <w:color w:val="262626"/>
        </w:rPr>
        <w:t xml:space="preserve"> </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qu</w:t>
      </w:r>
      <w:r>
        <w:rPr>
          <w:rFonts w:ascii="Arial" w:cs="Arial" w:eastAsia="Arial" w:hAnsi="Arial"/>
          <w:sz w:val="17"/>
          <w:szCs w:val="17"/>
          <w:color w:val="363636"/>
        </w:rPr>
        <w:t>ired to</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363636"/>
        </w:rPr>
        <w:t>wit</w:t>
      </w:r>
      <w:r>
        <w:rPr>
          <w:rFonts w:ascii="Arial" w:cs="Arial" w:eastAsia="Arial" w:hAnsi="Arial"/>
          <w:sz w:val="17"/>
          <w:szCs w:val="17"/>
          <w:color w:val="262626"/>
        </w:rPr>
        <w:t>hh</w:t>
      </w:r>
      <w:r>
        <w:rPr>
          <w:rFonts w:ascii="Arial" w:cs="Arial" w:eastAsia="Arial" w:hAnsi="Arial"/>
          <w:sz w:val="17"/>
          <w:szCs w:val="17"/>
          <w:color w:val="363636"/>
        </w:rPr>
        <w:t>e</w:t>
      </w:r>
      <w:r>
        <w:rPr>
          <w:rFonts w:ascii="Arial" w:cs="Arial" w:eastAsia="Arial" w:hAnsi="Arial"/>
          <w:sz w:val="17"/>
          <w:szCs w:val="17"/>
          <w:color w:val="262626"/>
        </w:rPr>
        <w:t>ld b</w:t>
      </w:r>
      <w:r>
        <w:rPr>
          <w:rFonts w:ascii="Arial" w:cs="Arial" w:eastAsia="Arial" w:hAnsi="Arial"/>
          <w:sz w:val="17"/>
          <w:szCs w:val="17"/>
          <w:color w:val="363636"/>
        </w:rPr>
        <w:t xml:space="preserve">y </w:t>
      </w:r>
      <w:r>
        <w:rPr>
          <w:rFonts w:ascii="Arial" w:cs="Arial" w:eastAsia="Arial" w:hAnsi="Arial"/>
          <w:sz w:val="17"/>
          <w:szCs w:val="17"/>
          <w:color w:val="262626"/>
        </w:rPr>
        <w:t>l</w:t>
      </w:r>
      <w:r>
        <w:rPr>
          <w:rFonts w:ascii="Arial" w:cs="Arial" w:eastAsia="Arial" w:hAnsi="Arial"/>
          <w:sz w:val="17"/>
          <w:szCs w:val="17"/>
          <w:color w:val="363636"/>
        </w:rPr>
        <w:t>aw.</w:t>
      </w:r>
    </w:p>
    <w:p>
      <w:pPr>
        <w:spacing w:after="0" w:line="1" w:lineRule="exact"/>
        <w:rPr>
          <w:rFonts w:ascii="Arial" w:cs="Arial" w:eastAsia="Arial" w:hAnsi="Arial"/>
          <w:sz w:val="18"/>
          <w:szCs w:val="18"/>
          <w:color w:val="363636"/>
        </w:rPr>
      </w:pPr>
    </w:p>
    <w:p>
      <w:pPr>
        <w:ind w:left="1080" w:right="60" w:hanging="286"/>
        <w:spacing w:after="0" w:line="250" w:lineRule="auto"/>
        <w:tabs>
          <w:tab w:leader="none" w:pos="1070" w:val="left"/>
        </w:tabs>
        <w:numPr>
          <w:ilvl w:val="0"/>
          <w:numId w:val="336"/>
        </w:numPr>
        <w:rPr>
          <w:rFonts w:ascii="Arial" w:cs="Arial" w:eastAsia="Arial" w:hAnsi="Arial"/>
          <w:sz w:val="18"/>
          <w:szCs w:val="18"/>
          <w:color w:val="262626"/>
        </w:rPr>
      </w:pPr>
      <w:r>
        <w:rPr>
          <w:rFonts w:ascii="Arial" w:cs="Arial" w:eastAsia="Arial" w:hAnsi="Arial"/>
          <w:sz w:val="19"/>
          <w:szCs w:val="19"/>
          <w:b w:val="1"/>
          <w:bCs w:val="1"/>
          <w:u w:val="single" w:color="auto"/>
          <w:color w:val="262626"/>
        </w:rPr>
        <w:t>C</w:t>
      </w:r>
      <w:r>
        <w:rPr>
          <w:rFonts w:ascii="Arial" w:cs="Arial" w:eastAsia="Arial" w:hAnsi="Arial"/>
          <w:sz w:val="19"/>
          <w:szCs w:val="19"/>
          <w:b w:val="1"/>
          <w:bCs w:val="1"/>
          <w:u w:val="single" w:color="auto"/>
          <w:color w:val="111111"/>
        </w:rPr>
        <w:t>h</w:t>
      </w:r>
      <w:r>
        <w:rPr>
          <w:rFonts w:ascii="Arial" w:cs="Arial" w:eastAsia="Arial" w:hAnsi="Arial"/>
          <w:sz w:val="19"/>
          <w:szCs w:val="19"/>
          <w:b w:val="1"/>
          <w:bCs w:val="1"/>
          <w:u w:val="single" w:color="auto"/>
          <w:color w:val="262626"/>
        </w:rPr>
        <w:t>o</w:t>
      </w:r>
      <w:r>
        <w:rPr>
          <w:rFonts w:ascii="Arial" w:cs="Arial" w:eastAsia="Arial" w:hAnsi="Arial"/>
          <w:sz w:val="19"/>
          <w:szCs w:val="19"/>
          <w:b w:val="1"/>
          <w:bCs w:val="1"/>
          <w:u w:val="single" w:color="auto"/>
          <w:color w:val="111111"/>
        </w:rPr>
        <w:t>i</w:t>
      </w:r>
      <w:r>
        <w:rPr>
          <w:rFonts w:ascii="Arial" w:cs="Arial" w:eastAsia="Arial" w:hAnsi="Arial"/>
          <w:sz w:val="19"/>
          <w:szCs w:val="19"/>
          <w:b w:val="1"/>
          <w:bCs w:val="1"/>
          <w:u w:val="single" w:color="auto"/>
          <w:color w:val="262626"/>
        </w:rPr>
        <w:t>ce of Law a</w:t>
      </w:r>
      <w:r>
        <w:rPr>
          <w:rFonts w:ascii="Arial" w:cs="Arial" w:eastAsia="Arial" w:hAnsi="Arial"/>
          <w:sz w:val="19"/>
          <w:szCs w:val="19"/>
          <w:b w:val="1"/>
          <w:bCs w:val="1"/>
          <w:u w:val="single" w:color="auto"/>
          <w:color w:val="111111"/>
        </w:rPr>
        <w:t>nd</w:t>
      </w:r>
      <w:r>
        <w:rPr>
          <w:rFonts w:ascii="Arial" w:cs="Arial" w:eastAsia="Arial" w:hAnsi="Arial"/>
          <w:sz w:val="19"/>
          <w:szCs w:val="19"/>
          <w:b w:val="1"/>
          <w:bCs w:val="1"/>
          <w:color w:val="262626"/>
        </w:rPr>
        <w:t xml:space="preserve"> </w:t>
      </w:r>
      <w:r>
        <w:rPr>
          <w:rFonts w:ascii="Arial" w:cs="Arial" w:eastAsia="Arial" w:hAnsi="Arial"/>
          <w:sz w:val="19"/>
          <w:szCs w:val="19"/>
          <w:b w:val="1"/>
          <w:bCs w:val="1"/>
          <w:u w:val="single" w:color="auto"/>
          <w:color w:val="262626"/>
        </w:rPr>
        <w:t>Severability</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hi</w:t>
      </w:r>
      <w:r>
        <w:rPr>
          <w:rFonts w:ascii="Arial" w:cs="Arial" w:eastAsia="Arial" w:hAnsi="Arial"/>
          <w:sz w:val="17"/>
          <w:szCs w:val="17"/>
          <w:color w:val="363636"/>
        </w:rPr>
        <w:t>s</w:t>
      </w:r>
      <w:r>
        <w:rPr>
          <w:rFonts w:ascii="Arial" w:cs="Arial" w:eastAsia="Arial" w:hAnsi="Arial"/>
          <w:sz w:val="19"/>
          <w:szCs w:val="19"/>
          <w:b w:val="1"/>
          <w:bCs w:val="1"/>
          <w:color w:val="262626"/>
        </w:rPr>
        <w:t xml:space="preserve"> </w:t>
      </w:r>
      <w:r>
        <w:rPr>
          <w:rFonts w:ascii="Arial" w:cs="Arial" w:eastAsia="Arial" w:hAnsi="Arial"/>
          <w:sz w:val="17"/>
          <w:szCs w:val="17"/>
          <w:color w:val="262626"/>
        </w:rPr>
        <w:t>A</w:t>
      </w:r>
      <w:r>
        <w:rPr>
          <w:rFonts w:ascii="Arial" w:cs="Arial" w:eastAsia="Arial" w:hAnsi="Arial"/>
          <w:sz w:val="17"/>
          <w:szCs w:val="17"/>
          <w:color w:val="363636"/>
        </w:rPr>
        <w:t>g</w:t>
      </w:r>
      <w:r>
        <w:rPr>
          <w:rFonts w:ascii="Arial" w:cs="Arial" w:eastAsia="Arial" w:hAnsi="Arial"/>
          <w:sz w:val="17"/>
          <w:szCs w:val="17"/>
          <w:color w:val="262626"/>
        </w:rPr>
        <w:t>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t 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ll b</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int</w:t>
      </w:r>
      <w:r>
        <w:rPr>
          <w:rFonts w:ascii="Arial" w:cs="Arial" w:eastAsia="Arial" w:hAnsi="Arial"/>
          <w:sz w:val="17"/>
          <w:szCs w:val="17"/>
          <w:color w:val="363636"/>
        </w:rPr>
        <w:t>e</w:t>
      </w:r>
      <w:r>
        <w:rPr>
          <w:rFonts w:ascii="Arial" w:cs="Arial" w:eastAsia="Arial" w:hAnsi="Arial"/>
          <w:sz w:val="17"/>
          <w:szCs w:val="17"/>
          <w:color w:val="262626"/>
        </w:rPr>
        <w:t>rpr</w:t>
      </w:r>
      <w:r>
        <w:rPr>
          <w:rFonts w:ascii="Arial" w:cs="Arial" w:eastAsia="Arial" w:hAnsi="Arial"/>
          <w:sz w:val="17"/>
          <w:szCs w:val="17"/>
          <w:color w:val="363636"/>
        </w:rPr>
        <w:t>e</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262626"/>
        </w:rPr>
        <w:t>d in</w:t>
      </w:r>
      <w:r>
        <w:rPr>
          <w:rFonts w:ascii="Arial" w:cs="Arial" w:eastAsia="Arial" w:hAnsi="Arial"/>
          <w:sz w:val="19"/>
          <w:szCs w:val="19"/>
          <w:b w:val="1"/>
          <w:bCs w:val="1"/>
          <w:color w:val="262626"/>
        </w:rPr>
        <w:t xml:space="preserve"> </w:t>
      </w:r>
      <w:r>
        <w:rPr>
          <w:rFonts w:ascii="Arial" w:cs="Arial" w:eastAsia="Arial" w:hAnsi="Arial"/>
          <w:sz w:val="17"/>
          <w:szCs w:val="17"/>
          <w:color w:val="363636"/>
        </w:rPr>
        <w:t>acco</w:t>
      </w:r>
      <w:r>
        <w:rPr>
          <w:rFonts w:ascii="Arial" w:cs="Arial" w:eastAsia="Arial" w:hAnsi="Arial"/>
          <w:sz w:val="17"/>
          <w:szCs w:val="17"/>
          <w:color w:val="262626"/>
        </w:rPr>
        <w:t>rd</w:t>
      </w:r>
      <w:r>
        <w:rPr>
          <w:rFonts w:ascii="Arial" w:cs="Arial" w:eastAsia="Arial" w:hAnsi="Arial"/>
          <w:sz w:val="17"/>
          <w:szCs w:val="17"/>
          <w:color w:val="363636"/>
        </w:rPr>
        <w:t>a</w:t>
      </w:r>
      <w:r>
        <w:rPr>
          <w:rFonts w:ascii="Arial" w:cs="Arial" w:eastAsia="Arial" w:hAnsi="Arial"/>
          <w:sz w:val="17"/>
          <w:szCs w:val="17"/>
          <w:color w:val="262626"/>
        </w:rPr>
        <w:t>n</w:t>
      </w:r>
      <w:r>
        <w:rPr>
          <w:rFonts w:ascii="Arial" w:cs="Arial" w:eastAsia="Arial" w:hAnsi="Arial"/>
          <w:sz w:val="17"/>
          <w:szCs w:val="17"/>
          <w:color w:val="363636"/>
        </w:rPr>
        <w:t>ce</w:t>
      </w:r>
      <w:r>
        <w:rPr>
          <w:rFonts w:ascii="Arial" w:cs="Arial" w:eastAsia="Arial" w:hAnsi="Arial"/>
          <w:sz w:val="19"/>
          <w:szCs w:val="19"/>
          <w:b w:val="1"/>
          <w:bCs w:val="1"/>
          <w:color w:val="262626"/>
        </w:rPr>
        <w:t xml:space="preserve"> </w:t>
      </w:r>
      <w:r>
        <w:rPr>
          <w:rFonts w:ascii="Arial" w:cs="Arial" w:eastAsia="Arial" w:hAnsi="Arial"/>
          <w:sz w:val="17"/>
          <w:szCs w:val="17"/>
          <w:color w:val="2F2F2F"/>
        </w:rPr>
        <w:t>w</w:t>
      </w:r>
      <w:r>
        <w:rPr>
          <w:rFonts w:ascii="Arial" w:cs="Arial" w:eastAsia="Arial" w:hAnsi="Arial"/>
          <w:sz w:val="17"/>
          <w:szCs w:val="17"/>
          <w:color w:val="1C1C1C"/>
        </w:rPr>
        <w:t>i</w:t>
      </w:r>
      <w:r>
        <w:rPr>
          <w:rFonts w:ascii="Arial" w:cs="Arial" w:eastAsia="Arial" w:hAnsi="Arial"/>
          <w:sz w:val="17"/>
          <w:szCs w:val="17"/>
          <w:color w:val="2F2F2F"/>
        </w:rPr>
        <w:t>th</w:t>
      </w:r>
      <w:r>
        <w:rPr>
          <w:rFonts w:ascii="Arial" w:cs="Arial" w:eastAsia="Arial" w:hAnsi="Arial"/>
          <w:sz w:val="19"/>
          <w:szCs w:val="19"/>
          <w:b w:val="1"/>
          <w:bCs w:val="1"/>
          <w:color w:val="262626"/>
        </w:rPr>
        <w:t xml:space="preserve"> </w:t>
      </w:r>
      <w:r>
        <w:rPr>
          <w:rFonts w:ascii="Arial" w:cs="Arial" w:eastAsia="Arial" w:hAnsi="Arial"/>
          <w:sz w:val="17"/>
          <w:szCs w:val="17"/>
          <w:color w:val="1C1C1C"/>
        </w:rPr>
        <w:t>th</w:t>
      </w:r>
      <w:r>
        <w:rPr>
          <w:rFonts w:ascii="Arial" w:cs="Arial" w:eastAsia="Arial" w:hAnsi="Arial"/>
          <w:sz w:val="17"/>
          <w:szCs w:val="17"/>
          <w:color w:val="2F2F2F"/>
        </w:rPr>
        <w:t>e laws</w:t>
      </w:r>
      <w:r>
        <w:rPr>
          <w:rFonts w:ascii="Arial" w:cs="Arial" w:eastAsia="Arial" w:hAnsi="Arial"/>
          <w:sz w:val="19"/>
          <w:szCs w:val="19"/>
          <w:b w:val="1"/>
          <w:bCs w:val="1"/>
          <w:color w:val="262626"/>
        </w:rPr>
        <w:t xml:space="preserve"> </w:t>
      </w:r>
      <w:r>
        <w:rPr>
          <w:rFonts w:ascii="Arial" w:cs="Arial" w:eastAsia="Arial" w:hAnsi="Arial"/>
          <w:sz w:val="17"/>
          <w:szCs w:val="17"/>
          <w:color w:val="1C1C1C"/>
        </w:rPr>
        <w:t>o</w:t>
      </w:r>
      <w:r>
        <w:rPr>
          <w:rFonts w:ascii="Arial" w:cs="Arial" w:eastAsia="Arial" w:hAnsi="Arial"/>
          <w:sz w:val="17"/>
          <w:szCs w:val="17"/>
          <w:color w:val="2F2F2F"/>
        </w:rPr>
        <w:t>f t</w:t>
      </w:r>
      <w:r>
        <w:rPr>
          <w:rFonts w:ascii="Arial" w:cs="Arial" w:eastAsia="Arial" w:hAnsi="Arial"/>
          <w:sz w:val="17"/>
          <w:szCs w:val="17"/>
          <w:color w:val="1C1C1C"/>
        </w:rPr>
        <w:t>h</w:t>
      </w:r>
      <w:r>
        <w:rPr>
          <w:rFonts w:ascii="Arial" w:cs="Arial" w:eastAsia="Arial" w:hAnsi="Arial"/>
          <w:sz w:val="17"/>
          <w:szCs w:val="17"/>
          <w:color w:val="2F2F2F"/>
        </w:rPr>
        <w:t>e</w:t>
      </w:r>
      <w:r>
        <w:rPr>
          <w:rFonts w:ascii="Arial" w:cs="Arial" w:eastAsia="Arial" w:hAnsi="Arial"/>
          <w:sz w:val="19"/>
          <w:szCs w:val="19"/>
          <w:b w:val="1"/>
          <w:bCs w:val="1"/>
          <w:color w:val="262626"/>
        </w:rPr>
        <w:t xml:space="preserve"> </w:t>
      </w:r>
      <w:r>
        <w:rPr>
          <w:rFonts w:ascii="Arial" w:cs="Arial" w:eastAsia="Arial" w:hAnsi="Arial"/>
          <w:sz w:val="17"/>
          <w:szCs w:val="17"/>
          <w:color w:val="1C1C1C"/>
        </w:rPr>
        <w:t>S</w:t>
      </w:r>
      <w:r>
        <w:rPr>
          <w:rFonts w:ascii="Arial" w:cs="Arial" w:eastAsia="Arial" w:hAnsi="Arial"/>
          <w:sz w:val="17"/>
          <w:szCs w:val="17"/>
          <w:color w:val="2F2F2F"/>
        </w:rPr>
        <w:t>tate of Ca</w:t>
      </w:r>
      <w:r>
        <w:rPr>
          <w:rFonts w:ascii="Arial" w:cs="Arial" w:eastAsia="Arial" w:hAnsi="Arial"/>
          <w:sz w:val="17"/>
          <w:szCs w:val="17"/>
          <w:color w:val="1C1C1C"/>
        </w:rPr>
        <w:t>l</w:t>
      </w:r>
      <w:r>
        <w:rPr>
          <w:rFonts w:ascii="Arial" w:cs="Arial" w:eastAsia="Arial" w:hAnsi="Arial"/>
          <w:sz w:val="17"/>
          <w:szCs w:val="17"/>
          <w:color w:val="2F2F2F"/>
        </w:rPr>
        <w:t>ifo</w:t>
      </w:r>
      <w:r>
        <w:rPr>
          <w:rFonts w:ascii="Arial" w:cs="Arial" w:eastAsia="Arial" w:hAnsi="Arial"/>
          <w:sz w:val="17"/>
          <w:szCs w:val="17"/>
          <w:color w:val="1C1C1C"/>
        </w:rPr>
        <w:t>rni</w:t>
      </w:r>
      <w:r>
        <w:rPr>
          <w:rFonts w:ascii="Arial" w:cs="Arial" w:eastAsia="Arial" w:hAnsi="Arial"/>
          <w:sz w:val="17"/>
          <w:szCs w:val="17"/>
          <w:color w:val="2F2F2F"/>
        </w:rPr>
        <w:t>a witho</w:t>
      </w:r>
      <w:r>
        <w:rPr>
          <w:rFonts w:ascii="Arial" w:cs="Arial" w:eastAsia="Arial" w:hAnsi="Arial"/>
          <w:sz w:val="17"/>
          <w:szCs w:val="17"/>
          <w:color w:val="1C1C1C"/>
        </w:rPr>
        <w:t>u</w:t>
      </w:r>
      <w:r>
        <w:rPr>
          <w:rFonts w:ascii="Arial" w:cs="Arial" w:eastAsia="Arial" w:hAnsi="Arial"/>
          <w:sz w:val="17"/>
          <w:szCs w:val="17"/>
          <w:color w:val="2F2F2F"/>
        </w:rPr>
        <w:t>t</w:t>
      </w:r>
      <w:r>
        <w:rPr>
          <w:rFonts w:ascii="Arial" w:cs="Arial" w:eastAsia="Arial" w:hAnsi="Arial"/>
          <w:sz w:val="19"/>
          <w:szCs w:val="19"/>
          <w:b w:val="1"/>
          <w:bCs w:val="1"/>
          <w:color w:val="262626"/>
        </w:rPr>
        <w:t xml:space="preserve"> </w:t>
      </w:r>
      <w:r>
        <w:rPr>
          <w:rFonts w:ascii="Arial" w:cs="Arial" w:eastAsia="Arial" w:hAnsi="Arial"/>
          <w:sz w:val="17"/>
          <w:szCs w:val="17"/>
          <w:color w:val="2F2F2F"/>
        </w:rPr>
        <w:t>giv</w:t>
      </w:r>
      <w:r>
        <w:rPr>
          <w:rFonts w:ascii="Arial" w:cs="Arial" w:eastAsia="Arial" w:hAnsi="Arial"/>
          <w:sz w:val="17"/>
          <w:szCs w:val="17"/>
          <w:color w:val="1C1C1C"/>
        </w:rPr>
        <w:t>in</w:t>
      </w:r>
      <w:r>
        <w:rPr>
          <w:rFonts w:ascii="Arial" w:cs="Arial" w:eastAsia="Arial" w:hAnsi="Arial"/>
          <w:sz w:val="17"/>
          <w:szCs w:val="17"/>
          <w:color w:val="2F2F2F"/>
        </w:rPr>
        <w:t>g effect t</w:t>
      </w:r>
      <w:r>
        <w:rPr>
          <w:rFonts w:ascii="Arial" w:cs="Arial" w:eastAsia="Arial" w:hAnsi="Arial"/>
          <w:sz w:val="17"/>
          <w:szCs w:val="17"/>
          <w:color w:val="1C1C1C"/>
        </w:rPr>
        <w:t>o p</w:t>
      </w:r>
      <w:r>
        <w:rPr>
          <w:rFonts w:ascii="Arial" w:cs="Arial" w:eastAsia="Arial" w:hAnsi="Arial"/>
          <w:sz w:val="17"/>
          <w:szCs w:val="17"/>
          <w:color w:val="2F2F2F"/>
        </w:rPr>
        <w:t>rov</w:t>
      </w:r>
      <w:r>
        <w:rPr>
          <w:rFonts w:ascii="Arial" w:cs="Arial" w:eastAsia="Arial" w:hAnsi="Arial"/>
          <w:sz w:val="17"/>
          <w:szCs w:val="17"/>
          <w:color w:val="1C1C1C"/>
        </w:rPr>
        <w:t>i</w:t>
      </w:r>
      <w:r>
        <w:rPr>
          <w:rFonts w:ascii="Arial" w:cs="Arial" w:eastAsia="Arial" w:hAnsi="Arial"/>
          <w:sz w:val="17"/>
          <w:szCs w:val="17"/>
          <w:color w:val="2F2F2F"/>
        </w:rPr>
        <w:t>sio</w:t>
      </w:r>
      <w:r>
        <w:rPr>
          <w:rFonts w:ascii="Arial" w:cs="Arial" w:eastAsia="Arial" w:hAnsi="Arial"/>
          <w:sz w:val="17"/>
          <w:szCs w:val="17"/>
          <w:color w:val="1C1C1C"/>
        </w:rPr>
        <w:t>n</w:t>
      </w:r>
      <w:r>
        <w:rPr>
          <w:rFonts w:ascii="Arial" w:cs="Arial" w:eastAsia="Arial" w:hAnsi="Arial"/>
          <w:sz w:val="17"/>
          <w:szCs w:val="17"/>
          <w:color w:val="2F2F2F"/>
        </w:rPr>
        <w:t>s govern</w:t>
      </w:r>
      <w:r>
        <w:rPr>
          <w:rFonts w:ascii="Arial" w:cs="Arial" w:eastAsia="Arial" w:hAnsi="Arial"/>
          <w:sz w:val="17"/>
          <w:szCs w:val="17"/>
          <w:color w:val="1C1C1C"/>
        </w:rPr>
        <w:t>in</w:t>
      </w:r>
      <w:r>
        <w:rPr>
          <w:rFonts w:ascii="Arial" w:cs="Arial" w:eastAsia="Arial" w:hAnsi="Arial"/>
          <w:sz w:val="17"/>
          <w:szCs w:val="17"/>
          <w:color w:val="2F2F2F"/>
        </w:rPr>
        <w:t>g the c</w:t>
      </w:r>
      <w:r>
        <w:rPr>
          <w:rFonts w:ascii="Arial" w:cs="Arial" w:eastAsia="Arial" w:hAnsi="Arial"/>
          <w:sz w:val="17"/>
          <w:szCs w:val="17"/>
          <w:color w:val="1C1C1C"/>
        </w:rPr>
        <w:t>h</w:t>
      </w:r>
      <w:r>
        <w:rPr>
          <w:rFonts w:ascii="Arial" w:cs="Arial" w:eastAsia="Arial" w:hAnsi="Arial"/>
          <w:sz w:val="17"/>
          <w:szCs w:val="17"/>
          <w:color w:val="2F2F2F"/>
        </w:rPr>
        <w:t>o</w:t>
      </w:r>
      <w:r>
        <w:rPr>
          <w:rFonts w:ascii="Arial" w:cs="Arial" w:eastAsia="Arial" w:hAnsi="Arial"/>
          <w:sz w:val="17"/>
          <w:szCs w:val="17"/>
          <w:color w:val="1C1C1C"/>
        </w:rPr>
        <w:t>i</w:t>
      </w:r>
      <w:r>
        <w:rPr>
          <w:rFonts w:ascii="Arial" w:cs="Arial" w:eastAsia="Arial" w:hAnsi="Arial"/>
          <w:sz w:val="17"/>
          <w:szCs w:val="17"/>
          <w:color w:val="2F2F2F"/>
        </w:rPr>
        <w:t>ce of law. If any prov</w:t>
      </w:r>
      <w:r>
        <w:rPr>
          <w:rFonts w:ascii="Arial" w:cs="Arial" w:eastAsia="Arial" w:hAnsi="Arial"/>
          <w:sz w:val="17"/>
          <w:szCs w:val="17"/>
          <w:color w:val="1C1C1C"/>
        </w:rPr>
        <w:t>i</w:t>
      </w:r>
      <w:r>
        <w:rPr>
          <w:rFonts w:ascii="Arial" w:cs="Arial" w:eastAsia="Arial" w:hAnsi="Arial"/>
          <w:sz w:val="17"/>
          <w:szCs w:val="17"/>
          <w:color w:val="2F2F2F"/>
        </w:rPr>
        <w:t>s</w:t>
      </w:r>
      <w:r>
        <w:rPr>
          <w:rFonts w:ascii="Arial" w:cs="Arial" w:eastAsia="Arial" w:hAnsi="Arial"/>
          <w:sz w:val="17"/>
          <w:szCs w:val="17"/>
          <w:color w:val="1C1C1C"/>
        </w:rPr>
        <w:t>i</w:t>
      </w:r>
      <w:r>
        <w:rPr>
          <w:rFonts w:ascii="Arial" w:cs="Arial" w:eastAsia="Arial" w:hAnsi="Arial"/>
          <w:sz w:val="17"/>
          <w:szCs w:val="17"/>
          <w:color w:val="2F2F2F"/>
        </w:rPr>
        <w:t>o</w:t>
      </w:r>
      <w:r>
        <w:rPr>
          <w:rFonts w:ascii="Arial" w:cs="Arial" w:eastAsia="Arial" w:hAnsi="Arial"/>
          <w:sz w:val="17"/>
          <w:szCs w:val="17"/>
          <w:color w:val="1C1C1C"/>
        </w:rPr>
        <w:t>n</w:t>
      </w:r>
      <w:r>
        <w:rPr>
          <w:rFonts w:ascii="Arial" w:cs="Arial" w:eastAsia="Arial" w:hAnsi="Arial"/>
          <w:sz w:val="17"/>
          <w:szCs w:val="17"/>
          <w:color w:val="2F2F2F"/>
        </w:rPr>
        <w:t xml:space="preserve"> o</w:t>
      </w:r>
      <w:r>
        <w:rPr>
          <w:rFonts w:ascii="Arial" w:cs="Arial" w:eastAsia="Arial" w:hAnsi="Arial"/>
          <w:sz w:val="17"/>
          <w:szCs w:val="17"/>
          <w:color w:val="1C1C1C"/>
        </w:rPr>
        <w:t>f</w:t>
      </w:r>
      <w:r>
        <w:rPr>
          <w:rFonts w:ascii="Arial" w:cs="Arial" w:eastAsia="Arial" w:hAnsi="Arial"/>
          <w:sz w:val="17"/>
          <w:szCs w:val="17"/>
          <w:color w:val="2F2F2F"/>
        </w:rPr>
        <w:t xml:space="preserve"> this Agree</w:t>
      </w:r>
      <w:r>
        <w:rPr>
          <w:rFonts w:ascii="Arial" w:cs="Arial" w:eastAsia="Arial" w:hAnsi="Arial"/>
          <w:sz w:val="17"/>
          <w:szCs w:val="17"/>
          <w:color w:val="1C1C1C"/>
        </w:rPr>
        <w:t>m</w:t>
      </w:r>
      <w:r>
        <w:rPr>
          <w:rFonts w:ascii="Arial" w:cs="Arial" w:eastAsia="Arial" w:hAnsi="Arial"/>
          <w:sz w:val="17"/>
          <w:szCs w:val="17"/>
          <w:color w:val="2F2F2F"/>
        </w:rPr>
        <w:t>en</w:t>
      </w:r>
      <w:r>
        <w:rPr>
          <w:rFonts w:ascii="Arial" w:cs="Arial" w:eastAsia="Arial" w:hAnsi="Arial"/>
          <w:sz w:val="17"/>
          <w:szCs w:val="17"/>
          <w:color w:val="1C1C1C"/>
        </w:rPr>
        <w:t>t b</w:t>
      </w:r>
      <w:r>
        <w:rPr>
          <w:rFonts w:ascii="Arial" w:cs="Arial" w:eastAsia="Arial" w:hAnsi="Arial"/>
          <w:sz w:val="17"/>
          <w:szCs w:val="17"/>
          <w:color w:val="2F2F2F"/>
        </w:rPr>
        <w:t>eco</w:t>
      </w:r>
      <w:r>
        <w:rPr>
          <w:rFonts w:ascii="Arial" w:cs="Arial" w:eastAsia="Arial" w:hAnsi="Arial"/>
          <w:sz w:val="17"/>
          <w:szCs w:val="17"/>
          <w:color w:val="1C1C1C"/>
        </w:rPr>
        <w:t>m</w:t>
      </w:r>
      <w:r>
        <w:rPr>
          <w:rFonts w:ascii="Arial" w:cs="Arial" w:eastAsia="Arial" w:hAnsi="Arial"/>
          <w:sz w:val="17"/>
          <w:szCs w:val="17"/>
          <w:color w:val="2F2F2F"/>
        </w:rPr>
        <w:t>es o</w:t>
      </w:r>
      <w:r>
        <w:rPr>
          <w:rFonts w:ascii="Arial" w:cs="Arial" w:eastAsia="Arial" w:hAnsi="Arial"/>
          <w:sz w:val="17"/>
          <w:szCs w:val="17"/>
          <w:color w:val="1C1C1C"/>
        </w:rPr>
        <w:t>r</w:t>
      </w:r>
      <w:r>
        <w:rPr>
          <w:rFonts w:ascii="Arial" w:cs="Arial" w:eastAsia="Arial" w:hAnsi="Arial"/>
          <w:sz w:val="17"/>
          <w:szCs w:val="17"/>
          <w:color w:val="2F2F2F"/>
        </w:rPr>
        <w:t xml:space="preserve"> is dee</w:t>
      </w:r>
      <w:r>
        <w:rPr>
          <w:rFonts w:ascii="Arial" w:cs="Arial" w:eastAsia="Arial" w:hAnsi="Arial"/>
          <w:sz w:val="17"/>
          <w:szCs w:val="17"/>
          <w:color w:val="1C1C1C"/>
        </w:rPr>
        <w:t>m</w:t>
      </w:r>
      <w:r>
        <w:rPr>
          <w:rFonts w:ascii="Arial" w:cs="Arial" w:eastAsia="Arial" w:hAnsi="Arial"/>
          <w:sz w:val="17"/>
          <w:szCs w:val="17"/>
          <w:color w:val="2F2F2F"/>
        </w:rPr>
        <w:t>ed i</w:t>
      </w:r>
      <w:r>
        <w:rPr>
          <w:rFonts w:ascii="Arial" w:cs="Arial" w:eastAsia="Arial" w:hAnsi="Arial"/>
          <w:sz w:val="17"/>
          <w:szCs w:val="17"/>
          <w:color w:val="1C1C1C"/>
        </w:rPr>
        <w:t>n</w:t>
      </w:r>
      <w:r>
        <w:rPr>
          <w:rFonts w:ascii="Arial" w:cs="Arial" w:eastAsia="Arial" w:hAnsi="Arial"/>
          <w:sz w:val="17"/>
          <w:szCs w:val="17"/>
          <w:color w:val="2F2F2F"/>
        </w:rPr>
        <w:t>va</w:t>
      </w:r>
      <w:r>
        <w:rPr>
          <w:rFonts w:ascii="Arial" w:cs="Arial" w:eastAsia="Arial" w:hAnsi="Arial"/>
          <w:sz w:val="17"/>
          <w:szCs w:val="17"/>
          <w:color w:val="1C1C1C"/>
        </w:rPr>
        <w:t>l</w:t>
      </w:r>
      <w:r>
        <w:rPr>
          <w:rFonts w:ascii="Arial" w:cs="Arial" w:eastAsia="Arial" w:hAnsi="Arial"/>
          <w:sz w:val="17"/>
          <w:szCs w:val="17"/>
          <w:color w:val="2F2F2F"/>
        </w:rPr>
        <w:t>i</w:t>
      </w:r>
      <w:r>
        <w:rPr>
          <w:rFonts w:ascii="Arial" w:cs="Arial" w:eastAsia="Arial" w:hAnsi="Arial"/>
          <w:sz w:val="17"/>
          <w:szCs w:val="17"/>
          <w:color w:val="1C1C1C"/>
        </w:rPr>
        <w:t>d</w:t>
      </w:r>
      <w:r>
        <w:rPr>
          <w:rFonts w:ascii="Arial" w:cs="Arial" w:eastAsia="Arial" w:hAnsi="Arial"/>
          <w:sz w:val="17"/>
          <w:szCs w:val="17"/>
          <w:color w:val="4D4D4D"/>
        </w:rPr>
        <w:t>,</w:t>
      </w:r>
      <w:r>
        <w:rPr>
          <w:rFonts w:ascii="Arial" w:cs="Arial" w:eastAsia="Arial" w:hAnsi="Arial"/>
          <w:sz w:val="17"/>
          <w:szCs w:val="17"/>
          <w:color w:val="2F2F2F"/>
        </w:rPr>
        <w:t xml:space="preserve"> </w:t>
      </w:r>
      <w:r>
        <w:rPr>
          <w:rFonts w:ascii="Arial" w:cs="Arial" w:eastAsia="Arial" w:hAnsi="Arial"/>
          <w:sz w:val="17"/>
          <w:szCs w:val="17"/>
          <w:color w:val="1C1C1C"/>
        </w:rPr>
        <w:t>ill</w:t>
      </w:r>
      <w:r>
        <w:rPr>
          <w:rFonts w:ascii="Arial" w:cs="Arial" w:eastAsia="Arial" w:hAnsi="Arial"/>
          <w:sz w:val="17"/>
          <w:szCs w:val="17"/>
          <w:color w:val="2F2F2F"/>
        </w:rPr>
        <w:t>egal or unenforcea</w:t>
      </w:r>
      <w:r>
        <w:rPr>
          <w:rFonts w:ascii="Arial" w:cs="Arial" w:eastAsia="Arial" w:hAnsi="Arial"/>
          <w:sz w:val="17"/>
          <w:szCs w:val="17"/>
          <w:color w:val="1C1C1C"/>
        </w:rPr>
        <w:t>b</w:t>
      </w:r>
      <w:r>
        <w:rPr>
          <w:rFonts w:ascii="Arial" w:cs="Arial" w:eastAsia="Arial" w:hAnsi="Arial"/>
          <w:sz w:val="17"/>
          <w:szCs w:val="17"/>
          <w:color w:val="2F2F2F"/>
        </w:rPr>
        <w:t xml:space="preserve">le in </w:t>
      </w:r>
      <w:r>
        <w:rPr>
          <w:rFonts w:ascii="Arial" w:cs="Arial" w:eastAsia="Arial" w:hAnsi="Arial"/>
          <w:sz w:val="17"/>
          <w:szCs w:val="17"/>
          <w:color w:val="262626"/>
        </w:rPr>
        <w:t>any app</w:t>
      </w:r>
      <w:r>
        <w:rPr>
          <w:rFonts w:ascii="Arial" w:cs="Arial" w:eastAsia="Arial" w:hAnsi="Arial"/>
          <w:sz w:val="17"/>
          <w:szCs w:val="17"/>
          <w:color w:val="1C1C1C"/>
        </w:rPr>
        <w:t>l</w:t>
      </w:r>
      <w:r>
        <w:rPr>
          <w:rFonts w:ascii="Arial" w:cs="Arial" w:eastAsia="Arial" w:hAnsi="Arial"/>
          <w:sz w:val="17"/>
          <w:szCs w:val="17"/>
          <w:color w:val="2F2F2F"/>
        </w:rPr>
        <w:t>ica</w:t>
      </w:r>
      <w:r>
        <w:rPr>
          <w:rFonts w:ascii="Arial" w:cs="Arial" w:eastAsia="Arial" w:hAnsi="Arial"/>
          <w:sz w:val="17"/>
          <w:szCs w:val="17"/>
          <w:color w:val="1C1C1C"/>
        </w:rPr>
        <w:t>b</w:t>
      </w:r>
      <w:r>
        <w:rPr>
          <w:rFonts w:ascii="Arial" w:cs="Arial" w:eastAsia="Arial" w:hAnsi="Arial"/>
          <w:sz w:val="17"/>
          <w:szCs w:val="17"/>
          <w:color w:val="2F2F2F"/>
        </w:rPr>
        <w:t>le juris</w:t>
      </w:r>
      <w:r>
        <w:rPr>
          <w:rFonts w:ascii="Arial" w:cs="Arial" w:eastAsia="Arial" w:hAnsi="Arial"/>
          <w:sz w:val="17"/>
          <w:szCs w:val="17"/>
          <w:color w:val="1C1C1C"/>
        </w:rPr>
        <w:t>d</w:t>
      </w:r>
      <w:r>
        <w:rPr>
          <w:rFonts w:ascii="Arial" w:cs="Arial" w:eastAsia="Arial" w:hAnsi="Arial"/>
          <w:sz w:val="17"/>
          <w:szCs w:val="17"/>
          <w:color w:val="2F2F2F"/>
        </w:rPr>
        <w:t>i</w:t>
      </w:r>
      <w:r>
        <w:rPr>
          <w:rFonts w:ascii="Arial" w:cs="Arial" w:eastAsia="Arial" w:hAnsi="Arial"/>
          <w:sz w:val="17"/>
          <w:szCs w:val="17"/>
          <w:color w:val="1C1C1C"/>
        </w:rPr>
        <w:t>ct</w:t>
      </w:r>
      <w:r>
        <w:rPr>
          <w:rFonts w:ascii="Arial" w:cs="Arial" w:eastAsia="Arial" w:hAnsi="Arial"/>
          <w:sz w:val="17"/>
          <w:szCs w:val="17"/>
          <w:color w:val="2F2F2F"/>
        </w:rPr>
        <w:t xml:space="preserve">ion </w:t>
      </w:r>
      <w:r>
        <w:rPr>
          <w:rFonts w:ascii="Arial" w:cs="Arial" w:eastAsia="Arial" w:hAnsi="Arial"/>
          <w:sz w:val="17"/>
          <w:szCs w:val="17"/>
          <w:color w:val="1C1C1C"/>
        </w:rPr>
        <w:t>b</w:t>
      </w:r>
      <w:r>
        <w:rPr>
          <w:rFonts w:ascii="Arial" w:cs="Arial" w:eastAsia="Arial" w:hAnsi="Arial"/>
          <w:sz w:val="17"/>
          <w:szCs w:val="17"/>
          <w:color w:val="2F2F2F"/>
        </w:rPr>
        <w:t>y reaso</w:t>
      </w:r>
      <w:r>
        <w:rPr>
          <w:rFonts w:ascii="Arial" w:cs="Arial" w:eastAsia="Arial" w:hAnsi="Arial"/>
          <w:sz w:val="17"/>
          <w:szCs w:val="17"/>
          <w:color w:val="1C1C1C"/>
        </w:rPr>
        <w:t>n</w:t>
      </w:r>
      <w:r>
        <w:rPr>
          <w:rFonts w:ascii="Arial" w:cs="Arial" w:eastAsia="Arial" w:hAnsi="Arial"/>
          <w:sz w:val="17"/>
          <w:szCs w:val="17"/>
          <w:color w:val="2F2F2F"/>
        </w:rPr>
        <w:t xml:space="preserve"> of </w:t>
      </w:r>
      <w:r>
        <w:rPr>
          <w:rFonts w:ascii="Arial" w:cs="Arial" w:eastAsia="Arial" w:hAnsi="Arial"/>
          <w:sz w:val="17"/>
          <w:szCs w:val="17"/>
          <w:color w:val="1C1C1C"/>
        </w:rPr>
        <w:t>t</w:t>
      </w:r>
      <w:r>
        <w:rPr>
          <w:rFonts w:ascii="Arial" w:cs="Arial" w:eastAsia="Arial" w:hAnsi="Arial"/>
          <w:sz w:val="17"/>
          <w:szCs w:val="17"/>
          <w:color w:val="2F2F2F"/>
        </w:rPr>
        <w:t>he sco</w:t>
      </w:r>
      <w:r>
        <w:rPr>
          <w:rFonts w:ascii="Arial" w:cs="Arial" w:eastAsia="Arial" w:hAnsi="Arial"/>
          <w:sz w:val="17"/>
          <w:szCs w:val="17"/>
          <w:color w:val="1C1C1C"/>
        </w:rPr>
        <w:t>p</w:t>
      </w:r>
      <w:r>
        <w:rPr>
          <w:rFonts w:ascii="Arial" w:cs="Arial" w:eastAsia="Arial" w:hAnsi="Arial"/>
          <w:sz w:val="17"/>
          <w:szCs w:val="17"/>
          <w:color w:val="2F2F2F"/>
        </w:rPr>
        <w:t>e</w:t>
      </w:r>
      <w:r>
        <w:rPr>
          <w:rFonts w:ascii="Arial" w:cs="Arial" w:eastAsia="Arial" w:hAnsi="Arial"/>
          <w:sz w:val="17"/>
          <w:szCs w:val="17"/>
          <w:color w:val="5D5D5D"/>
        </w:rPr>
        <w:t>,</w:t>
      </w:r>
      <w:r>
        <w:rPr>
          <w:rFonts w:ascii="Arial" w:cs="Arial" w:eastAsia="Arial" w:hAnsi="Arial"/>
          <w:sz w:val="17"/>
          <w:szCs w:val="17"/>
          <w:color w:val="2F2F2F"/>
        </w:rPr>
        <w:t xml:space="preserve"> extent o</w:t>
      </w:r>
      <w:r>
        <w:rPr>
          <w:rFonts w:ascii="Arial" w:cs="Arial" w:eastAsia="Arial" w:hAnsi="Arial"/>
          <w:sz w:val="17"/>
          <w:szCs w:val="17"/>
          <w:color w:val="1C1C1C"/>
        </w:rPr>
        <w:t>r d</w:t>
      </w:r>
      <w:r>
        <w:rPr>
          <w:rFonts w:ascii="Arial" w:cs="Arial" w:eastAsia="Arial" w:hAnsi="Arial"/>
          <w:sz w:val="17"/>
          <w:szCs w:val="17"/>
          <w:color w:val="2F2F2F"/>
        </w:rPr>
        <w:t>uratio</w:t>
      </w:r>
      <w:r>
        <w:rPr>
          <w:rFonts w:ascii="Arial" w:cs="Arial" w:eastAsia="Arial" w:hAnsi="Arial"/>
          <w:sz w:val="17"/>
          <w:szCs w:val="17"/>
          <w:color w:val="1C1C1C"/>
        </w:rPr>
        <w:t>n</w:t>
      </w:r>
      <w:r>
        <w:rPr>
          <w:rFonts w:ascii="Arial" w:cs="Arial" w:eastAsia="Arial" w:hAnsi="Arial"/>
          <w:sz w:val="17"/>
          <w:szCs w:val="17"/>
          <w:color w:val="2F2F2F"/>
        </w:rPr>
        <w:t xml:space="preserve"> of </w:t>
      </w:r>
      <w:r>
        <w:rPr>
          <w:rFonts w:ascii="Arial" w:cs="Arial" w:eastAsia="Arial" w:hAnsi="Arial"/>
          <w:sz w:val="17"/>
          <w:szCs w:val="17"/>
          <w:color w:val="1C1C1C"/>
        </w:rPr>
        <w:t>it</w:t>
      </w:r>
      <w:r>
        <w:rPr>
          <w:rFonts w:ascii="Arial" w:cs="Arial" w:eastAsia="Arial" w:hAnsi="Arial"/>
          <w:sz w:val="17"/>
          <w:szCs w:val="17"/>
          <w:color w:val="2F2F2F"/>
        </w:rPr>
        <w:t>s coverage, the</w:t>
      </w:r>
      <w:r>
        <w:rPr>
          <w:rFonts w:ascii="Arial" w:cs="Arial" w:eastAsia="Arial" w:hAnsi="Arial"/>
          <w:sz w:val="17"/>
          <w:szCs w:val="17"/>
          <w:color w:val="1C1C1C"/>
        </w:rPr>
        <w:t>n</w:t>
      </w:r>
      <w:r>
        <w:rPr>
          <w:rFonts w:ascii="Arial" w:cs="Arial" w:eastAsia="Arial" w:hAnsi="Arial"/>
          <w:sz w:val="17"/>
          <w:szCs w:val="17"/>
          <w:color w:val="2F2F2F"/>
        </w:rPr>
        <w:t xml:space="preserve"> s</w:t>
      </w:r>
      <w:r>
        <w:rPr>
          <w:rFonts w:ascii="Arial" w:cs="Arial" w:eastAsia="Arial" w:hAnsi="Arial"/>
          <w:sz w:val="17"/>
          <w:szCs w:val="17"/>
          <w:color w:val="1C1C1C"/>
        </w:rPr>
        <w:t>u</w:t>
      </w:r>
      <w:r>
        <w:rPr>
          <w:rFonts w:ascii="Arial" w:cs="Arial" w:eastAsia="Arial" w:hAnsi="Arial"/>
          <w:sz w:val="17"/>
          <w:szCs w:val="17"/>
          <w:color w:val="2F2F2F"/>
        </w:rPr>
        <w:t>c</w:t>
      </w:r>
      <w:r>
        <w:rPr>
          <w:rFonts w:ascii="Arial" w:cs="Arial" w:eastAsia="Arial" w:hAnsi="Arial"/>
          <w:sz w:val="17"/>
          <w:szCs w:val="17"/>
          <w:color w:val="1C1C1C"/>
        </w:rPr>
        <w:t>h p</w:t>
      </w:r>
      <w:r>
        <w:rPr>
          <w:rFonts w:ascii="Arial" w:cs="Arial" w:eastAsia="Arial" w:hAnsi="Arial"/>
          <w:sz w:val="17"/>
          <w:szCs w:val="17"/>
          <w:color w:val="2F2F2F"/>
        </w:rPr>
        <w:t xml:space="preserve">rovision shall </w:t>
      </w:r>
      <w:r>
        <w:rPr>
          <w:rFonts w:ascii="Arial" w:cs="Arial" w:eastAsia="Arial" w:hAnsi="Arial"/>
          <w:sz w:val="17"/>
          <w:szCs w:val="17"/>
          <w:color w:val="1C1C1C"/>
        </w:rPr>
        <w:t>b</w:t>
      </w:r>
      <w:r>
        <w:rPr>
          <w:rFonts w:ascii="Arial" w:cs="Arial" w:eastAsia="Arial" w:hAnsi="Arial"/>
          <w:sz w:val="17"/>
          <w:szCs w:val="17"/>
          <w:color w:val="2F2F2F"/>
        </w:rPr>
        <w:t>e deeme</w:t>
      </w:r>
      <w:r>
        <w:rPr>
          <w:rFonts w:ascii="Arial" w:cs="Arial" w:eastAsia="Arial" w:hAnsi="Arial"/>
          <w:sz w:val="17"/>
          <w:szCs w:val="17"/>
          <w:color w:val="1C1C1C"/>
        </w:rPr>
        <w:t>d</w:t>
      </w:r>
      <w:r>
        <w:rPr>
          <w:rFonts w:ascii="Arial" w:cs="Arial" w:eastAsia="Arial" w:hAnsi="Arial"/>
          <w:sz w:val="17"/>
          <w:szCs w:val="17"/>
          <w:color w:val="2F2F2F"/>
        </w:rPr>
        <w:t xml:space="preserve"> a</w:t>
      </w:r>
      <w:r>
        <w:rPr>
          <w:rFonts w:ascii="Arial" w:cs="Arial" w:eastAsia="Arial" w:hAnsi="Arial"/>
          <w:sz w:val="17"/>
          <w:szCs w:val="17"/>
          <w:color w:val="1C1C1C"/>
        </w:rPr>
        <w:t>m</w:t>
      </w:r>
      <w:r>
        <w:rPr>
          <w:rFonts w:ascii="Arial" w:cs="Arial" w:eastAsia="Arial" w:hAnsi="Arial"/>
          <w:sz w:val="17"/>
          <w:szCs w:val="17"/>
          <w:color w:val="2F2F2F"/>
        </w:rPr>
        <w:t>en</w:t>
      </w:r>
      <w:r>
        <w:rPr>
          <w:rFonts w:ascii="Arial" w:cs="Arial" w:eastAsia="Arial" w:hAnsi="Arial"/>
          <w:sz w:val="17"/>
          <w:szCs w:val="17"/>
          <w:color w:val="1C1C1C"/>
        </w:rPr>
        <w:t>d</w:t>
      </w:r>
      <w:r>
        <w:rPr>
          <w:rFonts w:ascii="Arial" w:cs="Arial" w:eastAsia="Arial" w:hAnsi="Arial"/>
          <w:sz w:val="17"/>
          <w:szCs w:val="17"/>
          <w:color w:val="2F2F2F"/>
        </w:rPr>
        <w:t>ed to t</w:t>
      </w:r>
      <w:r>
        <w:rPr>
          <w:rFonts w:ascii="Arial" w:cs="Arial" w:eastAsia="Arial" w:hAnsi="Arial"/>
          <w:sz w:val="17"/>
          <w:szCs w:val="17"/>
          <w:color w:val="1C1C1C"/>
        </w:rPr>
        <w:t>h</w:t>
      </w:r>
      <w:r>
        <w:rPr>
          <w:rFonts w:ascii="Arial" w:cs="Arial" w:eastAsia="Arial" w:hAnsi="Arial"/>
          <w:sz w:val="17"/>
          <w:szCs w:val="17"/>
          <w:color w:val="2F2F2F"/>
        </w:rPr>
        <w:t>e minimum exten</w:t>
      </w:r>
      <w:r>
        <w:rPr>
          <w:rFonts w:ascii="Arial" w:cs="Arial" w:eastAsia="Arial" w:hAnsi="Arial"/>
          <w:sz w:val="17"/>
          <w:szCs w:val="17"/>
          <w:color w:val="1C1C1C"/>
        </w:rPr>
        <w:t>t</w:t>
      </w:r>
      <w:r>
        <w:rPr>
          <w:rFonts w:ascii="Arial" w:cs="Arial" w:eastAsia="Arial" w:hAnsi="Arial"/>
          <w:sz w:val="17"/>
          <w:szCs w:val="17"/>
          <w:color w:val="2F2F2F"/>
        </w:rPr>
        <w:t xml:space="preserve"> necessary to co</w:t>
      </w:r>
      <w:r>
        <w:rPr>
          <w:rFonts w:ascii="Arial" w:cs="Arial" w:eastAsia="Arial" w:hAnsi="Arial"/>
          <w:sz w:val="17"/>
          <w:szCs w:val="17"/>
          <w:color w:val="1C1C1C"/>
        </w:rPr>
        <w:t>n</w:t>
      </w:r>
      <w:r>
        <w:rPr>
          <w:rFonts w:ascii="Arial" w:cs="Arial" w:eastAsia="Arial" w:hAnsi="Arial"/>
          <w:sz w:val="17"/>
          <w:szCs w:val="17"/>
          <w:color w:val="2F2F2F"/>
        </w:rPr>
        <w:t>form to applica</w:t>
      </w:r>
      <w:r>
        <w:rPr>
          <w:rFonts w:ascii="Arial" w:cs="Arial" w:eastAsia="Arial" w:hAnsi="Arial"/>
          <w:sz w:val="17"/>
          <w:szCs w:val="17"/>
          <w:color w:val="1C1C1C"/>
        </w:rPr>
        <w:t>b</w:t>
      </w:r>
      <w:r>
        <w:rPr>
          <w:rFonts w:ascii="Arial" w:cs="Arial" w:eastAsia="Arial" w:hAnsi="Arial"/>
          <w:sz w:val="17"/>
          <w:szCs w:val="17"/>
          <w:color w:val="2F2F2F"/>
        </w:rPr>
        <w:t>le law so as to be valid and enforcea</w:t>
      </w:r>
      <w:r>
        <w:rPr>
          <w:rFonts w:ascii="Arial" w:cs="Arial" w:eastAsia="Arial" w:hAnsi="Arial"/>
          <w:sz w:val="17"/>
          <w:szCs w:val="17"/>
          <w:color w:val="1C1C1C"/>
        </w:rPr>
        <w:t>b</w:t>
      </w:r>
      <w:r>
        <w:rPr>
          <w:rFonts w:ascii="Arial" w:cs="Arial" w:eastAsia="Arial" w:hAnsi="Arial"/>
          <w:sz w:val="17"/>
          <w:szCs w:val="17"/>
          <w:color w:val="2F2F2F"/>
        </w:rPr>
        <w:t>le or</w:t>
      </w:r>
      <w:r>
        <w:rPr>
          <w:rFonts w:ascii="Arial" w:cs="Arial" w:eastAsia="Arial" w:hAnsi="Arial"/>
          <w:sz w:val="17"/>
          <w:szCs w:val="17"/>
          <w:color w:val="4D4D4D"/>
        </w:rPr>
        <w:t>,</w:t>
      </w:r>
      <w:r>
        <w:rPr>
          <w:rFonts w:ascii="Arial" w:cs="Arial" w:eastAsia="Arial" w:hAnsi="Arial"/>
          <w:sz w:val="17"/>
          <w:szCs w:val="17"/>
          <w:color w:val="2F2F2F"/>
        </w:rPr>
        <w:t xml:space="preserve"> if such </w:t>
      </w:r>
      <w:r>
        <w:rPr>
          <w:rFonts w:ascii="Arial" w:cs="Arial" w:eastAsia="Arial" w:hAnsi="Arial"/>
          <w:sz w:val="17"/>
          <w:szCs w:val="17"/>
          <w:color w:val="1C1C1C"/>
        </w:rPr>
        <w:t>p</w:t>
      </w:r>
      <w:r>
        <w:rPr>
          <w:rFonts w:ascii="Arial" w:cs="Arial" w:eastAsia="Arial" w:hAnsi="Arial"/>
          <w:sz w:val="17"/>
          <w:szCs w:val="17"/>
          <w:color w:val="2F2F2F"/>
        </w:rPr>
        <w:t>rovision cannot be so amended witho</w:t>
      </w:r>
      <w:r>
        <w:rPr>
          <w:rFonts w:ascii="Arial" w:cs="Arial" w:eastAsia="Arial" w:hAnsi="Arial"/>
          <w:sz w:val="17"/>
          <w:szCs w:val="17"/>
          <w:color w:val="1C1C1C"/>
        </w:rPr>
        <w:t>ut</w:t>
      </w:r>
      <w:r>
        <w:rPr>
          <w:rFonts w:ascii="Arial" w:cs="Arial" w:eastAsia="Arial" w:hAnsi="Arial"/>
          <w:sz w:val="17"/>
          <w:szCs w:val="17"/>
          <w:color w:val="2F2F2F"/>
        </w:rPr>
        <w:t xml:space="preserve"> materially altering the </w:t>
      </w:r>
      <w:r>
        <w:rPr>
          <w:rFonts w:ascii="Arial" w:cs="Arial" w:eastAsia="Arial" w:hAnsi="Arial"/>
          <w:sz w:val="17"/>
          <w:szCs w:val="17"/>
          <w:color w:val="1C1C1C"/>
        </w:rPr>
        <w:t>in</w:t>
      </w:r>
      <w:r>
        <w:rPr>
          <w:rFonts w:ascii="Arial" w:cs="Arial" w:eastAsia="Arial" w:hAnsi="Arial"/>
          <w:sz w:val="17"/>
          <w:szCs w:val="17"/>
          <w:color w:val="2F2F2F"/>
        </w:rPr>
        <w:t>te</w:t>
      </w:r>
      <w:r>
        <w:rPr>
          <w:rFonts w:ascii="Arial" w:cs="Arial" w:eastAsia="Arial" w:hAnsi="Arial"/>
          <w:sz w:val="17"/>
          <w:szCs w:val="17"/>
          <w:color w:val="1C1C1C"/>
        </w:rPr>
        <w:t>n</w:t>
      </w:r>
      <w:r>
        <w:rPr>
          <w:rFonts w:ascii="Arial" w:cs="Arial" w:eastAsia="Arial" w:hAnsi="Arial"/>
          <w:sz w:val="17"/>
          <w:szCs w:val="17"/>
          <w:color w:val="2F2F2F"/>
        </w:rPr>
        <w:t>t</w:t>
      </w:r>
      <w:r>
        <w:rPr>
          <w:rFonts w:ascii="Arial" w:cs="Arial" w:eastAsia="Arial" w:hAnsi="Arial"/>
          <w:sz w:val="17"/>
          <w:szCs w:val="17"/>
          <w:color w:val="1C1C1C"/>
        </w:rPr>
        <w:t>i</w:t>
      </w:r>
      <w:r>
        <w:rPr>
          <w:rFonts w:ascii="Arial" w:cs="Arial" w:eastAsia="Arial" w:hAnsi="Arial"/>
          <w:sz w:val="17"/>
          <w:szCs w:val="17"/>
          <w:color w:val="2F2F2F"/>
        </w:rPr>
        <w:t>o</w:t>
      </w:r>
      <w:r>
        <w:rPr>
          <w:rFonts w:ascii="Arial" w:cs="Arial" w:eastAsia="Arial" w:hAnsi="Arial"/>
          <w:sz w:val="17"/>
          <w:szCs w:val="17"/>
          <w:color w:val="1C1C1C"/>
        </w:rPr>
        <w:t>n of</w:t>
      </w:r>
      <w:r>
        <w:rPr>
          <w:rFonts w:ascii="Arial" w:cs="Arial" w:eastAsia="Arial" w:hAnsi="Arial"/>
          <w:sz w:val="17"/>
          <w:szCs w:val="17"/>
          <w:color w:val="2F2F2F"/>
        </w:rPr>
        <w:t xml:space="preserve"> the pa</w:t>
      </w:r>
      <w:r>
        <w:rPr>
          <w:rFonts w:ascii="Arial" w:cs="Arial" w:eastAsia="Arial" w:hAnsi="Arial"/>
          <w:sz w:val="17"/>
          <w:szCs w:val="17"/>
          <w:color w:val="1C1C1C"/>
        </w:rPr>
        <w:t>r</w:t>
      </w:r>
      <w:r>
        <w:rPr>
          <w:rFonts w:ascii="Arial" w:cs="Arial" w:eastAsia="Arial" w:hAnsi="Arial"/>
          <w:sz w:val="17"/>
          <w:szCs w:val="17"/>
          <w:color w:val="2F2F2F"/>
        </w:rPr>
        <w:t>t</w:t>
      </w:r>
      <w:r>
        <w:rPr>
          <w:rFonts w:ascii="Arial" w:cs="Arial" w:eastAsia="Arial" w:hAnsi="Arial"/>
          <w:sz w:val="17"/>
          <w:szCs w:val="17"/>
          <w:color w:val="1C1C1C"/>
        </w:rPr>
        <w:t>i</w:t>
      </w:r>
      <w:r>
        <w:rPr>
          <w:rFonts w:ascii="Arial" w:cs="Arial" w:eastAsia="Arial" w:hAnsi="Arial"/>
          <w:sz w:val="17"/>
          <w:szCs w:val="17"/>
          <w:color w:val="2F2F2F"/>
        </w:rPr>
        <w:t>es</w:t>
      </w:r>
      <w:r>
        <w:rPr>
          <w:rFonts w:ascii="Arial" w:cs="Arial" w:eastAsia="Arial" w:hAnsi="Arial"/>
          <w:sz w:val="17"/>
          <w:szCs w:val="17"/>
          <w:color w:val="4D4D4D"/>
        </w:rPr>
        <w:t>,</w:t>
      </w:r>
      <w:r>
        <w:rPr>
          <w:rFonts w:ascii="Arial" w:cs="Arial" w:eastAsia="Arial" w:hAnsi="Arial"/>
          <w:sz w:val="17"/>
          <w:szCs w:val="17"/>
          <w:color w:val="2F2F2F"/>
        </w:rPr>
        <w:t xml:space="preserve"> t</w:t>
      </w:r>
      <w:r>
        <w:rPr>
          <w:rFonts w:ascii="Arial" w:cs="Arial" w:eastAsia="Arial" w:hAnsi="Arial"/>
          <w:sz w:val="17"/>
          <w:szCs w:val="17"/>
          <w:color w:val="1C1C1C"/>
        </w:rPr>
        <w:t>h</w:t>
      </w:r>
      <w:r>
        <w:rPr>
          <w:rFonts w:ascii="Arial" w:cs="Arial" w:eastAsia="Arial" w:hAnsi="Arial"/>
          <w:sz w:val="17"/>
          <w:szCs w:val="17"/>
          <w:color w:val="2F2F2F"/>
        </w:rPr>
        <w:t>e</w:t>
      </w:r>
      <w:r>
        <w:rPr>
          <w:rFonts w:ascii="Arial" w:cs="Arial" w:eastAsia="Arial" w:hAnsi="Arial"/>
          <w:sz w:val="17"/>
          <w:szCs w:val="17"/>
          <w:color w:val="1C1C1C"/>
        </w:rPr>
        <w:t>n</w:t>
      </w:r>
      <w:r>
        <w:rPr>
          <w:rFonts w:ascii="Arial" w:cs="Arial" w:eastAsia="Arial" w:hAnsi="Arial"/>
          <w:sz w:val="17"/>
          <w:szCs w:val="17"/>
          <w:color w:val="2F2F2F"/>
        </w:rPr>
        <w:t xml:space="preserve"> suc</w:t>
      </w:r>
      <w:r>
        <w:rPr>
          <w:rFonts w:ascii="Arial" w:cs="Arial" w:eastAsia="Arial" w:hAnsi="Arial"/>
          <w:sz w:val="17"/>
          <w:szCs w:val="17"/>
          <w:color w:val="1C1C1C"/>
        </w:rPr>
        <w:t>h</w:t>
      </w:r>
      <w:r>
        <w:rPr>
          <w:rFonts w:ascii="Arial" w:cs="Arial" w:eastAsia="Arial" w:hAnsi="Arial"/>
          <w:sz w:val="17"/>
          <w:szCs w:val="17"/>
          <w:color w:val="2F2F2F"/>
        </w:rPr>
        <w:t xml:space="preserve"> prov</w:t>
      </w:r>
      <w:r>
        <w:rPr>
          <w:rFonts w:ascii="Arial" w:cs="Arial" w:eastAsia="Arial" w:hAnsi="Arial"/>
          <w:sz w:val="17"/>
          <w:szCs w:val="17"/>
          <w:color w:val="1C1C1C"/>
        </w:rPr>
        <w:t>i</w:t>
      </w:r>
      <w:r>
        <w:rPr>
          <w:rFonts w:ascii="Arial" w:cs="Arial" w:eastAsia="Arial" w:hAnsi="Arial"/>
          <w:sz w:val="17"/>
          <w:szCs w:val="17"/>
          <w:color w:val="2F2F2F"/>
        </w:rPr>
        <w:t>s</w:t>
      </w:r>
      <w:r>
        <w:rPr>
          <w:rFonts w:ascii="Arial" w:cs="Arial" w:eastAsia="Arial" w:hAnsi="Arial"/>
          <w:sz w:val="17"/>
          <w:szCs w:val="17"/>
          <w:color w:val="1C1C1C"/>
        </w:rPr>
        <w:t>i</w:t>
      </w:r>
      <w:r>
        <w:rPr>
          <w:rFonts w:ascii="Arial" w:cs="Arial" w:eastAsia="Arial" w:hAnsi="Arial"/>
          <w:sz w:val="17"/>
          <w:szCs w:val="17"/>
          <w:color w:val="2F2F2F"/>
        </w:rPr>
        <w:t>on s</w:t>
      </w:r>
      <w:r>
        <w:rPr>
          <w:rFonts w:ascii="Arial" w:cs="Arial" w:eastAsia="Arial" w:hAnsi="Arial"/>
          <w:sz w:val="17"/>
          <w:szCs w:val="17"/>
          <w:color w:val="1C1C1C"/>
        </w:rPr>
        <w:t>h</w:t>
      </w:r>
      <w:r>
        <w:rPr>
          <w:rFonts w:ascii="Arial" w:cs="Arial" w:eastAsia="Arial" w:hAnsi="Arial"/>
          <w:sz w:val="17"/>
          <w:szCs w:val="17"/>
          <w:color w:val="2F2F2F"/>
        </w:rPr>
        <w:t>all be str</w:t>
      </w:r>
      <w:r>
        <w:rPr>
          <w:rFonts w:ascii="Arial" w:cs="Arial" w:eastAsia="Arial" w:hAnsi="Arial"/>
          <w:sz w:val="17"/>
          <w:szCs w:val="17"/>
          <w:color w:val="1C1C1C"/>
        </w:rPr>
        <w:t>i</w:t>
      </w:r>
      <w:r>
        <w:rPr>
          <w:rFonts w:ascii="Arial" w:cs="Arial" w:eastAsia="Arial" w:hAnsi="Arial"/>
          <w:sz w:val="17"/>
          <w:szCs w:val="17"/>
          <w:color w:val="2F2F2F"/>
        </w:rPr>
        <w:t>c</w:t>
      </w:r>
      <w:r>
        <w:rPr>
          <w:rFonts w:ascii="Arial" w:cs="Arial" w:eastAsia="Arial" w:hAnsi="Arial"/>
          <w:sz w:val="17"/>
          <w:szCs w:val="17"/>
          <w:color w:val="1C1C1C"/>
        </w:rPr>
        <w:t>k</w:t>
      </w:r>
      <w:r>
        <w:rPr>
          <w:rFonts w:ascii="Arial" w:cs="Arial" w:eastAsia="Arial" w:hAnsi="Arial"/>
          <w:sz w:val="17"/>
          <w:szCs w:val="17"/>
          <w:color w:val="2F2F2F"/>
        </w:rPr>
        <w:t>e</w:t>
      </w:r>
      <w:r>
        <w:rPr>
          <w:rFonts w:ascii="Arial" w:cs="Arial" w:eastAsia="Arial" w:hAnsi="Arial"/>
          <w:sz w:val="17"/>
          <w:szCs w:val="17"/>
          <w:color w:val="1C1C1C"/>
        </w:rPr>
        <w:t>n</w:t>
      </w:r>
      <w:r>
        <w:rPr>
          <w:rFonts w:ascii="Arial" w:cs="Arial" w:eastAsia="Arial" w:hAnsi="Arial"/>
          <w:sz w:val="17"/>
          <w:szCs w:val="17"/>
          <w:color w:val="2F2F2F"/>
        </w:rPr>
        <w:t xml:space="preserve"> a</w:t>
      </w:r>
      <w:r>
        <w:rPr>
          <w:rFonts w:ascii="Arial" w:cs="Arial" w:eastAsia="Arial" w:hAnsi="Arial"/>
          <w:sz w:val="17"/>
          <w:szCs w:val="17"/>
          <w:color w:val="1C1C1C"/>
        </w:rPr>
        <w:t>n</w:t>
      </w:r>
      <w:r>
        <w:rPr>
          <w:rFonts w:ascii="Arial" w:cs="Arial" w:eastAsia="Arial" w:hAnsi="Arial"/>
          <w:sz w:val="17"/>
          <w:szCs w:val="17"/>
          <w:color w:val="2F2F2F"/>
        </w:rPr>
        <w:t>d the rema</w:t>
      </w:r>
      <w:r>
        <w:rPr>
          <w:rFonts w:ascii="Arial" w:cs="Arial" w:eastAsia="Arial" w:hAnsi="Arial"/>
          <w:sz w:val="17"/>
          <w:szCs w:val="17"/>
          <w:color w:val="1C1C1C"/>
        </w:rPr>
        <w:t>in</w:t>
      </w:r>
      <w:r>
        <w:rPr>
          <w:rFonts w:ascii="Arial" w:cs="Arial" w:eastAsia="Arial" w:hAnsi="Arial"/>
          <w:sz w:val="17"/>
          <w:szCs w:val="17"/>
          <w:color w:val="2F2F2F"/>
        </w:rPr>
        <w:t xml:space="preserve">der of </w:t>
      </w:r>
      <w:r>
        <w:rPr>
          <w:rFonts w:ascii="Arial" w:cs="Arial" w:eastAsia="Arial" w:hAnsi="Arial"/>
          <w:sz w:val="17"/>
          <w:szCs w:val="17"/>
          <w:color w:val="1C1C1C"/>
        </w:rPr>
        <w:t>thi</w:t>
      </w:r>
      <w:r>
        <w:rPr>
          <w:rFonts w:ascii="Arial" w:cs="Arial" w:eastAsia="Arial" w:hAnsi="Arial"/>
          <w:sz w:val="17"/>
          <w:szCs w:val="17"/>
          <w:color w:val="2F2F2F"/>
        </w:rPr>
        <w:t>s Agreement shall continue in full force an</w:t>
      </w:r>
      <w:r>
        <w:rPr>
          <w:rFonts w:ascii="Arial" w:cs="Arial" w:eastAsia="Arial" w:hAnsi="Arial"/>
          <w:sz w:val="17"/>
          <w:szCs w:val="17"/>
          <w:color w:val="1C1C1C"/>
        </w:rPr>
        <w:t>d</w:t>
      </w:r>
      <w:r>
        <w:rPr>
          <w:rFonts w:ascii="Arial" w:cs="Arial" w:eastAsia="Arial" w:hAnsi="Arial"/>
          <w:sz w:val="17"/>
          <w:szCs w:val="17"/>
          <w:color w:val="2F2F2F"/>
        </w:rPr>
        <w:t xml:space="preserve"> effect. If any </w:t>
      </w:r>
      <w:r>
        <w:rPr>
          <w:rFonts w:ascii="Arial" w:cs="Arial" w:eastAsia="Arial" w:hAnsi="Arial"/>
          <w:sz w:val="17"/>
          <w:szCs w:val="17"/>
          <w:color w:val="1C1C1C"/>
        </w:rPr>
        <w:t>p</w:t>
      </w:r>
      <w:r>
        <w:rPr>
          <w:rFonts w:ascii="Arial" w:cs="Arial" w:eastAsia="Arial" w:hAnsi="Arial"/>
          <w:sz w:val="17"/>
          <w:szCs w:val="17"/>
          <w:color w:val="2F2F2F"/>
        </w:rPr>
        <w:t>rovis</w:t>
      </w:r>
      <w:r>
        <w:rPr>
          <w:rFonts w:ascii="Arial" w:cs="Arial" w:eastAsia="Arial" w:hAnsi="Arial"/>
          <w:sz w:val="17"/>
          <w:szCs w:val="17"/>
          <w:color w:val="1C1C1C"/>
        </w:rPr>
        <w:t>i</w:t>
      </w:r>
      <w:r>
        <w:rPr>
          <w:rFonts w:ascii="Arial" w:cs="Arial" w:eastAsia="Arial" w:hAnsi="Arial"/>
          <w:sz w:val="17"/>
          <w:szCs w:val="17"/>
          <w:color w:val="2F2F2F"/>
        </w:rPr>
        <w:t xml:space="preserve">on of this Agreement </w:t>
      </w:r>
      <w:r>
        <w:rPr>
          <w:rFonts w:ascii="Arial" w:cs="Arial" w:eastAsia="Arial" w:hAnsi="Arial"/>
          <w:sz w:val="17"/>
          <w:szCs w:val="17"/>
          <w:color w:val="1C1C1C"/>
        </w:rPr>
        <w:t>i</w:t>
      </w:r>
      <w:r>
        <w:rPr>
          <w:rFonts w:ascii="Arial" w:cs="Arial" w:eastAsia="Arial" w:hAnsi="Arial"/>
          <w:sz w:val="17"/>
          <w:szCs w:val="17"/>
          <w:color w:val="2F2F2F"/>
        </w:rPr>
        <w:t>s ren</w:t>
      </w:r>
      <w:r>
        <w:rPr>
          <w:rFonts w:ascii="Arial" w:cs="Arial" w:eastAsia="Arial" w:hAnsi="Arial"/>
          <w:sz w:val="17"/>
          <w:szCs w:val="17"/>
          <w:color w:val="1C1C1C"/>
        </w:rPr>
        <w:t>d</w:t>
      </w:r>
      <w:r>
        <w:rPr>
          <w:rFonts w:ascii="Arial" w:cs="Arial" w:eastAsia="Arial" w:hAnsi="Arial"/>
          <w:sz w:val="17"/>
          <w:szCs w:val="17"/>
          <w:color w:val="2F2F2F"/>
        </w:rPr>
        <w:t>e</w:t>
      </w:r>
      <w:r>
        <w:rPr>
          <w:rFonts w:ascii="Arial" w:cs="Arial" w:eastAsia="Arial" w:hAnsi="Arial"/>
          <w:sz w:val="17"/>
          <w:szCs w:val="17"/>
          <w:color w:val="1C1C1C"/>
        </w:rPr>
        <w:t>r</w:t>
      </w:r>
      <w:r>
        <w:rPr>
          <w:rFonts w:ascii="Arial" w:cs="Arial" w:eastAsia="Arial" w:hAnsi="Arial"/>
          <w:sz w:val="17"/>
          <w:szCs w:val="17"/>
          <w:color w:val="2F2F2F"/>
        </w:rPr>
        <w:t>e</w:t>
      </w:r>
      <w:r>
        <w:rPr>
          <w:rFonts w:ascii="Arial" w:cs="Arial" w:eastAsia="Arial" w:hAnsi="Arial"/>
          <w:sz w:val="17"/>
          <w:szCs w:val="17"/>
          <w:color w:val="1C1C1C"/>
        </w:rPr>
        <w:t>d</w:t>
      </w:r>
      <w:r>
        <w:rPr>
          <w:rFonts w:ascii="Arial" w:cs="Arial" w:eastAsia="Arial" w:hAnsi="Arial"/>
          <w:sz w:val="17"/>
          <w:szCs w:val="17"/>
          <w:color w:val="2F2F2F"/>
        </w:rPr>
        <w:t xml:space="preserve"> illega</w:t>
      </w:r>
      <w:r>
        <w:rPr>
          <w:rFonts w:ascii="Arial" w:cs="Arial" w:eastAsia="Arial" w:hAnsi="Arial"/>
          <w:sz w:val="17"/>
          <w:szCs w:val="17"/>
          <w:color w:val="1C1C1C"/>
        </w:rPr>
        <w:t>l</w:t>
      </w:r>
      <w:r>
        <w:rPr>
          <w:rFonts w:ascii="Arial" w:cs="Arial" w:eastAsia="Arial" w:hAnsi="Arial"/>
          <w:sz w:val="17"/>
          <w:szCs w:val="17"/>
          <w:color w:val="2F2F2F"/>
        </w:rPr>
        <w:t xml:space="preserve"> by any p</w:t>
      </w:r>
      <w:r>
        <w:rPr>
          <w:rFonts w:ascii="Arial" w:cs="Arial" w:eastAsia="Arial" w:hAnsi="Arial"/>
          <w:sz w:val="17"/>
          <w:szCs w:val="17"/>
          <w:color w:val="1C1C1C"/>
        </w:rPr>
        <w:t>r</w:t>
      </w:r>
      <w:r>
        <w:rPr>
          <w:rFonts w:ascii="Arial" w:cs="Arial" w:eastAsia="Arial" w:hAnsi="Arial"/>
          <w:sz w:val="17"/>
          <w:szCs w:val="17"/>
          <w:color w:val="2F2F2F"/>
        </w:rPr>
        <w:t>ese</w:t>
      </w:r>
      <w:r>
        <w:rPr>
          <w:rFonts w:ascii="Arial" w:cs="Arial" w:eastAsia="Arial" w:hAnsi="Arial"/>
          <w:sz w:val="17"/>
          <w:szCs w:val="17"/>
          <w:color w:val="1C1C1C"/>
        </w:rPr>
        <w:t>n</w:t>
      </w:r>
      <w:r>
        <w:rPr>
          <w:rFonts w:ascii="Arial" w:cs="Arial" w:eastAsia="Arial" w:hAnsi="Arial"/>
          <w:sz w:val="17"/>
          <w:szCs w:val="17"/>
          <w:color w:val="2F2F2F"/>
        </w:rPr>
        <w:t>t o</w:t>
      </w:r>
      <w:r>
        <w:rPr>
          <w:rFonts w:ascii="Arial" w:cs="Arial" w:eastAsia="Arial" w:hAnsi="Arial"/>
          <w:sz w:val="17"/>
          <w:szCs w:val="17"/>
          <w:color w:val="1C1C1C"/>
        </w:rPr>
        <w:t>r fu</w:t>
      </w:r>
      <w:r>
        <w:rPr>
          <w:rFonts w:ascii="Arial" w:cs="Arial" w:eastAsia="Arial" w:hAnsi="Arial"/>
          <w:sz w:val="17"/>
          <w:szCs w:val="17"/>
          <w:color w:val="2F2F2F"/>
        </w:rPr>
        <w:t>ture statu</w:t>
      </w:r>
      <w:r>
        <w:rPr>
          <w:rFonts w:ascii="Arial" w:cs="Arial" w:eastAsia="Arial" w:hAnsi="Arial"/>
          <w:sz w:val="17"/>
          <w:szCs w:val="17"/>
          <w:color w:val="1C1C1C"/>
        </w:rPr>
        <w:t>t</w:t>
      </w:r>
      <w:r>
        <w:rPr>
          <w:rFonts w:ascii="Arial" w:cs="Arial" w:eastAsia="Arial" w:hAnsi="Arial"/>
          <w:sz w:val="17"/>
          <w:szCs w:val="17"/>
          <w:color w:val="2F2F2F"/>
        </w:rPr>
        <w:t>e</w:t>
      </w:r>
      <w:r>
        <w:rPr>
          <w:rFonts w:ascii="Arial" w:cs="Arial" w:eastAsia="Arial" w:hAnsi="Arial"/>
          <w:sz w:val="17"/>
          <w:szCs w:val="17"/>
          <w:color w:val="4D4D4D"/>
        </w:rPr>
        <w:t>,</w:t>
      </w:r>
      <w:r>
        <w:rPr>
          <w:rFonts w:ascii="Arial" w:cs="Arial" w:eastAsia="Arial" w:hAnsi="Arial"/>
          <w:sz w:val="17"/>
          <w:szCs w:val="17"/>
          <w:color w:val="2F2F2F"/>
        </w:rPr>
        <w:t xml:space="preserve"> </w:t>
      </w:r>
      <w:r>
        <w:rPr>
          <w:rFonts w:ascii="Arial" w:cs="Arial" w:eastAsia="Arial" w:hAnsi="Arial"/>
          <w:sz w:val="17"/>
          <w:szCs w:val="17"/>
          <w:color w:val="1C1C1C"/>
        </w:rPr>
        <w:t>l</w:t>
      </w:r>
      <w:r>
        <w:rPr>
          <w:rFonts w:ascii="Arial" w:cs="Arial" w:eastAsia="Arial" w:hAnsi="Arial"/>
          <w:sz w:val="17"/>
          <w:szCs w:val="17"/>
          <w:color w:val="2F2F2F"/>
        </w:rPr>
        <w:t>aw</w:t>
      </w:r>
      <w:r>
        <w:rPr>
          <w:rFonts w:ascii="Arial" w:cs="Arial" w:eastAsia="Arial" w:hAnsi="Arial"/>
          <w:sz w:val="17"/>
          <w:szCs w:val="17"/>
          <w:color w:val="4D4D4D"/>
        </w:rPr>
        <w:t>,</w:t>
      </w:r>
      <w:r>
        <w:rPr>
          <w:rFonts w:ascii="Arial" w:cs="Arial" w:eastAsia="Arial" w:hAnsi="Arial"/>
          <w:sz w:val="17"/>
          <w:szCs w:val="17"/>
          <w:color w:val="2F2F2F"/>
        </w:rPr>
        <w:t xml:space="preserve"> or</w:t>
      </w:r>
      <w:r>
        <w:rPr>
          <w:rFonts w:ascii="Arial" w:cs="Arial" w:eastAsia="Arial" w:hAnsi="Arial"/>
          <w:sz w:val="17"/>
          <w:szCs w:val="17"/>
          <w:color w:val="1C1C1C"/>
        </w:rPr>
        <w:t>din</w:t>
      </w:r>
      <w:r>
        <w:rPr>
          <w:rFonts w:ascii="Arial" w:cs="Arial" w:eastAsia="Arial" w:hAnsi="Arial"/>
          <w:sz w:val="17"/>
          <w:szCs w:val="17"/>
          <w:color w:val="2F2F2F"/>
        </w:rPr>
        <w:t>a</w:t>
      </w:r>
      <w:r>
        <w:rPr>
          <w:rFonts w:ascii="Arial" w:cs="Arial" w:eastAsia="Arial" w:hAnsi="Arial"/>
          <w:sz w:val="17"/>
          <w:szCs w:val="17"/>
          <w:color w:val="1C1C1C"/>
        </w:rPr>
        <w:t>n</w:t>
      </w:r>
      <w:r>
        <w:rPr>
          <w:rFonts w:ascii="Arial" w:cs="Arial" w:eastAsia="Arial" w:hAnsi="Arial"/>
          <w:sz w:val="17"/>
          <w:szCs w:val="17"/>
          <w:color w:val="2F2F2F"/>
        </w:rPr>
        <w:t xml:space="preserve">ce or </w:t>
      </w:r>
      <w:r>
        <w:rPr>
          <w:rFonts w:ascii="Arial" w:cs="Arial" w:eastAsia="Arial" w:hAnsi="Arial"/>
          <w:sz w:val="17"/>
          <w:szCs w:val="17"/>
          <w:color w:val="1C1C1C"/>
        </w:rPr>
        <w:t>r</w:t>
      </w:r>
      <w:r>
        <w:rPr>
          <w:rFonts w:ascii="Arial" w:cs="Arial" w:eastAsia="Arial" w:hAnsi="Arial"/>
          <w:sz w:val="17"/>
          <w:szCs w:val="17"/>
          <w:color w:val="2F2F2F"/>
        </w:rPr>
        <w:t>egu</w:t>
      </w:r>
      <w:r>
        <w:rPr>
          <w:rFonts w:ascii="Arial" w:cs="Arial" w:eastAsia="Arial" w:hAnsi="Arial"/>
          <w:sz w:val="17"/>
          <w:szCs w:val="17"/>
          <w:color w:val="1C1C1C"/>
        </w:rPr>
        <w:t>l</w:t>
      </w:r>
      <w:r>
        <w:rPr>
          <w:rFonts w:ascii="Arial" w:cs="Arial" w:eastAsia="Arial" w:hAnsi="Arial"/>
          <w:sz w:val="17"/>
          <w:szCs w:val="17"/>
          <w:color w:val="2F2F2F"/>
        </w:rPr>
        <w:t>at</w:t>
      </w:r>
      <w:r>
        <w:rPr>
          <w:rFonts w:ascii="Arial" w:cs="Arial" w:eastAsia="Arial" w:hAnsi="Arial"/>
          <w:sz w:val="17"/>
          <w:szCs w:val="17"/>
          <w:color w:val="1C1C1C"/>
        </w:rPr>
        <w:t>i</w:t>
      </w:r>
      <w:r>
        <w:rPr>
          <w:rFonts w:ascii="Arial" w:cs="Arial" w:eastAsia="Arial" w:hAnsi="Arial"/>
          <w:sz w:val="17"/>
          <w:szCs w:val="17"/>
          <w:color w:val="2F2F2F"/>
        </w:rPr>
        <w:t>on (co</w:t>
      </w:r>
      <w:r>
        <w:rPr>
          <w:rFonts w:ascii="Arial" w:cs="Arial" w:eastAsia="Arial" w:hAnsi="Arial"/>
          <w:sz w:val="17"/>
          <w:szCs w:val="17"/>
          <w:color w:val="1C1C1C"/>
        </w:rPr>
        <w:t>ll</w:t>
      </w:r>
      <w:r>
        <w:rPr>
          <w:rFonts w:ascii="Arial" w:cs="Arial" w:eastAsia="Arial" w:hAnsi="Arial"/>
          <w:sz w:val="17"/>
          <w:szCs w:val="17"/>
          <w:color w:val="2F2F2F"/>
        </w:rPr>
        <w:t>ect</w:t>
      </w:r>
      <w:r>
        <w:rPr>
          <w:rFonts w:ascii="Arial" w:cs="Arial" w:eastAsia="Arial" w:hAnsi="Arial"/>
          <w:sz w:val="17"/>
          <w:szCs w:val="17"/>
          <w:color w:val="1C1C1C"/>
        </w:rPr>
        <w:t>i</w:t>
      </w:r>
      <w:r>
        <w:rPr>
          <w:rFonts w:ascii="Arial" w:cs="Arial" w:eastAsia="Arial" w:hAnsi="Arial"/>
          <w:sz w:val="17"/>
          <w:szCs w:val="17"/>
          <w:color w:val="2F2F2F"/>
        </w:rPr>
        <w:t>ve</w:t>
      </w:r>
      <w:r>
        <w:rPr>
          <w:rFonts w:ascii="Arial" w:cs="Arial" w:eastAsia="Arial" w:hAnsi="Arial"/>
          <w:sz w:val="17"/>
          <w:szCs w:val="17"/>
          <w:color w:val="1C1C1C"/>
        </w:rPr>
        <w:t>l</w:t>
      </w:r>
      <w:r>
        <w:rPr>
          <w:rFonts w:ascii="Arial" w:cs="Arial" w:eastAsia="Arial" w:hAnsi="Arial"/>
          <w:sz w:val="17"/>
          <w:szCs w:val="17"/>
          <w:color w:val="2F2F2F"/>
        </w:rPr>
        <w:t>y</w:t>
      </w:r>
      <w:r>
        <w:rPr>
          <w:rFonts w:ascii="Arial" w:cs="Arial" w:eastAsia="Arial" w:hAnsi="Arial"/>
          <w:sz w:val="17"/>
          <w:szCs w:val="17"/>
          <w:color w:val="4D4D4D"/>
        </w:rPr>
        <w:t>,</w:t>
      </w:r>
      <w:r>
        <w:rPr>
          <w:rFonts w:ascii="Arial" w:cs="Arial" w:eastAsia="Arial" w:hAnsi="Arial"/>
          <w:sz w:val="17"/>
          <w:szCs w:val="17"/>
          <w:color w:val="2F2F2F"/>
        </w:rPr>
        <w:t xml:space="preserve"> </w:t>
      </w:r>
      <w:r>
        <w:rPr>
          <w:rFonts w:ascii="Arial" w:cs="Arial" w:eastAsia="Arial" w:hAnsi="Arial"/>
          <w:sz w:val="17"/>
          <w:szCs w:val="17"/>
          <w:color w:val="1C1C1C"/>
        </w:rPr>
        <w:t>th</w:t>
      </w:r>
      <w:r>
        <w:rPr>
          <w:rFonts w:ascii="Arial" w:cs="Arial" w:eastAsia="Arial" w:hAnsi="Arial"/>
          <w:sz w:val="17"/>
          <w:szCs w:val="17"/>
          <w:color w:val="2F2F2F"/>
        </w:rPr>
        <w:t xml:space="preserve">e </w:t>
      </w:r>
      <w:r>
        <w:rPr>
          <w:rFonts w:ascii="Arial" w:cs="Arial" w:eastAsia="Arial" w:hAnsi="Arial"/>
          <w:sz w:val="17"/>
          <w:szCs w:val="17"/>
          <w:color w:val="4D4D4D"/>
        </w:rPr>
        <w:t>"</w:t>
      </w:r>
      <w:r>
        <w:rPr>
          <w:rFonts w:ascii="Arial" w:cs="Arial" w:eastAsia="Arial" w:hAnsi="Arial"/>
          <w:sz w:val="17"/>
          <w:szCs w:val="17"/>
          <w:u w:val="single" w:color="auto"/>
          <w:color w:val="2F2F2F"/>
        </w:rPr>
        <w:t>Law</w:t>
      </w:r>
      <w:r>
        <w:rPr>
          <w:rFonts w:ascii="Arial" w:cs="Arial" w:eastAsia="Arial" w:hAnsi="Arial"/>
          <w:sz w:val="17"/>
          <w:szCs w:val="17"/>
          <w:color w:val="2F2F2F"/>
        </w:rPr>
        <w:t>") t</w:t>
      </w:r>
      <w:r>
        <w:rPr>
          <w:rFonts w:ascii="Arial" w:cs="Arial" w:eastAsia="Arial" w:hAnsi="Arial"/>
          <w:sz w:val="17"/>
          <w:szCs w:val="17"/>
          <w:color w:val="1C1C1C"/>
        </w:rPr>
        <w:t>h</w:t>
      </w:r>
      <w:r>
        <w:rPr>
          <w:rFonts w:ascii="Arial" w:cs="Arial" w:eastAsia="Arial" w:hAnsi="Arial"/>
          <w:sz w:val="17"/>
          <w:szCs w:val="17"/>
          <w:color w:val="2F2F2F"/>
        </w:rPr>
        <w:t xml:space="preserve">en </w:t>
      </w:r>
      <w:r>
        <w:rPr>
          <w:rFonts w:ascii="Arial" w:cs="Arial" w:eastAsia="Arial" w:hAnsi="Arial"/>
          <w:sz w:val="17"/>
          <w:szCs w:val="17"/>
          <w:color w:val="1C1C1C"/>
        </w:rPr>
        <w:t>th</w:t>
      </w:r>
      <w:r>
        <w:rPr>
          <w:rFonts w:ascii="Arial" w:cs="Arial" w:eastAsia="Arial" w:hAnsi="Arial"/>
          <w:sz w:val="17"/>
          <w:szCs w:val="17"/>
          <w:color w:val="2F2F2F"/>
        </w:rPr>
        <w:t>at prov</w:t>
      </w:r>
      <w:r>
        <w:rPr>
          <w:rFonts w:ascii="Arial" w:cs="Arial" w:eastAsia="Arial" w:hAnsi="Arial"/>
          <w:sz w:val="17"/>
          <w:szCs w:val="17"/>
          <w:color w:val="1C1C1C"/>
        </w:rPr>
        <w:t>i</w:t>
      </w:r>
      <w:r>
        <w:rPr>
          <w:rFonts w:ascii="Arial" w:cs="Arial" w:eastAsia="Arial" w:hAnsi="Arial"/>
          <w:sz w:val="17"/>
          <w:szCs w:val="17"/>
          <w:color w:val="2F2F2F"/>
        </w:rPr>
        <w:t>s</w:t>
      </w:r>
      <w:r>
        <w:rPr>
          <w:rFonts w:ascii="Arial" w:cs="Arial" w:eastAsia="Arial" w:hAnsi="Arial"/>
          <w:sz w:val="17"/>
          <w:szCs w:val="17"/>
          <w:color w:val="1C1C1C"/>
        </w:rPr>
        <w:t>i</w:t>
      </w:r>
      <w:r>
        <w:rPr>
          <w:rFonts w:ascii="Arial" w:cs="Arial" w:eastAsia="Arial" w:hAnsi="Arial"/>
          <w:sz w:val="17"/>
          <w:szCs w:val="17"/>
          <w:color w:val="2F2F2F"/>
        </w:rPr>
        <w:t>o</w:t>
      </w:r>
      <w:r>
        <w:rPr>
          <w:rFonts w:ascii="Arial" w:cs="Arial" w:eastAsia="Arial" w:hAnsi="Arial"/>
          <w:sz w:val="17"/>
          <w:szCs w:val="17"/>
          <w:color w:val="1C1C1C"/>
        </w:rPr>
        <w:t>n</w:t>
      </w:r>
      <w:r>
        <w:rPr>
          <w:rFonts w:ascii="Arial" w:cs="Arial" w:eastAsia="Arial" w:hAnsi="Arial"/>
          <w:sz w:val="17"/>
          <w:szCs w:val="17"/>
          <w:color w:val="2F2F2F"/>
        </w:rPr>
        <w:t xml:space="preserve"> s</w:t>
      </w:r>
      <w:r>
        <w:rPr>
          <w:rFonts w:ascii="Arial" w:cs="Arial" w:eastAsia="Arial" w:hAnsi="Arial"/>
          <w:sz w:val="17"/>
          <w:szCs w:val="17"/>
          <w:color w:val="1C1C1C"/>
        </w:rPr>
        <w:t>h</w:t>
      </w:r>
      <w:r>
        <w:rPr>
          <w:rFonts w:ascii="Arial" w:cs="Arial" w:eastAsia="Arial" w:hAnsi="Arial"/>
          <w:sz w:val="17"/>
          <w:szCs w:val="17"/>
          <w:color w:val="2F2F2F"/>
        </w:rPr>
        <w:t>all be c</w:t>
      </w:r>
      <w:r>
        <w:rPr>
          <w:rFonts w:ascii="Arial" w:cs="Arial" w:eastAsia="Arial" w:hAnsi="Arial"/>
          <w:sz w:val="17"/>
          <w:szCs w:val="17"/>
          <w:color w:val="1C1C1C"/>
        </w:rPr>
        <w:t>u</w:t>
      </w:r>
      <w:r>
        <w:rPr>
          <w:rFonts w:ascii="Arial" w:cs="Arial" w:eastAsia="Arial" w:hAnsi="Arial"/>
          <w:sz w:val="17"/>
          <w:szCs w:val="17"/>
          <w:color w:val="2F2F2F"/>
        </w:rPr>
        <w:t>rtai</w:t>
      </w:r>
      <w:r>
        <w:rPr>
          <w:rFonts w:ascii="Arial" w:cs="Arial" w:eastAsia="Arial" w:hAnsi="Arial"/>
          <w:sz w:val="17"/>
          <w:szCs w:val="17"/>
          <w:color w:val="1C1C1C"/>
        </w:rPr>
        <w:t>l</w:t>
      </w:r>
      <w:r>
        <w:rPr>
          <w:rFonts w:ascii="Arial" w:cs="Arial" w:eastAsia="Arial" w:hAnsi="Arial"/>
          <w:sz w:val="17"/>
          <w:szCs w:val="17"/>
          <w:color w:val="2F2F2F"/>
        </w:rPr>
        <w:t xml:space="preserve">ed </w:t>
      </w:r>
      <w:r>
        <w:rPr>
          <w:rFonts w:ascii="Arial" w:cs="Arial" w:eastAsia="Arial" w:hAnsi="Arial"/>
          <w:sz w:val="17"/>
          <w:szCs w:val="17"/>
          <w:color w:val="1C1C1C"/>
        </w:rPr>
        <w:t>or li</w:t>
      </w:r>
      <w:r>
        <w:rPr>
          <w:rFonts w:ascii="Arial" w:cs="Arial" w:eastAsia="Arial" w:hAnsi="Arial"/>
          <w:sz w:val="17"/>
          <w:szCs w:val="17"/>
          <w:color w:val="2F2F2F"/>
        </w:rPr>
        <w:t>mi</w:t>
      </w:r>
      <w:r>
        <w:rPr>
          <w:rFonts w:ascii="Arial" w:cs="Arial" w:eastAsia="Arial" w:hAnsi="Arial"/>
          <w:sz w:val="17"/>
          <w:szCs w:val="17"/>
          <w:color w:val="1C1C1C"/>
        </w:rPr>
        <w:t>t</w:t>
      </w:r>
      <w:r>
        <w:rPr>
          <w:rFonts w:ascii="Arial" w:cs="Arial" w:eastAsia="Arial" w:hAnsi="Arial"/>
          <w:sz w:val="17"/>
          <w:szCs w:val="17"/>
          <w:color w:val="2F2F2F"/>
        </w:rPr>
        <w:t>ed o</w:t>
      </w:r>
      <w:r>
        <w:rPr>
          <w:rFonts w:ascii="Arial" w:cs="Arial" w:eastAsia="Arial" w:hAnsi="Arial"/>
          <w:sz w:val="17"/>
          <w:szCs w:val="17"/>
          <w:color w:val="1C1C1C"/>
        </w:rPr>
        <w:t>n</w:t>
      </w:r>
      <w:r>
        <w:rPr>
          <w:rFonts w:ascii="Arial" w:cs="Arial" w:eastAsia="Arial" w:hAnsi="Arial"/>
          <w:sz w:val="17"/>
          <w:szCs w:val="17"/>
          <w:color w:val="2F2F2F"/>
        </w:rPr>
        <w:t xml:space="preserve">ly to </w:t>
      </w:r>
      <w:r>
        <w:rPr>
          <w:rFonts w:ascii="Arial" w:cs="Arial" w:eastAsia="Arial" w:hAnsi="Arial"/>
          <w:sz w:val="17"/>
          <w:szCs w:val="17"/>
          <w:color w:val="1C1C1C"/>
        </w:rPr>
        <w:t>th</w:t>
      </w:r>
      <w:r>
        <w:rPr>
          <w:rFonts w:ascii="Arial" w:cs="Arial" w:eastAsia="Arial" w:hAnsi="Arial"/>
          <w:sz w:val="17"/>
          <w:szCs w:val="17"/>
          <w:color w:val="2F2F2F"/>
        </w:rPr>
        <w:t>e minimum exten</w:t>
      </w:r>
      <w:r>
        <w:rPr>
          <w:rFonts w:ascii="Arial" w:cs="Arial" w:eastAsia="Arial" w:hAnsi="Arial"/>
          <w:sz w:val="17"/>
          <w:szCs w:val="17"/>
          <w:color w:val="1C1C1C"/>
        </w:rPr>
        <w:t>t</w:t>
      </w:r>
      <w:r>
        <w:rPr>
          <w:rFonts w:ascii="Arial" w:cs="Arial" w:eastAsia="Arial" w:hAnsi="Arial"/>
          <w:sz w:val="17"/>
          <w:szCs w:val="17"/>
          <w:color w:val="2F2F2F"/>
        </w:rPr>
        <w:t xml:space="preserve"> necessary to </w:t>
      </w:r>
      <w:r>
        <w:rPr>
          <w:rFonts w:ascii="Arial" w:cs="Arial" w:eastAsia="Arial" w:hAnsi="Arial"/>
          <w:sz w:val="17"/>
          <w:szCs w:val="17"/>
          <w:color w:val="1C1C1C"/>
        </w:rPr>
        <w:t>b</w:t>
      </w:r>
      <w:r>
        <w:rPr>
          <w:rFonts w:ascii="Arial" w:cs="Arial" w:eastAsia="Arial" w:hAnsi="Arial"/>
          <w:sz w:val="17"/>
          <w:szCs w:val="17"/>
          <w:color w:val="2F2F2F"/>
        </w:rPr>
        <w:t>ring t</w:t>
      </w:r>
      <w:r>
        <w:rPr>
          <w:rFonts w:ascii="Arial" w:cs="Arial" w:eastAsia="Arial" w:hAnsi="Arial"/>
          <w:sz w:val="17"/>
          <w:szCs w:val="17"/>
          <w:color w:val="1C1C1C"/>
        </w:rPr>
        <w:t>h</w:t>
      </w:r>
      <w:r>
        <w:rPr>
          <w:rFonts w:ascii="Arial" w:cs="Arial" w:eastAsia="Arial" w:hAnsi="Arial"/>
          <w:sz w:val="17"/>
          <w:szCs w:val="17"/>
          <w:color w:val="2F2F2F"/>
        </w:rPr>
        <w:t xml:space="preserve">e </w:t>
      </w:r>
      <w:r>
        <w:rPr>
          <w:rFonts w:ascii="Arial" w:cs="Arial" w:eastAsia="Arial" w:hAnsi="Arial"/>
          <w:sz w:val="17"/>
          <w:szCs w:val="17"/>
          <w:color w:val="1C1C1C"/>
        </w:rPr>
        <w:t>p</w:t>
      </w:r>
      <w:r>
        <w:rPr>
          <w:rFonts w:ascii="Arial" w:cs="Arial" w:eastAsia="Arial" w:hAnsi="Arial"/>
          <w:sz w:val="17"/>
          <w:szCs w:val="17"/>
          <w:color w:val="2F2F2F"/>
        </w:rPr>
        <w:t>rovision into com</w:t>
      </w:r>
      <w:r>
        <w:rPr>
          <w:rFonts w:ascii="Arial" w:cs="Arial" w:eastAsia="Arial" w:hAnsi="Arial"/>
          <w:sz w:val="17"/>
          <w:szCs w:val="17"/>
          <w:color w:val="1C1C1C"/>
        </w:rPr>
        <w:t>pli</w:t>
      </w:r>
      <w:r>
        <w:rPr>
          <w:rFonts w:ascii="Arial" w:cs="Arial" w:eastAsia="Arial" w:hAnsi="Arial"/>
          <w:sz w:val="17"/>
          <w:szCs w:val="17"/>
          <w:color w:val="2F2F2F"/>
        </w:rPr>
        <w:t>an</w:t>
      </w:r>
      <w:r>
        <w:rPr>
          <w:rFonts w:ascii="Arial" w:cs="Arial" w:eastAsia="Arial" w:hAnsi="Arial"/>
          <w:sz w:val="17"/>
          <w:szCs w:val="17"/>
          <w:color w:val="1C1C1C"/>
        </w:rPr>
        <w:t>c</w:t>
      </w:r>
      <w:r>
        <w:rPr>
          <w:rFonts w:ascii="Arial" w:cs="Arial" w:eastAsia="Arial" w:hAnsi="Arial"/>
          <w:sz w:val="17"/>
          <w:szCs w:val="17"/>
          <w:color w:val="2F2F2F"/>
        </w:rPr>
        <w:t>e with the Law. All the other te</w:t>
      </w:r>
      <w:r>
        <w:rPr>
          <w:rFonts w:ascii="Arial" w:cs="Arial" w:eastAsia="Arial" w:hAnsi="Arial"/>
          <w:sz w:val="17"/>
          <w:szCs w:val="17"/>
          <w:color w:val="1C1C1C"/>
        </w:rPr>
        <w:t>rm</w:t>
      </w:r>
      <w:r>
        <w:rPr>
          <w:rFonts w:ascii="Arial" w:cs="Arial" w:eastAsia="Arial" w:hAnsi="Arial"/>
          <w:sz w:val="17"/>
          <w:szCs w:val="17"/>
          <w:color w:val="2F2F2F"/>
        </w:rPr>
        <w:t>s an</w:t>
      </w:r>
      <w:r>
        <w:rPr>
          <w:rFonts w:ascii="Arial" w:cs="Arial" w:eastAsia="Arial" w:hAnsi="Arial"/>
          <w:sz w:val="17"/>
          <w:szCs w:val="17"/>
          <w:color w:val="1C1C1C"/>
        </w:rPr>
        <w:t xml:space="preserve">d </w:t>
      </w:r>
      <w:r>
        <w:rPr>
          <w:rFonts w:ascii="Arial" w:cs="Arial" w:eastAsia="Arial" w:hAnsi="Arial"/>
          <w:sz w:val="17"/>
          <w:szCs w:val="17"/>
          <w:color w:val="2F2F2F"/>
        </w:rPr>
        <w:t>provis</w:t>
      </w:r>
      <w:r>
        <w:rPr>
          <w:rFonts w:ascii="Arial" w:cs="Arial" w:eastAsia="Arial" w:hAnsi="Arial"/>
          <w:sz w:val="17"/>
          <w:szCs w:val="17"/>
          <w:color w:val="1C1C1C"/>
        </w:rPr>
        <w:t>i</w:t>
      </w:r>
      <w:r>
        <w:rPr>
          <w:rFonts w:ascii="Arial" w:cs="Arial" w:eastAsia="Arial" w:hAnsi="Arial"/>
          <w:sz w:val="17"/>
          <w:szCs w:val="17"/>
          <w:color w:val="2F2F2F"/>
        </w:rPr>
        <w:t>ons of this Agreement sha</w:t>
      </w:r>
      <w:r>
        <w:rPr>
          <w:rFonts w:ascii="Arial" w:cs="Arial" w:eastAsia="Arial" w:hAnsi="Arial"/>
          <w:sz w:val="17"/>
          <w:szCs w:val="17"/>
          <w:color w:val="1C1C1C"/>
        </w:rPr>
        <w:t xml:space="preserve">ll </w:t>
      </w:r>
      <w:r>
        <w:rPr>
          <w:rFonts w:ascii="Arial" w:cs="Arial" w:eastAsia="Arial" w:hAnsi="Arial"/>
          <w:sz w:val="17"/>
          <w:szCs w:val="17"/>
          <w:color w:val="2F2F2F"/>
        </w:rPr>
        <w:t>co</w:t>
      </w:r>
      <w:r>
        <w:rPr>
          <w:rFonts w:ascii="Arial" w:cs="Arial" w:eastAsia="Arial" w:hAnsi="Arial"/>
          <w:sz w:val="17"/>
          <w:szCs w:val="17"/>
          <w:color w:val="1C1C1C"/>
        </w:rPr>
        <w:t>n</w:t>
      </w:r>
      <w:r>
        <w:rPr>
          <w:rFonts w:ascii="Arial" w:cs="Arial" w:eastAsia="Arial" w:hAnsi="Arial"/>
          <w:sz w:val="17"/>
          <w:szCs w:val="17"/>
          <w:color w:val="2F2F2F"/>
        </w:rPr>
        <w:t>t</w:t>
      </w:r>
      <w:r>
        <w:rPr>
          <w:rFonts w:ascii="Arial" w:cs="Arial" w:eastAsia="Arial" w:hAnsi="Arial"/>
          <w:sz w:val="17"/>
          <w:szCs w:val="17"/>
          <w:color w:val="1C1C1C"/>
        </w:rPr>
        <w:t>i</w:t>
      </w:r>
      <w:r>
        <w:rPr>
          <w:rFonts w:ascii="Arial" w:cs="Arial" w:eastAsia="Arial" w:hAnsi="Arial"/>
          <w:sz w:val="17"/>
          <w:szCs w:val="17"/>
          <w:color w:val="2F2F2F"/>
        </w:rPr>
        <w:t>n</w:t>
      </w:r>
      <w:r>
        <w:rPr>
          <w:rFonts w:ascii="Arial" w:cs="Arial" w:eastAsia="Arial" w:hAnsi="Arial"/>
          <w:sz w:val="17"/>
          <w:szCs w:val="17"/>
          <w:color w:val="1C1C1C"/>
        </w:rPr>
        <w:t>u</w:t>
      </w:r>
      <w:r>
        <w:rPr>
          <w:rFonts w:ascii="Arial" w:cs="Arial" w:eastAsia="Arial" w:hAnsi="Arial"/>
          <w:sz w:val="17"/>
          <w:szCs w:val="17"/>
          <w:color w:val="2F2F2F"/>
        </w:rPr>
        <w:t>e in fu</w:t>
      </w:r>
      <w:r>
        <w:rPr>
          <w:rFonts w:ascii="Arial" w:cs="Arial" w:eastAsia="Arial" w:hAnsi="Arial"/>
          <w:sz w:val="17"/>
          <w:szCs w:val="17"/>
          <w:color w:val="1C1C1C"/>
        </w:rPr>
        <w:t xml:space="preserve">ll </w:t>
      </w:r>
      <w:r>
        <w:rPr>
          <w:rFonts w:ascii="Arial" w:cs="Arial" w:eastAsia="Arial" w:hAnsi="Arial"/>
          <w:sz w:val="17"/>
          <w:szCs w:val="17"/>
          <w:color w:val="2F2F2F"/>
        </w:rPr>
        <w:t>force and effect with</w:t>
      </w:r>
      <w:r>
        <w:rPr>
          <w:rFonts w:ascii="Arial" w:cs="Arial" w:eastAsia="Arial" w:hAnsi="Arial"/>
          <w:sz w:val="17"/>
          <w:szCs w:val="17"/>
          <w:color w:val="1C1C1C"/>
        </w:rPr>
        <w:t>ou</w:t>
      </w:r>
      <w:r>
        <w:rPr>
          <w:rFonts w:ascii="Arial" w:cs="Arial" w:eastAsia="Arial" w:hAnsi="Arial"/>
          <w:sz w:val="17"/>
          <w:szCs w:val="17"/>
          <w:color w:val="2F2F2F"/>
        </w:rPr>
        <w:t>t</w:t>
      </w:r>
      <w:r>
        <w:rPr>
          <w:rFonts w:ascii="Arial" w:cs="Arial" w:eastAsia="Arial" w:hAnsi="Arial"/>
          <w:sz w:val="17"/>
          <w:szCs w:val="17"/>
          <w:color w:val="1C1C1C"/>
        </w:rPr>
        <w:t xml:space="preserve"> </w:t>
      </w:r>
      <w:r>
        <w:rPr>
          <w:rFonts w:ascii="Arial" w:cs="Arial" w:eastAsia="Arial" w:hAnsi="Arial"/>
          <w:sz w:val="17"/>
          <w:szCs w:val="17"/>
          <w:color w:val="2F2F2F"/>
        </w:rPr>
        <w:t>impairment or limita</w:t>
      </w:r>
      <w:r>
        <w:rPr>
          <w:rFonts w:ascii="Arial" w:cs="Arial" w:eastAsia="Arial" w:hAnsi="Arial"/>
          <w:sz w:val="17"/>
          <w:szCs w:val="17"/>
          <w:color w:val="1C1C1C"/>
        </w:rPr>
        <w:t>t</w:t>
      </w:r>
      <w:r>
        <w:rPr>
          <w:rFonts w:ascii="Arial" w:cs="Arial" w:eastAsia="Arial" w:hAnsi="Arial"/>
          <w:sz w:val="17"/>
          <w:szCs w:val="17"/>
          <w:color w:val="2F2F2F"/>
        </w:rPr>
        <w:t>i</w:t>
      </w:r>
      <w:r>
        <w:rPr>
          <w:rFonts w:ascii="Arial" w:cs="Arial" w:eastAsia="Arial" w:hAnsi="Arial"/>
          <w:sz w:val="17"/>
          <w:szCs w:val="17"/>
          <w:color w:val="1C1C1C"/>
        </w:rPr>
        <w:t>o</w:t>
      </w:r>
      <w:r>
        <w:rPr>
          <w:rFonts w:ascii="Arial" w:cs="Arial" w:eastAsia="Arial" w:hAnsi="Arial"/>
          <w:sz w:val="17"/>
          <w:szCs w:val="17"/>
          <w:color w:val="2F2F2F"/>
        </w:rPr>
        <w:t>n</w:t>
      </w:r>
      <w:r>
        <w:rPr>
          <w:rFonts w:ascii="Arial" w:cs="Arial" w:eastAsia="Arial" w:hAnsi="Arial"/>
          <w:sz w:val="17"/>
          <w:szCs w:val="17"/>
          <w:color w:val="1C1C1C"/>
        </w:rPr>
        <w:t>.</w:t>
      </w:r>
    </w:p>
    <w:p>
      <w:pPr>
        <w:spacing w:after="0" w:line="7" w:lineRule="exact"/>
        <w:rPr>
          <w:rFonts w:ascii="Arial" w:cs="Arial" w:eastAsia="Arial" w:hAnsi="Arial"/>
          <w:sz w:val="18"/>
          <w:szCs w:val="18"/>
          <w:color w:val="262626"/>
        </w:rPr>
      </w:pPr>
    </w:p>
    <w:p>
      <w:pPr>
        <w:ind w:left="1080" w:hanging="286"/>
        <w:spacing w:after="0"/>
        <w:tabs>
          <w:tab w:leader="none" w:pos="1080" w:val="left"/>
        </w:tabs>
        <w:numPr>
          <w:ilvl w:val="0"/>
          <w:numId w:val="336"/>
        </w:numPr>
        <w:rPr>
          <w:rFonts w:ascii="Arial" w:cs="Arial" w:eastAsia="Arial" w:hAnsi="Arial"/>
          <w:sz w:val="17"/>
          <w:szCs w:val="17"/>
          <w:color w:val="262626"/>
        </w:rPr>
      </w:pPr>
      <w:r>
        <w:rPr>
          <w:rFonts w:ascii="Arial" w:cs="Arial" w:eastAsia="Arial" w:hAnsi="Arial"/>
          <w:sz w:val="18"/>
          <w:szCs w:val="18"/>
          <w:b w:val="1"/>
          <w:bCs w:val="1"/>
          <w:u w:val="single" w:color="auto"/>
          <w:color w:val="1C1C1C"/>
        </w:rPr>
        <w:t>No</w:t>
      </w:r>
      <w:r>
        <w:rPr>
          <w:rFonts w:ascii="Arial" w:cs="Arial" w:eastAsia="Arial" w:hAnsi="Arial"/>
          <w:sz w:val="18"/>
          <w:szCs w:val="18"/>
          <w:b w:val="1"/>
          <w:bCs w:val="1"/>
          <w:color w:val="1C1C1C"/>
        </w:rPr>
        <w:t xml:space="preserve"> </w:t>
      </w:r>
      <w:r>
        <w:rPr>
          <w:rFonts w:ascii="Arial" w:cs="Arial" w:eastAsia="Arial" w:hAnsi="Arial"/>
          <w:sz w:val="18"/>
          <w:szCs w:val="18"/>
          <w:b w:val="1"/>
          <w:bCs w:val="1"/>
          <w:u w:val="single" w:color="auto"/>
          <w:color w:val="2F2F2F"/>
        </w:rPr>
        <w:t>A</w:t>
      </w:r>
      <w:r>
        <w:rPr>
          <w:rFonts w:ascii="Arial" w:cs="Arial" w:eastAsia="Arial" w:hAnsi="Arial"/>
          <w:sz w:val="18"/>
          <w:szCs w:val="18"/>
          <w:b w:val="1"/>
          <w:bCs w:val="1"/>
          <w:u w:val="single" w:color="auto"/>
          <w:color w:val="1C1C1C"/>
        </w:rPr>
        <w:t>s</w:t>
      </w:r>
      <w:r>
        <w:rPr>
          <w:rFonts w:ascii="Arial" w:cs="Arial" w:eastAsia="Arial" w:hAnsi="Arial"/>
          <w:sz w:val="18"/>
          <w:szCs w:val="18"/>
          <w:b w:val="1"/>
          <w:bCs w:val="1"/>
          <w:u w:val="single" w:color="auto"/>
          <w:color w:val="2F2F2F"/>
        </w:rPr>
        <w:t>s</w:t>
      </w:r>
      <w:r>
        <w:rPr>
          <w:rFonts w:ascii="Arial" w:cs="Arial" w:eastAsia="Arial" w:hAnsi="Arial"/>
          <w:sz w:val="18"/>
          <w:szCs w:val="18"/>
          <w:b w:val="1"/>
          <w:bCs w:val="1"/>
          <w:u w:val="single" w:color="auto"/>
          <w:color w:val="1C1C1C"/>
        </w:rPr>
        <w:t>ignment</w:t>
      </w:r>
      <w:r>
        <w:rPr>
          <w:rFonts w:ascii="Arial" w:cs="Arial" w:eastAsia="Arial" w:hAnsi="Arial"/>
          <w:sz w:val="18"/>
          <w:szCs w:val="18"/>
          <w:b w:val="1"/>
          <w:bCs w:val="1"/>
          <w:color w:val="1C1C1C"/>
        </w:rPr>
        <w:t xml:space="preserve">. </w:t>
      </w:r>
      <w:r>
        <w:rPr>
          <w:rFonts w:ascii="Arial" w:cs="Arial" w:eastAsia="Arial" w:hAnsi="Arial"/>
          <w:sz w:val="16"/>
          <w:szCs w:val="16"/>
          <w:color w:val="2F2F2F"/>
        </w:rPr>
        <w:t>This Agreement an</w:t>
      </w:r>
      <w:r>
        <w:rPr>
          <w:rFonts w:ascii="Arial" w:cs="Arial" w:eastAsia="Arial" w:hAnsi="Arial"/>
          <w:sz w:val="16"/>
          <w:szCs w:val="16"/>
          <w:color w:val="1C1C1C"/>
        </w:rPr>
        <w:t>d</w:t>
      </w:r>
      <w:r>
        <w:rPr>
          <w:rFonts w:ascii="Arial" w:cs="Arial" w:eastAsia="Arial" w:hAnsi="Arial"/>
          <w:sz w:val="18"/>
          <w:szCs w:val="18"/>
          <w:b w:val="1"/>
          <w:bCs w:val="1"/>
          <w:color w:val="1C1C1C"/>
        </w:rPr>
        <w:t xml:space="preserve"> </w:t>
      </w:r>
      <w:r>
        <w:rPr>
          <w:rFonts w:ascii="Arial" w:cs="Arial" w:eastAsia="Arial" w:hAnsi="Arial"/>
          <w:sz w:val="16"/>
          <w:szCs w:val="16"/>
          <w:color w:val="2F2F2F"/>
        </w:rPr>
        <w:t>a</w:t>
      </w:r>
      <w:r>
        <w:rPr>
          <w:rFonts w:ascii="Arial" w:cs="Arial" w:eastAsia="Arial" w:hAnsi="Arial"/>
          <w:sz w:val="16"/>
          <w:szCs w:val="16"/>
          <w:color w:val="1C1C1C"/>
        </w:rPr>
        <w:t>ll</w:t>
      </w:r>
      <w:r>
        <w:rPr>
          <w:rFonts w:ascii="Arial" w:cs="Arial" w:eastAsia="Arial" w:hAnsi="Arial"/>
          <w:sz w:val="18"/>
          <w:szCs w:val="18"/>
          <w:b w:val="1"/>
          <w:bCs w:val="1"/>
          <w:color w:val="1C1C1C"/>
        </w:rPr>
        <w:t xml:space="preserve"> </w:t>
      </w:r>
      <w:r>
        <w:rPr>
          <w:rFonts w:ascii="Arial" w:cs="Arial" w:eastAsia="Arial" w:hAnsi="Arial"/>
          <w:sz w:val="16"/>
          <w:szCs w:val="16"/>
          <w:color w:val="2F2F2F"/>
        </w:rPr>
        <w:t>of your righ</w:t>
      </w:r>
      <w:r>
        <w:rPr>
          <w:rFonts w:ascii="Arial" w:cs="Arial" w:eastAsia="Arial" w:hAnsi="Arial"/>
          <w:sz w:val="16"/>
          <w:szCs w:val="16"/>
          <w:color w:val="1C1C1C"/>
        </w:rPr>
        <w:t>t</w:t>
      </w:r>
      <w:r>
        <w:rPr>
          <w:rFonts w:ascii="Arial" w:cs="Arial" w:eastAsia="Arial" w:hAnsi="Arial"/>
          <w:sz w:val="16"/>
          <w:szCs w:val="16"/>
          <w:color w:val="2F2F2F"/>
        </w:rPr>
        <w:t>s an</w:t>
      </w:r>
      <w:r>
        <w:rPr>
          <w:rFonts w:ascii="Arial" w:cs="Arial" w:eastAsia="Arial" w:hAnsi="Arial"/>
          <w:sz w:val="16"/>
          <w:szCs w:val="16"/>
          <w:color w:val="1C1C1C"/>
        </w:rPr>
        <w:t>d</w:t>
      </w:r>
      <w:r>
        <w:rPr>
          <w:rFonts w:ascii="Arial" w:cs="Arial" w:eastAsia="Arial" w:hAnsi="Arial"/>
          <w:sz w:val="18"/>
          <w:szCs w:val="18"/>
          <w:b w:val="1"/>
          <w:bCs w:val="1"/>
          <w:color w:val="1C1C1C"/>
        </w:rPr>
        <w:t xml:space="preserve"> </w:t>
      </w:r>
      <w:r>
        <w:rPr>
          <w:rFonts w:ascii="Arial" w:cs="Arial" w:eastAsia="Arial" w:hAnsi="Arial"/>
          <w:sz w:val="16"/>
          <w:szCs w:val="16"/>
          <w:color w:val="2F2F2F"/>
        </w:rPr>
        <w:t>o</w:t>
      </w:r>
      <w:r>
        <w:rPr>
          <w:rFonts w:ascii="Arial" w:cs="Arial" w:eastAsia="Arial" w:hAnsi="Arial"/>
          <w:sz w:val="16"/>
          <w:szCs w:val="16"/>
          <w:color w:val="1C1C1C"/>
        </w:rPr>
        <w:t>bli</w:t>
      </w:r>
      <w:r>
        <w:rPr>
          <w:rFonts w:ascii="Arial" w:cs="Arial" w:eastAsia="Arial" w:hAnsi="Arial"/>
          <w:sz w:val="16"/>
          <w:szCs w:val="16"/>
          <w:color w:val="2F2F2F"/>
        </w:rPr>
        <w:t>gations hereunder are pe</w:t>
      </w:r>
      <w:r>
        <w:rPr>
          <w:rFonts w:ascii="Arial" w:cs="Arial" w:eastAsia="Arial" w:hAnsi="Arial"/>
          <w:sz w:val="16"/>
          <w:szCs w:val="16"/>
          <w:color w:val="1C1C1C"/>
        </w:rPr>
        <w:t>r</w:t>
      </w:r>
      <w:r>
        <w:rPr>
          <w:rFonts w:ascii="Arial" w:cs="Arial" w:eastAsia="Arial" w:hAnsi="Arial"/>
          <w:sz w:val="16"/>
          <w:szCs w:val="16"/>
          <w:color w:val="2F2F2F"/>
        </w:rPr>
        <w:t>so</w:t>
      </w:r>
      <w:r>
        <w:rPr>
          <w:rFonts w:ascii="Arial" w:cs="Arial" w:eastAsia="Arial" w:hAnsi="Arial"/>
          <w:sz w:val="16"/>
          <w:szCs w:val="16"/>
          <w:color w:val="1C1C1C"/>
        </w:rPr>
        <w:t>n</w:t>
      </w:r>
      <w:r>
        <w:rPr>
          <w:rFonts w:ascii="Arial" w:cs="Arial" w:eastAsia="Arial" w:hAnsi="Arial"/>
          <w:sz w:val="16"/>
          <w:szCs w:val="16"/>
          <w:color w:val="2F2F2F"/>
        </w:rPr>
        <w:t>a</w:t>
      </w:r>
      <w:r>
        <w:rPr>
          <w:rFonts w:ascii="Arial" w:cs="Arial" w:eastAsia="Arial" w:hAnsi="Arial"/>
          <w:sz w:val="16"/>
          <w:szCs w:val="16"/>
          <w:color w:val="1C1C1C"/>
        </w:rPr>
        <w:t>l</w:t>
      </w:r>
      <w:r>
        <w:rPr>
          <w:rFonts w:ascii="Arial" w:cs="Arial" w:eastAsia="Arial" w:hAnsi="Arial"/>
          <w:sz w:val="18"/>
          <w:szCs w:val="18"/>
          <w:b w:val="1"/>
          <w:bCs w:val="1"/>
          <w:color w:val="1C1C1C"/>
        </w:rPr>
        <w:t xml:space="preserve"> </w:t>
      </w:r>
      <w:r>
        <w:rPr>
          <w:rFonts w:ascii="Arial" w:cs="Arial" w:eastAsia="Arial" w:hAnsi="Arial"/>
          <w:sz w:val="16"/>
          <w:szCs w:val="16"/>
          <w:color w:val="2F2F2F"/>
        </w:rPr>
        <w:t>to yo</w:t>
      </w:r>
      <w:r>
        <w:rPr>
          <w:rFonts w:ascii="Arial" w:cs="Arial" w:eastAsia="Arial" w:hAnsi="Arial"/>
          <w:sz w:val="16"/>
          <w:szCs w:val="16"/>
          <w:color w:val="1C1C1C"/>
        </w:rPr>
        <w:t>u</w:t>
      </w:r>
      <w:r>
        <w:rPr>
          <w:rFonts w:ascii="Arial" w:cs="Arial" w:eastAsia="Arial" w:hAnsi="Arial"/>
          <w:sz w:val="18"/>
          <w:szCs w:val="18"/>
          <w:b w:val="1"/>
          <w:bCs w:val="1"/>
          <w:color w:val="1C1C1C"/>
        </w:rPr>
        <w:t xml:space="preserve"> </w:t>
      </w:r>
      <w:r>
        <w:rPr>
          <w:rFonts w:ascii="Arial" w:cs="Arial" w:eastAsia="Arial" w:hAnsi="Arial"/>
          <w:sz w:val="16"/>
          <w:szCs w:val="16"/>
          <w:color w:val="2F2F2F"/>
        </w:rPr>
        <w:t>an</w:t>
      </w:r>
      <w:r>
        <w:rPr>
          <w:rFonts w:ascii="Arial" w:cs="Arial" w:eastAsia="Arial" w:hAnsi="Arial"/>
          <w:sz w:val="16"/>
          <w:szCs w:val="16"/>
          <w:color w:val="1C1C1C"/>
        </w:rPr>
        <w:t>d</w:t>
      </w:r>
      <w:r>
        <w:rPr>
          <w:rFonts w:ascii="Arial" w:cs="Arial" w:eastAsia="Arial" w:hAnsi="Arial"/>
          <w:sz w:val="18"/>
          <w:szCs w:val="18"/>
          <w:b w:val="1"/>
          <w:bCs w:val="1"/>
          <w:color w:val="1C1C1C"/>
        </w:rPr>
        <w:t xml:space="preserve"> </w:t>
      </w:r>
      <w:r>
        <w:rPr>
          <w:rFonts w:ascii="Arial" w:cs="Arial" w:eastAsia="Arial" w:hAnsi="Arial"/>
          <w:sz w:val="16"/>
          <w:szCs w:val="16"/>
          <w:color w:val="2F2F2F"/>
        </w:rPr>
        <w:t>may</w:t>
      </w:r>
      <w:r>
        <w:rPr>
          <w:rFonts w:ascii="Arial" w:cs="Arial" w:eastAsia="Arial" w:hAnsi="Arial"/>
          <w:sz w:val="18"/>
          <w:szCs w:val="18"/>
          <w:b w:val="1"/>
          <w:bCs w:val="1"/>
          <w:color w:val="1C1C1C"/>
        </w:rPr>
        <w:t xml:space="preserve"> </w:t>
      </w:r>
      <w:r>
        <w:rPr>
          <w:rFonts w:ascii="Arial" w:cs="Arial" w:eastAsia="Arial" w:hAnsi="Arial"/>
          <w:sz w:val="16"/>
          <w:szCs w:val="16"/>
          <w:color w:val="1C1C1C"/>
        </w:rPr>
        <w:t>n</w:t>
      </w:r>
      <w:r>
        <w:rPr>
          <w:rFonts w:ascii="Arial" w:cs="Arial" w:eastAsia="Arial" w:hAnsi="Arial"/>
          <w:sz w:val="16"/>
          <w:szCs w:val="16"/>
          <w:color w:val="2F2F2F"/>
        </w:rPr>
        <w:t>ot be tra</w:t>
      </w:r>
      <w:r>
        <w:rPr>
          <w:rFonts w:ascii="Arial" w:cs="Arial" w:eastAsia="Arial" w:hAnsi="Arial"/>
          <w:sz w:val="16"/>
          <w:szCs w:val="16"/>
          <w:color w:val="1C1C1C"/>
        </w:rPr>
        <w:t>n</w:t>
      </w:r>
      <w:r>
        <w:rPr>
          <w:rFonts w:ascii="Arial" w:cs="Arial" w:eastAsia="Arial" w:hAnsi="Arial"/>
          <w:sz w:val="16"/>
          <w:szCs w:val="16"/>
          <w:color w:val="2F2F2F"/>
        </w:rPr>
        <w:t>sferre</w:t>
      </w:r>
      <w:r>
        <w:rPr>
          <w:rFonts w:ascii="Arial" w:cs="Arial" w:eastAsia="Arial" w:hAnsi="Arial"/>
          <w:sz w:val="16"/>
          <w:szCs w:val="16"/>
          <w:color w:val="1C1C1C"/>
        </w:rPr>
        <w:t>d</w:t>
      </w:r>
      <w:r>
        <w:rPr>
          <w:rFonts w:ascii="Arial" w:cs="Arial" w:eastAsia="Arial" w:hAnsi="Arial"/>
          <w:sz w:val="18"/>
          <w:szCs w:val="18"/>
          <w:b w:val="1"/>
          <w:bCs w:val="1"/>
          <w:color w:val="1C1C1C"/>
        </w:rPr>
        <w:t xml:space="preserve"> </w:t>
      </w:r>
      <w:r>
        <w:rPr>
          <w:rFonts w:ascii="Arial" w:cs="Arial" w:eastAsia="Arial" w:hAnsi="Arial"/>
          <w:sz w:val="16"/>
          <w:szCs w:val="16"/>
          <w:color w:val="2F2F2F"/>
        </w:rPr>
        <w:t>o</w:t>
      </w:r>
      <w:r>
        <w:rPr>
          <w:rFonts w:ascii="Arial" w:cs="Arial" w:eastAsia="Arial" w:hAnsi="Arial"/>
          <w:sz w:val="16"/>
          <w:szCs w:val="16"/>
          <w:color w:val="1C1C1C"/>
        </w:rPr>
        <w:t>r</w:t>
      </w:r>
    </w:p>
    <w:p>
      <w:pPr>
        <w:spacing w:after="0" w:line="20" w:lineRule="exact"/>
        <w:rPr>
          <w:rFonts w:ascii="Arial" w:cs="Arial" w:eastAsia="Arial" w:hAnsi="Arial"/>
          <w:sz w:val="17"/>
          <w:szCs w:val="17"/>
          <w:color w:val="262626"/>
        </w:rPr>
      </w:pPr>
    </w:p>
    <w:p>
      <w:pPr>
        <w:ind w:left="1080"/>
        <w:spacing w:after="0" w:line="256" w:lineRule="auto"/>
        <w:rPr>
          <w:rFonts w:ascii="Arial" w:cs="Arial" w:eastAsia="Arial" w:hAnsi="Arial"/>
          <w:sz w:val="17"/>
          <w:szCs w:val="17"/>
          <w:color w:val="262626"/>
        </w:rPr>
      </w:pPr>
      <w:r>
        <w:rPr>
          <w:rFonts w:ascii="Arial" w:cs="Arial" w:eastAsia="Arial" w:hAnsi="Arial"/>
          <w:sz w:val="17"/>
          <w:szCs w:val="17"/>
          <w:color w:val="2F2F2F"/>
        </w:rPr>
        <w:t>ass</w:t>
      </w:r>
      <w:r>
        <w:rPr>
          <w:rFonts w:ascii="Arial" w:cs="Arial" w:eastAsia="Arial" w:hAnsi="Arial"/>
          <w:sz w:val="17"/>
          <w:szCs w:val="17"/>
          <w:color w:val="1C1C1C"/>
        </w:rPr>
        <w:t>i</w:t>
      </w:r>
      <w:r>
        <w:rPr>
          <w:rFonts w:ascii="Arial" w:cs="Arial" w:eastAsia="Arial" w:hAnsi="Arial"/>
          <w:sz w:val="17"/>
          <w:szCs w:val="17"/>
          <w:color w:val="2F2F2F"/>
        </w:rPr>
        <w:t>gne</w:t>
      </w:r>
      <w:r>
        <w:rPr>
          <w:rFonts w:ascii="Arial" w:cs="Arial" w:eastAsia="Arial" w:hAnsi="Arial"/>
          <w:sz w:val="17"/>
          <w:szCs w:val="17"/>
          <w:color w:val="1C1C1C"/>
        </w:rPr>
        <w:t>d b</w:t>
      </w:r>
      <w:r>
        <w:rPr>
          <w:rFonts w:ascii="Arial" w:cs="Arial" w:eastAsia="Arial" w:hAnsi="Arial"/>
          <w:sz w:val="17"/>
          <w:szCs w:val="17"/>
          <w:color w:val="2F2F2F"/>
        </w:rPr>
        <w:t>y yo</w:t>
      </w:r>
      <w:r>
        <w:rPr>
          <w:rFonts w:ascii="Arial" w:cs="Arial" w:eastAsia="Arial" w:hAnsi="Arial"/>
          <w:sz w:val="17"/>
          <w:szCs w:val="17"/>
          <w:color w:val="1C1C1C"/>
        </w:rPr>
        <w:t>u</w:t>
      </w:r>
      <w:r>
        <w:rPr>
          <w:rFonts w:ascii="Arial" w:cs="Arial" w:eastAsia="Arial" w:hAnsi="Arial"/>
          <w:sz w:val="17"/>
          <w:szCs w:val="17"/>
          <w:color w:val="2F2F2F"/>
        </w:rPr>
        <w:t xml:space="preserve"> at a</w:t>
      </w:r>
      <w:r>
        <w:rPr>
          <w:rFonts w:ascii="Arial" w:cs="Arial" w:eastAsia="Arial" w:hAnsi="Arial"/>
          <w:sz w:val="17"/>
          <w:szCs w:val="17"/>
          <w:color w:val="1C1C1C"/>
        </w:rPr>
        <w:t>n</w:t>
      </w:r>
      <w:r>
        <w:rPr>
          <w:rFonts w:ascii="Arial" w:cs="Arial" w:eastAsia="Arial" w:hAnsi="Arial"/>
          <w:sz w:val="17"/>
          <w:szCs w:val="17"/>
          <w:color w:val="2F2F2F"/>
        </w:rPr>
        <w:t xml:space="preserve">y </w:t>
      </w:r>
      <w:r>
        <w:rPr>
          <w:rFonts w:ascii="Arial" w:cs="Arial" w:eastAsia="Arial" w:hAnsi="Arial"/>
          <w:sz w:val="17"/>
          <w:szCs w:val="17"/>
          <w:color w:val="1C1C1C"/>
        </w:rPr>
        <w:t>t</w:t>
      </w:r>
      <w:r>
        <w:rPr>
          <w:rFonts w:ascii="Arial" w:cs="Arial" w:eastAsia="Arial" w:hAnsi="Arial"/>
          <w:sz w:val="17"/>
          <w:szCs w:val="17"/>
          <w:color w:val="2F2F2F"/>
        </w:rPr>
        <w:t>i</w:t>
      </w:r>
      <w:r>
        <w:rPr>
          <w:rFonts w:ascii="Arial" w:cs="Arial" w:eastAsia="Arial" w:hAnsi="Arial"/>
          <w:sz w:val="17"/>
          <w:szCs w:val="17"/>
          <w:color w:val="1C1C1C"/>
        </w:rPr>
        <w:t>m</w:t>
      </w:r>
      <w:r>
        <w:rPr>
          <w:rFonts w:ascii="Arial" w:cs="Arial" w:eastAsia="Arial" w:hAnsi="Arial"/>
          <w:sz w:val="17"/>
          <w:szCs w:val="17"/>
          <w:color w:val="2F2F2F"/>
        </w:rPr>
        <w:t>e</w:t>
      </w:r>
      <w:r>
        <w:rPr>
          <w:rFonts w:ascii="Arial" w:cs="Arial" w:eastAsia="Arial" w:hAnsi="Arial"/>
          <w:sz w:val="17"/>
          <w:szCs w:val="17"/>
          <w:color w:val="4D4D4D"/>
        </w:rPr>
        <w:t>.</w:t>
      </w:r>
      <w:r>
        <w:rPr>
          <w:rFonts w:ascii="Arial" w:cs="Arial" w:eastAsia="Arial" w:hAnsi="Arial"/>
          <w:sz w:val="17"/>
          <w:szCs w:val="17"/>
          <w:color w:val="2F2F2F"/>
        </w:rPr>
        <w:t xml:space="preserve"> T</w:t>
      </w:r>
      <w:r>
        <w:rPr>
          <w:rFonts w:ascii="Arial" w:cs="Arial" w:eastAsia="Arial" w:hAnsi="Arial"/>
          <w:sz w:val="17"/>
          <w:szCs w:val="17"/>
          <w:color w:val="1C1C1C"/>
        </w:rPr>
        <w:t>h</w:t>
      </w:r>
      <w:r>
        <w:rPr>
          <w:rFonts w:ascii="Arial" w:cs="Arial" w:eastAsia="Arial" w:hAnsi="Arial"/>
          <w:sz w:val="17"/>
          <w:szCs w:val="17"/>
          <w:color w:val="2F2F2F"/>
        </w:rPr>
        <w:t>e Company may assign its righ</w:t>
      </w:r>
      <w:r>
        <w:rPr>
          <w:rFonts w:ascii="Arial" w:cs="Arial" w:eastAsia="Arial" w:hAnsi="Arial"/>
          <w:sz w:val="17"/>
          <w:szCs w:val="17"/>
          <w:color w:val="1C1C1C"/>
        </w:rPr>
        <w:t>t</w:t>
      </w:r>
      <w:r>
        <w:rPr>
          <w:rFonts w:ascii="Arial" w:cs="Arial" w:eastAsia="Arial" w:hAnsi="Arial"/>
          <w:sz w:val="17"/>
          <w:szCs w:val="17"/>
          <w:color w:val="2F2F2F"/>
        </w:rPr>
        <w:t xml:space="preserve">s under </w:t>
      </w:r>
      <w:r>
        <w:rPr>
          <w:rFonts w:ascii="Arial" w:cs="Arial" w:eastAsia="Arial" w:hAnsi="Arial"/>
          <w:sz w:val="17"/>
          <w:szCs w:val="17"/>
          <w:color w:val="1C1C1C"/>
        </w:rPr>
        <w:t>t</w:t>
      </w:r>
      <w:r>
        <w:rPr>
          <w:rFonts w:ascii="Arial" w:cs="Arial" w:eastAsia="Arial" w:hAnsi="Arial"/>
          <w:sz w:val="17"/>
          <w:szCs w:val="17"/>
          <w:color w:val="2F2F2F"/>
        </w:rPr>
        <w:t>h</w:t>
      </w:r>
      <w:r>
        <w:rPr>
          <w:rFonts w:ascii="Arial" w:cs="Arial" w:eastAsia="Arial" w:hAnsi="Arial"/>
          <w:sz w:val="17"/>
          <w:szCs w:val="17"/>
          <w:color w:val="262626"/>
        </w:rPr>
        <w:t>is Agreement to any ent</w:t>
      </w:r>
      <w:r>
        <w:rPr>
          <w:rFonts w:ascii="Arial" w:cs="Arial" w:eastAsia="Arial" w:hAnsi="Arial"/>
          <w:sz w:val="17"/>
          <w:szCs w:val="17"/>
          <w:color w:val="1C1C1C"/>
        </w:rPr>
        <w:t>i</w:t>
      </w:r>
      <w:r>
        <w:rPr>
          <w:rFonts w:ascii="Arial" w:cs="Arial" w:eastAsia="Arial" w:hAnsi="Arial"/>
          <w:sz w:val="17"/>
          <w:szCs w:val="17"/>
          <w:color w:val="2F2F2F"/>
        </w:rPr>
        <w:t xml:space="preserve">ty </w:t>
      </w:r>
      <w:r>
        <w:rPr>
          <w:rFonts w:ascii="Arial" w:cs="Arial" w:eastAsia="Arial" w:hAnsi="Arial"/>
          <w:sz w:val="17"/>
          <w:szCs w:val="17"/>
          <w:color w:val="1C1C1C"/>
        </w:rPr>
        <w:t>t</w:t>
      </w:r>
      <w:r>
        <w:rPr>
          <w:rFonts w:ascii="Arial" w:cs="Arial" w:eastAsia="Arial" w:hAnsi="Arial"/>
          <w:sz w:val="17"/>
          <w:szCs w:val="17"/>
          <w:color w:val="2F2F2F"/>
        </w:rPr>
        <w:t>hat assumes the Company</w:t>
      </w:r>
      <w:r>
        <w:rPr>
          <w:rFonts w:ascii="Arial" w:cs="Arial" w:eastAsia="Arial" w:hAnsi="Arial"/>
          <w:sz w:val="17"/>
          <w:szCs w:val="17"/>
          <w:color w:val="4D4D4D"/>
        </w:rPr>
        <w:t>'</w:t>
      </w:r>
      <w:r>
        <w:rPr>
          <w:rFonts w:ascii="Arial" w:cs="Arial" w:eastAsia="Arial" w:hAnsi="Arial"/>
          <w:sz w:val="17"/>
          <w:szCs w:val="17"/>
          <w:color w:val="2F2F2F"/>
        </w:rPr>
        <w:t>s o</w:t>
      </w:r>
      <w:r>
        <w:rPr>
          <w:rFonts w:ascii="Arial" w:cs="Arial" w:eastAsia="Arial" w:hAnsi="Arial"/>
          <w:sz w:val="17"/>
          <w:szCs w:val="17"/>
          <w:color w:val="1C1C1C"/>
        </w:rPr>
        <w:t>b</w:t>
      </w:r>
      <w:r>
        <w:rPr>
          <w:rFonts w:ascii="Arial" w:cs="Arial" w:eastAsia="Arial" w:hAnsi="Arial"/>
          <w:sz w:val="17"/>
          <w:szCs w:val="17"/>
          <w:color w:val="2F2F2F"/>
        </w:rPr>
        <w:t>ligat</w:t>
      </w:r>
      <w:r>
        <w:rPr>
          <w:rFonts w:ascii="Arial" w:cs="Arial" w:eastAsia="Arial" w:hAnsi="Arial"/>
          <w:sz w:val="17"/>
          <w:szCs w:val="17"/>
          <w:color w:val="1C1C1C"/>
        </w:rPr>
        <w:t>i</w:t>
      </w:r>
      <w:r>
        <w:rPr>
          <w:rFonts w:ascii="Arial" w:cs="Arial" w:eastAsia="Arial" w:hAnsi="Arial"/>
          <w:sz w:val="17"/>
          <w:szCs w:val="17"/>
          <w:color w:val="2F2F2F"/>
        </w:rPr>
        <w:t>ons here</w:t>
      </w:r>
      <w:r>
        <w:rPr>
          <w:rFonts w:ascii="Arial" w:cs="Arial" w:eastAsia="Arial" w:hAnsi="Arial"/>
          <w:sz w:val="17"/>
          <w:szCs w:val="17"/>
          <w:color w:val="1C1C1C"/>
        </w:rPr>
        <w:t>u</w:t>
      </w:r>
      <w:r>
        <w:rPr>
          <w:rFonts w:ascii="Arial" w:cs="Arial" w:eastAsia="Arial" w:hAnsi="Arial"/>
          <w:sz w:val="17"/>
          <w:szCs w:val="17"/>
          <w:color w:val="2F2F2F"/>
        </w:rPr>
        <w:t>n</w:t>
      </w:r>
      <w:r>
        <w:rPr>
          <w:rFonts w:ascii="Arial" w:cs="Arial" w:eastAsia="Arial" w:hAnsi="Arial"/>
          <w:sz w:val="17"/>
          <w:szCs w:val="17"/>
          <w:color w:val="1C1C1C"/>
        </w:rPr>
        <w:t>d</w:t>
      </w:r>
      <w:r>
        <w:rPr>
          <w:rFonts w:ascii="Arial" w:cs="Arial" w:eastAsia="Arial" w:hAnsi="Arial"/>
          <w:sz w:val="17"/>
          <w:szCs w:val="17"/>
          <w:color w:val="2F2F2F"/>
        </w:rPr>
        <w:t xml:space="preserve">er </w:t>
      </w:r>
      <w:r>
        <w:rPr>
          <w:rFonts w:ascii="Arial" w:cs="Arial" w:eastAsia="Arial" w:hAnsi="Arial"/>
          <w:sz w:val="17"/>
          <w:szCs w:val="17"/>
          <w:color w:val="1C1C1C"/>
        </w:rPr>
        <w:t>in</w:t>
      </w:r>
      <w:r>
        <w:rPr>
          <w:rFonts w:ascii="Arial" w:cs="Arial" w:eastAsia="Arial" w:hAnsi="Arial"/>
          <w:sz w:val="17"/>
          <w:szCs w:val="17"/>
          <w:color w:val="2F2F2F"/>
        </w:rPr>
        <w:t xml:space="preserve"> co</w:t>
      </w:r>
      <w:r>
        <w:rPr>
          <w:rFonts w:ascii="Arial" w:cs="Arial" w:eastAsia="Arial" w:hAnsi="Arial"/>
          <w:sz w:val="17"/>
          <w:szCs w:val="17"/>
          <w:color w:val="1C1C1C"/>
        </w:rPr>
        <w:t>nn</w:t>
      </w:r>
      <w:r>
        <w:rPr>
          <w:rFonts w:ascii="Arial" w:cs="Arial" w:eastAsia="Arial" w:hAnsi="Arial"/>
          <w:sz w:val="17"/>
          <w:szCs w:val="17"/>
          <w:color w:val="2F2F2F"/>
        </w:rPr>
        <w:t>ec</w:t>
      </w:r>
      <w:r>
        <w:rPr>
          <w:rFonts w:ascii="Arial" w:cs="Arial" w:eastAsia="Arial" w:hAnsi="Arial"/>
          <w:sz w:val="17"/>
          <w:szCs w:val="17"/>
          <w:color w:val="1C1C1C"/>
        </w:rPr>
        <w:t>t</w:t>
      </w:r>
      <w:r>
        <w:rPr>
          <w:rFonts w:ascii="Arial" w:cs="Arial" w:eastAsia="Arial" w:hAnsi="Arial"/>
          <w:sz w:val="17"/>
          <w:szCs w:val="17"/>
          <w:color w:val="2F2F2F"/>
        </w:rPr>
        <w:t>io</w:t>
      </w:r>
      <w:r>
        <w:rPr>
          <w:rFonts w:ascii="Arial" w:cs="Arial" w:eastAsia="Arial" w:hAnsi="Arial"/>
          <w:sz w:val="17"/>
          <w:szCs w:val="17"/>
          <w:color w:val="1C1C1C"/>
        </w:rPr>
        <w:t>n</w:t>
      </w:r>
      <w:r>
        <w:rPr>
          <w:rFonts w:ascii="Arial" w:cs="Arial" w:eastAsia="Arial" w:hAnsi="Arial"/>
          <w:sz w:val="17"/>
          <w:szCs w:val="17"/>
          <w:color w:val="2F2F2F"/>
        </w:rPr>
        <w:t xml:space="preserve"> wi</w:t>
      </w:r>
      <w:r>
        <w:rPr>
          <w:rFonts w:ascii="Arial" w:cs="Arial" w:eastAsia="Arial" w:hAnsi="Arial"/>
          <w:sz w:val="17"/>
          <w:szCs w:val="17"/>
          <w:color w:val="1C1C1C"/>
        </w:rPr>
        <w:t>th</w:t>
      </w:r>
      <w:r>
        <w:rPr>
          <w:rFonts w:ascii="Arial" w:cs="Arial" w:eastAsia="Arial" w:hAnsi="Arial"/>
          <w:sz w:val="17"/>
          <w:szCs w:val="17"/>
          <w:color w:val="2F2F2F"/>
        </w:rPr>
        <w:t xml:space="preserve"> any sa</w:t>
      </w:r>
      <w:r>
        <w:rPr>
          <w:rFonts w:ascii="Arial" w:cs="Arial" w:eastAsia="Arial" w:hAnsi="Arial"/>
          <w:sz w:val="17"/>
          <w:szCs w:val="17"/>
          <w:color w:val="1C1C1C"/>
        </w:rPr>
        <w:t>l</w:t>
      </w:r>
      <w:r>
        <w:rPr>
          <w:rFonts w:ascii="Arial" w:cs="Arial" w:eastAsia="Arial" w:hAnsi="Arial"/>
          <w:sz w:val="17"/>
          <w:szCs w:val="17"/>
          <w:color w:val="2F2F2F"/>
        </w:rPr>
        <w:t>e or transfer of all or a s</w:t>
      </w:r>
      <w:r>
        <w:rPr>
          <w:rFonts w:ascii="Arial" w:cs="Arial" w:eastAsia="Arial" w:hAnsi="Arial"/>
          <w:sz w:val="17"/>
          <w:szCs w:val="17"/>
          <w:color w:val="1C1C1C"/>
        </w:rPr>
        <w:t>u</w:t>
      </w:r>
      <w:r>
        <w:rPr>
          <w:rFonts w:ascii="Arial" w:cs="Arial" w:eastAsia="Arial" w:hAnsi="Arial"/>
          <w:sz w:val="17"/>
          <w:szCs w:val="17"/>
          <w:color w:val="2F2F2F"/>
        </w:rPr>
        <w:t>bsta</w:t>
      </w:r>
      <w:r>
        <w:rPr>
          <w:rFonts w:ascii="Arial" w:cs="Arial" w:eastAsia="Arial" w:hAnsi="Arial"/>
          <w:sz w:val="17"/>
          <w:szCs w:val="17"/>
          <w:color w:val="1C1C1C"/>
        </w:rPr>
        <w:t>n</w:t>
      </w:r>
      <w:r>
        <w:rPr>
          <w:rFonts w:ascii="Arial" w:cs="Arial" w:eastAsia="Arial" w:hAnsi="Arial"/>
          <w:sz w:val="17"/>
          <w:szCs w:val="17"/>
          <w:color w:val="2F2F2F"/>
        </w:rPr>
        <w:t>t</w:t>
      </w:r>
      <w:r>
        <w:rPr>
          <w:rFonts w:ascii="Arial" w:cs="Arial" w:eastAsia="Arial" w:hAnsi="Arial"/>
          <w:sz w:val="17"/>
          <w:szCs w:val="17"/>
          <w:color w:val="1C1C1C"/>
        </w:rPr>
        <w:t>i</w:t>
      </w:r>
      <w:r>
        <w:rPr>
          <w:rFonts w:ascii="Arial" w:cs="Arial" w:eastAsia="Arial" w:hAnsi="Arial"/>
          <w:sz w:val="17"/>
          <w:szCs w:val="17"/>
          <w:color w:val="2F2F2F"/>
        </w:rPr>
        <w:t>a</w:t>
      </w:r>
      <w:r>
        <w:rPr>
          <w:rFonts w:ascii="Arial" w:cs="Arial" w:eastAsia="Arial" w:hAnsi="Arial"/>
          <w:sz w:val="17"/>
          <w:szCs w:val="17"/>
          <w:color w:val="1C1C1C"/>
        </w:rPr>
        <w:t>l</w:t>
      </w:r>
      <w:r>
        <w:rPr>
          <w:rFonts w:ascii="Arial" w:cs="Arial" w:eastAsia="Arial" w:hAnsi="Arial"/>
          <w:sz w:val="17"/>
          <w:szCs w:val="17"/>
          <w:color w:val="2F2F2F"/>
        </w:rPr>
        <w:t xml:space="preserve"> po</w:t>
      </w:r>
      <w:r>
        <w:rPr>
          <w:rFonts w:ascii="Arial" w:cs="Arial" w:eastAsia="Arial" w:hAnsi="Arial"/>
          <w:sz w:val="17"/>
          <w:szCs w:val="17"/>
          <w:color w:val="1C1C1C"/>
        </w:rPr>
        <w:t>rti</w:t>
      </w:r>
      <w:r>
        <w:rPr>
          <w:rFonts w:ascii="Arial" w:cs="Arial" w:eastAsia="Arial" w:hAnsi="Arial"/>
          <w:sz w:val="17"/>
          <w:szCs w:val="17"/>
          <w:color w:val="2F2F2F"/>
        </w:rPr>
        <w:t>o</w:t>
      </w:r>
      <w:r>
        <w:rPr>
          <w:rFonts w:ascii="Arial" w:cs="Arial" w:eastAsia="Arial" w:hAnsi="Arial"/>
          <w:sz w:val="17"/>
          <w:szCs w:val="17"/>
          <w:color w:val="1C1C1C"/>
        </w:rPr>
        <w:t>n</w:t>
      </w:r>
      <w:r>
        <w:rPr>
          <w:rFonts w:ascii="Arial" w:cs="Arial" w:eastAsia="Arial" w:hAnsi="Arial"/>
          <w:sz w:val="17"/>
          <w:szCs w:val="17"/>
          <w:color w:val="2F2F2F"/>
        </w:rPr>
        <w:t xml:space="preserve"> of t</w:t>
      </w:r>
      <w:r>
        <w:rPr>
          <w:rFonts w:ascii="Arial" w:cs="Arial" w:eastAsia="Arial" w:hAnsi="Arial"/>
          <w:sz w:val="17"/>
          <w:szCs w:val="17"/>
          <w:color w:val="1C1C1C"/>
        </w:rPr>
        <w:t>h</w:t>
      </w:r>
      <w:r>
        <w:rPr>
          <w:rFonts w:ascii="Arial" w:cs="Arial" w:eastAsia="Arial" w:hAnsi="Arial"/>
          <w:sz w:val="17"/>
          <w:szCs w:val="17"/>
          <w:color w:val="2F2F2F"/>
        </w:rPr>
        <w:t>e Co</w:t>
      </w:r>
      <w:r>
        <w:rPr>
          <w:rFonts w:ascii="Arial" w:cs="Arial" w:eastAsia="Arial" w:hAnsi="Arial"/>
          <w:sz w:val="17"/>
          <w:szCs w:val="17"/>
          <w:color w:val="1C1C1C"/>
        </w:rPr>
        <w:t>m</w:t>
      </w:r>
      <w:r>
        <w:rPr>
          <w:rFonts w:ascii="Arial" w:cs="Arial" w:eastAsia="Arial" w:hAnsi="Arial"/>
          <w:sz w:val="17"/>
          <w:szCs w:val="17"/>
          <w:color w:val="2F2F2F"/>
        </w:rPr>
        <w:t>pa</w:t>
      </w:r>
      <w:r>
        <w:rPr>
          <w:rFonts w:ascii="Arial" w:cs="Arial" w:eastAsia="Arial" w:hAnsi="Arial"/>
          <w:sz w:val="17"/>
          <w:szCs w:val="17"/>
          <w:color w:val="1C1C1C"/>
        </w:rPr>
        <w:t>n</w:t>
      </w:r>
      <w:r>
        <w:rPr>
          <w:rFonts w:ascii="Arial" w:cs="Arial" w:eastAsia="Arial" w:hAnsi="Arial"/>
          <w:sz w:val="17"/>
          <w:szCs w:val="17"/>
          <w:color w:val="2F2F2F"/>
        </w:rPr>
        <w:t>y's asse</w:t>
      </w:r>
      <w:r>
        <w:rPr>
          <w:rFonts w:ascii="Arial" w:cs="Arial" w:eastAsia="Arial" w:hAnsi="Arial"/>
          <w:sz w:val="17"/>
          <w:szCs w:val="17"/>
          <w:color w:val="1C1C1C"/>
        </w:rPr>
        <w:t>t</w:t>
      </w:r>
      <w:r>
        <w:rPr>
          <w:rFonts w:ascii="Arial" w:cs="Arial" w:eastAsia="Arial" w:hAnsi="Arial"/>
          <w:sz w:val="17"/>
          <w:szCs w:val="17"/>
          <w:color w:val="2F2F2F"/>
        </w:rPr>
        <w:t xml:space="preserve">s </w:t>
      </w:r>
      <w:r>
        <w:rPr>
          <w:rFonts w:ascii="Arial" w:cs="Arial" w:eastAsia="Arial" w:hAnsi="Arial"/>
          <w:sz w:val="17"/>
          <w:szCs w:val="17"/>
          <w:color w:val="1C1C1C"/>
        </w:rPr>
        <w:t>t</w:t>
      </w:r>
      <w:r>
        <w:rPr>
          <w:rFonts w:ascii="Arial" w:cs="Arial" w:eastAsia="Arial" w:hAnsi="Arial"/>
          <w:sz w:val="17"/>
          <w:szCs w:val="17"/>
          <w:color w:val="2F2F2F"/>
        </w:rPr>
        <w:t>o s</w:t>
      </w:r>
      <w:r>
        <w:rPr>
          <w:rFonts w:ascii="Arial" w:cs="Arial" w:eastAsia="Arial" w:hAnsi="Arial"/>
          <w:sz w:val="17"/>
          <w:szCs w:val="17"/>
          <w:color w:val="1C1C1C"/>
        </w:rPr>
        <w:t>u</w:t>
      </w:r>
      <w:r>
        <w:rPr>
          <w:rFonts w:ascii="Arial" w:cs="Arial" w:eastAsia="Arial" w:hAnsi="Arial"/>
          <w:sz w:val="17"/>
          <w:szCs w:val="17"/>
          <w:color w:val="2F2F2F"/>
        </w:rPr>
        <w:t>c</w:t>
      </w:r>
      <w:r>
        <w:rPr>
          <w:rFonts w:ascii="Arial" w:cs="Arial" w:eastAsia="Arial" w:hAnsi="Arial"/>
          <w:sz w:val="17"/>
          <w:szCs w:val="17"/>
          <w:color w:val="1C1C1C"/>
        </w:rPr>
        <w:t>h</w:t>
      </w:r>
      <w:r>
        <w:rPr>
          <w:rFonts w:ascii="Arial" w:cs="Arial" w:eastAsia="Arial" w:hAnsi="Arial"/>
          <w:sz w:val="17"/>
          <w:szCs w:val="17"/>
          <w:color w:val="2F2F2F"/>
        </w:rPr>
        <w:t xml:space="preserve"> ent</w:t>
      </w:r>
      <w:r>
        <w:rPr>
          <w:rFonts w:ascii="Arial" w:cs="Arial" w:eastAsia="Arial" w:hAnsi="Arial"/>
          <w:sz w:val="17"/>
          <w:szCs w:val="17"/>
          <w:color w:val="1C1C1C"/>
        </w:rPr>
        <w:t>i</w:t>
      </w:r>
      <w:r>
        <w:rPr>
          <w:rFonts w:ascii="Arial" w:cs="Arial" w:eastAsia="Arial" w:hAnsi="Arial"/>
          <w:sz w:val="17"/>
          <w:szCs w:val="17"/>
          <w:color w:val="2F2F2F"/>
        </w:rPr>
        <w:t>ty.</w:t>
      </w:r>
    </w:p>
    <w:p>
      <w:pPr>
        <w:spacing w:after="0" w:line="1" w:lineRule="exact"/>
        <w:rPr>
          <w:rFonts w:ascii="Arial" w:cs="Arial" w:eastAsia="Arial" w:hAnsi="Arial"/>
          <w:sz w:val="17"/>
          <w:szCs w:val="17"/>
          <w:color w:val="262626"/>
        </w:rPr>
      </w:pPr>
    </w:p>
    <w:p>
      <w:pPr>
        <w:ind w:left="1080" w:right="60" w:hanging="286"/>
        <w:spacing w:after="0"/>
        <w:tabs>
          <w:tab w:leader="none" w:pos="1080" w:val="left"/>
        </w:tabs>
        <w:numPr>
          <w:ilvl w:val="0"/>
          <w:numId w:val="336"/>
        </w:numPr>
        <w:rPr>
          <w:rFonts w:ascii="Arial" w:cs="Arial" w:eastAsia="Arial" w:hAnsi="Arial"/>
          <w:sz w:val="18"/>
          <w:szCs w:val="18"/>
          <w:color w:val="262626"/>
        </w:rPr>
      </w:pPr>
      <w:r>
        <w:rPr>
          <w:rFonts w:ascii="Arial" w:cs="Arial" w:eastAsia="Arial" w:hAnsi="Arial"/>
          <w:sz w:val="19"/>
          <w:szCs w:val="19"/>
          <w:b w:val="1"/>
          <w:bCs w:val="1"/>
          <w:u w:val="single" w:color="auto"/>
          <w:color w:val="1C1C1C"/>
        </w:rPr>
        <w:t>Counterparts</w:t>
      </w:r>
      <w:r>
        <w:rPr>
          <w:rFonts w:ascii="Arial" w:cs="Arial" w:eastAsia="Arial" w:hAnsi="Arial"/>
          <w:sz w:val="19"/>
          <w:szCs w:val="19"/>
          <w:b w:val="1"/>
          <w:bCs w:val="1"/>
          <w:color w:val="1C1C1C"/>
        </w:rPr>
        <w:t xml:space="preserve">. </w:t>
      </w:r>
      <w:r>
        <w:rPr>
          <w:rFonts w:ascii="Arial" w:cs="Arial" w:eastAsia="Arial" w:hAnsi="Arial"/>
          <w:sz w:val="17"/>
          <w:szCs w:val="17"/>
          <w:color w:val="1C1C1C"/>
        </w:rPr>
        <w:t>T</w:t>
      </w:r>
      <w:r>
        <w:rPr>
          <w:rFonts w:ascii="Arial" w:cs="Arial" w:eastAsia="Arial" w:hAnsi="Arial"/>
          <w:sz w:val="17"/>
          <w:szCs w:val="17"/>
          <w:color w:val="2F2F2F"/>
        </w:rPr>
        <w:t>h</w:t>
      </w:r>
      <w:r>
        <w:rPr>
          <w:rFonts w:ascii="Arial" w:cs="Arial" w:eastAsia="Arial" w:hAnsi="Arial"/>
          <w:sz w:val="17"/>
          <w:szCs w:val="17"/>
          <w:color w:val="1C1C1C"/>
        </w:rPr>
        <w:t>i</w:t>
      </w:r>
      <w:r>
        <w:rPr>
          <w:rFonts w:ascii="Arial" w:cs="Arial" w:eastAsia="Arial" w:hAnsi="Arial"/>
          <w:sz w:val="17"/>
          <w:szCs w:val="17"/>
          <w:color w:val="2F2F2F"/>
        </w:rPr>
        <w:t>s Agreement may</w:t>
      </w:r>
      <w:r>
        <w:rPr>
          <w:rFonts w:ascii="Arial" w:cs="Arial" w:eastAsia="Arial" w:hAnsi="Arial"/>
          <w:sz w:val="19"/>
          <w:szCs w:val="19"/>
          <w:b w:val="1"/>
          <w:bCs w:val="1"/>
          <w:color w:val="1C1C1C"/>
        </w:rPr>
        <w:t xml:space="preserve"> </w:t>
      </w:r>
      <w:r>
        <w:rPr>
          <w:rFonts w:ascii="Arial" w:cs="Arial" w:eastAsia="Arial" w:hAnsi="Arial"/>
          <w:sz w:val="17"/>
          <w:szCs w:val="17"/>
          <w:color w:val="1C1C1C"/>
        </w:rPr>
        <w:t>b</w:t>
      </w:r>
      <w:r>
        <w:rPr>
          <w:rFonts w:ascii="Arial" w:cs="Arial" w:eastAsia="Arial" w:hAnsi="Arial"/>
          <w:sz w:val="17"/>
          <w:szCs w:val="17"/>
          <w:color w:val="2F2F2F"/>
        </w:rPr>
        <w:t>e executed in tw</w:t>
      </w:r>
      <w:r>
        <w:rPr>
          <w:rFonts w:ascii="Arial" w:cs="Arial" w:eastAsia="Arial" w:hAnsi="Arial"/>
          <w:sz w:val="17"/>
          <w:szCs w:val="17"/>
          <w:color w:val="1C1C1C"/>
        </w:rPr>
        <w:t>o</w:t>
      </w:r>
      <w:r>
        <w:rPr>
          <w:rFonts w:ascii="Arial" w:cs="Arial" w:eastAsia="Arial" w:hAnsi="Arial"/>
          <w:sz w:val="19"/>
          <w:szCs w:val="19"/>
          <w:b w:val="1"/>
          <w:bCs w:val="1"/>
          <w:color w:val="1C1C1C"/>
        </w:rPr>
        <w:t xml:space="preserve"> </w:t>
      </w:r>
      <w:r>
        <w:rPr>
          <w:rFonts w:ascii="Arial" w:cs="Arial" w:eastAsia="Arial" w:hAnsi="Arial"/>
          <w:sz w:val="17"/>
          <w:szCs w:val="17"/>
          <w:color w:val="2F2F2F"/>
        </w:rPr>
        <w:t>or m</w:t>
      </w:r>
      <w:r>
        <w:rPr>
          <w:rFonts w:ascii="Arial" w:cs="Arial" w:eastAsia="Arial" w:hAnsi="Arial"/>
          <w:sz w:val="17"/>
          <w:szCs w:val="17"/>
          <w:color w:val="1C1C1C"/>
        </w:rPr>
        <w:t>o</w:t>
      </w:r>
      <w:r>
        <w:rPr>
          <w:rFonts w:ascii="Arial" w:cs="Arial" w:eastAsia="Arial" w:hAnsi="Arial"/>
          <w:sz w:val="17"/>
          <w:szCs w:val="17"/>
          <w:color w:val="2F2F2F"/>
        </w:rPr>
        <w:t>re counterparts</w:t>
      </w:r>
      <w:r>
        <w:rPr>
          <w:rFonts w:ascii="Arial" w:cs="Arial" w:eastAsia="Arial" w:hAnsi="Arial"/>
          <w:sz w:val="17"/>
          <w:szCs w:val="17"/>
          <w:color w:val="4D4D4D"/>
        </w:rPr>
        <w:t>,</w:t>
      </w:r>
      <w:r>
        <w:rPr>
          <w:rFonts w:ascii="Arial" w:cs="Arial" w:eastAsia="Arial" w:hAnsi="Arial"/>
          <w:sz w:val="19"/>
          <w:szCs w:val="19"/>
          <w:b w:val="1"/>
          <w:bCs w:val="1"/>
          <w:color w:val="1C1C1C"/>
        </w:rPr>
        <w:t xml:space="preserve"> </w:t>
      </w:r>
      <w:r>
        <w:rPr>
          <w:rFonts w:ascii="Arial" w:cs="Arial" w:eastAsia="Arial" w:hAnsi="Arial"/>
          <w:sz w:val="17"/>
          <w:szCs w:val="17"/>
          <w:color w:val="2F2F2F"/>
        </w:rPr>
        <w:t>each of w</w:t>
      </w:r>
      <w:r>
        <w:rPr>
          <w:rFonts w:ascii="Arial" w:cs="Arial" w:eastAsia="Arial" w:hAnsi="Arial"/>
          <w:sz w:val="17"/>
          <w:szCs w:val="17"/>
          <w:color w:val="1C1C1C"/>
        </w:rPr>
        <w:t>h</w:t>
      </w:r>
      <w:r>
        <w:rPr>
          <w:rFonts w:ascii="Arial" w:cs="Arial" w:eastAsia="Arial" w:hAnsi="Arial"/>
          <w:sz w:val="17"/>
          <w:szCs w:val="17"/>
          <w:color w:val="2F2F2F"/>
        </w:rPr>
        <w:t>ic</w:t>
      </w:r>
      <w:r>
        <w:rPr>
          <w:rFonts w:ascii="Arial" w:cs="Arial" w:eastAsia="Arial" w:hAnsi="Arial"/>
          <w:sz w:val="17"/>
          <w:szCs w:val="17"/>
          <w:color w:val="1C1C1C"/>
        </w:rPr>
        <w:t>h</w:t>
      </w:r>
      <w:r>
        <w:rPr>
          <w:rFonts w:ascii="Arial" w:cs="Arial" w:eastAsia="Arial" w:hAnsi="Arial"/>
          <w:sz w:val="19"/>
          <w:szCs w:val="19"/>
          <w:b w:val="1"/>
          <w:bCs w:val="1"/>
          <w:color w:val="1C1C1C"/>
        </w:rPr>
        <w:t xml:space="preserve"> </w:t>
      </w:r>
      <w:r>
        <w:rPr>
          <w:rFonts w:ascii="Arial" w:cs="Arial" w:eastAsia="Arial" w:hAnsi="Arial"/>
          <w:sz w:val="17"/>
          <w:szCs w:val="17"/>
          <w:color w:val="2F2F2F"/>
        </w:rPr>
        <w:t>sha</w:t>
      </w:r>
      <w:r>
        <w:rPr>
          <w:rFonts w:ascii="Arial" w:cs="Arial" w:eastAsia="Arial" w:hAnsi="Arial"/>
          <w:sz w:val="17"/>
          <w:szCs w:val="17"/>
          <w:color w:val="1C1C1C"/>
        </w:rPr>
        <w:t>ll b</w:t>
      </w:r>
      <w:r>
        <w:rPr>
          <w:rFonts w:ascii="Arial" w:cs="Arial" w:eastAsia="Arial" w:hAnsi="Arial"/>
          <w:sz w:val="17"/>
          <w:szCs w:val="17"/>
          <w:color w:val="2F2F2F"/>
        </w:rPr>
        <w:t>e</w:t>
      </w:r>
      <w:r>
        <w:rPr>
          <w:rFonts w:ascii="Arial" w:cs="Arial" w:eastAsia="Arial" w:hAnsi="Arial"/>
          <w:sz w:val="19"/>
          <w:szCs w:val="19"/>
          <w:b w:val="1"/>
          <w:bCs w:val="1"/>
          <w:color w:val="1C1C1C"/>
        </w:rPr>
        <w:t xml:space="preserve"> </w:t>
      </w:r>
      <w:r>
        <w:rPr>
          <w:rFonts w:ascii="Arial" w:cs="Arial" w:eastAsia="Arial" w:hAnsi="Arial"/>
          <w:sz w:val="17"/>
          <w:szCs w:val="17"/>
          <w:color w:val="1C1C1C"/>
        </w:rPr>
        <w:t>d</w:t>
      </w:r>
      <w:r>
        <w:rPr>
          <w:rFonts w:ascii="Arial" w:cs="Arial" w:eastAsia="Arial" w:hAnsi="Arial"/>
          <w:sz w:val="17"/>
          <w:szCs w:val="17"/>
          <w:color w:val="2F2F2F"/>
        </w:rPr>
        <w:t>eeme</w:t>
      </w:r>
      <w:r>
        <w:rPr>
          <w:rFonts w:ascii="Arial" w:cs="Arial" w:eastAsia="Arial" w:hAnsi="Arial"/>
          <w:sz w:val="17"/>
          <w:szCs w:val="17"/>
          <w:color w:val="1C1C1C"/>
        </w:rPr>
        <w:t>d</w:t>
      </w:r>
      <w:r>
        <w:rPr>
          <w:rFonts w:ascii="Arial" w:cs="Arial" w:eastAsia="Arial" w:hAnsi="Arial"/>
          <w:sz w:val="19"/>
          <w:szCs w:val="19"/>
          <w:b w:val="1"/>
          <w:bCs w:val="1"/>
          <w:color w:val="1C1C1C"/>
        </w:rPr>
        <w:t xml:space="preserve"> </w:t>
      </w:r>
      <w:r>
        <w:rPr>
          <w:rFonts w:ascii="Arial" w:cs="Arial" w:eastAsia="Arial" w:hAnsi="Arial"/>
          <w:sz w:val="17"/>
          <w:szCs w:val="17"/>
          <w:color w:val="2F2F2F"/>
        </w:rPr>
        <w:t>a</w:t>
      </w:r>
      <w:r>
        <w:rPr>
          <w:rFonts w:ascii="Arial" w:cs="Arial" w:eastAsia="Arial" w:hAnsi="Arial"/>
          <w:sz w:val="17"/>
          <w:szCs w:val="17"/>
          <w:color w:val="1C1C1C"/>
        </w:rPr>
        <w:t>n</w:t>
      </w:r>
      <w:r>
        <w:rPr>
          <w:rFonts w:ascii="Arial" w:cs="Arial" w:eastAsia="Arial" w:hAnsi="Arial"/>
          <w:sz w:val="19"/>
          <w:szCs w:val="19"/>
          <w:b w:val="1"/>
          <w:bCs w:val="1"/>
          <w:color w:val="1C1C1C"/>
        </w:rPr>
        <w:t xml:space="preserve"> </w:t>
      </w:r>
      <w:r>
        <w:rPr>
          <w:rFonts w:ascii="Arial" w:cs="Arial" w:eastAsia="Arial" w:hAnsi="Arial"/>
          <w:sz w:val="17"/>
          <w:szCs w:val="17"/>
          <w:color w:val="2F2F2F"/>
        </w:rPr>
        <w:t>orig</w:t>
      </w:r>
      <w:r>
        <w:rPr>
          <w:rFonts w:ascii="Arial" w:cs="Arial" w:eastAsia="Arial" w:hAnsi="Arial"/>
          <w:sz w:val="17"/>
          <w:szCs w:val="17"/>
          <w:color w:val="1C1C1C"/>
        </w:rPr>
        <w:t>in</w:t>
      </w:r>
      <w:r>
        <w:rPr>
          <w:rFonts w:ascii="Arial" w:cs="Arial" w:eastAsia="Arial" w:hAnsi="Arial"/>
          <w:sz w:val="17"/>
          <w:szCs w:val="17"/>
          <w:color w:val="2F2F2F"/>
        </w:rPr>
        <w:t>a</w:t>
      </w:r>
      <w:r>
        <w:rPr>
          <w:rFonts w:ascii="Arial" w:cs="Arial" w:eastAsia="Arial" w:hAnsi="Arial"/>
          <w:sz w:val="17"/>
          <w:szCs w:val="17"/>
          <w:color w:val="1C1C1C"/>
        </w:rPr>
        <w:t>l</w:t>
      </w:r>
      <w:r>
        <w:rPr>
          <w:rFonts w:ascii="Arial" w:cs="Arial" w:eastAsia="Arial" w:hAnsi="Arial"/>
          <w:sz w:val="17"/>
          <w:szCs w:val="17"/>
          <w:color w:val="4D4D4D"/>
        </w:rPr>
        <w:t>,</w:t>
      </w:r>
      <w:r>
        <w:rPr>
          <w:rFonts w:ascii="Arial" w:cs="Arial" w:eastAsia="Arial" w:hAnsi="Arial"/>
          <w:sz w:val="19"/>
          <w:szCs w:val="19"/>
          <w:b w:val="1"/>
          <w:bCs w:val="1"/>
          <w:color w:val="1C1C1C"/>
        </w:rPr>
        <w:t xml:space="preserve"> </w:t>
      </w:r>
      <w:r>
        <w:rPr>
          <w:rFonts w:ascii="Arial" w:cs="Arial" w:eastAsia="Arial" w:hAnsi="Arial"/>
          <w:sz w:val="17"/>
          <w:szCs w:val="17"/>
          <w:color w:val="1C1C1C"/>
        </w:rPr>
        <w:t>bu</w:t>
      </w:r>
      <w:r>
        <w:rPr>
          <w:rFonts w:ascii="Arial" w:cs="Arial" w:eastAsia="Arial" w:hAnsi="Arial"/>
          <w:sz w:val="17"/>
          <w:szCs w:val="17"/>
          <w:color w:val="2F2F2F"/>
        </w:rPr>
        <w:t>t a</w:t>
      </w:r>
      <w:r>
        <w:rPr>
          <w:rFonts w:ascii="Arial" w:cs="Arial" w:eastAsia="Arial" w:hAnsi="Arial"/>
          <w:sz w:val="17"/>
          <w:szCs w:val="17"/>
          <w:color w:val="1C1C1C"/>
        </w:rPr>
        <w:t>ll</w:t>
      </w:r>
      <w:r>
        <w:rPr>
          <w:rFonts w:ascii="Arial" w:cs="Arial" w:eastAsia="Arial" w:hAnsi="Arial"/>
          <w:sz w:val="19"/>
          <w:szCs w:val="19"/>
          <w:b w:val="1"/>
          <w:bCs w:val="1"/>
          <w:color w:val="1C1C1C"/>
        </w:rPr>
        <w:t xml:space="preserve"> </w:t>
      </w:r>
      <w:r>
        <w:rPr>
          <w:rFonts w:ascii="Arial" w:cs="Arial" w:eastAsia="Arial" w:hAnsi="Arial"/>
          <w:sz w:val="17"/>
          <w:szCs w:val="17"/>
          <w:color w:val="2F2F2F"/>
        </w:rPr>
        <w:t>of w</w:t>
      </w:r>
      <w:r>
        <w:rPr>
          <w:rFonts w:ascii="Arial" w:cs="Arial" w:eastAsia="Arial" w:hAnsi="Arial"/>
          <w:sz w:val="17"/>
          <w:szCs w:val="17"/>
          <w:color w:val="1C1C1C"/>
        </w:rPr>
        <w:t>h</w:t>
      </w:r>
      <w:r>
        <w:rPr>
          <w:rFonts w:ascii="Arial" w:cs="Arial" w:eastAsia="Arial" w:hAnsi="Arial"/>
          <w:sz w:val="17"/>
          <w:szCs w:val="17"/>
          <w:color w:val="2F2F2F"/>
        </w:rPr>
        <w:t>ich</w:t>
      </w:r>
      <w:r>
        <w:rPr>
          <w:rFonts w:ascii="Arial" w:cs="Arial" w:eastAsia="Arial" w:hAnsi="Arial"/>
          <w:sz w:val="19"/>
          <w:szCs w:val="19"/>
          <w:b w:val="1"/>
          <w:bCs w:val="1"/>
          <w:color w:val="1C1C1C"/>
        </w:rPr>
        <w:t xml:space="preserve"> </w:t>
      </w:r>
      <w:r>
        <w:rPr>
          <w:rFonts w:ascii="Arial" w:cs="Arial" w:eastAsia="Arial" w:hAnsi="Arial"/>
          <w:sz w:val="17"/>
          <w:szCs w:val="17"/>
          <w:color w:val="1C1C1C"/>
        </w:rPr>
        <w:t>t</w:t>
      </w:r>
      <w:r>
        <w:rPr>
          <w:rFonts w:ascii="Arial" w:cs="Arial" w:eastAsia="Arial" w:hAnsi="Arial"/>
          <w:sz w:val="17"/>
          <w:szCs w:val="17"/>
          <w:color w:val="2F2F2F"/>
        </w:rPr>
        <w:t>oge</w:t>
      </w:r>
      <w:r>
        <w:rPr>
          <w:rFonts w:ascii="Arial" w:cs="Arial" w:eastAsia="Arial" w:hAnsi="Arial"/>
          <w:sz w:val="17"/>
          <w:szCs w:val="17"/>
          <w:color w:val="1C1C1C"/>
        </w:rPr>
        <w:t>th</w:t>
      </w:r>
      <w:r>
        <w:rPr>
          <w:rFonts w:ascii="Arial" w:cs="Arial" w:eastAsia="Arial" w:hAnsi="Arial"/>
          <w:sz w:val="17"/>
          <w:szCs w:val="17"/>
          <w:color w:val="2F2F2F"/>
        </w:rPr>
        <w:t>er s</w:t>
      </w:r>
      <w:r>
        <w:rPr>
          <w:rFonts w:ascii="Arial" w:cs="Arial" w:eastAsia="Arial" w:hAnsi="Arial"/>
          <w:sz w:val="17"/>
          <w:szCs w:val="17"/>
          <w:color w:val="1C1C1C"/>
        </w:rPr>
        <w:t>h</w:t>
      </w:r>
      <w:r>
        <w:rPr>
          <w:rFonts w:ascii="Arial" w:cs="Arial" w:eastAsia="Arial" w:hAnsi="Arial"/>
          <w:sz w:val="17"/>
          <w:szCs w:val="17"/>
          <w:color w:val="2F2F2F"/>
        </w:rPr>
        <w:t>a</w:t>
      </w:r>
      <w:r>
        <w:rPr>
          <w:rFonts w:ascii="Arial" w:cs="Arial" w:eastAsia="Arial" w:hAnsi="Arial"/>
          <w:sz w:val="17"/>
          <w:szCs w:val="17"/>
          <w:color w:val="1C1C1C"/>
        </w:rPr>
        <w:t xml:space="preserve">ll </w:t>
      </w:r>
      <w:r>
        <w:rPr>
          <w:rFonts w:ascii="Arial" w:cs="Arial" w:eastAsia="Arial" w:hAnsi="Arial"/>
          <w:sz w:val="17"/>
          <w:szCs w:val="17"/>
          <w:color w:val="2F2F2F"/>
        </w:rPr>
        <w:t>co</w:t>
      </w:r>
      <w:r>
        <w:rPr>
          <w:rFonts w:ascii="Arial" w:cs="Arial" w:eastAsia="Arial" w:hAnsi="Arial"/>
          <w:sz w:val="17"/>
          <w:szCs w:val="17"/>
          <w:color w:val="1C1C1C"/>
        </w:rPr>
        <w:t>n</w:t>
      </w:r>
      <w:r>
        <w:rPr>
          <w:rFonts w:ascii="Arial" w:cs="Arial" w:eastAsia="Arial" w:hAnsi="Arial"/>
          <w:sz w:val="17"/>
          <w:szCs w:val="17"/>
          <w:color w:val="2F2F2F"/>
        </w:rPr>
        <w:t>st</w:t>
      </w:r>
      <w:r>
        <w:rPr>
          <w:rFonts w:ascii="Arial" w:cs="Arial" w:eastAsia="Arial" w:hAnsi="Arial"/>
          <w:sz w:val="17"/>
          <w:szCs w:val="17"/>
          <w:color w:val="1C1C1C"/>
        </w:rPr>
        <w:t>i</w:t>
      </w:r>
      <w:r>
        <w:rPr>
          <w:rFonts w:ascii="Arial" w:cs="Arial" w:eastAsia="Arial" w:hAnsi="Arial"/>
          <w:sz w:val="17"/>
          <w:szCs w:val="17"/>
          <w:color w:val="2F2F2F"/>
        </w:rPr>
        <w:t>t</w:t>
      </w:r>
      <w:r>
        <w:rPr>
          <w:rFonts w:ascii="Arial" w:cs="Arial" w:eastAsia="Arial" w:hAnsi="Arial"/>
          <w:sz w:val="17"/>
          <w:szCs w:val="17"/>
          <w:color w:val="1C1C1C"/>
        </w:rPr>
        <w:t>u</w:t>
      </w:r>
      <w:r>
        <w:rPr>
          <w:rFonts w:ascii="Arial" w:cs="Arial" w:eastAsia="Arial" w:hAnsi="Arial"/>
          <w:sz w:val="17"/>
          <w:szCs w:val="17"/>
          <w:color w:val="2F2F2F"/>
        </w:rPr>
        <w:t>te</w:t>
      </w:r>
      <w:r>
        <w:rPr>
          <w:rFonts w:ascii="Arial" w:cs="Arial" w:eastAsia="Arial" w:hAnsi="Arial"/>
          <w:sz w:val="17"/>
          <w:szCs w:val="17"/>
          <w:color w:val="1C1C1C"/>
        </w:rPr>
        <w:t xml:space="preserve"> o</w:t>
      </w:r>
      <w:r>
        <w:rPr>
          <w:rFonts w:ascii="Arial" w:cs="Arial" w:eastAsia="Arial" w:hAnsi="Arial"/>
          <w:sz w:val="17"/>
          <w:szCs w:val="17"/>
          <w:color w:val="2F2F2F"/>
        </w:rPr>
        <w:t>ne and the same instrument.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2F2F2F"/>
        </w:rPr>
        <w:t>[Signatur</w:t>
      </w:r>
      <w:r>
        <w:rPr>
          <w:rFonts w:ascii="Arial" w:cs="Arial" w:eastAsia="Arial" w:hAnsi="Arial"/>
          <w:sz w:val="19"/>
          <w:szCs w:val="19"/>
          <w:i w:val="1"/>
          <w:iCs w:val="1"/>
          <w:color w:val="4D4D4D"/>
        </w:rPr>
        <w:t>e</w:t>
      </w:r>
      <w:r>
        <w:rPr>
          <w:rFonts w:ascii="Arial" w:cs="Arial" w:eastAsia="Arial" w:hAnsi="Arial"/>
          <w:sz w:val="19"/>
          <w:szCs w:val="19"/>
          <w:i w:val="1"/>
          <w:iCs w:val="1"/>
          <w:color w:val="2F2F2F"/>
        </w:rPr>
        <w:t xml:space="preserve"> Pag</w:t>
      </w:r>
      <w:r>
        <w:rPr>
          <w:rFonts w:ascii="Arial" w:cs="Arial" w:eastAsia="Arial" w:hAnsi="Arial"/>
          <w:sz w:val="19"/>
          <w:szCs w:val="19"/>
          <w:i w:val="1"/>
          <w:iCs w:val="1"/>
          <w:color w:val="4D4D4D"/>
        </w:rPr>
        <w:t>e</w:t>
      </w:r>
      <w:r>
        <w:rPr>
          <w:rFonts w:ascii="Arial" w:cs="Arial" w:eastAsia="Arial" w:hAnsi="Arial"/>
          <w:sz w:val="19"/>
          <w:szCs w:val="19"/>
          <w:i w:val="1"/>
          <w:iCs w:val="1"/>
          <w:color w:val="2F2F2F"/>
        </w:rPr>
        <w:t xml:space="preserv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400" w:top="1291" w:right="399" w:bottom="1440" w:gutter="0" w:footer="0" w:header="0"/>
        </w:sectPr>
      </w:pPr>
    </w:p>
    <w:bookmarkStart w:id="457" w:name="page458"/>
    <w:bookmarkEnd w:id="457"/>
    <w:p>
      <w:pPr>
        <w:ind w:right="40" w:firstLine="585"/>
        <w:spacing w:after="0" w:line="267" w:lineRule="auto"/>
        <w:rPr>
          <w:sz w:val="20"/>
          <w:szCs w:val="20"/>
          <w:color w:val="auto"/>
        </w:rPr>
      </w:pPr>
      <w:r>
        <w:rPr>
          <w:rFonts w:ascii="Arial" w:cs="Arial" w:eastAsia="Arial" w:hAnsi="Arial"/>
          <w:sz w:val="17"/>
          <w:szCs w:val="17"/>
          <w:color w:val="242424"/>
        </w:rPr>
        <w:t>W</w:t>
      </w:r>
      <w:r>
        <w:rPr>
          <w:rFonts w:ascii="Arial" w:cs="Arial" w:eastAsia="Arial" w:hAnsi="Arial"/>
          <w:sz w:val="17"/>
          <w:szCs w:val="17"/>
          <w:color w:val="343434"/>
        </w:rPr>
        <w:t>e a</w:t>
      </w:r>
      <w:r>
        <w:rPr>
          <w:rFonts w:ascii="Arial" w:cs="Arial" w:eastAsia="Arial" w:hAnsi="Arial"/>
          <w:sz w:val="17"/>
          <w:szCs w:val="17"/>
          <w:color w:val="242424"/>
        </w:rPr>
        <w:t>r</w:t>
      </w:r>
      <w:r>
        <w:rPr>
          <w:rFonts w:ascii="Arial" w:cs="Arial" w:eastAsia="Arial" w:hAnsi="Arial"/>
          <w:sz w:val="17"/>
          <w:szCs w:val="17"/>
          <w:color w:val="343434"/>
        </w:rPr>
        <w:t>e a</w:t>
      </w:r>
      <w:r>
        <w:rPr>
          <w:rFonts w:ascii="Arial" w:cs="Arial" w:eastAsia="Arial" w:hAnsi="Arial"/>
          <w:sz w:val="17"/>
          <w:szCs w:val="17"/>
          <w:color w:val="242424"/>
        </w:rPr>
        <w:t>ll d</w:t>
      </w:r>
      <w:r>
        <w:rPr>
          <w:rFonts w:ascii="Arial" w:cs="Arial" w:eastAsia="Arial" w:hAnsi="Arial"/>
          <w:sz w:val="17"/>
          <w:szCs w:val="17"/>
          <w:color w:val="343434"/>
        </w:rPr>
        <w:t>e</w:t>
      </w:r>
      <w:r>
        <w:rPr>
          <w:rFonts w:ascii="Arial" w:cs="Arial" w:eastAsia="Arial" w:hAnsi="Arial"/>
          <w:sz w:val="17"/>
          <w:szCs w:val="17"/>
          <w:color w:val="141414"/>
        </w:rPr>
        <w:t>li</w:t>
      </w:r>
      <w:r>
        <w:rPr>
          <w:rFonts w:ascii="Arial" w:cs="Arial" w:eastAsia="Arial" w:hAnsi="Arial"/>
          <w:sz w:val="17"/>
          <w:szCs w:val="17"/>
          <w:color w:val="343434"/>
        </w:rPr>
        <w:t>g</w:t>
      </w:r>
      <w:r>
        <w:rPr>
          <w:rFonts w:ascii="Arial" w:cs="Arial" w:eastAsia="Arial" w:hAnsi="Arial"/>
          <w:sz w:val="17"/>
          <w:szCs w:val="17"/>
          <w:color w:val="141414"/>
        </w:rPr>
        <w:t>h</w:t>
      </w:r>
      <w:r>
        <w:rPr>
          <w:rFonts w:ascii="Arial" w:cs="Arial" w:eastAsia="Arial" w:hAnsi="Arial"/>
          <w:sz w:val="17"/>
          <w:szCs w:val="17"/>
          <w:color w:val="343434"/>
        </w:rPr>
        <w:t>te</w:t>
      </w:r>
      <w:r>
        <w:rPr>
          <w:rFonts w:ascii="Arial" w:cs="Arial" w:eastAsia="Arial" w:hAnsi="Arial"/>
          <w:sz w:val="17"/>
          <w:szCs w:val="17"/>
          <w:color w:val="242424"/>
        </w:rPr>
        <w:t>d to b</w:t>
      </w:r>
      <w:r>
        <w:rPr>
          <w:rFonts w:ascii="Arial" w:cs="Arial" w:eastAsia="Arial" w:hAnsi="Arial"/>
          <w:sz w:val="17"/>
          <w:szCs w:val="17"/>
          <w:color w:val="343434"/>
        </w:rPr>
        <w:t>e a</w:t>
      </w:r>
      <w:r>
        <w:rPr>
          <w:rFonts w:ascii="Arial" w:cs="Arial" w:eastAsia="Arial" w:hAnsi="Arial"/>
          <w:sz w:val="17"/>
          <w:szCs w:val="17"/>
          <w:color w:val="242424"/>
        </w:rPr>
        <w:t>bl</w:t>
      </w:r>
      <w:r>
        <w:rPr>
          <w:rFonts w:ascii="Arial" w:cs="Arial" w:eastAsia="Arial" w:hAnsi="Arial"/>
          <w:sz w:val="17"/>
          <w:szCs w:val="17"/>
          <w:color w:val="343434"/>
        </w:rPr>
        <w:t>e</w:t>
      </w:r>
      <w:r>
        <w:rPr>
          <w:rFonts w:ascii="Arial" w:cs="Arial" w:eastAsia="Arial" w:hAnsi="Arial"/>
          <w:sz w:val="17"/>
          <w:szCs w:val="17"/>
          <w:color w:val="242424"/>
        </w:rPr>
        <w:t xml:space="preserve"> to </w:t>
      </w:r>
      <w:r>
        <w:rPr>
          <w:rFonts w:ascii="Arial" w:cs="Arial" w:eastAsia="Arial" w:hAnsi="Arial"/>
          <w:sz w:val="17"/>
          <w:szCs w:val="17"/>
          <w:color w:val="343434"/>
        </w:rPr>
        <w:t>e</w:t>
      </w:r>
      <w:r>
        <w:rPr>
          <w:rFonts w:ascii="Arial" w:cs="Arial" w:eastAsia="Arial" w:hAnsi="Arial"/>
          <w:sz w:val="17"/>
          <w:szCs w:val="17"/>
          <w:color w:val="242424"/>
        </w:rPr>
        <w:t>xt</w:t>
      </w:r>
      <w:r>
        <w:rPr>
          <w:rFonts w:ascii="Arial" w:cs="Arial" w:eastAsia="Arial" w:hAnsi="Arial"/>
          <w:sz w:val="17"/>
          <w:szCs w:val="17"/>
          <w:color w:val="343434"/>
        </w:rPr>
        <w:t>e</w:t>
      </w:r>
      <w:r>
        <w:rPr>
          <w:rFonts w:ascii="Arial" w:cs="Arial" w:eastAsia="Arial" w:hAnsi="Arial"/>
          <w:sz w:val="17"/>
          <w:szCs w:val="17"/>
          <w:color w:val="242424"/>
        </w:rPr>
        <w:t>n</w:t>
      </w:r>
      <w:r>
        <w:rPr>
          <w:rFonts w:ascii="Arial" w:cs="Arial" w:eastAsia="Arial" w:hAnsi="Arial"/>
          <w:sz w:val="17"/>
          <w:szCs w:val="17"/>
          <w:color w:val="141414"/>
        </w:rPr>
        <w:t>d</w:t>
      </w:r>
      <w:r>
        <w:rPr>
          <w:rFonts w:ascii="Arial" w:cs="Arial" w:eastAsia="Arial" w:hAnsi="Arial"/>
          <w:sz w:val="17"/>
          <w:szCs w:val="17"/>
          <w:color w:val="242424"/>
        </w:rPr>
        <w:t xml:space="preserve"> you th</w:t>
      </w:r>
      <w:r>
        <w:rPr>
          <w:rFonts w:ascii="Arial" w:cs="Arial" w:eastAsia="Arial" w:hAnsi="Arial"/>
          <w:sz w:val="17"/>
          <w:szCs w:val="17"/>
          <w:color w:val="141414"/>
        </w:rPr>
        <w:t>i</w:t>
      </w:r>
      <w:r>
        <w:rPr>
          <w:rFonts w:ascii="Arial" w:cs="Arial" w:eastAsia="Arial" w:hAnsi="Arial"/>
          <w:sz w:val="17"/>
          <w:szCs w:val="17"/>
          <w:color w:val="343434"/>
        </w:rPr>
        <w:t>s</w:t>
      </w:r>
      <w:r>
        <w:rPr>
          <w:rFonts w:ascii="Arial" w:cs="Arial" w:eastAsia="Arial" w:hAnsi="Arial"/>
          <w:sz w:val="17"/>
          <w:szCs w:val="17"/>
          <w:color w:val="242424"/>
        </w:rPr>
        <w:t xml:space="preserve"> off</w:t>
      </w:r>
      <w:r>
        <w:rPr>
          <w:rFonts w:ascii="Arial" w:cs="Arial" w:eastAsia="Arial" w:hAnsi="Arial"/>
          <w:sz w:val="17"/>
          <w:szCs w:val="17"/>
          <w:color w:val="343434"/>
        </w:rPr>
        <w:t>e</w:t>
      </w:r>
      <w:r>
        <w:rPr>
          <w:rFonts w:ascii="Arial" w:cs="Arial" w:eastAsia="Arial" w:hAnsi="Arial"/>
          <w:sz w:val="17"/>
          <w:szCs w:val="17"/>
          <w:color w:val="242424"/>
        </w:rPr>
        <w:t xml:space="preserve">r </w:t>
      </w:r>
      <w:r>
        <w:rPr>
          <w:rFonts w:ascii="Arial" w:cs="Arial" w:eastAsia="Arial" w:hAnsi="Arial"/>
          <w:sz w:val="17"/>
          <w:szCs w:val="17"/>
          <w:color w:val="343434"/>
        </w:rPr>
        <w:t>a</w:t>
      </w:r>
      <w:r>
        <w:rPr>
          <w:rFonts w:ascii="Arial" w:cs="Arial" w:eastAsia="Arial" w:hAnsi="Arial"/>
          <w:sz w:val="17"/>
          <w:szCs w:val="17"/>
          <w:color w:val="242424"/>
        </w:rPr>
        <w:t xml:space="preserve">nd </w:t>
      </w:r>
      <w:r>
        <w:rPr>
          <w:rFonts w:ascii="Arial" w:cs="Arial" w:eastAsia="Arial" w:hAnsi="Arial"/>
          <w:sz w:val="17"/>
          <w:szCs w:val="17"/>
          <w:color w:val="141414"/>
        </w:rPr>
        <w:t>l</w:t>
      </w:r>
      <w:r>
        <w:rPr>
          <w:rFonts w:ascii="Arial" w:cs="Arial" w:eastAsia="Arial" w:hAnsi="Arial"/>
          <w:sz w:val="17"/>
          <w:szCs w:val="17"/>
          <w:color w:val="242424"/>
        </w:rPr>
        <w:t>ook forw</w:t>
      </w:r>
      <w:r>
        <w:rPr>
          <w:rFonts w:ascii="Arial" w:cs="Arial" w:eastAsia="Arial" w:hAnsi="Arial"/>
          <w:sz w:val="17"/>
          <w:szCs w:val="17"/>
          <w:color w:val="343434"/>
        </w:rPr>
        <w:t>a</w:t>
      </w:r>
      <w:r>
        <w:rPr>
          <w:rFonts w:ascii="Arial" w:cs="Arial" w:eastAsia="Arial" w:hAnsi="Arial"/>
          <w:sz w:val="17"/>
          <w:szCs w:val="17"/>
          <w:color w:val="242424"/>
        </w:rPr>
        <w:t xml:space="preserve">rd </w:t>
      </w:r>
      <w:r>
        <w:rPr>
          <w:rFonts w:ascii="Arial" w:cs="Arial" w:eastAsia="Arial" w:hAnsi="Arial"/>
          <w:sz w:val="17"/>
          <w:szCs w:val="17"/>
          <w:color w:val="343434"/>
        </w:rPr>
        <w:t>t</w:t>
      </w:r>
      <w:r>
        <w:rPr>
          <w:rFonts w:ascii="Arial" w:cs="Arial" w:eastAsia="Arial" w:hAnsi="Arial"/>
          <w:sz w:val="17"/>
          <w:szCs w:val="17"/>
          <w:color w:val="242424"/>
        </w:rPr>
        <w:t xml:space="preserve">o </w:t>
      </w:r>
      <w:r>
        <w:rPr>
          <w:rFonts w:ascii="Arial" w:cs="Arial" w:eastAsia="Arial" w:hAnsi="Arial"/>
          <w:sz w:val="17"/>
          <w:szCs w:val="17"/>
          <w:color w:val="343434"/>
        </w:rPr>
        <w:t>wo</w:t>
      </w:r>
      <w:r>
        <w:rPr>
          <w:rFonts w:ascii="Arial" w:cs="Arial" w:eastAsia="Arial" w:hAnsi="Arial"/>
          <w:sz w:val="17"/>
          <w:szCs w:val="17"/>
          <w:color w:val="242424"/>
        </w:rPr>
        <w:t>rkin</w:t>
      </w:r>
      <w:r>
        <w:rPr>
          <w:rFonts w:ascii="Arial" w:cs="Arial" w:eastAsia="Arial" w:hAnsi="Arial"/>
          <w:sz w:val="17"/>
          <w:szCs w:val="17"/>
          <w:color w:val="343434"/>
        </w:rPr>
        <w:t>g</w:t>
      </w:r>
      <w:r>
        <w:rPr>
          <w:rFonts w:ascii="Arial" w:cs="Arial" w:eastAsia="Arial" w:hAnsi="Arial"/>
          <w:sz w:val="17"/>
          <w:szCs w:val="17"/>
          <w:color w:val="242424"/>
        </w:rPr>
        <w:t xml:space="preserve"> with </w:t>
      </w:r>
      <w:r>
        <w:rPr>
          <w:rFonts w:ascii="Arial" w:cs="Arial" w:eastAsia="Arial" w:hAnsi="Arial"/>
          <w:sz w:val="17"/>
          <w:szCs w:val="17"/>
          <w:color w:val="343434"/>
        </w:rPr>
        <w:t>y</w:t>
      </w:r>
      <w:r>
        <w:rPr>
          <w:rFonts w:ascii="Arial" w:cs="Arial" w:eastAsia="Arial" w:hAnsi="Arial"/>
          <w:sz w:val="17"/>
          <w:szCs w:val="17"/>
          <w:color w:val="242424"/>
        </w:rPr>
        <w:t>ou</w:t>
      </w:r>
      <w:r>
        <w:rPr>
          <w:rFonts w:ascii="Arial" w:cs="Arial" w:eastAsia="Arial" w:hAnsi="Arial"/>
          <w:sz w:val="17"/>
          <w:szCs w:val="17"/>
          <w:color w:val="343434"/>
        </w:rPr>
        <w:t>.</w:t>
      </w:r>
      <w:r>
        <w:rPr>
          <w:rFonts w:ascii="Arial" w:cs="Arial" w:eastAsia="Arial" w:hAnsi="Arial"/>
          <w:sz w:val="17"/>
          <w:szCs w:val="17"/>
          <w:color w:val="242424"/>
        </w:rPr>
        <w:t xml:space="preserve"> To ind</w:t>
      </w:r>
      <w:r>
        <w:rPr>
          <w:rFonts w:ascii="Arial" w:cs="Arial" w:eastAsia="Arial" w:hAnsi="Arial"/>
          <w:sz w:val="17"/>
          <w:szCs w:val="17"/>
          <w:color w:val="343434"/>
        </w:rPr>
        <w:t>i</w:t>
      </w:r>
      <w:r>
        <w:rPr>
          <w:rFonts w:ascii="Arial" w:cs="Arial" w:eastAsia="Arial" w:hAnsi="Arial"/>
          <w:sz w:val="17"/>
          <w:szCs w:val="17"/>
          <w:color w:val="242424"/>
        </w:rPr>
        <w:t>c</w:t>
      </w:r>
      <w:r>
        <w:rPr>
          <w:rFonts w:ascii="Arial" w:cs="Arial" w:eastAsia="Arial" w:hAnsi="Arial"/>
          <w:sz w:val="17"/>
          <w:szCs w:val="17"/>
          <w:color w:val="343434"/>
        </w:rPr>
        <w:t>a</w:t>
      </w:r>
      <w:r>
        <w:rPr>
          <w:rFonts w:ascii="Arial" w:cs="Arial" w:eastAsia="Arial" w:hAnsi="Arial"/>
          <w:sz w:val="17"/>
          <w:szCs w:val="17"/>
          <w:color w:val="242424"/>
        </w:rPr>
        <w:t>t</w:t>
      </w:r>
      <w:r>
        <w:rPr>
          <w:rFonts w:ascii="Arial" w:cs="Arial" w:eastAsia="Arial" w:hAnsi="Arial"/>
          <w:sz w:val="17"/>
          <w:szCs w:val="17"/>
          <w:color w:val="343434"/>
        </w:rPr>
        <w:t>e y</w:t>
      </w:r>
      <w:r>
        <w:rPr>
          <w:rFonts w:ascii="Arial" w:cs="Arial" w:eastAsia="Arial" w:hAnsi="Arial"/>
          <w:sz w:val="17"/>
          <w:szCs w:val="17"/>
          <w:color w:val="242424"/>
        </w:rPr>
        <w:t xml:space="preserve">our </w:t>
      </w:r>
      <w:r>
        <w:rPr>
          <w:rFonts w:ascii="Arial" w:cs="Arial" w:eastAsia="Arial" w:hAnsi="Arial"/>
          <w:sz w:val="17"/>
          <w:szCs w:val="17"/>
          <w:color w:val="343434"/>
        </w:rPr>
        <w:t>a</w:t>
      </w:r>
      <w:r>
        <w:rPr>
          <w:rFonts w:ascii="Arial" w:cs="Arial" w:eastAsia="Arial" w:hAnsi="Arial"/>
          <w:sz w:val="17"/>
          <w:szCs w:val="17"/>
          <w:color w:val="242424"/>
        </w:rPr>
        <w:t>cc</w:t>
      </w:r>
      <w:r>
        <w:rPr>
          <w:rFonts w:ascii="Arial" w:cs="Arial" w:eastAsia="Arial" w:hAnsi="Arial"/>
          <w:sz w:val="17"/>
          <w:szCs w:val="17"/>
          <w:color w:val="343434"/>
        </w:rPr>
        <w:t>e</w:t>
      </w:r>
      <w:r>
        <w:rPr>
          <w:rFonts w:ascii="Arial" w:cs="Arial" w:eastAsia="Arial" w:hAnsi="Arial"/>
          <w:sz w:val="17"/>
          <w:szCs w:val="17"/>
          <w:color w:val="242424"/>
        </w:rPr>
        <w:t>p</w:t>
      </w:r>
      <w:r>
        <w:rPr>
          <w:rFonts w:ascii="Arial" w:cs="Arial" w:eastAsia="Arial" w:hAnsi="Arial"/>
          <w:sz w:val="17"/>
          <w:szCs w:val="17"/>
          <w:color w:val="343434"/>
        </w:rPr>
        <w:t>tan</w:t>
      </w:r>
      <w:r>
        <w:rPr>
          <w:rFonts w:ascii="Arial" w:cs="Arial" w:eastAsia="Arial" w:hAnsi="Arial"/>
          <w:sz w:val="17"/>
          <w:szCs w:val="17"/>
          <w:color w:val="242424"/>
        </w:rPr>
        <w:t>c</w:t>
      </w:r>
      <w:r>
        <w:rPr>
          <w:rFonts w:ascii="Arial" w:cs="Arial" w:eastAsia="Arial" w:hAnsi="Arial"/>
          <w:sz w:val="17"/>
          <w:szCs w:val="17"/>
          <w:color w:val="343434"/>
        </w:rPr>
        <w:t>e of the</w:t>
      </w:r>
      <w:r>
        <w:rPr>
          <w:rFonts w:ascii="Arial" w:cs="Arial" w:eastAsia="Arial" w:hAnsi="Arial"/>
          <w:sz w:val="17"/>
          <w:szCs w:val="17"/>
          <w:color w:val="242424"/>
        </w:rPr>
        <w:t xml:space="preserve"> </w:t>
      </w:r>
      <w:r>
        <w:rPr>
          <w:rFonts w:ascii="Arial" w:cs="Arial" w:eastAsia="Arial" w:hAnsi="Arial"/>
          <w:sz w:val="17"/>
          <w:szCs w:val="17"/>
          <w:color w:val="000000"/>
        </w:rPr>
        <w:t>Company's</w:t>
      </w:r>
      <w:r>
        <w:rPr>
          <w:rFonts w:ascii="Arial" w:cs="Arial" w:eastAsia="Arial" w:hAnsi="Arial"/>
          <w:sz w:val="17"/>
          <w:szCs w:val="17"/>
          <w:color w:val="242424"/>
        </w:rPr>
        <w:t xml:space="preserve"> o</w:t>
      </w:r>
      <w:r>
        <w:rPr>
          <w:rFonts w:ascii="Arial" w:cs="Arial" w:eastAsia="Arial" w:hAnsi="Arial"/>
          <w:sz w:val="17"/>
          <w:szCs w:val="17"/>
          <w:color w:val="343434"/>
        </w:rPr>
        <w:t>ffer</w:t>
      </w:r>
      <w:r>
        <w:rPr>
          <w:rFonts w:ascii="Arial" w:cs="Arial" w:eastAsia="Arial" w:hAnsi="Arial"/>
          <w:sz w:val="17"/>
          <w:szCs w:val="17"/>
          <w:color w:val="525252"/>
        </w:rPr>
        <w:t>,</w:t>
      </w:r>
      <w:r>
        <w:rPr>
          <w:rFonts w:ascii="Arial" w:cs="Arial" w:eastAsia="Arial" w:hAnsi="Arial"/>
          <w:sz w:val="17"/>
          <w:szCs w:val="17"/>
          <w:color w:val="242424"/>
        </w:rPr>
        <w:t xml:space="preserve"> p</w:t>
      </w:r>
      <w:r>
        <w:rPr>
          <w:rFonts w:ascii="Arial" w:cs="Arial" w:eastAsia="Arial" w:hAnsi="Arial"/>
          <w:sz w:val="17"/>
          <w:szCs w:val="17"/>
          <w:color w:val="141414"/>
        </w:rPr>
        <w:t>l</w:t>
      </w:r>
      <w:r>
        <w:rPr>
          <w:rFonts w:ascii="Arial" w:cs="Arial" w:eastAsia="Arial" w:hAnsi="Arial"/>
          <w:sz w:val="17"/>
          <w:szCs w:val="17"/>
          <w:color w:val="343434"/>
        </w:rPr>
        <w:t>ease s</w:t>
      </w:r>
      <w:r>
        <w:rPr>
          <w:rFonts w:ascii="Arial" w:cs="Arial" w:eastAsia="Arial" w:hAnsi="Arial"/>
          <w:sz w:val="17"/>
          <w:szCs w:val="17"/>
          <w:color w:val="242424"/>
        </w:rPr>
        <w:t>i</w:t>
      </w:r>
      <w:r>
        <w:rPr>
          <w:rFonts w:ascii="Arial" w:cs="Arial" w:eastAsia="Arial" w:hAnsi="Arial"/>
          <w:sz w:val="17"/>
          <w:szCs w:val="17"/>
          <w:color w:val="343434"/>
        </w:rPr>
        <w:t>gn an</w:t>
      </w:r>
      <w:r>
        <w:rPr>
          <w:rFonts w:ascii="Arial" w:cs="Arial" w:eastAsia="Arial" w:hAnsi="Arial"/>
          <w:sz w:val="17"/>
          <w:szCs w:val="17"/>
          <w:color w:val="141414"/>
        </w:rPr>
        <w:t>d</w:t>
      </w:r>
      <w:r>
        <w:rPr>
          <w:rFonts w:ascii="Arial" w:cs="Arial" w:eastAsia="Arial" w:hAnsi="Arial"/>
          <w:sz w:val="17"/>
          <w:szCs w:val="17"/>
          <w:color w:val="242424"/>
        </w:rPr>
        <w:t xml:space="preserve"> d</w:t>
      </w:r>
      <w:r>
        <w:rPr>
          <w:rFonts w:ascii="Arial" w:cs="Arial" w:eastAsia="Arial" w:hAnsi="Arial"/>
          <w:sz w:val="17"/>
          <w:szCs w:val="17"/>
          <w:color w:val="343434"/>
        </w:rPr>
        <w:t>a</w:t>
      </w:r>
      <w:r>
        <w:rPr>
          <w:rFonts w:ascii="Arial" w:cs="Arial" w:eastAsia="Arial" w:hAnsi="Arial"/>
          <w:sz w:val="17"/>
          <w:szCs w:val="17"/>
          <w:color w:val="242424"/>
        </w:rPr>
        <w:t>t</w:t>
      </w:r>
      <w:r>
        <w:rPr>
          <w:rFonts w:ascii="Arial" w:cs="Arial" w:eastAsia="Arial" w:hAnsi="Arial"/>
          <w:sz w:val="17"/>
          <w:szCs w:val="17"/>
          <w:color w:val="343434"/>
        </w:rPr>
        <w:t>e</w:t>
      </w:r>
      <w:r>
        <w:rPr>
          <w:rFonts w:ascii="Arial" w:cs="Arial" w:eastAsia="Arial" w:hAnsi="Arial"/>
          <w:sz w:val="17"/>
          <w:szCs w:val="17"/>
          <w:color w:val="242424"/>
        </w:rPr>
        <w:t xml:space="preserve"> thi</w:t>
      </w:r>
      <w:r>
        <w:rPr>
          <w:rFonts w:ascii="Arial" w:cs="Arial" w:eastAsia="Arial" w:hAnsi="Arial"/>
          <w:sz w:val="17"/>
          <w:szCs w:val="17"/>
          <w:color w:val="343434"/>
        </w:rPr>
        <w:t>s</w:t>
      </w:r>
      <w:r>
        <w:rPr>
          <w:rFonts w:ascii="Arial" w:cs="Arial" w:eastAsia="Arial" w:hAnsi="Arial"/>
          <w:sz w:val="17"/>
          <w:szCs w:val="17"/>
          <w:color w:val="242424"/>
        </w:rPr>
        <w:t xml:space="preserve"> l</w:t>
      </w:r>
      <w:r>
        <w:rPr>
          <w:rFonts w:ascii="Arial" w:cs="Arial" w:eastAsia="Arial" w:hAnsi="Arial"/>
          <w:sz w:val="17"/>
          <w:szCs w:val="17"/>
          <w:color w:val="343434"/>
        </w:rPr>
        <w:t>etter in the s</w:t>
      </w:r>
      <w:r>
        <w:rPr>
          <w:rFonts w:ascii="Arial" w:cs="Arial" w:eastAsia="Arial" w:hAnsi="Arial"/>
          <w:sz w:val="17"/>
          <w:szCs w:val="17"/>
          <w:color w:val="242424"/>
        </w:rPr>
        <w:t>p</w:t>
      </w:r>
      <w:r>
        <w:rPr>
          <w:rFonts w:ascii="Arial" w:cs="Arial" w:eastAsia="Arial" w:hAnsi="Arial"/>
          <w:sz w:val="17"/>
          <w:szCs w:val="17"/>
          <w:color w:val="343434"/>
        </w:rPr>
        <w:t>ace</w:t>
      </w:r>
      <w:r>
        <w:rPr>
          <w:rFonts w:ascii="Arial" w:cs="Arial" w:eastAsia="Arial" w:hAnsi="Arial"/>
          <w:sz w:val="17"/>
          <w:szCs w:val="17"/>
          <w:color w:val="242424"/>
        </w:rPr>
        <w:t xml:space="preserve"> p</w:t>
      </w:r>
      <w:r>
        <w:rPr>
          <w:rFonts w:ascii="Arial" w:cs="Arial" w:eastAsia="Arial" w:hAnsi="Arial"/>
          <w:sz w:val="17"/>
          <w:szCs w:val="17"/>
          <w:color w:val="343434"/>
        </w:rPr>
        <w:t>rov</w:t>
      </w:r>
      <w:r>
        <w:rPr>
          <w:rFonts w:ascii="Arial" w:cs="Arial" w:eastAsia="Arial" w:hAnsi="Arial"/>
          <w:sz w:val="17"/>
          <w:szCs w:val="17"/>
          <w:color w:val="141414"/>
        </w:rPr>
        <w:t>id</w:t>
      </w:r>
      <w:r>
        <w:rPr>
          <w:rFonts w:ascii="Arial" w:cs="Arial" w:eastAsia="Arial" w:hAnsi="Arial"/>
          <w:sz w:val="17"/>
          <w:szCs w:val="17"/>
          <w:color w:val="343434"/>
        </w:rPr>
        <w:t>e</w:t>
      </w:r>
      <w:r>
        <w:rPr>
          <w:rFonts w:ascii="Arial" w:cs="Arial" w:eastAsia="Arial" w:hAnsi="Arial"/>
          <w:sz w:val="17"/>
          <w:szCs w:val="17"/>
          <w:color w:val="242424"/>
        </w:rPr>
        <w:t>d b</w:t>
      </w:r>
      <w:r>
        <w:rPr>
          <w:rFonts w:ascii="Arial" w:cs="Arial" w:eastAsia="Arial" w:hAnsi="Arial"/>
          <w:sz w:val="17"/>
          <w:szCs w:val="17"/>
          <w:color w:val="343434"/>
        </w:rPr>
        <w:t>e</w:t>
      </w:r>
      <w:r>
        <w:rPr>
          <w:rFonts w:ascii="Arial" w:cs="Arial" w:eastAsia="Arial" w:hAnsi="Arial"/>
          <w:sz w:val="17"/>
          <w:szCs w:val="17"/>
          <w:color w:val="141414"/>
        </w:rPr>
        <w:t>l</w:t>
      </w:r>
      <w:r>
        <w:rPr>
          <w:rFonts w:ascii="Arial" w:cs="Arial" w:eastAsia="Arial" w:hAnsi="Arial"/>
          <w:sz w:val="17"/>
          <w:szCs w:val="17"/>
          <w:color w:val="242424"/>
        </w:rPr>
        <w:t>o</w:t>
      </w:r>
      <w:r>
        <w:rPr>
          <w:rFonts w:ascii="Arial" w:cs="Arial" w:eastAsia="Arial" w:hAnsi="Arial"/>
          <w:sz w:val="17"/>
          <w:szCs w:val="17"/>
          <w:color w:val="343434"/>
        </w:rPr>
        <w:t>w a</w:t>
      </w:r>
      <w:r>
        <w:rPr>
          <w:rFonts w:ascii="Arial" w:cs="Arial" w:eastAsia="Arial" w:hAnsi="Arial"/>
          <w:sz w:val="17"/>
          <w:szCs w:val="17"/>
          <w:color w:val="242424"/>
        </w:rPr>
        <w:t>nd r</w:t>
      </w:r>
      <w:r>
        <w:rPr>
          <w:rFonts w:ascii="Arial" w:cs="Arial" w:eastAsia="Arial" w:hAnsi="Arial"/>
          <w:sz w:val="17"/>
          <w:szCs w:val="17"/>
          <w:color w:val="343434"/>
        </w:rPr>
        <w:t>et</w:t>
      </w:r>
      <w:r>
        <w:rPr>
          <w:rFonts w:ascii="Arial" w:cs="Arial" w:eastAsia="Arial" w:hAnsi="Arial"/>
          <w:sz w:val="17"/>
          <w:szCs w:val="17"/>
          <w:color w:val="242424"/>
        </w:rPr>
        <w:t>u</w:t>
      </w:r>
      <w:r>
        <w:rPr>
          <w:rFonts w:ascii="Arial" w:cs="Arial" w:eastAsia="Arial" w:hAnsi="Arial"/>
          <w:sz w:val="17"/>
          <w:szCs w:val="17"/>
          <w:color w:val="343434"/>
        </w:rPr>
        <w:t>rn</w:t>
      </w:r>
      <w:r>
        <w:rPr>
          <w:rFonts w:ascii="Arial" w:cs="Arial" w:eastAsia="Arial" w:hAnsi="Arial"/>
          <w:sz w:val="17"/>
          <w:szCs w:val="17"/>
          <w:color w:val="242424"/>
        </w:rPr>
        <w:t xml:space="preserve"> </w:t>
      </w:r>
      <w:r>
        <w:rPr>
          <w:rFonts w:ascii="Arial" w:cs="Arial" w:eastAsia="Arial" w:hAnsi="Arial"/>
          <w:sz w:val="17"/>
          <w:szCs w:val="17"/>
          <w:color w:val="141414"/>
        </w:rPr>
        <w:t>i</w:t>
      </w:r>
      <w:r>
        <w:rPr>
          <w:rFonts w:ascii="Arial" w:cs="Arial" w:eastAsia="Arial" w:hAnsi="Arial"/>
          <w:sz w:val="17"/>
          <w:szCs w:val="17"/>
          <w:color w:val="343434"/>
        </w:rPr>
        <w:t>t t</w:t>
      </w:r>
      <w:r>
        <w:rPr>
          <w:rFonts w:ascii="Arial" w:cs="Arial" w:eastAsia="Arial" w:hAnsi="Arial"/>
          <w:sz w:val="17"/>
          <w:szCs w:val="17"/>
          <w:color w:val="242424"/>
        </w:rPr>
        <w:t>o m</w:t>
      </w:r>
      <w:r>
        <w:rPr>
          <w:rFonts w:ascii="Arial" w:cs="Arial" w:eastAsia="Arial" w:hAnsi="Arial"/>
          <w:sz w:val="17"/>
          <w:szCs w:val="17"/>
          <w:color w:val="343434"/>
        </w:rPr>
        <w:t>e</w:t>
      </w:r>
      <w:r>
        <w:rPr>
          <w:rFonts w:ascii="Arial" w:cs="Arial" w:eastAsia="Arial" w:hAnsi="Arial"/>
          <w:sz w:val="17"/>
          <w:szCs w:val="17"/>
          <w:color w:val="525252"/>
        </w:rPr>
        <w:t>,</w:t>
      </w:r>
      <w:r>
        <w:rPr>
          <w:rFonts w:ascii="Arial" w:cs="Arial" w:eastAsia="Arial" w:hAnsi="Arial"/>
          <w:sz w:val="17"/>
          <w:szCs w:val="17"/>
          <w:color w:val="242424"/>
        </w:rPr>
        <w:t xml:space="preserve"> </w:t>
      </w:r>
      <w:r>
        <w:rPr>
          <w:rFonts w:ascii="Arial" w:cs="Arial" w:eastAsia="Arial" w:hAnsi="Arial"/>
          <w:sz w:val="17"/>
          <w:szCs w:val="17"/>
          <w:color w:val="343434"/>
        </w:rPr>
        <w:t>a</w:t>
      </w:r>
      <w:r>
        <w:rPr>
          <w:rFonts w:ascii="Arial" w:cs="Arial" w:eastAsia="Arial" w:hAnsi="Arial"/>
          <w:sz w:val="17"/>
          <w:szCs w:val="17"/>
          <w:color w:val="141414"/>
        </w:rPr>
        <w:t>l</w:t>
      </w:r>
      <w:r>
        <w:rPr>
          <w:rFonts w:ascii="Arial" w:cs="Arial" w:eastAsia="Arial" w:hAnsi="Arial"/>
          <w:sz w:val="17"/>
          <w:szCs w:val="17"/>
          <w:color w:val="343434"/>
        </w:rPr>
        <w:t>o</w:t>
      </w:r>
      <w:r>
        <w:rPr>
          <w:rFonts w:ascii="Arial" w:cs="Arial" w:eastAsia="Arial" w:hAnsi="Arial"/>
          <w:sz w:val="17"/>
          <w:szCs w:val="17"/>
          <w:color w:val="242424"/>
        </w:rPr>
        <w:t>n</w:t>
      </w:r>
      <w:r>
        <w:rPr>
          <w:rFonts w:ascii="Arial" w:cs="Arial" w:eastAsia="Arial" w:hAnsi="Arial"/>
          <w:sz w:val="17"/>
          <w:szCs w:val="17"/>
          <w:color w:val="343434"/>
        </w:rPr>
        <w:t>g</w:t>
      </w:r>
      <w:r>
        <w:rPr>
          <w:rFonts w:ascii="Arial" w:cs="Arial" w:eastAsia="Arial" w:hAnsi="Arial"/>
          <w:sz w:val="17"/>
          <w:szCs w:val="17"/>
          <w:color w:val="242424"/>
        </w:rPr>
        <w:t xml:space="preserve"> w</w:t>
      </w:r>
      <w:r>
        <w:rPr>
          <w:rFonts w:ascii="Arial" w:cs="Arial" w:eastAsia="Arial" w:hAnsi="Arial"/>
          <w:sz w:val="17"/>
          <w:szCs w:val="17"/>
          <w:color w:val="141414"/>
        </w:rPr>
        <w:t>i</w:t>
      </w:r>
      <w:r>
        <w:rPr>
          <w:rFonts w:ascii="Arial" w:cs="Arial" w:eastAsia="Arial" w:hAnsi="Arial"/>
          <w:sz w:val="17"/>
          <w:szCs w:val="17"/>
          <w:color w:val="242424"/>
        </w:rPr>
        <w:t xml:space="preserve">th </w:t>
      </w:r>
      <w:r>
        <w:rPr>
          <w:rFonts w:ascii="Arial" w:cs="Arial" w:eastAsia="Arial" w:hAnsi="Arial"/>
          <w:sz w:val="17"/>
          <w:szCs w:val="17"/>
          <w:color w:val="343434"/>
        </w:rPr>
        <w:t>a s</w:t>
      </w:r>
      <w:r>
        <w:rPr>
          <w:rFonts w:ascii="Arial" w:cs="Arial" w:eastAsia="Arial" w:hAnsi="Arial"/>
          <w:sz w:val="17"/>
          <w:szCs w:val="17"/>
          <w:color w:val="242424"/>
        </w:rPr>
        <w:t>i</w:t>
      </w:r>
      <w:r>
        <w:rPr>
          <w:rFonts w:ascii="Arial" w:cs="Arial" w:eastAsia="Arial" w:hAnsi="Arial"/>
          <w:sz w:val="17"/>
          <w:szCs w:val="17"/>
          <w:color w:val="343434"/>
        </w:rPr>
        <w:t>g</w:t>
      </w:r>
      <w:r>
        <w:rPr>
          <w:rFonts w:ascii="Arial" w:cs="Arial" w:eastAsia="Arial" w:hAnsi="Arial"/>
          <w:sz w:val="17"/>
          <w:szCs w:val="17"/>
          <w:color w:val="242424"/>
        </w:rPr>
        <w:t>n</w:t>
      </w:r>
      <w:r>
        <w:rPr>
          <w:rFonts w:ascii="Arial" w:cs="Arial" w:eastAsia="Arial" w:hAnsi="Arial"/>
          <w:sz w:val="17"/>
          <w:szCs w:val="17"/>
          <w:color w:val="343434"/>
        </w:rPr>
        <w:t>e</w:t>
      </w:r>
      <w:r>
        <w:rPr>
          <w:rFonts w:ascii="Arial" w:cs="Arial" w:eastAsia="Arial" w:hAnsi="Arial"/>
          <w:sz w:val="17"/>
          <w:szCs w:val="17"/>
          <w:color w:val="242424"/>
        </w:rPr>
        <w:t xml:space="preserve">d </w:t>
      </w:r>
      <w:r>
        <w:rPr>
          <w:rFonts w:ascii="Arial" w:cs="Arial" w:eastAsia="Arial" w:hAnsi="Arial"/>
          <w:sz w:val="17"/>
          <w:szCs w:val="17"/>
          <w:color w:val="343434"/>
        </w:rPr>
        <w:t>a</w:t>
      </w:r>
      <w:r>
        <w:rPr>
          <w:rFonts w:ascii="Arial" w:cs="Arial" w:eastAsia="Arial" w:hAnsi="Arial"/>
          <w:sz w:val="17"/>
          <w:szCs w:val="17"/>
          <w:color w:val="242424"/>
        </w:rPr>
        <w:t>nd d</w:t>
      </w:r>
      <w:r>
        <w:rPr>
          <w:rFonts w:ascii="Arial" w:cs="Arial" w:eastAsia="Arial" w:hAnsi="Arial"/>
          <w:sz w:val="17"/>
          <w:szCs w:val="17"/>
          <w:color w:val="343434"/>
        </w:rPr>
        <w:t>ate</w:t>
      </w:r>
      <w:r>
        <w:rPr>
          <w:rFonts w:ascii="Arial" w:cs="Arial" w:eastAsia="Arial" w:hAnsi="Arial"/>
          <w:sz w:val="17"/>
          <w:szCs w:val="17"/>
          <w:color w:val="242424"/>
        </w:rPr>
        <w:t>d or</w:t>
      </w:r>
      <w:r>
        <w:rPr>
          <w:rFonts w:ascii="Arial" w:cs="Arial" w:eastAsia="Arial" w:hAnsi="Arial"/>
          <w:sz w:val="17"/>
          <w:szCs w:val="17"/>
          <w:color w:val="141414"/>
        </w:rPr>
        <w:t>i</w:t>
      </w:r>
      <w:r>
        <w:rPr>
          <w:rFonts w:ascii="Arial" w:cs="Arial" w:eastAsia="Arial" w:hAnsi="Arial"/>
          <w:sz w:val="17"/>
          <w:szCs w:val="17"/>
          <w:color w:val="343434"/>
        </w:rPr>
        <w:t>g</w:t>
      </w:r>
      <w:r>
        <w:rPr>
          <w:rFonts w:ascii="Arial" w:cs="Arial" w:eastAsia="Arial" w:hAnsi="Arial"/>
          <w:sz w:val="17"/>
          <w:szCs w:val="17"/>
          <w:color w:val="141414"/>
        </w:rPr>
        <w:t>i</w:t>
      </w:r>
      <w:r>
        <w:rPr>
          <w:rFonts w:ascii="Arial" w:cs="Arial" w:eastAsia="Arial" w:hAnsi="Arial"/>
          <w:sz w:val="17"/>
          <w:szCs w:val="17"/>
          <w:color w:val="242424"/>
        </w:rPr>
        <w:t>n</w:t>
      </w:r>
      <w:r>
        <w:rPr>
          <w:rFonts w:ascii="Arial" w:cs="Arial" w:eastAsia="Arial" w:hAnsi="Arial"/>
          <w:sz w:val="17"/>
          <w:szCs w:val="17"/>
          <w:color w:val="343434"/>
        </w:rPr>
        <w:t>a</w:t>
      </w:r>
      <w:r>
        <w:rPr>
          <w:rFonts w:ascii="Arial" w:cs="Arial" w:eastAsia="Arial" w:hAnsi="Arial"/>
          <w:sz w:val="17"/>
          <w:szCs w:val="17"/>
          <w:color w:val="141414"/>
        </w:rPr>
        <w:t>l</w:t>
      </w:r>
      <w:r>
        <w:rPr>
          <w:rFonts w:ascii="Arial" w:cs="Arial" w:eastAsia="Arial" w:hAnsi="Arial"/>
          <w:sz w:val="17"/>
          <w:szCs w:val="17"/>
          <w:color w:val="242424"/>
        </w:rPr>
        <w:t xml:space="preserve"> </w:t>
      </w:r>
      <w:r>
        <w:rPr>
          <w:rFonts w:ascii="Arial" w:cs="Arial" w:eastAsia="Arial" w:hAnsi="Arial"/>
          <w:sz w:val="17"/>
          <w:szCs w:val="17"/>
          <w:color w:val="343434"/>
        </w:rPr>
        <w:t>co</w:t>
      </w:r>
      <w:r>
        <w:rPr>
          <w:rFonts w:ascii="Arial" w:cs="Arial" w:eastAsia="Arial" w:hAnsi="Arial"/>
          <w:sz w:val="17"/>
          <w:szCs w:val="17"/>
          <w:color w:val="242424"/>
        </w:rPr>
        <w:t>p</w:t>
      </w:r>
      <w:r>
        <w:rPr>
          <w:rFonts w:ascii="Arial" w:cs="Arial" w:eastAsia="Arial" w:hAnsi="Arial"/>
          <w:sz w:val="17"/>
          <w:szCs w:val="17"/>
          <w:color w:val="343434"/>
        </w:rPr>
        <w:t>y of t</w:t>
      </w:r>
      <w:r>
        <w:rPr>
          <w:rFonts w:ascii="Arial" w:cs="Arial" w:eastAsia="Arial" w:hAnsi="Arial"/>
          <w:sz w:val="17"/>
          <w:szCs w:val="17"/>
          <w:color w:val="242424"/>
        </w:rPr>
        <w:t>h</w:t>
      </w:r>
      <w:r>
        <w:rPr>
          <w:rFonts w:ascii="Arial" w:cs="Arial" w:eastAsia="Arial" w:hAnsi="Arial"/>
          <w:sz w:val="17"/>
          <w:szCs w:val="17"/>
          <w:color w:val="343434"/>
        </w:rPr>
        <w:t>e C</w:t>
      </w:r>
      <w:r>
        <w:rPr>
          <w:rFonts w:ascii="Arial" w:cs="Arial" w:eastAsia="Arial" w:hAnsi="Arial"/>
          <w:sz w:val="17"/>
          <w:szCs w:val="17"/>
          <w:color w:val="242424"/>
        </w:rPr>
        <w:t>on</w:t>
      </w:r>
      <w:r>
        <w:rPr>
          <w:rFonts w:ascii="Arial" w:cs="Arial" w:eastAsia="Arial" w:hAnsi="Arial"/>
          <w:sz w:val="17"/>
          <w:szCs w:val="17"/>
          <w:color w:val="343434"/>
        </w:rPr>
        <w:t>fi</w:t>
      </w:r>
      <w:r>
        <w:rPr>
          <w:rFonts w:ascii="Arial" w:cs="Arial" w:eastAsia="Arial" w:hAnsi="Arial"/>
          <w:sz w:val="17"/>
          <w:szCs w:val="17"/>
          <w:color w:val="242424"/>
        </w:rPr>
        <w:t>d</w:t>
      </w:r>
      <w:r>
        <w:rPr>
          <w:rFonts w:ascii="Arial" w:cs="Arial" w:eastAsia="Arial" w:hAnsi="Arial"/>
          <w:sz w:val="17"/>
          <w:szCs w:val="17"/>
          <w:color w:val="343434"/>
        </w:rPr>
        <w:t>e</w:t>
      </w:r>
      <w:r>
        <w:rPr>
          <w:rFonts w:ascii="Arial" w:cs="Arial" w:eastAsia="Arial" w:hAnsi="Arial"/>
          <w:sz w:val="17"/>
          <w:szCs w:val="17"/>
          <w:color w:val="242424"/>
        </w:rPr>
        <w:t>nt</w:t>
      </w:r>
      <w:r>
        <w:rPr>
          <w:rFonts w:ascii="Arial" w:cs="Arial" w:eastAsia="Arial" w:hAnsi="Arial"/>
          <w:sz w:val="17"/>
          <w:szCs w:val="17"/>
          <w:color w:val="343434"/>
        </w:rPr>
        <w:t>iality Agree</w:t>
      </w:r>
      <w:r>
        <w:rPr>
          <w:rFonts w:ascii="Arial" w:cs="Arial" w:eastAsia="Arial" w:hAnsi="Arial"/>
          <w:sz w:val="17"/>
          <w:szCs w:val="17"/>
          <w:color w:val="242424"/>
        </w:rPr>
        <w:t>m</w:t>
      </w:r>
      <w:r>
        <w:rPr>
          <w:rFonts w:ascii="Arial" w:cs="Arial" w:eastAsia="Arial" w:hAnsi="Arial"/>
          <w:sz w:val="17"/>
          <w:szCs w:val="17"/>
          <w:color w:val="343434"/>
        </w:rPr>
        <w:t>e</w:t>
      </w:r>
      <w:r>
        <w:rPr>
          <w:rFonts w:ascii="Arial" w:cs="Arial" w:eastAsia="Arial" w:hAnsi="Arial"/>
          <w:sz w:val="17"/>
          <w:szCs w:val="17"/>
          <w:color w:val="242424"/>
        </w:rPr>
        <w:t>n</w:t>
      </w:r>
      <w:r>
        <w:rPr>
          <w:rFonts w:ascii="Arial" w:cs="Arial" w:eastAsia="Arial" w:hAnsi="Arial"/>
          <w:sz w:val="17"/>
          <w:szCs w:val="17"/>
          <w:color w:val="343434"/>
        </w:rPr>
        <w:t>t</w:t>
      </w:r>
      <w:r>
        <w:rPr>
          <w:rFonts w:ascii="Arial" w:cs="Arial" w:eastAsia="Arial" w:hAnsi="Arial"/>
          <w:sz w:val="17"/>
          <w:szCs w:val="17"/>
          <w:color w:val="646464"/>
        </w:rPr>
        <w:t>,</w:t>
      </w:r>
      <w:r>
        <w:rPr>
          <w:rFonts w:ascii="Arial" w:cs="Arial" w:eastAsia="Arial" w:hAnsi="Arial"/>
          <w:sz w:val="17"/>
          <w:szCs w:val="17"/>
          <w:color w:val="242424"/>
        </w:rPr>
        <w:t xml:space="preserve"> o</w:t>
      </w:r>
      <w:r>
        <w:rPr>
          <w:rFonts w:ascii="Arial" w:cs="Arial" w:eastAsia="Arial" w:hAnsi="Arial"/>
          <w:sz w:val="17"/>
          <w:szCs w:val="17"/>
          <w:color w:val="343434"/>
        </w:rPr>
        <w:t>n</w:t>
      </w:r>
      <w:r>
        <w:rPr>
          <w:rFonts w:ascii="Arial" w:cs="Arial" w:eastAsia="Arial" w:hAnsi="Arial"/>
          <w:sz w:val="17"/>
          <w:szCs w:val="17"/>
          <w:color w:val="242424"/>
        </w:rPr>
        <w:t xml:space="preserve"> o</w:t>
      </w:r>
      <w:r>
        <w:rPr>
          <w:rFonts w:ascii="Arial" w:cs="Arial" w:eastAsia="Arial" w:hAnsi="Arial"/>
          <w:sz w:val="17"/>
          <w:szCs w:val="17"/>
          <w:color w:val="343434"/>
        </w:rPr>
        <w:t>r</w:t>
      </w:r>
      <w:r>
        <w:rPr>
          <w:rFonts w:ascii="Arial" w:cs="Arial" w:eastAsia="Arial" w:hAnsi="Arial"/>
          <w:sz w:val="17"/>
          <w:szCs w:val="17"/>
          <w:color w:val="242424"/>
        </w:rPr>
        <w:t xml:space="preserve"> b</w:t>
      </w:r>
      <w:r>
        <w:rPr>
          <w:rFonts w:ascii="Arial" w:cs="Arial" w:eastAsia="Arial" w:hAnsi="Arial"/>
          <w:sz w:val="17"/>
          <w:szCs w:val="17"/>
          <w:color w:val="343434"/>
        </w:rPr>
        <w:t>efo</w:t>
      </w:r>
      <w:r>
        <w:rPr>
          <w:rFonts w:ascii="Arial" w:cs="Arial" w:eastAsia="Arial" w:hAnsi="Arial"/>
          <w:sz w:val="17"/>
          <w:szCs w:val="17"/>
          <w:color w:val="242424"/>
        </w:rPr>
        <w:t>r</w:t>
      </w:r>
      <w:r>
        <w:rPr>
          <w:rFonts w:ascii="Arial" w:cs="Arial" w:eastAsia="Arial" w:hAnsi="Arial"/>
          <w:sz w:val="17"/>
          <w:szCs w:val="17"/>
          <w:color w:val="343434"/>
        </w:rPr>
        <w:t>e 8</w:t>
      </w:r>
      <w:r>
        <w:rPr>
          <w:rFonts w:ascii="Arial" w:cs="Arial" w:eastAsia="Arial" w:hAnsi="Arial"/>
          <w:sz w:val="17"/>
          <w:szCs w:val="17"/>
          <w:color w:val="646464"/>
        </w:rPr>
        <w:t>/</w:t>
      </w:r>
      <w:r>
        <w:rPr>
          <w:rFonts w:ascii="Arial" w:cs="Arial" w:eastAsia="Arial" w:hAnsi="Arial"/>
          <w:sz w:val="17"/>
          <w:szCs w:val="17"/>
          <w:color w:val="242424"/>
        </w:rPr>
        <w:t>5</w:t>
      </w:r>
      <w:r>
        <w:rPr>
          <w:rFonts w:ascii="Arial" w:cs="Arial" w:eastAsia="Arial" w:hAnsi="Arial"/>
          <w:sz w:val="17"/>
          <w:szCs w:val="17"/>
          <w:color w:val="525252"/>
        </w:rPr>
        <w:t>/</w:t>
      </w:r>
      <w:r>
        <w:rPr>
          <w:rFonts w:ascii="Arial" w:cs="Arial" w:eastAsia="Arial" w:hAnsi="Arial"/>
          <w:sz w:val="17"/>
          <w:szCs w:val="17"/>
          <w:color w:val="242424"/>
        </w:rPr>
        <w:t>15</w:t>
      </w:r>
      <w:r>
        <w:rPr>
          <w:rFonts w:ascii="Arial" w:cs="Arial" w:eastAsia="Arial" w:hAnsi="Arial"/>
          <w:sz w:val="17"/>
          <w:szCs w:val="17"/>
          <w:color w:val="141414"/>
        </w:rPr>
        <w:t>.</w:t>
      </w:r>
      <w:r>
        <w:rPr>
          <w:rFonts w:ascii="Arial" w:cs="Arial" w:eastAsia="Arial" w:hAnsi="Arial"/>
          <w:sz w:val="17"/>
          <w:szCs w:val="17"/>
          <w:color w:val="242424"/>
        </w:rPr>
        <w:t xml:space="preserve"> Th</w:t>
      </w:r>
      <w:r>
        <w:rPr>
          <w:rFonts w:ascii="Arial" w:cs="Arial" w:eastAsia="Arial" w:hAnsi="Arial"/>
          <w:sz w:val="17"/>
          <w:szCs w:val="17"/>
          <w:color w:val="343434"/>
        </w:rPr>
        <w:t>e C</w:t>
      </w:r>
      <w:r>
        <w:rPr>
          <w:rFonts w:ascii="Arial" w:cs="Arial" w:eastAsia="Arial" w:hAnsi="Arial"/>
          <w:sz w:val="17"/>
          <w:szCs w:val="17"/>
          <w:color w:val="242424"/>
        </w:rPr>
        <w:t>omp</w:t>
      </w:r>
      <w:r>
        <w:rPr>
          <w:rFonts w:ascii="Arial" w:cs="Arial" w:eastAsia="Arial" w:hAnsi="Arial"/>
          <w:sz w:val="17"/>
          <w:szCs w:val="17"/>
          <w:color w:val="343434"/>
        </w:rPr>
        <w:t>a</w:t>
      </w:r>
      <w:r>
        <w:rPr>
          <w:rFonts w:ascii="Arial" w:cs="Arial" w:eastAsia="Arial" w:hAnsi="Arial"/>
          <w:sz w:val="17"/>
          <w:szCs w:val="17"/>
          <w:color w:val="242424"/>
        </w:rPr>
        <w:t>n</w:t>
      </w:r>
      <w:r>
        <w:rPr>
          <w:rFonts w:ascii="Arial" w:cs="Arial" w:eastAsia="Arial" w:hAnsi="Arial"/>
          <w:sz w:val="17"/>
          <w:szCs w:val="17"/>
          <w:color w:val="343434"/>
        </w:rPr>
        <w:t>y</w:t>
      </w:r>
      <w:r>
        <w:rPr>
          <w:rFonts w:ascii="Arial" w:cs="Arial" w:eastAsia="Arial" w:hAnsi="Arial"/>
          <w:sz w:val="17"/>
          <w:szCs w:val="17"/>
          <w:color w:val="242424"/>
        </w:rPr>
        <w:t xml:space="preserve"> r</w:t>
      </w:r>
      <w:r>
        <w:rPr>
          <w:rFonts w:ascii="Arial" w:cs="Arial" w:eastAsia="Arial" w:hAnsi="Arial"/>
          <w:sz w:val="17"/>
          <w:szCs w:val="17"/>
          <w:color w:val="343434"/>
        </w:rPr>
        <w:t>e</w:t>
      </w:r>
      <w:r>
        <w:rPr>
          <w:rFonts w:ascii="Arial" w:cs="Arial" w:eastAsia="Arial" w:hAnsi="Arial"/>
          <w:sz w:val="17"/>
          <w:szCs w:val="17"/>
          <w:color w:val="242424"/>
        </w:rPr>
        <w:t>qu</w:t>
      </w:r>
      <w:r>
        <w:rPr>
          <w:rFonts w:ascii="Arial" w:cs="Arial" w:eastAsia="Arial" w:hAnsi="Arial"/>
          <w:sz w:val="17"/>
          <w:szCs w:val="17"/>
          <w:color w:val="343434"/>
        </w:rPr>
        <w:t>es</w:t>
      </w:r>
      <w:r>
        <w:rPr>
          <w:rFonts w:ascii="Arial" w:cs="Arial" w:eastAsia="Arial" w:hAnsi="Arial"/>
          <w:sz w:val="17"/>
          <w:szCs w:val="17"/>
          <w:color w:val="141414"/>
        </w:rPr>
        <w:t>t</w:t>
      </w:r>
      <w:r>
        <w:rPr>
          <w:rFonts w:ascii="Arial" w:cs="Arial" w:eastAsia="Arial" w:hAnsi="Arial"/>
          <w:sz w:val="17"/>
          <w:szCs w:val="17"/>
          <w:color w:val="343434"/>
        </w:rPr>
        <w:t>s</w:t>
      </w:r>
      <w:r>
        <w:rPr>
          <w:rFonts w:ascii="Arial" w:cs="Arial" w:eastAsia="Arial" w:hAnsi="Arial"/>
          <w:sz w:val="17"/>
          <w:szCs w:val="17"/>
          <w:color w:val="242424"/>
        </w:rPr>
        <w:t xml:space="preserve"> th</w:t>
      </w:r>
      <w:r>
        <w:rPr>
          <w:rFonts w:ascii="Arial" w:cs="Arial" w:eastAsia="Arial" w:hAnsi="Arial"/>
          <w:sz w:val="17"/>
          <w:szCs w:val="17"/>
          <w:color w:val="343434"/>
        </w:rPr>
        <w:t>at y</w:t>
      </w:r>
      <w:r>
        <w:rPr>
          <w:rFonts w:ascii="Arial" w:cs="Arial" w:eastAsia="Arial" w:hAnsi="Arial"/>
          <w:sz w:val="17"/>
          <w:szCs w:val="17"/>
          <w:color w:val="242424"/>
        </w:rPr>
        <w:t>ou b</w:t>
      </w:r>
      <w:r>
        <w:rPr>
          <w:rFonts w:ascii="Arial" w:cs="Arial" w:eastAsia="Arial" w:hAnsi="Arial"/>
          <w:sz w:val="17"/>
          <w:szCs w:val="17"/>
          <w:color w:val="343434"/>
        </w:rPr>
        <w:t>eg</w:t>
      </w:r>
      <w:r>
        <w:rPr>
          <w:rFonts w:ascii="Arial" w:cs="Arial" w:eastAsia="Arial" w:hAnsi="Arial"/>
          <w:sz w:val="17"/>
          <w:szCs w:val="17"/>
          <w:color w:val="242424"/>
        </w:rPr>
        <w:t xml:space="preserve">in </w:t>
      </w:r>
      <w:r>
        <w:rPr>
          <w:rFonts w:ascii="Arial" w:cs="Arial" w:eastAsia="Arial" w:hAnsi="Arial"/>
          <w:sz w:val="17"/>
          <w:szCs w:val="17"/>
          <w:color w:val="343434"/>
        </w:rPr>
        <w:t>wo</w:t>
      </w:r>
      <w:r>
        <w:rPr>
          <w:rFonts w:ascii="Arial" w:cs="Arial" w:eastAsia="Arial" w:hAnsi="Arial"/>
          <w:sz w:val="17"/>
          <w:szCs w:val="17"/>
          <w:color w:val="242424"/>
        </w:rPr>
        <w:t>rk i</w:t>
      </w:r>
      <w:r>
        <w:rPr>
          <w:rFonts w:ascii="Arial" w:cs="Arial" w:eastAsia="Arial" w:hAnsi="Arial"/>
          <w:sz w:val="17"/>
          <w:szCs w:val="17"/>
          <w:color w:val="343434"/>
        </w:rPr>
        <w:t>n</w:t>
      </w:r>
      <w:r>
        <w:rPr>
          <w:rFonts w:ascii="Arial" w:cs="Arial" w:eastAsia="Arial" w:hAnsi="Arial"/>
          <w:sz w:val="17"/>
          <w:szCs w:val="17"/>
          <w:color w:val="242424"/>
        </w:rPr>
        <w:t xml:space="preserve"> thi</w:t>
      </w:r>
      <w:r>
        <w:rPr>
          <w:rFonts w:ascii="Arial" w:cs="Arial" w:eastAsia="Arial" w:hAnsi="Arial"/>
          <w:sz w:val="17"/>
          <w:szCs w:val="17"/>
          <w:color w:val="343434"/>
        </w:rPr>
        <w:t>s</w:t>
      </w:r>
      <w:r>
        <w:rPr>
          <w:rFonts w:ascii="Arial" w:cs="Arial" w:eastAsia="Arial" w:hAnsi="Arial"/>
          <w:sz w:val="17"/>
          <w:szCs w:val="17"/>
          <w:color w:val="242424"/>
        </w:rPr>
        <w:t xml:space="preserve"> n</w:t>
      </w:r>
      <w:r>
        <w:rPr>
          <w:rFonts w:ascii="Arial" w:cs="Arial" w:eastAsia="Arial" w:hAnsi="Arial"/>
          <w:sz w:val="17"/>
          <w:szCs w:val="17"/>
          <w:color w:val="343434"/>
        </w:rPr>
        <w:t>ew</w:t>
      </w:r>
      <w:r>
        <w:rPr>
          <w:rFonts w:ascii="Arial" w:cs="Arial" w:eastAsia="Arial" w:hAnsi="Arial"/>
          <w:sz w:val="17"/>
          <w:szCs w:val="17"/>
          <w:color w:val="242424"/>
        </w:rPr>
        <w:t xml:space="preserve"> po</w:t>
      </w:r>
      <w:r>
        <w:rPr>
          <w:rFonts w:ascii="Arial" w:cs="Arial" w:eastAsia="Arial" w:hAnsi="Arial"/>
          <w:sz w:val="17"/>
          <w:szCs w:val="17"/>
          <w:color w:val="343434"/>
        </w:rPr>
        <w:t>siti</w:t>
      </w:r>
      <w:r>
        <w:rPr>
          <w:rFonts w:ascii="Arial" w:cs="Arial" w:eastAsia="Arial" w:hAnsi="Arial"/>
          <w:sz w:val="17"/>
          <w:szCs w:val="17"/>
          <w:color w:val="242424"/>
        </w:rPr>
        <w:t>on on o</w:t>
      </w:r>
      <w:r>
        <w:rPr>
          <w:rFonts w:ascii="Arial" w:cs="Arial" w:eastAsia="Arial" w:hAnsi="Arial"/>
          <w:sz w:val="17"/>
          <w:szCs w:val="17"/>
          <w:color w:val="343434"/>
        </w:rPr>
        <w:t>r</w:t>
      </w:r>
      <w:r>
        <w:rPr>
          <w:rFonts w:ascii="Arial" w:cs="Arial" w:eastAsia="Arial" w:hAnsi="Arial"/>
          <w:sz w:val="17"/>
          <w:szCs w:val="17"/>
          <w:color w:val="242424"/>
        </w:rPr>
        <w:t xml:space="preserve"> b</w:t>
      </w:r>
      <w:r>
        <w:rPr>
          <w:rFonts w:ascii="Arial" w:cs="Arial" w:eastAsia="Arial" w:hAnsi="Arial"/>
          <w:sz w:val="17"/>
          <w:szCs w:val="17"/>
          <w:color w:val="343434"/>
        </w:rPr>
        <w:t>efore 9</w:t>
      </w:r>
      <w:r>
        <w:rPr>
          <w:rFonts w:ascii="Arial" w:cs="Arial" w:eastAsia="Arial" w:hAnsi="Arial"/>
          <w:sz w:val="17"/>
          <w:szCs w:val="17"/>
          <w:color w:val="646464"/>
        </w:rPr>
        <w:t>/</w:t>
      </w:r>
      <w:r>
        <w:rPr>
          <w:rFonts w:ascii="Arial" w:cs="Arial" w:eastAsia="Arial" w:hAnsi="Arial"/>
          <w:sz w:val="17"/>
          <w:szCs w:val="17"/>
          <w:color w:val="343434"/>
        </w:rPr>
        <w:t>3</w:t>
      </w:r>
      <w:r>
        <w:rPr>
          <w:rFonts w:ascii="Arial" w:cs="Arial" w:eastAsia="Arial" w:hAnsi="Arial"/>
          <w:sz w:val="17"/>
          <w:szCs w:val="17"/>
          <w:color w:val="242424"/>
        </w:rPr>
        <w:t>0</w:t>
      </w:r>
      <w:r>
        <w:rPr>
          <w:rFonts w:ascii="Arial" w:cs="Arial" w:eastAsia="Arial" w:hAnsi="Arial"/>
          <w:sz w:val="17"/>
          <w:szCs w:val="17"/>
          <w:color w:val="646464"/>
        </w:rPr>
        <w:t>/</w:t>
      </w:r>
      <w:r>
        <w:rPr>
          <w:rFonts w:ascii="Arial" w:cs="Arial" w:eastAsia="Arial" w:hAnsi="Arial"/>
          <w:sz w:val="17"/>
          <w:szCs w:val="17"/>
          <w:color w:val="242424"/>
        </w:rPr>
        <w:t>1</w:t>
      </w:r>
      <w:r>
        <w:rPr>
          <w:rFonts w:ascii="Arial" w:cs="Arial" w:eastAsia="Arial" w:hAnsi="Arial"/>
          <w:sz w:val="17"/>
          <w:szCs w:val="17"/>
          <w:color w:val="343434"/>
        </w:rPr>
        <w:t>5</w:t>
      </w:r>
      <w:r>
        <w:rPr>
          <w:rFonts w:ascii="Arial" w:cs="Arial" w:eastAsia="Arial" w:hAnsi="Arial"/>
          <w:sz w:val="17"/>
          <w:szCs w:val="17"/>
          <w:color w:val="141414"/>
        </w:rPr>
        <w:t>.</w:t>
      </w:r>
      <w:r>
        <w:rPr>
          <w:rFonts w:ascii="Arial" w:cs="Arial" w:eastAsia="Arial" w:hAnsi="Arial"/>
          <w:sz w:val="17"/>
          <w:szCs w:val="17"/>
          <w:color w:val="242424"/>
        </w:rPr>
        <w:t xml:space="preserve"> </w:t>
      </w:r>
      <w:r>
        <w:rPr>
          <w:rFonts w:ascii="Arial" w:cs="Arial" w:eastAsia="Arial" w:hAnsi="Arial"/>
          <w:sz w:val="17"/>
          <w:szCs w:val="17"/>
          <w:color w:val="343434"/>
        </w:rPr>
        <w:t>P</w:t>
      </w:r>
      <w:r>
        <w:rPr>
          <w:rFonts w:ascii="Arial" w:cs="Arial" w:eastAsia="Arial" w:hAnsi="Arial"/>
          <w:sz w:val="17"/>
          <w:szCs w:val="17"/>
          <w:color w:val="141414"/>
        </w:rPr>
        <w:t>l</w:t>
      </w:r>
      <w:r>
        <w:rPr>
          <w:rFonts w:ascii="Arial" w:cs="Arial" w:eastAsia="Arial" w:hAnsi="Arial"/>
          <w:sz w:val="17"/>
          <w:szCs w:val="17"/>
          <w:color w:val="343434"/>
        </w:rPr>
        <w:t>ease</w:t>
      </w:r>
      <w:r>
        <w:rPr>
          <w:rFonts w:ascii="Arial" w:cs="Arial" w:eastAsia="Arial" w:hAnsi="Arial"/>
          <w:sz w:val="17"/>
          <w:szCs w:val="17"/>
          <w:color w:val="242424"/>
        </w:rPr>
        <w:t xml:space="preserve"> i</w:t>
      </w:r>
      <w:r>
        <w:rPr>
          <w:rFonts w:ascii="Arial" w:cs="Arial" w:eastAsia="Arial" w:hAnsi="Arial"/>
          <w:sz w:val="17"/>
          <w:szCs w:val="17"/>
          <w:color w:val="343434"/>
        </w:rPr>
        <w:t>n</w:t>
      </w:r>
      <w:r>
        <w:rPr>
          <w:rFonts w:ascii="Arial" w:cs="Arial" w:eastAsia="Arial" w:hAnsi="Arial"/>
          <w:sz w:val="17"/>
          <w:szCs w:val="17"/>
          <w:color w:val="242424"/>
        </w:rPr>
        <w:t>di</w:t>
      </w:r>
      <w:r>
        <w:rPr>
          <w:rFonts w:ascii="Arial" w:cs="Arial" w:eastAsia="Arial" w:hAnsi="Arial"/>
          <w:sz w:val="17"/>
          <w:szCs w:val="17"/>
          <w:color w:val="343434"/>
        </w:rPr>
        <w:t>cate</w:t>
      </w:r>
      <w:r>
        <w:rPr>
          <w:rFonts w:ascii="Arial" w:cs="Arial" w:eastAsia="Arial" w:hAnsi="Arial"/>
          <w:sz w:val="17"/>
          <w:szCs w:val="17"/>
          <w:color w:val="242424"/>
        </w:rPr>
        <w:t xml:space="preserve"> th</w:t>
      </w:r>
      <w:r>
        <w:rPr>
          <w:rFonts w:ascii="Arial" w:cs="Arial" w:eastAsia="Arial" w:hAnsi="Arial"/>
          <w:sz w:val="17"/>
          <w:szCs w:val="17"/>
          <w:color w:val="343434"/>
        </w:rPr>
        <w:t>e</w:t>
      </w:r>
      <w:r>
        <w:rPr>
          <w:rFonts w:ascii="Arial" w:cs="Arial" w:eastAsia="Arial" w:hAnsi="Arial"/>
          <w:sz w:val="17"/>
          <w:szCs w:val="17"/>
          <w:color w:val="242424"/>
        </w:rPr>
        <w:t xml:space="preserve"> d</w:t>
      </w:r>
      <w:r>
        <w:rPr>
          <w:rFonts w:ascii="Arial" w:cs="Arial" w:eastAsia="Arial" w:hAnsi="Arial"/>
          <w:sz w:val="17"/>
          <w:szCs w:val="17"/>
          <w:color w:val="343434"/>
        </w:rPr>
        <w:t>ate (ei</w:t>
      </w:r>
      <w:r>
        <w:rPr>
          <w:rFonts w:ascii="Arial" w:cs="Arial" w:eastAsia="Arial" w:hAnsi="Arial"/>
          <w:sz w:val="17"/>
          <w:szCs w:val="17"/>
          <w:color w:val="242424"/>
        </w:rPr>
        <w:t>th</w:t>
      </w:r>
      <w:r>
        <w:rPr>
          <w:rFonts w:ascii="Arial" w:cs="Arial" w:eastAsia="Arial" w:hAnsi="Arial"/>
          <w:sz w:val="17"/>
          <w:szCs w:val="17"/>
          <w:color w:val="343434"/>
        </w:rPr>
        <w:t>er</w:t>
      </w:r>
      <w:r>
        <w:rPr>
          <w:rFonts w:ascii="Arial" w:cs="Arial" w:eastAsia="Arial" w:hAnsi="Arial"/>
          <w:sz w:val="17"/>
          <w:szCs w:val="17"/>
          <w:color w:val="242424"/>
        </w:rPr>
        <w:t xml:space="preserve"> on or b</w:t>
      </w:r>
      <w:r>
        <w:rPr>
          <w:rFonts w:ascii="Arial" w:cs="Arial" w:eastAsia="Arial" w:hAnsi="Arial"/>
          <w:sz w:val="17"/>
          <w:szCs w:val="17"/>
          <w:color w:val="343434"/>
        </w:rPr>
        <w:t>efo</w:t>
      </w:r>
      <w:r>
        <w:rPr>
          <w:rFonts w:ascii="Arial" w:cs="Arial" w:eastAsia="Arial" w:hAnsi="Arial"/>
          <w:sz w:val="17"/>
          <w:szCs w:val="17"/>
          <w:color w:val="242424"/>
        </w:rPr>
        <w:t>r</w:t>
      </w:r>
      <w:r>
        <w:rPr>
          <w:rFonts w:ascii="Arial" w:cs="Arial" w:eastAsia="Arial" w:hAnsi="Arial"/>
          <w:sz w:val="17"/>
          <w:szCs w:val="17"/>
          <w:color w:val="343434"/>
        </w:rPr>
        <w:t>e the</w:t>
      </w:r>
      <w:r>
        <w:rPr>
          <w:rFonts w:ascii="Arial" w:cs="Arial" w:eastAsia="Arial" w:hAnsi="Arial"/>
          <w:sz w:val="17"/>
          <w:szCs w:val="17"/>
          <w:color w:val="242424"/>
        </w:rPr>
        <w:t xml:space="preserve"> afo</w:t>
      </w:r>
      <w:r>
        <w:rPr>
          <w:rFonts w:ascii="Arial" w:cs="Arial" w:eastAsia="Arial" w:hAnsi="Arial"/>
          <w:sz w:val="17"/>
          <w:szCs w:val="17"/>
          <w:color w:val="141414"/>
        </w:rPr>
        <w:t>r</w:t>
      </w:r>
      <w:r>
        <w:rPr>
          <w:rFonts w:ascii="Arial" w:cs="Arial" w:eastAsia="Arial" w:hAnsi="Arial"/>
          <w:sz w:val="17"/>
          <w:szCs w:val="17"/>
          <w:color w:val="343434"/>
        </w:rPr>
        <w:t>e</w:t>
      </w:r>
      <w:r>
        <w:rPr>
          <w:rFonts w:ascii="Arial" w:cs="Arial" w:eastAsia="Arial" w:hAnsi="Arial"/>
          <w:sz w:val="17"/>
          <w:szCs w:val="17"/>
          <w:color w:val="242424"/>
        </w:rPr>
        <w:t>m</w:t>
      </w:r>
      <w:r>
        <w:rPr>
          <w:rFonts w:ascii="Arial" w:cs="Arial" w:eastAsia="Arial" w:hAnsi="Arial"/>
          <w:sz w:val="17"/>
          <w:szCs w:val="17"/>
          <w:color w:val="343434"/>
        </w:rPr>
        <w:t>e</w:t>
      </w:r>
      <w:r>
        <w:rPr>
          <w:rFonts w:ascii="Arial" w:cs="Arial" w:eastAsia="Arial" w:hAnsi="Arial"/>
          <w:sz w:val="17"/>
          <w:szCs w:val="17"/>
          <w:color w:val="242424"/>
        </w:rPr>
        <w:t>n</w:t>
      </w:r>
      <w:r>
        <w:rPr>
          <w:rFonts w:ascii="Arial" w:cs="Arial" w:eastAsia="Arial" w:hAnsi="Arial"/>
          <w:sz w:val="17"/>
          <w:szCs w:val="17"/>
          <w:color w:val="343434"/>
        </w:rPr>
        <w:t>t</w:t>
      </w:r>
      <w:r>
        <w:rPr>
          <w:rFonts w:ascii="Arial" w:cs="Arial" w:eastAsia="Arial" w:hAnsi="Arial"/>
          <w:sz w:val="17"/>
          <w:szCs w:val="17"/>
          <w:color w:val="242424"/>
        </w:rPr>
        <w:t>i</w:t>
      </w:r>
      <w:r>
        <w:rPr>
          <w:rFonts w:ascii="Arial" w:cs="Arial" w:eastAsia="Arial" w:hAnsi="Arial"/>
          <w:sz w:val="17"/>
          <w:szCs w:val="17"/>
          <w:color w:val="343434"/>
        </w:rPr>
        <w:t>o</w:t>
      </w:r>
      <w:r>
        <w:rPr>
          <w:rFonts w:ascii="Arial" w:cs="Arial" w:eastAsia="Arial" w:hAnsi="Arial"/>
          <w:sz w:val="17"/>
          <w:szCs w:val="17"/>
          <w:color w:val="242424"/>
        </w:rPr>
        <w:t>n</w:t>
      </w:r>
      <w:r>
        <w:rPr>
          <w:rFonts w:ascii="Arial" w:cs="Arial" w:eastAsia="Arial" w:hAnsi="Arial"/>
          <w:sz w:val="17"/>
          <w:szCs w:val="17"/>
          <w:color w:val="343434"/>
        </w:rPr>
        <w:t>e</w:t>
      </w:r>
      <w:r>
        <w:rPr>
          <w:rFonts w:ascii="Arial" w:cs="Arial" w:eastAsia="Arial" w:hAnsi="Arial"/>
          <w:sz w:val="17"/>
          <w:szCs w:val="17"/>
          <w:color w:val="242424"/>
        </w:rPr>
        <w:t>d d</w:t>
      </w:r>
      <w:r>
        <w:rPr>
          <w:rFonts w:ascii="Arial" w:cs="Arial" w:eastAsia="Arial" w:hAnsi="Arial"/>
          <w:sz w:val="17"/>
          <w:szCs w:val="17"/>
          <w:color w:val="343434"/>
        </w:rPr>
        <w:t>ate)</w:t>
      </w:r>
      <w:r>
        <w:rPr>
          <w:rFonts w:ascii="Arial" w:cs="Arial" w:eastAsia="Arial" w:hAnsi="Arial"/>
          <w:sz w:val="17"/>
          <w:szCs w:val="17"/>
          <w:color w:val="242424"/>
        </w:rPr>
        <w:t xml:space="preserve"> o</w:t>
      </w:r>
      <w:r>
        <w:rPr>
          <w:rFonts w:ascii="Arial" w:cs="Arial" w:eastAsia="Arial" w:hAnsi="Arial"/>
          <w:sz w:val="17"/>
          <w:szCs w:val="17"/>
          <w:color w:val="141414"/>
        </w:rPr>
        <w:t>n</w:t>
      </w:r>
      <w:r>
        <w:rPr>
          <w:rFonts w:ascii="Arial" w:cs="Arial" w:eastAsia="Arial" w:hAnsi="Arial"/>
          <w:sz w:val="17"/>
          <w:szCs w:val="17"/>
          <w:color w:val="242424"/>
        </w:rPr>
        <w:t xml:space="preserve"> </w:t>
      </w:r>
      <w:r>
        <w:rPr>
          <w:rFonts w:ascii="Arial" w:cs="Arial" w:eastAsia="Arial" w:hAnsi="Arial"/>
          <w:sz w:val="17"/>
          <w:szCs w:val="17"/>
          <w:color w:val="343434"/>
        </w:rPr>
        <w:t>w</w:t>
      </w:r>
      <w:r>
        <w:rPr>
          <w:rFonts w:ascii="Arial" w:cs="Arial" w:eastAsia="Arial" w:hAnsi="Arial"/>
          <w:sz w:val="17"/>
          <w:szCs w:val="17"/>
          <w:color w:val="242424"/>
        </w:rPr>
        <w:t>hic</w:t>
      </w:r>
      <w:r>
        <w:rPr>
          <w:rFonts w:ascii="Arial" w:cs="Arial" w:eastAsia="Arial" w:hAnsi="Arial"/>
          <w:sz w:val="17"/>
          <w:szCs w:val="17"/>
          <w:color w:val="141414"/>
        </w:rPr>
        <w:t>h</w:t>
      </w:r>
      <w:r>
        <w:rPr>
          <w:rFonts w:ascii="Arial" w:cs="Arial" w:eastAsia="Arial" w:hAnsi="Arial"/>
          <w:sz w:val="17"/>
          <w:szCs w:val="17"/>
          <w:color w:val="242424"/>
        </w:rPr>
        <w:t xml:space="preserve"> </w:t>
      </w:r>
      <w:r>
        <w:rPr>
          <w:rFonts w:ascii="Arial" w:cs="Arial" w:eastAsia="Arial" w:hAnsi="Arial"/>
          <w:sz w:val="17"/>
          <w:szCs w:val="17"/>
          <w:color w:val="343434"/>
        </w:rPr>
        <w:t>yo</w:t>
      </w:r>
      <w:r>
        <w:rPr>
          <w:rFonts w:ascii="Arial" w:cs="Arial" w:eastAsia="Arial" w:hAnsi="Arial"/>
          <w:sz w:val="17"/>
          <w:szCs w:val="17"/>
          <w:color w:val="242424"/>
        </w:rPr>
        <w:t xml:space="preserve">u </w:t>
      </w:r>
      <w:r>
        <w:rPr>
          <w:rFonts w:ascii="Arial" w:cs="Arial" w:eastAsia="Arial" w:hAnsi="Arial"/>
          <w:sz w:val="17"/>
          <w:szCs w:val="17"/>
          <w:color w:val="343434"/>
        </w:rPr>
        <w:t>ex</w:t>
      </w:r>
      <w:r>
        <w:rPr>
          <w:rFonts w:ascii="Arial" w:cs="Arial" w:eastAsia="Arial" w:hAnsi="Arial"/>
          <w:sz w:val="17"/>
          <w:szCs w:val="17"/>
          <w:color w:val="242424"/>
        </w:rPr>
        <w:t>p</w:t>
      </w:r>
      <w:r>
        <w:rPr>
          <w:rFonts w:ascii="Arial" w:cs="Arial" w:eastAsia="Arial" w:hAnsi="Arial"/>
          <w:sz w:val="17"/>
          <w:szCs w:val="17"/>
          <w:color w:val="343434"/>
        </w:rPr>
        <w:t>ec</w:t>
      </w:r>
      <w:r>
        <w:rPr>
          <w:rFonts w:ascii="Arial" w:cs="Arial" w:eastAsia="Arial" w:hAnsi="Arial"/>
          <w:sz w:val="17"/>
          <w:szCs w:val="17"/>
          <w:color w:val="242424"/>
        </w:rPr>
        <w:t>t to b</w:t>
      </w:r>
      <w:r>
        <w:rPr>
          <w:rFonts w:ascii="Arial" w:cs="Arial" w:eastAsia="Arial" w:hAnsi="Arial"/>
          <w:sz w:val="17"/>
          <w:szCs w:val="17"/>
          <w:color w:val="343434"/>
        </w:rPr>
        <w:t>eg</w:t>
      </w:r>
      <w:r>
        <w:rPr>
          <w:rFonts w:ascii="Arial" w:cs="Arial" w:eastAsia="Arial" w:hAnsi="Arial"/>
          <w:sz w:val="17"/>
          <w:szCs w:val="17"/>
          <w:color w:val="141414"/>
        </w:rPr>
        <w:t>i</w:t>
      </w:r>
      <w:r>
        <w:rPr>
          <w:rFonts w:ascii="Arial" w:cs="Arial" w:eastAsia="Arial" w:hAnsi="Arial"/>
          <w:sz w:val="17"/>
          <w:szCs w:val="17"/>
          <w:color w:val="242424"/>
        </w:rPr>
        <w:t xml:space="preserve">n </w:t>
      </w:r>
      <w:r>
        <w:rPr>
          <w:rFonts w:ascii="Arial" w:cs="Arial" w:eastAsia="Arial" w:hAnsi="Arial"/>
          <w:sz w:val="17"/>
          <w:szCs w:val="17"/>
          <w:color w:val="343434"/>
        </w:rPr>
        <w:t>w</w:t>
      </w:r>
      <w:r>
        <w:rPr>
          <w:rFonts w:ascii="Arial" w:cs="Arial" w:eastAsia="Arial" w:hAnsi="Arial"/>
          <w:sz w:val="17"/>
          <w:szCs w:val="17"/>
          <w:color w:val="242424"/>
        </w:rPr>
        <w:t xml:space="preserve">ork </w:t>
      </w:r>
      <w:r>
        <w:rPr>
          <w:rFonts w:ascii="Arial" w:cs="Arial" w:eastAsia="Arial" w:hAnsi="Arial"/>
          <w:sz w:val="17"/>
          <w:szCs w:val="17"/>
          <w:color w:val="141414"/>
        </w:rPr>
        <w:t>i</w:t>
      </w:r>
      <w:r>
        <w:rPr>
          <w:rFonts w:ascii="Arial" w:cs="Arial" w:eastAsia="Arial" w:hAnsi="Arial"/>
          <w:sz w:val="17"/>
          <w:szCs w:val="17"/>
          <w:color w:val="242424"/>
        </w:rPr>
        <w:t xml:space="preserve">n </w:t>
      </w:r>
      <w:r>
        <w:rPr>
          <w:rFonts w:ascii="Arial" w:cs="Arial" w:eastAsia="Arial" w:hAnsi="Arial"/>
          <w:sz w:val="17"/>
          <w:szCs w:val="17"/>
          <w:color w:val="343434"/>
        </w:rPr>
        <w:t>t</w:t>
      </w:r>
      <w:r>
        <w:rPr>
          <w:rFonts w:ascii="Arial" w:cs="Arial" w:eastAsia="Arial" w:hAnsi="Arial"/>
          <w:sz w:val="17"/>
          <w:szCs w:val="17"/>
          <w:color w:val="242424"/>
        </w:rPr>
        <w:t>h</w:t>
      </w:r>
      <w:r>
        <w:rPr>
          <w:rFonts w:ascii="Arial" w:cs="Arial" w:eastAsia="Arial" w:hAnsi="Arial"/>
          <w:sz w:val="17"/>
          <w:szCs w:val="17"/>
          <w:color w:val="343434"/>
        </w:rPr>
        <w:t>e space</w:t>
      </w:r>
      <w:r>
        <w:rPr>
          <w:rFonts w:ascii="Arial" w:cs="Arial" w:eastAsia="Arial" w:hAnsi="Arial"/>
          <w:sz w:val="17"/>
          <w:szCs w:val="17"/>
          <w:color w:val="242424"/>
        </w:rPr>
        <w:t xml:space="preserve"> pro</w:t>
      </w:r>
      <w:r>
        <w:rPr>
          <w:rFonts w:ascii="Arial" w:cs="Arial" w:eastAsia="Arial" w:hAnsi="Arial"/>
          <w:sz w:val="17"/>
          <w:szCs w:val="17"/>
          <w:color w:val="343434"/>
        </w:rPr>
        <w:t>v</w:t>
      </w:r>
      <w:r>
        <w:rPr>
          <w:rFonts w:ascii="Arial" w:cs="Arial" w:eastAsia="Arial" w:hAnsi="Arial"/>
          <w:sz w:val="17"/>
          <w:szCs w:val="17"/>
          <w:color w:val="141414"/>
        </w:rPr>
        <w:t>i</w:t>
      </w:r>
      <w:r>
        <w:rPr>
          <w:rFonts w:ascii="Arial" w:cs="Arial" w:eastAsia="Arial" w:hAnsi="Arial"/>
          <w:sz w:val="17"/>
          <w:szCs w:val="17"/>
          <w:color w:val="242424"/>
        </w:rPr>
        <w:t>d</w:t>
      </w:r>
      <w:r>
        <w:rPr>
          <w:rFonts w:ascii="Arial" w:cs="Arial" w:eastAsia="Arial" w:hAnsi="Arial"/>
          <w:sz w:val="17"/>
          <w:szCs w:val="17"/>
          <w:color w:val="343434"/>
        </w:rPr>
        <w:t>e</w:t>
      </w:r>
      <w:r>
        <w:rPr>
          <w:rFonts w:ascii="Arial" w:cs="Arial" w:eastAsia="Arial" w:hAnsi="Arial"/>
          <w:sz w:val="17"/>
          <w:szCs w:val="17"/>
          <w:color w:val="242424"/>
        </w:rPr>
        <w:t>d b</w:t>
      </w:r>
      <w:r>
        <w:rPr>
          <w:rFonts w:ascii="Arial" w:cs="Arial" w:eastAsia="Arial" w:hAnsi="Arial"/>
          <w:sz w:val="17"/>
          <w:szCs w:val="17"/>
          <w:color w:val="343434"/>
        </w:rPr>
        <w:t>e</w:t>
      </w:r>
      <w:r>
        <w:rPr>
          <w:rFonts w:ascii="Arial" w:cs="Arial" w:eastAsia="Arial" w:hAnsi="Arial"/>
          <w:sz w:val="17"/>
          <w:szCs w:val="17"/>
          <w:color w:val="141414"/>
        </w:rPr>
        <w:t>l</w:t>
      </w:r>
      <w:r>
        <w:rPr>
          <w:rFonts w:ascii="Arial" w:cs="Arial" w:eastAsia="Arial" w:hAnsi="Arial"/>
          <w:sz w:val="17"/>
          <w:szCs w:val="17"/>
          <w:color w:val="242424"/>
        </w:rPr>
        <w:t>o</w:t>
      </w:r>
      <w:r>
        <w:rPr>
          <w:rFonts w:ascii="Arial" w:cs="Arial" w:eastAsia="Arial" w:hAnsi="Arial"/>
          <w:sz w:val="17"/>
          <w:szCs w:val="17"/>
          <w:color w:val="343434"/>
        </w:rPr>
        <w:t>w (</w:t>
      </w:r>
      <w:r>
        <w:rPr>
          <w:rFonts w:ascii="Arial" w:cs="Arial" w:eastAsia="Arial" w:hAnsi="Arial"/>
          <w:sz w:val="17"/>
          <w:szCs w:val="17"/>
          <w:color w:val="242424"/>
        </w:rPr>
        <w:t>th</w:t>
      </w:r>
      <w:r>
        <w:rPr>
          <w:rFonts w:ascii="Arial" w:cs="Arial" w:eastAsia="Arial" w:hAnsi="Arial"/>
          <w:sz w:val="17"/>
          <w:szCs w:val="17"/>
          <w:color w:val="343434"/>
        </w:rPr>
        <w:t>e</w:t>
      </w:r>
      <w:r>
        <w:rPr>
          <w:rFonts w:ascii="Arial" w:cs="Arial" w:eastAsia="Arial" w:hAnsi="Arial"/>
          <w:sz w:val="17"/>
          <w:szCs w:val="17"/>
          <w:color w:val="242424"/>
        </w:rPr>
        <w:t xml:space="preserve"> </w:t>
      </w:r>
      <w:r>
        <w:rPr>
          <w:rFonts w:ascii="Arial" w:cs="Arial" w:eastAsia="Arial" w:hAnsi="Arial"/>
          <w:sz w:val="17"/>
          <w:szCs w:val="17"/>
          <w:color w:val="525252"/>
        </w:rPr>
        <w:t>"</w:t>
      </w:r>
      <w:r>
        <w:rPr>
          <w:rFonts w:ascii="Arial" w:cs="Arial" w:eastAsia="Arial" w:hAnsi="Arial"/>
          <w:sz w:val="17"/>
          <w:szCs w:val="17"/>
          <w:u w:val="single" w:color="auto"/>
          <w:color w:val="343434"/>
        </w:rPr>
        <w:t>S</w:t>
      </w:r>
      <w:r>
        <w:rPr>
          <w:rFonts w:ascii="Arial" w:cs="Arial" w:eastAsia="Arial" w:hAnsi="Arial"/>
          <w:sz w:val="17"/>
          <w:szCs w:val="17"/>
          <w:u w:val="single" w:color="auto"/>
          <w:color w:val="141414"/>
        </w:rPr>
        <w:t>t</w:t>
      </w:r>
      <w:r>
        <w:rPr>
          <w:rFonts w:ascii="Arial" w:cs="Arial" w:eastAsia="Arial" w:hAnsi="Arial"/>
          <w:sz w:val="17"/>
          <w:szCs w:val="17"/>
          <w:u w:val="single" w:color="auto"/>
          <w:color w:val="343434"/>
        </w:rPr>
        <w:t>a</w:t>
      </w:r>
      <w:r>
        <w:rPr>
          <w:rFonts w:ascii="Arial" w:cs="Arial" w:eastAsia="Arial" w:hAnsi="Arial"/>
          <w:sz w:val="17"/>
          <w:szCs w:val="17"/>
          <w:u w:val="single" w:color="auto"/>
          <w:color w:val="141414"/>
        </w:rPr>
        <w:t>rt D</w:t>
      </w:r>
      <w:r>
        <w:rPr>
          <w:rFonts w:ascii="Arial" w:cs="Arial" w:eastAsia="Arial" w:hAnsi="Arial"/>
          <w:sz w:val="17"/>
          <w:szCs w:val="17"/>
          <w:u w:val="single" w:color="auto"/>
          <w:color w:val="343434"/>
        </w:rPr>
        <w:t>a</w:t>
      </w:r>
      <w:r>
        <w:rPr>
          <w:rFonts w:ascii="Arial" w:cs="Arial" w:eastAsia="Arial" w:hAnsi="Arial"/>
          <w:sz w:val="17"/>
          <w:szCs w:val="17"/>
          <w:u w:val="single" w:color="auto"/>
          <w:color w:val="242424"/>
        </w:rPr>
        <w:t>t</w:t>
      </w:r>
      <w:r>
        <w:rPr>
          <w:rFonts w:ascii="Arial" w:cs="Arial" w:eastAsia="Arial" w:hAnsi="Arial"/>
          <w:sz w:val="17"/>
          <w:szCs w:val="17"/>
          <w:u w:val="single" w:color="auto"/>
          <w:color w:val="343434"/>
        </w:rPr>
        <w:t>e</w:t>
      </w:r>
      <w:r>
        <w:rPr>
          <w:rFonts w:ascii="Arial" w:cs="Arial" w:eastAsia="Arial" w:hAnsi="Arial"/>
          <w:sz w:val="17"/>
          <w:szCs w:val="17"/>
          <w:color w:val="525252"/>
        </w:rPr>
        <w:t>"</w:t>
      </w:r>
      <w:r>
        <w:rPr>
          <w:rFonts w:ascii="Arial" w:cs="Arial" w:eastAsia="Arial" w:hAnsi="Arial"/>
          <w:sz w:val="17"/>
          <w:szCs w:val="17"/>
          <w:color w:val="343434"/>
        </w:rPr>
        <w:t>).</w:t>
      </w:r>
    </w:p>
    <w:p>
      <w:pPr>
        <w:spacing w:after="0" w:line="19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Expensify, INC.</w:t>
      </w:r>
    </w:p>
    <w:p>
      <w:pPr>
        <w:spacing w:after="0" w:line="12" w:lineRule="exact"/>
        <w:rPr>
          <w:sz w:val="20"/>
          <w:szCs w:val="20"/>
          <w:color w:val="auto"/>
        </w:rPr>
      </w:pPr>
    </w:p>
    <w:tbl>
      <w:tblPr>
        <w:tblLayout w:type="fixed"/>
        <w:tblInd w:w="62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/s/David Barrett</w:t>
            </w:r>
          </w:p>
        </w:tc>
      </w:tr>
      <w:tr>
        <w:trPr>
          <w:trHeight w:val="207"/>
        </w:trPr>
        <w:tc>
          <w:tcPr>
            <w:tcW w:w="84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(signature)</w:t>
            </w:r>
          </w:p>
        </w:tc>
      </w:tr>
      <w:tr>
        <w:trPr>
          <w:trHeight w:val="219"/>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AND AGREED: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Anuradha Muralidharan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Anuradha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81533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15330" cy="762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(signature)</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07/31/2015</w:t>
            </w:r>
          </w:p>
        </w:tc>
        <w:tc>
          <w:tcPr>
            <w:tcW w:w="4760" w:type="dxa"/>
            <w:vAlign w:val="bottom"/>
          </w:tcPr>
          <w:p>
            <w:pPr>
              <w:spacing w:after="0"/>
              <w:rPr>
                <w:sz w:val="19"/>
                <w:szCs w:val="19"/>
                <w:color w:val="auto"/>
              </w:rPr>
            </w:pPr>
          </w:p>
        </w:tc>
      </w:tr>
      <w:tr>
        <w:trPr>
          <w:trHeight w:val="248"/>
        </w:trPr>
        <w:tc>
          <w:tcPr>
            <w:tcW w:w="1840" w:type="dxa"/>
            <w:vAlign w:val="bottom"/>
            <w:gridSpan w:val="2"/>
          </w:tcPr>
          <w:p>
            <w:pPr>
              <w:spacing w:after="0"/>
              <w:rPr>
                <w:sz w:val="20"/>
                <w:szCs w:val="20"/>
                <w:color w:val="auto"/>
              </w:rPr>
            </w:pPr>
            <w:r>
              <w:rPr>
                <w:rFonts w:ascii="Arial" w:cs="Arial" w:eastAsia="Arial" w:hAnsi="Arial"/>
                <w:sz w:val="18"/>
                <w:szCs w:val="18"/>
                <w:color w:val="242424"/>
              </w:rPr>
              <w:t>An</w:t>
            </w:r>
            <w:r>
              <w:rPr>
                <w:rFonts w:ascii="Arial" w:cs="Arial" w:eastAsia="Arial" w:hAnsi="Arial"/>
                <w:sz w:val="18"/>
                <w:szCs w:val="18"/>
                <w:color w:val="343434"/>
              </w:rPr>
              <w:t>t</w:t>
            </w:r>
            <w:r>
              <w:rPr>
                <w:rFonts w:ascii="Arial" w:cs="Arial" w:eastAsia="Arial" w:hAnsi="Arial"/>
                <w:sz w:val="18"/>
                <w:szCs w:val="18"/>
                <w:color w:val="141414"/>
              </w:rPr>
              <w:t>i</w:t>
            </w:r>
            <w:r>
              <w:rPr>
                <w:rFonts w:ascii="Arial" w:cs="Arial" w:eastAsia="Arial" w:hAnsi="Arial"/>
                <w:sz w:val="18"/>
                <w:szCs w:val="18"/>
                <w:color w:val="343434"/>
              </w:rPr>
              <w:t>c</w:t>
            </w:r>
            <w:r>
              <w:rPr>
                <w:rFonts w:ascii="Arial" w:cs="Arial" w:eastAsia="Arial" w:hAnsi="Arial"/>
                <w:sz w:val="18"/>
                <w:szCs w:val="18"/>
                <w:color w:val="141414"/>
              </w:rPr>
              <w:t>i</w:t>
            </w:r>
            <w:r>
              <w:rPr>
                <w:rFonts w:ascii="Arial" w:cs="Arial" w:eastAsia="Arial" w:hAnsi="Arial"/>
                <w:sz w:val="18"/>
                <w:szCs w:val="18"/>
                <w:color w:val="242424"/>
              </w:rPr>
              <w:t>p</w:t>
            </w:r>
            <w:r>
              <w:rPr>
                <w:rFonts w:ascii="Arial" w:cs="Arial" w:eastAsia="Arial" w:hAnsi="Arial"/>
                <w:sz w:val="18"/>
                <w:szCs w:val="18"/>
                <w:color w:val="343434"/>
              </w:rPr>
              <w:t>a</w:t>
            </w:r>
            <w:r>
              <w:rPr>
                <w:rFonts w:ascii="Arial" w:cs="Arial" w:eastAsia="Arial" w:hAnsi="Arial"/>
                <w:sz w:val="18"/>
                <w:szCs w:val="18"/>
                <w:color w:val="242424"/>
              </w:rPr>
              <w:t>t</w:t>
            </w:r>
            <w:r>
              <w:rPr>
                <w:rFonts w:ascii="Arial" w:cs="Arial" w:eastAsia="Arial" w:hAnsi="Arial"/>
                <w:sz w:val="18"/>
                <w:szCs w:val="18"/>
                <w:color w:val="343434"/>
              </w:rPr>
              <w:t>e</w:t>
            </w:r>
            <w:r>
              <w:rPr>
                <w:rFonts w:ascii="Arial" w:cs="Arial" w:eastAsia="Arial" w:hAnsi="Arial"/>
                <w:sz w:val="18"/>
                <w:szCs w:val="18"/>
                <w:color w:val="242424"/>
              </w:rPr>
              <w:t>d S</w:t>
            </w:r>
            <w:r>
              <w:rPr>
                <w:rFonts w:ascii="Arial" w:cs="Arial" w:eastAsia="Arial" w:hAnsi="Arial"/>
                <w:sz w:val="18"/>
                <w:szCs w:val="18"/>
                <w:color w:val="343434"/>
              </w:rPr>
              <w:t>ta</w:t>
            </w:r>
            <w:r>
              <w:rPr>
                <w:rFonts w:ascii="Arial" w:cs="Arial" w:eastAsia="Arial" w:hAnsi="Arial"/>
                <w:sz w:val="18"/>
                <w:szCs w:val="18"/>
                <w:color w:val="242424"/>
              </w:rPr>
              <w:t>rt D</w:t>
            </w:r>
            <w:r>
              <w:rPr>
                <w:rFonts w:ascii="Arial" w:cs="Arial" w:eastAsia="Arial" w:hAnsi="Arial"/>
                <w:sz w:val="18"/>
                <w:szCs w:val="18"/>
                <w:color w:val="343434"/>
              </w:rPr>
              <w:t>ate</w:t>
            </w:r>
            <w:r>
              <w:rPr>
                <w:rFonts w:ascii="Arial" w:cs="Arial" w:eastAsia="Arial" w:hAnsi="Arial"/>
                <w:sz w:val="18"/>
                <w:szCs w:val="18"/>
                <w:color w:val="242424"/>
              </w:rPr>
              <w:t>:</w:t>
            </w:r>
          </w:p>
        </w:tc>
        <w:tc>
          <w:tcPr>
            <w:tcW w:w="4760" w:type="dxa"/>
            <w:vAlign w:val="bottom"/>
          </w:tcPr>
          <w:p>
            <w:pPr>
              <w:jc w:val="right"/>
              <w:ind w:right="3131"/>
              <w:spacing w:after="0"/>
              <w:rPr>
                <w:sz w:val="20"/>
                <w:szCs w:val="20"/>
                <w:color w:val="auto"/>
              </w:rPr>
            </w:pPr>
            <w:r>
              <w:rPr>
                <w:rFonts w:ascii="Arial" w:cs="Arial" w:eastAsia="Arial" w:hAnsi="Arial"/>
                <w:sz w:val="18"/>
                <w:szCs w:val="18"/>
                <w:color w:val="auto"/>
              </w:rPr>
              <w:t>09/24/2015</w:t>
            </w:r>
          </w:p>
        </w:tc>
      </w:tr>
      <w:tr>
        <w:trPr>
          <w:trHeight w:val="227"/>
        </w:trPr>
        <w:tc>
          <w:tcPr>
            <w:tcW w:w="1840" w:type="dxa"/>
            <w:vAlign w:val="bottom"/>
            <w:gridSpan w:val="2"/>
          </w:tcPr>
          <w:p>
            <w:pPr>
              <w:spacing w:after="0"/>
              <w:rPr>
                <w:sz w:val="20"/>
                <w:szCs w:val="20"/>
                <w:color w:val="auto"/>
              </w:rPr>
            </w:pPr>
            <w:r>
              <w:rPr>
                <w:rFonts w:ascii="Arial" w:cs="Arial" w:eastAsia="Arial" w:hAnsi="Arial"/>
                <w:sz w:val="18"/>
                <w:szCs w:val="18"/>
                <w:color w:val="auto"/>
              </w:rPr>
              <w:t>Attachment A:</w:t>
            </w:r>
          </w:p>
        </w:tc>
        <w:tc>
          <w:tcPr>
            <w:tcW w:w="4760" w:type="dxa"/>
            <w:vAlign w:val="bottom"/>
          </w:tcPr>
          <w:p>
            <w:pPr>
              <w:jc w:val="right"/>
              <w:spacing w:after="0"/>
              <w:rPr>
                <w:sz w:val="20"/>
                <w:szCs w:val="20"/>
                <w:color w:val="auto"/>
              </w:rPr>
            </w:pPr>
            <w:r>
              <w:rPr>
                <w:rFonts w:ascii="Arial" w:cs="Arial" w:eastAsia="Arial" w:hAnsi="Arial"/>
                <w:sz w:val="18"/>
                <w:szCs w:val="18"/>
                <w:color w:val="auto"/>
                <w:w w:val="95"/>
              </w:rPr>
              <w:t>Confidential Information and Invention Assignment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1291" w:right="319" w:bottom="1440" w:gutter="0" w:footer="0" w:header="0"/>
        </w:sectPr>
      </w:pPr>
    </w:p>
    <w:bookmarkStart w:id="458" w:name="page459"/>
    <w:bookmarkEnd w:id="458"/>
    <w:p>
      <w:pPr>
        <w:jc w:val="center"/>
        <w:ind w:right="19"/>
        <w:spacing w:after="0"/>
        <w:rPr>
          <w:sz w:val="20"/>
          <w:szCs w:val="20"/>
          <w:color w:val="auto"/>
        </w:rPr>
      </w:pPr>
      <w:r>
        <w:rPr>
          <w:rFonts w:ascii="Arial" w:cs="Arial" w:eastAsia="Arial" w:hAnsi="Arial"/>
          <w:sz w:val="19"/>
          <w:szCs w:val="19"/>
          <w:b w:val="1"/>
          <w:bCs w:val="1"/>
          <w:u w:val="single" w:color="auto"/>
          <w:color w:val="auto"/>
        </w:rPr>
        <w:t>ATTACHMENT A</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CONFIDENTIAL INFORMATION AND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INVENTION ASSIGNMENT AGREEMENT</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414141"/>
        </w:rPr>
        <w:t>(</w:t>
      </w:r>
      <w:r>
        <w:rPr>
          <w:rFonts w:ascii="Arial" w:cs="Arial" w:eastAsia="Arial" w:hAnsi="Arial"/>
          <w:sz w:val="19"/>
          <w:szCs w:val="19"/>
          <w:i w:val="1"/>
          <w:iCs w:val="1"/>
          <w:color w:val="232323"/>
        </w:rPr>
        <w:t>S</w:t>
      </w:r>
      <w:r>
        <w:rPr>
          <w:rFonts w:ascii="Arial" w:cs="Arial" w:eastAsia="Arial" w:hAnsi="Arial"/>
          <w:sz w:val="19"/>
          <w:szCs w:val="19"/>
          <w:i w:val="1"/>
          <w:iCs w:val="1"/>
          <w:color w:val="414141"/>
        </w:rPr>
        <w:t>ee Attac</w:t>
      </w:r>
      <w:r>
        <w:rPr>
          <w:rFonts w:ascii="Arial" w:cs="Arial" w:eastAsia="Arial" w:hAnsi="Arial"/>
          <w:sz w:val="19"/>
          <w:szCs w:val="19"/>
          <w:i w:val="1"/>
          <w:iCs w:val="1"/>
          <w:color w:val="232323"/>
        </w:rPr>
        <w:t>h</w:t>
      </w:r>
      <w:r>
        <w:rPr>
          <w:rFonts w:ascii="Arial" w:cs="Arial" w:eastAsia="Arial" w:hAnsi="Arial"/>
          <w:sz w:val="19"/>
          <w:szCs w:val="19"/>
          <w:i w:val="1"/>
          <w:iCs w:val="1"/>
          <w:color w:val="414141"/>
        </w:rPr>
        <w: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1295" w:right="1440" w:bottom="1440" w:gutter="0" w:footer="0" w:header="0"/>
        </w:sectPr>
      </w:pPr>
    </w:p>
    <w:bookmarkStart w:id="459" w:name="page460"/>
    <w:bookmarkEnd w:id="459"/>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We consent to the reference to our firm under the caption "Experts" and to the use of our reports dated April 28, 2021, except for the reclassification of employee and employee related expenses disclosed in Note 1, as to which the date is September 24, 2021, in Amendment No. 1 to the Registration Statement (Form S-1 No. 333-260297) and related Prospectus of Expensify, Inc. for the registration of shares of its common stock.</w:t>
      </w: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18, 2021</w:t>
      </w:r>
    </w:p>
    <w:p>
      <w:pPr>
        <w:sectPr>
          <w:pgSz w:w="11900" w:h="16838" w:orient="portrait"/>
          <w:cols w:equalWidth="0" w:num="1">
            <w:col w:w="11260"/>
          </w:cols>
          <w:pgMar w:left="320" w:top="122" w:right="319" w:bottom="1440" w:gutter="0" w:footer="0" w:header="0"/>
        </w:sectPr>
      </w:pPr>
    </w:p>
    <w:bookmarkStart w:id="460" w:name="page461"/>
    <w:bookmarkEnd w:id="460"/>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be Named as a Director Nominee</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connection with the filing by Expensify, Inc. of the Registration Statement on Form S-1 with the Securities and Exchange Commission under the Securities Act of 1933, as amended (the “Securities Act”), I hereby consent, pursuant to Rule 438 of the Securities Act, to being named as a nominee to the board of directors of Expensify, Inc. in the Registration Statement and any and all amendments and supplements thereto. I also consent to the filing of this consent as an exhibit to such Registration Statement and any amendments thereto.</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Dated: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80" w:type="dxa"/>
        <w:tblCellMar>
          <w:top w:w="0" w:type="dxa"/>
          <w:left w:w="0" w:type="dxa"/>
          <w:bottom w:w="0" w:type="dxa"/>
          <w:right w:w="0" w:type="dxa"/>
        </w:tblCellMar>
      </w:tblPr>
      <w:tr>
        <w:trPr>
          <w:trHeight w:val="267"/>
        </w:trPr>
        <w:tc>
          <w:tcPr>
            <w:tcW w:w="900" w:type="dxa"/>
            <w:vAlign w:val="bottom"/>
          </w:tcPr>
          <w:p>
            <w:pPr>
              <w:spacing w:after="0"/>
              <w:rPr>
                <w:sz w:val="20"/>
                <w:szCs w:val="20"/>
                <w:color w:val="auto"/>
              </w:rPr>
            </w:pPr>
            <w:r>
              <w:rPr>
                <w:rFonts w:ascii="Arial" w:cs="Arial" w:eastAsia="Arial" w:hAnsi="Arial"/>
                <w:sz w:val="19"/>
                <w:szCs w:val="19"/>
                <w:color w:val="auto"/>
              </w:rPr>
              <w:t>By:</w:t>
            </w:r>
          </w:p>
        </w:tc>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Timothy L. Christen</w:t>
            </w:r>
          </w:p>
        </w:tc>
      </w:tr>
      <w:tr>
        <w:trPr>
          <w:trHeight w:val="484"/>
        </w:trPr>
        <w:tc>
          <w:tcPr>
            <w:tcW w:w="900" w:type="dxa"/>
            <w:vAlign w:val="bottom"/>
          </w:tcPr>
          <w:p>
            <w:pPr>
              <w:spacing w:after="0"/>
              <w:rPr>
                <w:sz w:val="20"/>
                <w:szCs w:val="20"/>
                <w:color w:val="auto"/>
              </w:rPr>
            </w:pPr>
            <w:r>
              <w:rPr>
                <w:rFonts w:ascii="Arial" w:cs="Arial" w:eastAsia="Arial" w:hAnsi="Arial"/>
                <w:sz w:val="19"/>
                <w:szCs w:val="19"/>
                <w:color w:val="auto"/>
              </w:rPr>
              <w:t>Name:</w:t>
            </w:r>
          </w:p>
        </w:tc>
        <w:tc>
          <w:tcPr>
            <w:tcW w:w="2880" w:type="dxa"/>
            <w:vAlign w:val="bottom"/>
          </w:tcPr>
          <w:p>
            <w:pPr>
              <w:ind w:left="40"/>
              <w:spacing w:after="0"/>
              <w:rPr>
                <w:sz w:val="20"/>
                <w:szCs w:val="20"/>
                <w:color w:val="auto"/>
              </w:rPr>
            </w:pPr>
            <w:r>
              <w:rPr>
                <w:rFonts w:ascii="Arial" w:cs="Arial" w:eastAsia="Arial" w:hAnsi="Arial"/>
                <w:sz w:val="19"/>
                <w:szCs w:val="19"/>
                <w:color w:val="auto"/>
              </w:rPr>
              <w:t>Timothy L. Christen</w:t>
            </w:r>
          </w:p>
        </w:tc>
      </w:tr>
    </w:tbl>
    <w:p>
      <w:pPr>
        <w:sectPr>
          <w:pgSz w:w="11900" w:h="16838" w:orient="portrait"/>
          <w:cols w:equalWidth="0" w:num="1">
            <w:col w:w="11260"/>
          </w:cols>
          <w:pgMar w:left="320" w:top="123" w:right="319" w:bottom="1440" w:gutter="0" w:footer="0" w:header="0"/>
        </w:sectPr>
      </w:pPr>
    </w:p>
    <w:bookmarkStart w:id="461" w:name="page462"/>
    <w:bookmarkEnd w:id="461"/>
    <w:p>
      <w:pPr>
        <w:jc w:val="right"/>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be Named as a Director Nominee</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connection with the filing by Expensify, Inc. of the Registration Statement on Form S-1 with the Securities and Exchange Commission under the Securities Act of 1933, as amended (the “Securities Act”), I hereby consent, pursuant to Rule 438 of the Securities Act, to being named as a nominee to the board of directors of Expensify, Inc. in the Registration Statement and any and all amendments and supplements thereto. I also consent to the filing of this consent as an exhibit to such Registration Statement and any amendments thereto.</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Dated: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760" w:type="dxa"/>
        <w:tblCellMar>
          <w:top w:w="0" w:type="dxa"/>
          <w:left w:w="0" w:type="dxa"/>
          <w:bottom w:w="0" w:type="dxa"/>
          <w:right w:w="0" w:type="dxa"/>
        </w:tblCellMar>
      </w:tblPr>
      <w:tr>
        <w:trPr>
          <w:trHeight w:val="248"/>
        </w:trPr>
        <w:tc>
          <w:tcPr>
            <w:tcW w:w="1100" w:type="dxa"/>
            <w:vAlign w:val="bottom"/>
          </w:tcPr>
          <w:p>
            <w:pPr>
              <w:spacing w:after="0"/>
              <w:rPr>
                <w:sz w:val="20"/>
                <w:szCs w:val="20"/>
                <w:color w:val="auto"/>
              </w:rPr>
            </w:pPr>
            <w:r>
              <w:rPr>
                <w:rFonts w:ascii="Arial" w:cs="Arial" w:eastAsia="Arial" w:hAnsi="Arial"/>
                <w:sz w:val="19"/>
                <w:szCs w:val="19"/>
                <w:color w:val="auto"/>
              </w:rPr>
              <w:t>By:</w:t>
            </w:r>
          </w:p>
        </w:tc>
        <w:tc>
          <w:tcPr>
            <w:tcW w:w="3400" w:type="dxa"/>
            <w:vAlign w:val="bottom"/>
          </w:tcPr>
          <w:p>
            <w:pPr>
              <w:ind w:left="20"/>
              <w:spacing w:after="0"/>
              <w:rPr>
                <w:sz w:val="20"/>
                <w:szCs w:val="20"/>
                <w:color w:val="auto"/>
              </w:rPr>
            </w:pPr>
            <w:r>
              <w:rPr>
                <w:rFonts w:ascii="Arial" w:cs="Arial" w:eastAsia="Arial" w:hAnsi="Arial"/>
                <w:sz w:val="19"/>
                <w:szCs w:val="19"/>
                <w:color w:val="auto"/>
              </w:rPr>
              <w:t>/s/ Ying (Vivian) Liu</w:t>
            </w:r>
          </w:p>
        </w:tc>
      </w:tr>
      <w:tr>
        <w:trPr>
          <w:trHeight w:val="27"/>
        </w:trPr>
        <w:tc>
          <w:tcPr>
            <w:tcW w:w="11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476"/>
        </w:trPr>
        <w:tc>
          <w:tcPr>
            <w:tcW w:w="1100" w:type="dxa"/>
            <w:vAlign w:val="bottom"/>
          </w:tcPr>
          <w:p>
            <w:pPr>
              <w:spacing w:after="0"/>
              <w:rPr>
                <w:sz w:val="20"/>
                <w:szCs w:val="20"/>
                <w:color w:val="auto"/>
              </w:rPr>
            </w:pPr>
            <w:r>
              <w:rPr>
                <w:rFonts w:ascii="Arial" w:cs="Arial" w:eastAsia="Arial" w:hAnsi="Arial"/>
                <w:sz w:val="19"/>
                <w:szCs w:val="19"/>
                <w:color w:val="auto"/>
              </w:rPr>
              <w:t>Name:</w:t>
            </w:r>
          </w:p>
        </w:tc>
        <w:tc>
          <w:tcPr>
            <w:tcW w:w="3400" w:type="dxa"/>
            <w:vAlign w:val="bottom"/>
          </w:tcPr>
          <w:p>
            <w:pPr>
              <w:ind w:left="20"/>
              <w:spacing w:after="0"/>
              <w:rPr>
                <w:sz w:val="20"/>
                <w:szCs w:val="20"/>
                <w:color w:val="auto"/>
              </w:rPr>
            </w:pPr>
            <w:r>
              <w:rPr>
                <w:rFonts w:ascii="Arial" w:cs="Arial" w:eastAsia="Arial" w:hAnsi="Arial"/>
                <w:sz w:val="19"/>
                <w:szCs w:val="19"/>
                <w:color w:val="auto"/>
              </w:rPr>
              <w:t>Ying (Vivian) Liu</w:t>
            </w:r>
          </w:p>
        </w:tc>
      </w:tr>
    </w:tbl>
    <w:p>
      <w:pPr>
        <w:sectPr>
          <w:pgSz w:w="11900" w:h="16838" w:orient="portrait"/>
          <w:cols w:equalWidth="0" w:num="1">
            <w:col w:w="11260"/>
          </w:cols>
          <w:pgMar w:left="320" w:top="123" w:right="319" w:bottom="1440" w:gutter="0" w:footer="0" w:header="0"/>
        </w:sectPr>
      </w:pPr>
    </w:p>
    <w:bookmarkStart w:id="462" w:name="page463"/>
    <w:bookmarkEnd w:id="462"/>
    <w:p>
      <w:pPr>
        <w:jc w:val="right"/>
        <w:spacing w:after="0"/>
        <w:rPr>
          <w:sz w:val="20"/>
          <w:szCs w:val="20"/>
          <w:color w:val="auto"/>
        </w:rPr>
      </w:pPr>
      <w:r>
        <w:rPr>
          <w:rFonts w:ascii="Arial" w:cs="Arial" w:eastAsia="Arial" w:hAnsi="Arial"/>
          <w:sz w:val="16"/>
          <w:szCs w:val="16"/>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be Named as a Director Nominee</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connection with the filing by Expensify, Inc. of the Registration Statement on Form S-1 with the Securities and Exchange Commission under the Securities Act of 1933, as amended (the “Securities Act”), I hereby consent, pursuant to Rule 438 of the Securities Act, to being named as a nominee to the board of directors of Expensify, Inc. in the Registration Statement and any and all amendments and supplements thereto. I also consent to the filing of this consent as an exhibit to such Registration Statement and any amendments thereto.</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Dated: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6720" w:type="dxa"/>
        <w:tblCellMar>
          <w:top w:w="0" w:type="dxa"/>
          <w:left w:w="0" w:type="dxa"/>
          <w:bottom w:w="0" w:type="dxa"/>
          <w:right w:w="0" w:type="dxa"/>
        </w:tblCellMar>
      </w:tblPr>
      <w:tr>
        <w:trPr>
          <w:trHeight w:val="249"/>
        </w:trPr>
        <w:tc>
          <w:tcPr>
            <w:tcW w:w="920" w:type="dxa"/>
            <w:vAlign w:val="bottom"/>
          </w:tcPr>
          <w:p>
            <w:pPr>
              <w:spacing w:after="0"/>
              <w:rPr>
                <w:sz w:val="20"/>
                <w:szCs w:val="20"/>
                <w:color w:val="auto"/>
              </w:rPr>
            </w:pPr>
            <w:r>
              <w:rPr>
                <w:rFonts w:ascii="Arial" w:cs="Arial" w:eastAsia="Arial" w:hAnsi="Arial"/>
                <w:sz w:val="19"/>
                <w:szCs w:val="19"/>
                <w:color w:val="auto"/>
              </w:rPr>
              <w:t>By:</w:t>
            </w: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Jason Mills</w:t>
            </w:r>
          </w:p>
        </w:tc>
      </w:tr>
      <w:tr>
        <w:trPr>
          <w:trHeight w:val="466"/>
        </w:trPr>
        <w:tc>
          <w:tcPr>
            <w:tcW w:w="920" w:type="dxa"/>
            <w:vAlign w:val="bottom"/>
          </w:tcPr>
          <w:p>
            <w:pPr>
              <w:spacing w:after="0"/>
              <w:rPr>
                <w:sz w:val="20"/>
                <w:szCs w:val="20"/>
                <w:color w:val="auto"/>
              </w:rPr>
            </w:pPr>
            <w:r>
              <w:rPr>
                <w:rFonts w:ascii="Arial" w:cs="Arial" w:eastAsia="Arial" w:hAnsi="Arial"/>
                <w:sz w:val="19"/>
                <w:szCs w:val="19"/>
                <w:color w:val="auto"/>
              </w:rPr>
              <w:t>Name:</w:t>
            </w:r>
          </w:p>
        </w:tc>
        <w:tc>
          <w:tcPr>
            <w:tcW w:w="3520" w:type="dxa"/>
            <w:vAlign w:val="bottom"/>
          </w:tcPr>
          <w:p>
            <w:pPr>
              <w:ind w:left="20"/>
              <w:spacing w:after="0"/>
              <w:rPr>
                <w:sz w:val="20"/>
                <w:szCs w:val="20"/>
                <w:color w:val="auto"/>
              </w:rPr>
            </w:pPr>
            <w:r>
              <w:rPr>
                <w:rFonts w:ascii="Arial" w:cs="Arial" w:eastAsia="Arial" w:hAnsi="Arial"/>
                <w:sz w:val="19"/>
                <w:szCs w:val="19"/>
                <w:color w:val="auto"/>
              </w:rPr>
              <w:t>Jason Mills</w:t>
            </w:r>
          </w:p>
        </w:tc>
      </w:tr>
    </w:tbl>
    <w:p>
      <w:pPr>
        <w:sectPr>
          <w:pgSz w:w="11900" w:h="16838" w:orient="portrait"/>
          <w:cols w:equalWidth="0" w:num="1">
            <w:col w:w="11260"/>
          </w:cols>
          <w:pgMar w:left="320" w:top="123" w:right="319" w:bottom="1440" w:gutter="0" w:footer="0" w:header="0"/>
        </w:sectPr>
      </w:pPr>
    </w:p>
    <w:bookmarkStart w:id="463" w:name="page464"/>
    <w:bookmarkEnd w:id="463"/>
    <w:p>
      <w:pPr>
        <w:jc w:val="right"/>
        <w:spacing w:after="0"/>
        <w:rPr>
          <w:sz w:val="20"/>
          <w:szCs w:val="20"/>
          <w:color w:val="auto"/>
        </w:rPr>
      </w:pPr>
      <w:r>
        <w:rPr>
          <w:rFonts w:ascii="Arial" w:cs="Arial" w:eastAsia="Arial" w:hAnsi="Arial"/>
          <w:sz w:val="16"/>
          <w:szCs w:val="16"/>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be Named as a Director Nominee</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connection with the filing by Expensify, Inc. of the Registration Statement on Form S-1 with the Securities and Exchange Commission under the Securities Act of 1933, as amended (the “Securities Act”), I hereby consent, pursuant to Rule 438 of the Securities Act, to being named as a nominee to the board of directors of Expensify, Inc. in the Registration Statement and any and all amendments and supplements thereto. I also consent to the filing of this consent as an exhibit to such Registration Statement and any amendments thereto.</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Dated: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740"/>
        <w:spacing w:after="0"/>
        <w:tabs>
          <w:tab w:leader="none" w:pos="76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Anuradha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35560</wp:posOffset>
            </wp:positionV>
            <wp:extent cx="222694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26945" cy="7620"/>
                    </a:xfrm>
                    <a:prstGeom prst="rect">
                      <a:avLst/>
                    </a:prstGeom>
                    <a:noFill/>
                  </pic:spPr>
                </pic:pic>
              </a:graphicData>
            </a:graphic>
          </wp:anchor>
        </w:drawing>
      </w:r>
    </w:p>
    <w:p>
      <w:pPr>
        <w:spacing w:after="0" w:line="297" w:lineRule="exact"/>
        <w:rPr>
          <w:sz w:val="20"/>
          <w:szCs w:val="20"/>
          <w:color w:val="auto"/>
        </w:rPr>
      </w:pPr>
    </w:p>
    <w:p>
      <w:pPr>
        <w:ind w:left="6740"/>
        <w:spacing w:after="0"/>
        <w:tabs>
          <w:tab w:leader="none" w:pos="76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Anuradha Muralidharan</w:t>
      </w:r>
    </w:p>
    <w:p>
      <w:pPr>
        <w:sectPr>
          <w:pgSz w:w="11900" w:h="16838" w:orient="portrait"/>
          <w:cols w:equalWidth="0" w:num="1">
            <w:col w:w="11260"/>
          </w:cols>
          <w:pgMar w:left="320" w:top="123" w:right="319" w:bottom="1440" w:gutter="0" w:footer="0" w:header="0"/>
        </w:sectPr>
      </w:pPr>
    </w:p>
    <w:bookmarkStart w:id="464" w:name="page465"/>
    <w:bookmarkEnd w:id="464"/>
    <w:p>
      <w:pPr>
        <w:jc w:val="right"/>
        <w:spacing w:after="0"/>
        <w:rPr>
          <w:sz w:val="20"/>
          <w:szCs w:val="20"/>
          <w:color w:val="auto"/>
        </w:rPr>
      </w:pPr>
      <w:r>
        <w:rPr>
          <w:rFonts w:ascii="Arial" w:cs="Arial" w:eastAsia="Arial" w:hAnsi="Arial"/>
          <w:sz w:val="16"/>
          <w:szCs w:val="16"/>
          <w:b w:val="1"/>
          <w:bCs w:val="1"/>
          <w:color w:val="auto"/>
        </w:rPr>
        <w:t>Exhibit 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be Named as a Director Nominee</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connection with the filing by Expensify, Inc. of the Registration Statement on Form S-1 with the Securities and Exchange Commission under the Securities Act of 1933, as amended (the “Securities Act”), I hereby consent, pursuant to Rule 438 of the Securities Act, to being named as a nominee to the board of directors of Expensify, Inc. in the Registration Statement and any and all amendments and supplements thereto. I also consent to the filing of this consent as an exhibit to such Registration Statement and any amendments thereto.</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Dated: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780"/>
        <w:spacing w:after="0"/>
        <w:tabs>
          <w:tab w:leader="none" w:pos="76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Ellen Pao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35560</wp:posOffset>
            </wp:positionV>
            <wp:extent cx="222694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26945" cy="7620"/>
                    </a:xfrm>
                    <a:prstGeom prst="rect">
                      <a:avLst/>
                    </a:prstGeom>
                    <a:noFill/>
                  </pic:spPr>
                </pic:pic>
              </a:graphicData>
            </a:graphic>
          </wp:anchor>
        </w:drawing>
      </w:r>
    </w:p>
    <w:p>
      <w:pPr>
        <w:spacing w:after="0" w:line="297" w:lineRule="exact"/>
        <w:rPr>
          <w:sz w:val="20"/>
          <w:szCs w:val="20"/>
          <w:color w:val="auto"/>
        </w:rPr>
      </w:pPr>
    </w:p>
    <w:p>
      <w:pPr>
        <w:ind w:left="6780"/>
        <w:spacing w:after="0"/>
        <w:tabs>
          <w:tab w:leader="none" w:pos="76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Ellen Pao</w:t>
      </w:r>
    </w:p>
    <w:p>
      <w:pPr>
        <w:sectPr>
          <w:pgSz w:w="11900" w:h="16838" w:orient="portrait"/>
          <w:cols w:equalWidth="0" w:num="1">
            <w:col w:w="11260"/>
          </w:cols>
          <w:pgMar w:left="320" w:top="123" w:right="319" w:bottom="1440" w:gutter="0" w:footer="0" w:header="0"/>
        </w:sectPr>
      </w:pPr>
    </w:p>
    <w:bookmarkStart w:id="465" w:name="page466"/>
    <w:bookmarkEnd w:id="465"/>
    <w:p>
      <w:pPr>
        <w:jc w:val="right"/>
        <w:spacing w:after="0"/>
        <w:rPr>
          <w:sz w:val="20"/>
          <w:szCs w:val="20"/>
          <w:color w:val="auto"/>
        </w:rPr>
      </w:pPr>
      <w:r>
        <w:rPr>
          <w:rFonts w:ascii="Arial" w:cs="Arial" w:eastAsia="Arial" w:hAnsi="Arial"/>
          <w:sz w:val="16"/>
          <w:szCs w:val="16"/>
          <w:b w:val="1"/>
          <w:bCs w:val="1"/>
          <w:color w:val="auto"/>
        </w:rPr>
        <w:t>Exhibit 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be Named as a Director Nominee</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connection with the filing by Expensify, Inc. of the Registration Statement on Form S-1 with the Securities and Exchange Commission under the Securities Act of 1933, as amended (the “Securities Act”), I hereby consent, pursuant to Rule 438 of the Securities Act, to being named as a nominee to the board of directors of Expensify, Inc. in the Registration Statement and any and all amendments and supplements thereto. I also consent to the filing of this consent as an exhibit to such Registration Statement and any amendments thereto.</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Dated: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6780" w:type="dxa"/>
        <w:tblCellMar>
          <w:top w:w="0" w:type="dxa"/>
          <w:left w:w="0" w:type="dxa"/>
          <w:bottom w:w="0" w:type="dxa"/>
          <w:right w:w="0" w:type="dxa"/>
        </w:tblCellMar>
      </w:tblPr>
      <w:tr>
        <w:trPr>
          <w:trHeight w:val="248"/>
        </w:trPr>
        <w:tc>
          <w:tcPr>
            <w:tcW w:w="900" w:type="dxa"/>
            <w:vAlign w:val="bottom"/>
          </w:tcPr>
          <w:p>
            <w:pPr>
              <w:spacing w:after="0"/>
              <w:rPr>
                <w:sz w:val="20"/>
                <w:szCs w:val="20"/>
                <w:color w:val="auto"/>
              </w:rPr>
            </w:pPr>
            <w:r>
              <w:rPr>
                <w:rFonts w:ascii="Arial" w:cs="Arial" w:eastAsia="Arial" w:hAnsi="Arial"/>
                <w:sz w:val="19"/>
                <w:szCs w:val="19"/>
                <w:color w:val="auto"/>
              </w:rPr>
              <w:t>By:</w:t>
            </w:r>
          </w:p>
        </w:tc>
        <w:tc>
          <w:tcPr>
            <w:tcW w:w="3500" w:type="dxa"/>
            <w:vAlign w:val="bottom"/>
          </w:tcPr>
          <w:p>
            <w:pPr>
              <w:ind w:left="20"/>
              <w:spacing w:after="0"/>
              <w:rPr>
                <w:sz w:val="20"/>
                <w:szCs w:val="20"/>
                <w:color w:val="auto"/>
              </w:rPr>
            </w:pPr>
            <w:r>
              <w:rPr>
                <w:rFonts w:ascii="Arial" w:cs="Arial" w:eastAsia="Arial" w:hAnsi="Arial"/>
                <w:sz w:val="19"/>
                <w:szCs w:val="19"/>
                <w:color w:val="auto"/>
              </w:rPr>
              <w:t>/s/ Daniel Vidal</w:t>
            </w:r>
          </w:p>
        </w:tc>
      </w:tr>
      <w:tr>
        <w:trPr>
          <w:trHeight w:val="27"/>
        </w:trPr>
        <w:tc>
          <w:tcPr>
            <w:tcW w:w="90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489"/>
        </w:trPr>
        <w:tc>
          <w:tcPr>
            <w:tcW w:w="900" w:type="dxa"/>
            <w:vAlign w:val="bottom"/>
          </w:tcPr>
          <w:p>
            <w:pPr>
              <w:spacing w:after="0"/>
              <w:rPr>
                <w:sz w:val="20"/>
                <w:szCs w:val="20"/>
                <w:color w:val="auto"/>
              </w:rPr>
            </w:pPr>
            <w:r>
              <w:rPr>
                <w:rFonts w:ascii="Arial" w:cs="Arial" w:eastAsia="Arial" w:hAnsi="Arial"/>
                <w:sz w:val="19"/>
                <w:szCs w:val="19"/>
                <w:color w:val="auto"/>
              </w:rPr>
              <w:t>Name:</w:t>
            </w:r>
          </w:p>
        </w:tc>
        <w:tc>
          <w:tcPr>
            <w:tcW w:w="3500" w:type="dxa"/>
            <w:vAlign w:val="bottom"/>
          </w:tcPr>
          <w:p>
            <w:pPr>
              <w:ind w:left="20"/>
              <w:spacing w:after="0"/>
              <w:rPr>
                <w:sz w:val="20"/>
                <w:szCs w:val="20"/>
                <w:color w:val="auto"/>
              </w:rPr>
            </w:pPr>
            <w:r>
              <w:rPr>
                <w:rFonts w:ascii="Arial" w:cs="Arial" w:eastAsia="Arial" w:hAnsi="Arial"/>
                <w:sz w:val="19"/>
                <w:szCs w:val="19"/>
                <w:color w:val="auto"/>
              </w:rPr>
              <w:t>Daniel Vidal</w:t>
            </w:r>
          </w:p>
        </w:tc>
      </w:tr>
    </w:tbl>
    <w:p>
      <w:pPr>
        <w:spacing w:after="0" w:line="1" w:lineRule="exact"/>
        <w:rPr>
          <w:sz w:val="20"/>
          <w:szCs w:val="20"/>
          <w:color w:val="auto"/>
        </w:rPr>
      </w:pPr>
    </w:p>
    <w:sectPr>
      <w:pgSz w:w="11900" w:h="16838" w:orient="portrait"/>
      <w:cols w:equalWidth="0" w:num="1">
        <w:col w:w="11260"/>
      </w:cols>
      <w:pgMar w:left="320" w:top="12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94FF7"/>
    <w:multiLevelType w:val="hybridMultilevel"/>
    <w:lvl w:ilvl="0">
      <w:lvlJc w:val="left"/>
      <w:lvlText w:val="(%1)"/>
      <w:numFmt w:val="decimal"/>
      <w:start w:val="1"/>
    </w:lvl>
  </w:abstractNum>
  <w:abstractNum w:abstractNumId="1">
    <w:nsid w:val="5454945E"/>
    <w:multiLevelType w:val="hybridMultilevel"/>
    <w:lvl w:ilvl="0">
      <w:lvlJc w:val="left"/>
      <w:lvlText w:val="(%1)"/>
      <w:numFmt w:val="decimal"/>
      <w:start w:val="1"/>
    </w:lvl>
  </w:abstractNum>
  <w:abstractNum w:abstractNumId="2">
    <w:nsid w:val="4DEFDFA0"/>
    <w:multiLevelType w:val="hybridMultilevel"/>
    <w:lvl w:ilvl="0">
      <w:lvlJc w:val="left"/>
      <w:lvlText w:val="•"/>
      <w:numFmt w:val="bullet"/>
      <w:start w:val="1"/>
    </w:lvl>
  </w:abstractNum>
  <w:abstractNum w:abstractNumId="3">
    <w:nsid w:val="2123D5F2"/>
    <w:multiLevelType w:val="hybridMultilevel"/>
    <w:lvl w:ilvl="0">
      <w:lvlJc w:val="left"/>
      <w:lvlText w:val="•"/>
      <w:numFmt w:val="bullet"/>
      <w:start w:val="1"/>
    </w:lvl>
  </w:abstractNum>
  <w:abstractNum w:abstractNumId="4">
    <w:nsid w:val="135B8110"/>
    <w:multiLevelType w:val="hybridMultilevel"/>
    <w:lvl w:ilvl="0">
      <w:lvlJc w:val="left"/>
      <w:lvlText w:val="•"/>
      <w:numFmt w:val="bullet"/>
      <w:start w:val="1"/>
    </w:lvl>
  </w:abstractNum>
  <w:abstractNum w:abstractNumId="5">
    <w:nsid w:val="94927A8"/>
    <w:multiLevelType w:val="hybridMultilevel"/>
    <w:lvl w:ilvl="0">
      <w:lvlJc w:val="left"/>
      <w:lvlText w:val="•"/>
      <w:numFmt w:val="bullet"/>
      <w:start w:val="1"/>
    </w:lvl>
  </w:abstractNum>
  <w:abstractNum w:abstractNumId="6">
    <w:nsid w:val="DCDF8F6"/>
    <w:multiLevelType w:val="hybridMultilevel"/>
    <w:lvl w:ilvl="0">
      <w:lvlJc w:val="left"/>
      <w:lvlText w:val="•"/>
      <w:numFmt w:val="bullet"/>
      <w:start w:val="1"/>
    </w:lvl>
  </w:abstractNum>
  <w:abstractNum w:abstractNumId="7">
    <w:nsid w:val="52D7B105"/>
    <w:multiLevelType w:val="hybridMultilevel"/>
    <w:lvl w:ilvl="0">
      <w:lvlJc w:val="left"/>
      <w:lvlText w:val="•"/>
      <w:numFmt w:val="bullet"/>
      <w:start w:val="1"/>
    </w:lvl>
  </w:abstractNum>
  <w:abstractNum w:abstractNumId="8">
    <w:nsid w:val="2E8A6394"/>
    <w:multiLevelType w:val="hybridMultilevel"/>
    <w:lvl w:ilvl="0">
      <w:lvlJc w:val="left"/>
      <w:lvlText w:val="•"/>
      <w:numFmt w:val="bullet"/>
      <w:start w:val="1"/>
    </w:lvl>
  </w:abstractNum>
  <w:abstractNum w:abstractNumId="9">
    <w:nsid w:val="24E60401"/>
    <w:multiLevelType w:val="hybridMultilevel"/>
    <w:lvl w:ilvl="0">
      <w:lvlJc w:val="left"/>
      <w:lvlText w:val="•"/>
      <w:numFmt w:val="bullet"/>
      <w:start w:val="1"/>
    </w:lvl>
  </w:abstractNum>
  <w:abstractNum w:abstractNumId="10">
    <w:nsid w:val="2A6AD9BE"/>
    <w:multiLevelType w:val="hybridMultilevel"/>
    <w:lvl w:ilvl="0">
      <w:lvlJc w:val="left"/>
      <w:lvlText w:val="•"/>
      <w:numFmt w:val="bullet"/>
      <w:start w:val="1"/>
    </w:lvl>
  </w:abstractNum>
  <w:abstractNum w:abstractNumId="11">
    <w:nsid w:val="BAAC1B4"/>
    <w:multiLevelType w:val="hybridMultilevel"/>
    <w:lvl w:ilvl="0">
      <w:lvlJc w:val="left"/>
      <w:lvlText w:val="•"/>
      <w:numFmt w:val="bullet"/>
      <w:start w:val="1"/>
    </w:lvl>
  </w:abstractNum>
  <w:abstractNum w:abstractNumId="12">
    <w:nsid w:val="36B2ACBC"/>
    <w:multiLevelType w:val="hybridMultilevel"/>
    <w:lvl w:ilvl="0">
      <w:lvlJc w:val="left"/>
      <w:lvlText w:val="•"/>
      <w:numFmt w:val="bullet"/>
      <w:start w:val="1"/>
    </w:lvl>
  </w:abstractNum>
  <w:abstractNum w:abstractNumId="13">
    <w:nsid w:val="779D8544"/>
    <w:multiLevelType w:val="hybridMultilevel"/>
    <w:lvl w:ilvl="0">
      <w:lvlJc w:val="left"/>
      <w:lvlText w:val="•"/>
      <w:numFmt w:val="bullet"/>
      <w:start w:val="1"/>
    </w:lvl>
  </w:abstractNum>
  <w:abstractNum w:abstractNumId="14">
    <w:nsid w:val="4AB26E78"/>
    <w:multiLevelType w:val="hybridMultilevel"/>
    <w:lvl w:ilvl="0">
      <w:lvlJc w:val="left"/>
      <w:lvlText w:val="(%1)"/>
      <w:numFmt w:val="decimal"/>
      <w:start w:val="1"/>
    </w:lvl>
  </w:abstractNum>
  <w:abstractNum w:abstractNumId="15">
    <w:nsid w:val="21FAA2FA"/>
    <w:multiLevelType w:val="hybridMultilevel"/>
    <w:lvl w:ilvl="0">
      <w:lvlJc w:val="left"/>
      <w:lvlText w:val="•"/>
      <w:numFmt w:val="bullet"/>
      <w:start w:val="1"/>
    </w:lvl>
  </w:abstractNum>
  <w:abstractNum w:abstractNumId="16">
    <w:nsid w:val="5451CF49"/>
    <w:multiLevelType w:val="hybridMultilevel"/>
    <w:lvl w:ilvl="0">
      <w:lvlJc w:val="left"/>
      <w:lvlText w:val="(%1)"/>
      <w:numFmt w:val="decimal"/>
      <w:start w:val="1"/>
    </w:lvl>
  </w:abstractNum>
  <w:abstractNum w:abstractNumId="17">
    <w:nsid w:val="6181EF69"/>
    <w:multiLevelType w:val="hybridMultilevel"/>
    <w:lvl w:ilvl="0">
      <w:lvlJc w:val="left"/>
      <w:lvlText w:val="•"/>
      <w:numFmt w:val="bullet"/>
      <w:start w:val="1"/>
    </w:lvl>
  </w:abstractNum>
  <w:abstractNum w:abstractNumId="18">
    <w:nsid w:val="3E6400E6"/>
    <w:multiLevelType w:val="hybridMultilevel"/>
    <w:lvl w:ilvl="0">
      <w:lvlJc w:val="left"/>
      <w:lvlText w:val="•"/>
      <w:numFmt w:val="bullet"/>
      <w:start w:val="1"/>
    </w:lvl>
  </w:abstractNum>
  <w:abstractNum w:abstractNumId="19">
    <w:nsid w:val="14217E23"/>
    <w:multiLevelType w:val="hybridMultilevel"/>
    <w:lvl w:ilvl="0">
      <w:lvlJc w:val="left"/>
      <w:lvlText w:val="•"/>
      <w:numFmt w:val="bullet"/>
      <w:start w:val="1"/>
    </w:lvl>
  </w:abstractNum>
  <w:abstractNum w:abstractNumId="20">
    <w:nsid w:val="710757D0"/>
    <w:multiLevelType w:val="hybridMultilevel"/>
    <w:lvl w:ilvl="0">
      <w:lvlJc w:val="left"/>
      <w:lvlText w:val="•"/>
      <w:numFmt w:val="bullet"/>
      <w:start w:val="1"/>
    </w:lvl>
  </w:abstractNum>
  <w:abstractNum w:abstractNumId="21">
    <w:nsid w:val="5015CD1A"/>
    <w:multiLevelType w:val="hybridMultilevel"/>
    <w:lvl w:ilvl="0">
      <w:lvlJc w:val="left"/>
      <w:lvlText w:val="•"/>
      <w:numFmt w:val="bullet"/>
      <w:start w:val="1"/>
    </w:lvl>
  </w:abstractNum>
  <w:abstractNum w:abstractNumId="22">
    <w:nsid w:val="424479DA"/>
    <w:multiLevelType w:val="hybridMultilevel"/>
    <w:lvl w:ilvl="0">
      <w:lvlJc w:val="left"/>
      <w:lvlText w:val="(%1)"/>
      <w:numFmt w:val="decimal"/>
      <w:start w:val="1"/>
    </w:lvl>
  </w:abstractNum>
  <w:abstractNum w:abstractNumId="23">
    <w:nsid w:val="1A9A9E69"/>
    <w:multiLevelType w:val="hybridMultilevel"/>
    <w:lvl w:ilvl="0">
      <w:lvlJc w:val="left"/>
      <w:lvlText w:val="(%1)"/>
      <w:numFmt w:val="decimal"/>
      <w:start w:val="2"/>
    </w:lvl>
  </w:abstractNum>
  <w:abstractNum w:abstractNumId="24">
    <w:nsid w:val="475E256A"/>
    <w:multiLevelType w:val="hybridMultilevel"/>
    <w:lvl w:ilvl="0">
      <w:lvlJc w:val="left"/>
      <w:lvlText w:val="(%1)"/>
      <w:numFmt w:val="decimal"/>
      <w:start w:val="1"/>
    </w:lvl>
  </w:abstractNum>
  <w:abstractNum w:abstractNumId="25">
    <w:nsid w:val="368DB37E"/>
    <w:multiLevelType w:val="hybridMultilevel"/>
    <w:lvl w:ilvl="0">
      <w:lvlJc w:val="left"/>
      <w:lvlText w:val="(%1)"/>
      <w:numFmt w:val="decimal"/>
      <w:start w:val="4"/>
    </w:lvl>
  </w:abstractNum>
  <w:abstractNum w:abstractNumId="26">
    <w:nsid w:val="6A3B714C"/>
    <w:multiLevelType w:val="hybridMultilevel"/>
    <w:lvl w:ilvl="0">
      <w:lvlJc w:val="left"/>
      <w:lvlText w:val="(%1)"/>
      <w:numFmt w:val="decimal"/>
      <w:start w:val="1"/>
    </w:lvl>
  </w:abstractNum>
  <w:abstractNum w:abstractNumId="27">
    <w:nsid w:val="327B517E"/>
    <w:multiLevelType w:val="hybridMultilevel"/>
    <w:lvl w:ilvl="0">
      <w:lvlJc w:val="left"/>
      <w:lvlText w:val="(%1)"/>
      <w:numFmt w:val="decimal"/>
      <w:start w:val="1"/>
    </w:lvl>
  </w:abstractNum>
  <w:abstractNum w:abstractNumId="28">
    <w:nsid w:val="1F461B51"/>
    <w:multiLevelType w:val="hybridMultilevel"/>
    <w:lvl w:ilvl="0">
      <w:lvlJc w:val="left"/>
      <w:lvlText w:val="•"/>
      <w:numFmt w:val="bullet"/>
      <w:start w:val="1"/>
    </w:lvl>
  </w:abstractNum>
  <w:abstractNum w:abstractNumId="29">
    <w:nsid w:val="29BACF25"/>
    <w:multiLevelType w:val="hybridMultilevel"/>
    <w:lvl w:ilvl="0">
      <w:lvlJc w:val="left"/>
      <w:lvlText w:val="•"/>
      <w:numFmt w:val="bullet"/>
      <w:start w:val="1"/>
    </w:lvl>
  </w:abstractNum>
  <w:abstractNum w:abstractNumId="30">
    <w:nsid w:val="5D5BABB3"/>
    <w:multiLevelType w:val="hybridMultilevel"/>
    <w:lvl w:ilvl="0">
      <w:lvlJc w:val="left"/>
      <w:lvlText w:val="•"/>
      <w:numFmt w:val="bullet"/>
      <w:start w:val="1"/>
    </w:lvl>
  </w:abstractNum>
  <w:abstractNum w:abstractNumId="31">
    <w:nsid w:val="51BF6B48"/>
    <w:multiLevelType w:val="hybridMultilevel"/>
    <w:lvl w:ilvl="0">
      <w:lvlJc w:val="left"/>
      <w:lvlText w:val="•"/>
      <w:numFmt w:val="bullet"/>
      <w:start w:val="1"/>
    </w:lvl>
  </w:abstractNum>
  <w:abstractNum w:abstractNumId="32">
    <w:nsid w:val="7E0F6384"/>
    <w:multiLevelType w:val="hybridMultilevel"/>
    <w:lvl w:ilvl="0">
      <w:lvlJc w:val="left"/>
      <w:lvlText w:val="•"/>
      <w:numFmt w:val="bullet"/>
      <w:start w:val="1"/>
    </w:lvl>
  </w:abstractNum>
  <w:abstractNum w:abstractNumId="33">
    <w:nsid w:val="2B4B8B53"/>
    <w:multiLevelType w:val="hybridMultilevel"/>
    <w:lvl w:ilvl="0">
      <w:lvlJc w:val="left"/>
      <w:lvlText w:val="•"/>
      <w:numFmt w:val="bullet"/>
      <w:start w:val="1"/>
    </w:lvl>
  </w:abstractNum>
  <w:abstractNum w:abstractNumId="34">
    <w:nsid w:val="72E3413A"/>
    <w:multiLevelType w:val="hybridMultilevel"/>
    <w:lvl w:ilvl="0">
      <w:lvlJc w:val="left"/>
      <w:lvlText w:val="•"/>
      <w:numFmt w:val="bullet"/>
      <w:start w:val="1"/>
    </w:lvl>
  </w:abstractNum>
  <w:abstractNum w:abstractNumId="35">
    <w:nsid w:val="116AE494"/>
    <w:multiLevelType w:val="hybridMultilevel"/>
    <w:lvl w:ilvl="0">
      <w:lvlJc w:val="left"/>
      <w:lvlText w:val="•"/>
      <w:numFmt w:val="bullet"/>
      <w:start w:val="1"/>
    </w:lvl>
  </w:abstractNum>
  <w:abstractNum w:abstractNumId="36">
    <w:nsid w:val="3494B2FB"/>
    <w:multiLevelType w:val="hybridMultilevel"/>
    <w:lvl w:ilvl="0">
      <w:lvlJc w:val="left"/>
      <w:lvlText w:val="•"/>
      <w:numFmt w:val="bullet"/>
      <w:start w:val="1"/>
    </w:lvl>
  </w:abstractNum>
  <w:abstractNum w:abstractNumId="37">
    <w:nsid w:val="B13A31"/>
    <w:multiLevelType w:val="hybridMultilevel"/>
    <w:lvl w:ilvl="0">
      <w:lvlJc w:val="left"/>
      <w:lvlText w:val="•"/>
      <w:numFmt w:val="bullet"/>
      <w:start w:val="1"/>
    </w:lvl>
  </w:abstractNum>
  <w:abstractNum w:abstractNumId="38">
    <w:nsid w:val="64429599"/>
    <w:multiLevelType w:val="hybridMultilevel"/>
    <w:lvl w:ilvl="0">
      <w:lvlJc w:val="left"/>
      <w:lvlText w:val="•"/>
      <w:numFmt w:val="bullet"/>
      <w:start w:val="1"/>
    </w:lvl>
  </w:abstractNum>
  <w:abstractNum w:abstractNumId="39">
    <w:nsid w:val="631F1690"/>
    <w:multiLevelType w:val="hybridMultilevel"/>
    <w:lvl w:ilvl="0">
      <w:lvlJc w:val="left"/>
      <w:lvlText w:val="•"/>
      <w:numFmt w:val="bullet"/>
      <w:start w:val="1"/>
    </w:lvl>
  </w:abstractNum>
  <w:abstractNum w:abstractNumId="40">
    <w:nsid w:val="25973E32"/>
    <w:multiLevelType w:val="hybridMultilevel"/>
    <w:lvl w:ilvl="0">
      <w:lvlJc w:val="left"/>
      <w:lvlText w:val="•"/>
      <w:numFmt w:val="bullet"/>
      <w:start w:val="1"/>
    </w:lvl>
  </w:abstractNum>
  <w:abstractNum w:abstractNumId="41">
    <w:nsid w:val="EAD6F57"/>
    <w:multiLevelType w:val="hybridMultilevel"/>
    <w:lvl w:ilvl="0">
      <w:lvlJc w:val="left"/>
      <w:lvlText w:val="•"/>
      <w:numFmt w:val="bullet"/>
      <w:start w:val="1"/>
    </w:lvl>
  </w:abstractNum>
  <w:abstractNum w:abstractNumId="42">
    <w:nsid w:val="6EC9D844"/>
    <w:multiLevelType w:val="hybridMultilevel"/>
    <w:lvl w:ilvl="0">
      <w:lvlJc w:val="left"/>
      <w:lvlText w:val="•"/>
      <w:numFmt w:val="bullet"/>
      <w:start w:val="1"/>
    </w:lvl>
  </w:abstractNum>
  <w:abstractNum w:abstractNumId="43">
    <w:nsid w:val="5C49EAEE"/>
    <w:multiLevelType w:val="hybridMultilevel"/>
    <w:lvl w:ilvl="0">
      <w:lvlJc w:val="left"/>
      <w:lvlText w:val="•"/>
      <w:numFmt w:val="bullet"/>
      <w:start w:val="1"/>
    </w:lvl>
  </w:abstractNum>
  <w:abstractNum w:abstractNumId="44">
    <w:nsid w:val="64AF49B"/>
    <w:multiLevelType w:val="hybridMultilevel"/>
    <w:lvl w:ilvl="0">
      <w:lvlJc w:val="left"/>
      <w:lvlText w:val="•"/>
      <w:numFmt w:val="bullet"/>
      <w:start w:val="1"/>
    </w:lvl>
  </w:abstractNum>
  <w:abstractNum w:abstractNumId="45">
    <w:nsid w:val="397C46BC"/>
    <w:multiLevelType w:val="hybridMultilevel"/>
    <w:lvl w:ilvl="0">
      <w:lvlJc w:val="left"/>
      <w:lvlText w:val="•"/>
      <w:numFmt w:val="bullet"/>
      <w:start w:val="1"/>
    </w:lvl>
  </w:abstractNum>
  <w:abstractNum w:abstractNumId="46">
    <w:nsid w:val="7E448DE9"/>
    <w:multiLevelType w:val="hybridMultilevel"/>
    <w:lvl w:ilvl="0">
      <w:lvlJc w:val="left"/>
      <w:lvlText w:val="•"/>
      <w:numFmt w:val="bullet"/>
      <w:start w:val="1"/>
    </w:lvl>
  </w:abstractNum>
  <w:abstractNum w:abstractNumId="47">
    <w:nsid w:val="5A9CC3E5"/>
    <w:multiLevelType w:val="hybridMultilevel"/>
    <w:lvl w:ilvl="0">
      <w:lvlJc w:val="left"/>
      <w:lvlText w:val="•"/>
      <w:numFmt w:val="bullet"/>
      <w:start w:val="1"/>
    </w:lvl>
  </w:abstractNum>
  <w:abstractNum w:abstractNumId="48">
    <w:nsid w:val="1AFE3625"/>
    <w:multiLevelType w:val="hybridMultilevel"/>
    <w:lvl w:ilvl="0">
      <w:lvlJc w:val="left"/>
      <w:lvlText w:val="•"/>
      <w:numFmt w:val="bullet"/>
      <w:start w:val="1"/>
    </w:lvl>
  </w:abstractNum>
  <w:abstractNum w:abstractNumId="49">
    <w:nsid w:val="3CA88ECF"/>
    <w:multiLevelType w:val="hybridMultilevel"/>
    <w:lvl w:ilvl="0">
      <w:lvlJc w:val="left"/>
      <w:lvlText w:val="(%1)"/>
      <w:numFmt w:val="decimal"/>
      <w:start w:val="1"/>
    </w:lvl>
  </w:abstractNum>
  <w:abstractNum w:abstractNumId="50">
    <w:nsid w:val="6EBE4208"/>
    <w:multiLevelType w:val="hybridMultilevel"/>
    <w:lvl w:ilvl="0">
      <w:lvlJc w:val="left"/>
      <w:lvlText w:val="•"/>
      <w:numFmt w:val="bullet"/>
      <w:start w:val="1"/>
    </w:lvl>
  </w:abstractNum>
  <w:abstractNum w:abstractNumId="51">
    <w:nsid w:val="C058DF5"/>
    <w:multiLevelType w:val="hybridMultilevel"/>
    <w:lvl w:ilvl="0">
      <w:lvlJc w:val="left"/>
      <w:lvlText w:val="•"/>
      <w:numFmt w:val="bullet"/>
      <w:start w:val="1"/>
    </w:lvl>
  </w:abstractNum>
  <w:abstractNum w:abstractNumId="52">
    <w:nsid w:val="CBE5BE9"/>
    <w:multiLevelType w:val="hybridMultilevel"/>
    <w:lvl w:ilvl="0">
      <w:lvlJc w:val="left"/>
      <w:lvlText w:val="•"/>
      <w:numFmt w:val="bullet"/>
      <w:start w:val="1"/>
    </w:lvl>
  </w:abstractNum>
  <w:abstractNum w:abstractNumId="53">
    <w:nsid w:val="3102BBE2"/>
    <w:multiLevelType w:val="hybridMultilevel"/>
    <w:lvl w:ilvl="0">
      <w:lvlJc w:val="left"/>
      <w:lvlText w:val="(%1)"/>
      <w:numFmt w:val="decimal"/>
      <w:start w:val="1"/>
    </w:lvl>
  </w:abstractNum>
  <w:abstractNum w:abstractNumId="54">
    <w:nsid w:val="26A02C5E"/>
    <w:multiLevelType w:val="hybridMultilevel"/>
    <w:lvl w:ilvl="0">
      <w:lvlJc w:val="left"/>
      <w:lvlText w:val="(%1)"/>
      <w:numFmt w:val="decimal"/>
      <w:start w:val="2"/>
    </w:lvl>
  </w:abstractNum>
  <w:abstractNum w:abstractNumId="55">
    <w:nsid w:val="541C8153"/>
    <w:multiLevelType w:val="hybridMultilevel"/>
    <w:lvl w:ilvl="0">
      <w:lvlJc w:val="left"/>
      <w:lvlText w:val="(%1)"/>
      <w:numFmt w:val="decimal"/>
      <w:start w:val="1"/>
    </w:lvl>
  </w:abstractNum>
  <w:abstractNum w:abstractNumId="56">
    <w:nsid w:val="67906F60"/>
    <w:multiLevelType w:val="hybridMultilevel"/>
    <w:lvl w:ilvl="0">
      <w:lvlJc w:val="left"/>
      <w:lvlText w:val="(%1)"/>
      <w:numFmt w:val="decimal"/>
      <w:start w:val="1"/>
    </w:lvl>
  </w:abstractNum>
  <w:abstractNum w:abstractNumId="57">
    <w:nsid w:val="10DB9DAA"/>
    <w:multiLevelType w:val="hybridMultilevel"/>
    <w:lvl w:ilvl="0">
      <w:lvlJc w:val="left"/>
      <w:lvlText w:val="•"/>
      <w:numFmt w:val="bullet"/>
      <w:start w:val="1"/>
    </w:lvl>
    <w:lvl w:ilvl="1">
      <w:lvlJc w:val="left"/>
      <w:lvlText w:val="◦"/>
      <w:numFmt w:val="bullet"/>
      <w:start w:val="1"/>
    </w:lvl>
  </w:abstractNum>
  <w:abstractNum w:abstractNumId="58">
    <w:nsid w:val="697D2D2"/>
    <w:multiLevelType w:val="hybridMultilevel"/>
    <w:lvl w:ilvl="0">
      <w:lvlJc w:val="left"/>
      <w:lvlText w:val="•"/>
      <w:numFmt w:val="bullet"/>
      <w:start w:val="1"/>
    </w:lvl>
    <w:lvl w:ilvl="1">
      <w:lvlJc w:val="left"/>
      <w:lvlText w:val="◦"/>
      <w:numFmt w:val="bullet"/>
      <w:start w:val="1"/>
    </w:lvl>
  </w:abstractNum>
  <w:abstractNum w:abstractNumId="59">
    <w:nsid w:val="6D68AB2"/>
    <w:multiLevelType w:val="hybridMultilevel"/>
    <w:lvl w:ilvl="0">
      <w:lvlJc w:val="left"/>
      <w:lvlText w:val="(%1)"/>
      <w:numFmt w:val="decimal"/>
      <w:start w:val="1"/>
    </w:lvl>
  </w:abstractNum>
  <w:abstractNum w:abstractNumId="60">
    <w:nsid w:val="3A966CD0"/>
    <w:multiLevelType w:val="hybridMultilevel"/>
    <w:lvl w:ilvl="0">
      <w:lvlJc w:val="left"/>
      <w:lvlText w:val="(%1)"/>
      <w:numFmt w:val="decimal"/>
      <w:start w:val="1"/>
    </w:lvl>
  </w:abstractNum>
  <w:abstractNum w:abstractNumId="61">
    <w:nsid w:val="63F37E85"/>
    <w:multiLevelType w:val="hybridMultilevel"/>
    <w:lvl w:ilvl="0">
      <w:lvlJc w:val="left"/>
      <w:lvlText w:val="(%1)"/>
      <w:numFmt w:val="decimal"/>
      <w:start w:val="1"/>
    </w:lvl>
  </w:abstractNum>
  <w:abstractNum w:abstractNumId="62">
    <w:nsid w:val="5895F5FA"/>
    <w:multiLevelType w:val="hybridMultilevel"/>
    <w:lvl w:ilvl="0">
      <w:lvlJc w:val="left"/>
      <w:lvlText w:val="%1."/>
      <w:numFmt w:val="decimal"/>
      <w:start w:val="1"/>
    </w:lvl>
  </w:abstractNum>
  <w:abstractNum w:abstractNumId="63">
    <w:nsid w:val="38A5D054"/>
    <w:multiLevelType w:val="hybridMultilevel"/>
    <w:lvl w:ilvl="0">
      <w:lvlJc w:val="left"/>
      <w:lvlText w:val="•"/>
      <w:numFmt w:val="bullet"/>
      <w:start w:val="1"/>
    </w:lvl>
  </w:abstractNum>
  <w:abstractNum w:abstractNumId="64">
    <w:nsid w:val="F3F09D8"/>
    <w:multiLevelType w:val="hybridMultilevel"/>
    <w:lvl w:ilvl="0">
      <w:lvlJc w:val="left"/>
      <w:lvlText w:val="•"/>
      <w:numFmt w:val="bullet"/>
      <w:start w:val="1"/>
    </w:lvl>
  </w:abstractNum>
  <w:abstractNum w:abstractNumId="65">
    <w:nsid w:val="4B793735"/>
    <w:multiLevelType w:val="hybridMultilevel"/>
    <w:lvl w:ilvl="0">
      <w:lvlJc w:val="left"/>
      <w:lvlText w:val="•"/>
      <w:numFmt w:val="bullet"/>
      <w:start w:val="1"/>
    </w:lvl>
  </w:abstractNum>
  <w:abstractNum w:abstractNumId="66">
    <w:nsid w:val="4A10B4E8"/>
    <w:multiLevelType w:val="hybridMultilevel"/>
    <w:lvl w:ilvl="0">
      <w:lvlJc w:val="left"/>
      <w:lvlText w:val="•"/>
      <w:numFmt w:val="bullet"/>
      <w:start w:val="1"/>
    </w:lvl>
  </w:abstractNum>
  <w:abstractNum w:abstractNumId="67">
    <w:nsid w:val="43D3BCD4"/>
    <w:multiLevelType w:val="hybridMultilevel"/>
    <w:lvl w:ilvl="0">
      <w:lvlJc w:val="left"/>
      <w:lvlText w:val="•"/>
      <w:numFmt w:val="bullet"/>
      <w:start w:val="1"/>
    </w:lvl>
  </w:abstractNum>
  <w:abstractNum w:abstractNumId="68">
    <w:nsid w:val="4C2A7166"/>
    <w:multiLevelType w:val="hybridMultilevel"/>
    <w:lvl w:ilvl="0">
      <w:lvlJc w:val="left"/>
      <w:lvlText w:val="•"/>
      <w:numFmt w:val="bullet"/>
      <w:start w:val="1"/>
    </w:lvl>
  </w:abstractNum>
  <w:abstractNum w:abstractNumId="69">
    <w:nsid w:val="2E534A82"/>
    <w:multiLevelType w:val="hybridMultilevel"/>
    <w:lvl w:ilvl="0">
      <w:lvlJc w:val="left"/>
      <w:lvlText w:val="•"/>
      <w:numFmt w:val="bullet"/>
      <w:start w:val="1"/>
    </w:lvl>
  </w:abstractNum>
  <w:abstractNum w:abstractNumId="70">
    <w:nsid w:val="26F2D364"/>
    <w:multiLevelType w:val="hybridMultilevel"/>
    <w:lvl w:ilvl="0">
      <w:lvlJc w:val="left"/>
      <w:lvlText w:val="•"/>
      <w:numFmt w:val="bullet"/>
      <w:start w:val="1"/>
    </w:lvl>
  </w:abstractNum>
  <w:abstractNum w:abstractNumId="71">
    <w:nsid w:val="71C1AF98"/>
    <w:multiLevelType w:val="hybridMultilevel"/>
    <w:lvl w:ilvl="0">
      <w:lvlJc w:val="left"/>
      <w:lvlText w:val="•"/>
      <w:numFmt w:val="bullet"/>
      <w:start w:val="1"/>
    </w:lvl>
  </w:abstractNum>
  <w:abstractNum w:abstractNumId="72">
    <w:nsid w:val="3D00B9D9"/>
    <w:multiLevelType w:val="hybridMultilevel"/>
    <w:lvl w:ilvl="0">
      <w:lvlJc w:val="left"/>
      <w:lvlText w:val="•"/>
      <w:numFmt w:val="bullet"/>
      <w:start w:val="1"/>
    </w:lvl>
  </w:abstractNum>
  <w:abstractNum w:abstractNumId="73">
    <w:nsid w:val="15BCABA8"/>
    <w:multiLevelType w:val="hybridMultilevel"/>
    <w:lvl w:ilvl="0">
      <w:lvlJc w:val="left"/>
      <w:lvlText w:val="•"/>
      <w:numFmt w:val="bullet"/>
      <w:start w:val="1"/>
    </w:lvl>
  </w:abstractNum>
  <w:abstractNum w:abstractNumId="74">
    <w:nsid w:val="4E0B9A87"/>
    <w:multiLevelType w:val="hybridMultilevel"/>
    <w:lvl w:ilvl="0">
      <w:lvlJc w:val="left"/>
      <w:lvlText w:val="•"/>
      <w:numFmt w:val="bullet"/>
      <w:start w:val="1"/>
    </w:lvl>
  </w:abstractNum>
  <w:abstractNum w:abstractNumId="75">
    <w:nsid w:val="434BAE75"/>
    <w:multiLevelType w:val="hybridMultilevel"/>
    <w:lvl w:ilvl="0">
      <w:lvlJc w:val="left"/>
      <w:lvlText w:val="•"/>
      <w:numFmt w:val="bullet"/>
      <w:start w:val="1"/>
    </w:lvl>
  </w:abstractNum>
  <w:abstractNum w:abstractNumId="76">
    <w:nsid w:val="4F38F265"/>
    <w:multiLevelType w:val="hybridMultilevel"/>
    <w:lvl w:ilvl="0">
      <w:lvlJc w:val="left"/>
      <w:lvlText w:val="•"/>
      <w:numFmt w:val="bullet"/>
      <w:start w:val="1"/>
    </w:lvl>
  </w:abstractNum>
  <w:abstractNum w:abstractNumId="77">
    <w:nsid w:val="4C502870"/>
    <w:multiLevelType w:val="hybridMultilevel"/>
    <w:lvl w:ilvl="0">
      <w:lvlJc w:val="left"/>
      <w:lvlText w:val="•"/>
      <w:numFmt w:val="bullet"/>
      <w:start w:val="1"/>
    </w:lvl>
  </w:abstractNum>
  <w:abstractNum w:abstractNumId="78">
    <w:nsid w:val="1DE8725A"/>
    <w:multiLevelType w:val="hybridMultilevel"/>
    <w:lvl w:ilvl="0">
      <w:lvlJc w:val="left"/>
      <w:lvlText w:val="•"/>
      <w:numFmt w:val="bullet"/>
      <w:start w:val="1"/>
    </w:lvl>
    <w:lvl w:ilvl="1">
      <w:lvlJc w:val="left"/>
      <w:lvlText w:val="◦"/>
      <w:numFmt w:val="bullet"/>
      <w:start w:val="1"/>
    </w:lvl>
  </w:abstractNum>
  <w:abstractNum w:abstractNumId="79">
    <w:nsid w:val="6A37288A"/>
    <w:multiLevelType w:val="hybridMultilevel"/>
    <w:lvl w:ilvl="0">
      <w:lvlJc w:val="left"/>
      <w:lvlText w:val="•"/>
      <w:numFmt w:val="bullet"/>
      <w:start w:val="1"/>
    </w:lvl>
    <w:lvl w:ilvl="1">
      <w:lvlJc w:val="left"/>
      <w:lvlText w:val="◦"/>
      <w:numFmt w:val="bullet"/>
      <w:start w:val="1"/>
    </w:lvl>
  </w:abstractNum>
  <w:abstractNum w:abstractNumId="80">
    <w:nsid w:val="8F8B73F"/>
    <w:multiLevelType w:val="hybridMultilevel"/>
    <w:lvl w:ilvl="0">
      <w:lvlJc w:val="left"/>
      <w:lvlText w:val="•"/>
      <w:numFmt w:val="bullet"/>
      <w:start w:val="1"/>
    </w:lvl>
  </w:abstractNum>
  <w:abstractNum w:abstractNumId="81">
    <w:nsid w:val="CA6B462"/>
    <w:multiLevelType w:val="hybridMultilevel"/>
    <w:lvl w:ilvl="0">
      <w:lvlJc w:val="left"/>
      <w:lvlText w:val="•"/>
      <w:numFmt w:val="bullet"/>
      <w:start w:val="1"/>
    </w:lvl>
  </w:abstractNum>
  <w:abstractNum w:abstractNumId="82">
    <w:nsid w:val="763CB680"/>
    <w:multiLevelType w:val="hybridMultilevel"/>
    <w:lvl w:ilvl="0">
      <w:lvlJc w:val="left"/>
      <w:lvlText w:val="•"/>
      <w:numFmt w:val="bullet"/>
      <w:start w:val="1"/>
    </w:lvl>
  </w:abstractNum>
  <w:abstractNum w:abstractNumId="83">
    <w:nsid w:val="15B71329"/>
    <w:multiLevelType w:val="hybridMultilevel"/>
    <w:lvl w:ilvl="0">
      <w:lvlJc w:val="left"/>
      <w:lvlText w:val="•"/>
      <w:numFmt w:val="bullet"/>
      <w:start w:val="1"/>
    </w:lvl>
  </w:abstractNum>
  <w:abstractNum w:abstractNumId="84">
    <w:nsid w:val="3DA97044"/>
    <w:multiLevelType w:val="hybridMultilevel"/>
    <w:lvl w:ilvl="0">
      <w:lvlJc w:val="left"/>
      <w:lvlText w:val="•"/>
      <w:numFmt w:val="bullet"/>
      <w:start w:val="1"/>
    </w:lvl>
  </w:abstractNum>
  <w:abstractNum w:abstractNumId="85">
    <w:nsid w:val="1CDCE2DE"/>
    <w:multiLevelType w:val="hybridMultilevel"/>
    <w:lvl w:ilvl="0">
      <w:lvlJc w:val="left"/>
      <w:lvlText w:val="•"/>
      <w:numFmt w:val="bullet"/>
      <w:start w:val="1"/>
    </w:lvl>
  </w:abstractNum>
  <w:abstractNum w:abstractNumId="86">
    <w:nsid w:val="69D3947C"/>
    <w:multiLevelType w:val="hybridMultilevel"/>
    <w:lvl w:ilvl="0">
      <w:lvlJc w:val="left"/>
      <w:lvlText w:val="•"/>
      <w:numFmt w:val="bullet"/>
      <w:start w:val="1"/>
    </w:lvl>
  </w:abstractNum>
  <w:abstractNum w:abstractNumId="87">
    <w:nsid w:val="2539DFA5"/>
    <w:multiLevelType w:val="hybridMultilevel"/>
    <w:lvl w:ilvl="0">
      <w:lvlJc w:val="left"/>
      <w:lvlText w:val="•"/>
      <w:numFmt w:val="bullet"/>
      <w:start w:val="1"/>
    </w:lvl>
  </w:abstractNum>
  <w:abstractNum w:abstractNumId="88">
    <w:nsid w:val="2DB88089"/>
    <w:multiLevelType w:val="hybridMultilevel"/>
    <w:lvl w:ilvl="0">
      <w:lvlJc w:val="left"/>
      <w:lvlText w:val="•"/>
      <w:numFmt w:val="bullet"/>
      <w:start w:val="1"/>
    </w:lvl>
  </w:abstractNum>
  <w:abstractNum w:abstractNumId="89">
    <w:nsid w:val="706B674E"/>
    <w:multiLevelType w:val="hybridMultilevel"/>
    <w:lvl w:ilvl="0">
      <w:lvlJc w:val="left"/>
      <w:lvlText w:val="•"/>
      <w:numFmt w:val="bullet"/>
      <w:start w:val="1"/>
    </w:lvl>
  </w:abstractNum>
  <w:abstractNum w:abstractNumId="90">
    <w:nsid w:val="2C106A57"/>
    <w:multiLevelType w:val="hybridMultilevel"/>
    <w:lvl w:ilvl="0">
      <w:lvlJc w:val="left"/>
      <w:lvlText w:val="•"/>
      <w:numFmt w:val="bullet"/>
      <w:start w:val="1"/>
    </w:lvl>
  </w:abstractNum>
  <w:abstractNum w:abstractNumId="91">
    <w:nsid w:val="684EED59"/>
    <w:multiLevelType w:val="hybridMultilevel"/>
    <w:lvl w:ilvl="0">
      <w:lvlJc w:val="left"/>
      <w:lvlText w:val="•"/>
      <w:numFmt w:val="bullet"/>
      <w:start w:val="1"/>
    </w:lvl>
  </w:abstractNum>
  <w:abstractNum w:abstractNumId="92">
    <w:nsid w:val="545EE5D3"/>
    <w:multiLevelType w:val="hybridMultilevel"/>
    <w:lvl w:ilvl="0">
      <w:lvlJc w:val="left"/>
      <w:lvlText w:val="•"/>
      <w:numFmt w:val="bullet"/>
      <w:start w:val="1"/>
    </w:lvl>
  </w:abstractNum>
  <w:abstractNum w:abstractNumId="93">
    <w:nsid w:val="4A66051"/>
    <w:multiLevelType w:val="hybridMultilevel"/>
    <w:lvl w:ilvl="0">
      <w:lvlJc w:val="left"/>
      <w:lvlText w:val="•"/>
      <w:numFmt w:val="bullet"/>
      <w:start w:val="1"/>
    </w:lvl>
  </w:abstractNum>
  <w:abstractNum w:abstractNumId="94">
    <w:nsid w:val="20F4BDAD"/>
    <w:multiLevelType w:val="hybridMultilevel"/>
    <w:lvl w:ilvl="0">
      <w:lvlJc w:val="left"/>
      <w:lvlText w:val="•"/>
      <w:numFmt w:val="bullet"/>
      <w:start w:val="1"/>
    </w:lvl>
  </w:abstractNum>
  <w:abstractNum w:abstractNumId="95">
    <w:nsid w:val="639DEFAC"/>
    <w:multiLevelType w:val="hybridMultilevel"/>
    <w:lvl w:ilvl="0">
      <w:lvlJc w:val="left"/>
      <w:lvlText w:val="•"/>
      <w:numFmt w:val="bullet"/>
      <w:start w:val="1"/>
    </w:lvl>
  </w:abstractNum>
  <w:abstractNum w:abstractNumId="96">
    <w:nsid w:val="501F9786"/>
    <w:multiLevelType w:val="hybridMultilevel"/>
    <w:lvl w:ilvl="0">
      <w:lvlJc w:val="left"/>
      <w:lvlText w:val="•"/>
      <w:numFmt w:val="bullet"/>
      <w:start w:val="1"/>
    </w:lvl>
  </w:abstractNum>
  <w:abstractNum w:abstractNumId="97">
    <w:nsid w:val="6B057295"/>
    <w:multiLevelType w:val="hybridMultilevel"/>
    <w:lvl w:ilvl="0">
      <w:lvlJc w:val="left"/>
      <w:lvlText w:val="%1."/>
      <w:numFmt w:val="decimal"/>
      <w:start w:val="1"/>
    </w:lvl>
  </w:abstractNum>
  <w:abstractNum w:abstractNumId="98">
    <w:nsid w:val="2771AC80"/>
    <w:multiLevelType w:val="hybridMultilevel"/>
    <w:lvl w:ilvl="0">
      <w:lvlJc w:val="left"/>
      <w:lvlText w:val="%1."/>
      <w:numFmt w:val="decimal"/>
      <w:start w:val="1"/>
    </w:lvl>
  </w:abstractNum>
  <w:abstractNum w:abstractNumId="99">
    <w:nsid w:val="1C4A08EC"/>
    <w:multiLevelType w:val="hybridMultilevel"/>
    <w:lvl w:ilvl="0">
      <w:lvlJc w:val="left"/>
      <w:lvlText w:val="%1."/>
      <w:numFmt w:val="decimal"/>
      <w:start w:val="1"/>
    </w:lvl>
  </w:abstractNum>
  <w:abstractNum w:abstractNumId="100">
    <w:nsid w:val="1958BD17"/>
    <w:multiLevelType w:val="hybridMultilevel"/>
    <w:lvl w:ilvl="0">
      <w:lvlJc w:val="left"/>
      <w:lvlText w:val="•"/>
      <w:numFmt w:val="bullet"/>
      <w:start w:val="1"/>
    </w:lvl>
  </w:abstractNum>
  <w:abstractNum w:abstractNumId="101">
    <w:nsid w:val="4E647FE4"/>
    <w:multiLevelType w:val="hybridMultilevel"/>
    <w:lvl w:ilvl="0">
      <w:lvlJc w:val="left"/>
      <w:lvlText w:val="•"/>
      <w:numFmt w:val="bullet"/>
      <w:start w:val="1"/>
    </w:lvl>
  </w:abstractNum>
  <w:abstractNum w:abstractNumId="102">
    <w:nsid w:val="E0BB885"/>
    <w:multiLevelType w:val="hybridMultilevel"/>
    <w:lvl w:ilvl="0">
      <w:lvlJc w:val="left"/>
      <w:lvlText w:val="•"/>
      <w:numFmt w:val="bullet"/>
      <w:start w:val="1"/>
    </w:lvl>
  </w:abstractNum>
  <w:abstractNum w:abstractNumId="103">
    <w:nsid w:val="565976F1"/>
    <w:multiLevelType w:val="hybridMultilevel"/>
    <w:lvl w:ilvl="0">
      <w:lvlJc w:val="left"/>
      <w:lvlText w:val="(%1)"/>
      <w:numFmt w:val="decimal"/>
      <w:start w:val="1"/>
    </w:lvl>
  </w:abstractNum>
  <w:abstractNum w:abstractNumId="104">
    <w:nsid w:val="64212B8C"/>
    <w:multiLevelType w:val="hybridMultilevel"/>
    <w:lvl w:ilvl="0">
      <w:lvlJc w:val="left"/>
      <w:lvlText w:val="•"/>
      <w:numFmt w:val="bullet"/>
      <w:start w:val="1"/>
    </w:lvl>
  </w:abstractNum>
  <w:abstractNum w:abstractNumId="105">
    <w:nsid w:val="5C17530C"/>
    <w:multiLevelType w:val="hybridMultilevel"/>
    <w:lvl w:ilvl="0">
      <w:lvlJc w:val="left"/>
      <w:lvlText w:val="•"/>
      <w:numFmt w:val="bullet"/>
      <w:start w:val="1"/>
    </w:lvl>
  </w:abstractNum>
  <w:abstractNum w:abstractNumId="106">
    <w:nsid w:val="19A52566"/>
    <w:multiLevelType w:val="hybridMultilevel"/>
    <w:lvl w:ilvl="0">
      <w:lvlJc w:val="left"/>
      <w:lvlText w:val="(%1)"/>
      <w:numFmt w:val="decimal"/>
      <w:start w:val="1"/>
    </w:lvl>
  </w:abstractNum>
  <w:abstractNum w:abstractNumId="107">
    <w:nsid w:val="335A1DF1"/>
    <w:multiLevelType w:val="hybridMultilevel"/>
    <w:lvl w:ilvl="0">
      <w:lvlJc w:val="left"/>
      <w:lvlText w:val="(%1)"/>
      <w:numFmt w:val="decimal"/>
      <w:start w:val="1"/>
    </w:lvl>
  </w:abstractNum>
  <w:abstractNum w:abstractNumId="108">
    <w:nsid w:val="28677B7C"/>
    <w:multiLevelType w:val="hybridMultilevel"/>
    <w:lvl w:ilvl="0">
      <w:lvlJc w:val="left"/>
      <w:lvlText w:val="•"/>
      <w:numFmt w:val="bullet"/>
      <w:start w:val="1"/>
    </w:lvl>
  </w:abstractNum>
  <w:abstractNum w:abstractNumId="109">
    <w:nsid w:val="378D97C0"/>
    <w:multiLevelType w:val="hybridMultilevel"/>
    <w:lvl w:ilvl="0">
      <w:lvlJc w:val="left"/>
      <w:lvlText w:val="•"/>
      <w:numFmt w:val="bullet"/>
      <w:start w:val="1"/>
    </w:lvl>
  </w:abstractNum>
  <w:abstractNum w:abstractNumId="110">
    <w:nsid w:val="1D91467C"/>
    <w:multiLevelType w:val="hybridMultilevel"/>
    <w:lvl w:ilvl="0">
      <w:lvlJc w:val="left"/>
      <w:lvlText w:val="•"/>
      <w:numFmt w:val="bullet"/>
      <w:start w:val="1"/>
    </w:lvl>
  </w:abstractNum>
  <w:abstractNum w:abstractNumId="111">
    <w:nsid w:val="316032BB"/>
    <w:multiLevelType w:val="hybridMultilevel"/>
    <w:lvl w:ilvl="0">
      <w:lvlJc w:val="left"/>
      <w:lvlText w:val="(%1)"/>
      <w:numFmt w:val="lowerLetter"/>
      <w:start w:val="1"/>
    </w:lvl>
  </w:abstractNum>
  <w:abstractNum w:abstractNumId="112">
    <w:nsid w:val="44344C22"/>
    <w:multiLevelType w:val="hybridMultilevel"/>
    <w:lvl w:ilvl="0">
      <w:lvlJc w:val="left"/>
      <w:lvlText w:val="•"/>
      <w:numFmt w:val="bullet"/>
      <w:start w:val="1"/>
    </w:lvl>
  </w:abstractNum>
  <w:abstractNum w:abstractNumId="113">
    <w:nsid w:val="13CDFCFC"/>
    <w:multiLevelType w:val="hybridMultilevel"/>
    <w:lvl w:ilvl="0">
      <w:lvlJc w:val="left"/>
      <w:lvlText w:val="•"/>
      <w:numFmt w:val="bullet"/>
      <w:start w:val="1"/>
    </w:lvl>
  </w:abstractNum>
  <w:abstractNum w:abstractNumId="114">
    <w:nsid w:val="471745E4"/>
    <w:multiLevelType w:val="hybridMultilevel"/>
    <w:lvl w:ilvl="0">
      <w:lvlJc w:val="left"/>
      <w:lvlText w:val="•"/>
      <w:numFmt w:val="bullet"/>
      <w:start w:val="1"/>
    </w:lvl>
  </w:abstractNum>
  <w:abstractNum w:abstractNumId="115">
    <w:nsid w:val="1DDBC66"/>
    <w:multiLevelType w:val="hybridMultilevel"/>
    <w:lvl w:ilvl="0">
      <w:lvlJc w:val="left"/>
      <w:lvlText w:val="•"/>
      <w:numFmt w:val="bullet"/>
      <w:start w:val="1"/>
    </w:lvl>
  </w:abstractNum>
  <w:abstractNum w:abstractNumId="116">
    <w:nsid w:val="30AADFDA"/>
    <w:multiLevelType w:val="hybridMultilevel"/>
    <w:lvl w:ilvl="0">
      <w:lvlJc w:val="left"/>
      <w:lvlText w:val="•"/>
      <w:numFmt w:val="bullet"/>
      <w:start w:val="1"/>
    </w:lvl>
  </w:abstractNum>
  <w:abstractNum w:abstractNumId="117">
    <w:nsid w:val="30EADA61"/>
    <w:multiLevelType w:val="hybridMultilevel"/>
    <w:lvl w:ilvl="0">
      <w:lvlJc w:val="left"/>
      <w:lvlText w:val="•"/>
      <w:numFmt w:val="bullet"/>
      <w:start w:val="1"/>
    </w:lvl>
  </w:abstractNum>
  <w:abstractNum w:abstractNumId="118">
    <w:nsid w:val="27179C0B"/>
    <w:multiLevelType w:val="hybridMultilevel"/>
    <w:lvl w:ilvl="0">
      <w:lvlJc w:val="left"/>
      <w:lvlText w:val="•"/>
      <w:numFmt w:val="bullet"/>
      <w:start w:val="1"/>
    </w:lvl>
  </w:abstractNum>
  <w:abstractNum w:abstractNumId="119">
    <w:nsid w:val="5E636063"/>
    <w:multiLevelType w:val="hybridMultilevel"/>
    <w:lvl w:ilvl="0">
      <w:lvlJc w:val="left"/>
      <w:lvlText w:val="•"/>
      <w:numFmt w:val="bullet"/>
      <w:start w:val="1"/>
    </w:lvl>
  </w:abstractNum>
  <w:abstractNum w:abstractNumId="120">
    <w:nsid w:val="215641AF"/>
    <w:multiLevelType w:val="hybridMultilevel"/>
    <w:lvl w:ilvl="0">
      <w:lvlJc w:val="left"/>
      <w:lvlText w:val="•"/>
      <w:numFmt w:val="bullet"/>
      <w:start w:val="1"/>
    </w:lvl>
  </w:abstractNum>
  <w:abstractNum w:abstractNumId="121">
    <w:nsid w:val="53280662"/>
    <w:multiLevelType w:val="hybridMultilevel"/>
    <w:lvl w:ilvl="0">
      <w:lvlJc w:val="left"/>
      <w:lvlText w:val="•"/>
      <w:numFmt w:val="bullet"/>
      <w:start w:val="1"/>
    </w:lvl>
  </w:abstractNum>
  <w:abstractNum w:abstractNumId="122">
    <w:nsid w:val="46B24DBC"/>
    <w:multiLevelType w:val="hybridMultilevel"/>
    <w:lvl w:ilvl="0">
      <w:lvlJc w:val="left"/>
      <w:lvlText w:val="•"/>
      <w:numFmt w:val="bullet"/>
      <w:start w:val="1"/>
    </w:lvl>
  </w:abstractNum>
  <w:abstractNum w:abstractNumId="123">
    <w:nsid w:val="75B52783"/>
    <w:multiLevelType w:val="hybridMultilevel"/>
    <w:lvl w:ilvl="0">
      <w:lvlJc w:val="left"/>
      <w:lvlText w:val="•"/>
      <w:numFmt w:val="bullet"/>
      <w:start w:val="1"/>
    </w:lvl>
  </w:abstractNum>
  <w:abstractNum w:abstractNumId="124">
    <w:nsid w:val="57CE66B4"/>
    <w:multiLevelType w:val="hybridMultilevel"/>
    <w:lvl w:ilvl="0">
      <w:lvlJc w:val="left"/>
      <w:lvlText w:val="%1."/>
      <w:numFmt w:val="decimal"/>
      <w:start w:val="1"/>
    </w:lvl>
  </w:abstractNum>
  <w:abstractNum w:abstractNumId="125">
    <w:nsid w:val="67A70B69"/>
    <w:multiLevelType w:val="hybridMultilevel"/>
    <w:lvl w:ilvl="0">
      <w:lvlJc w:val="left"/>
      <w:lvlText w:val="%1)"/>
      <w:numFmt w:val="lowerLetter"/>
      <w:start w:val="1"/>
    </w:lvl>
  </w:abstractNum>
  <w:abstractNum w:abstractNumId="126">
    <w:nsid w:val="5953172F"/>
    <w:multiLevelType w:val="hybridMultilevel"/>
    <w:lvl w:ilvl="0">
      <w:lvlJc w:val="left"/>
      <w:lvlText w:val="%1)"/>
      <w:numFmt w:val="lowerLetter"/>
      <w:start w:val="1"/>
    </w:lvl>
  </w:abstractNum>
  <w:abstractNum w:abstractNumId="127">
    <w:nsid w:val="27EDFE3A"/>
    <w:multiLevelType w:val="hybridMultilevel"/>
    <w:lvl w:ilvl="0">
      <w:lvlJc w:val="left"/>
      <w:lvlText w:val="•"/>
      <w:numFmt w:val="bullet"/>
      <w:start w:val="1"/>
    </w:lvl>
  </w:abstractNum>
  <w:abstractNum w:abstractNumId="128">
    <w:nsid w:val="52AC7DFF"/>
    <w:multiLevelType w:val="hybridMultilevel"/>
    <w:lvl w:ilvl="0">
      <w:lvlJc w:val="left"/>
      <w:lvlText w:val="(%1)"/>
      <w:numFmt w:val="lowerRoman"/>
      <w:start w:val="1"/>
    </w:lvl>
  </w:abstractNum>
  <w:abstractNum w:abstractNumId="129">
    <w:nsid w:val="C4C3AF"/>
    <w:multiLevelType w:val="hybridMultilevel"/>
    <w:lvl w:ilvl="0">
      <w:lvlJc w:val="left"/>
      <w:lvlText w:val="(%1)"/>
      <w:numFmt w:val="lowerRoman"/>
      <w:start w:val="1"/>
    </w:lvl>
  </w:abstractNum>
  <w:abstractNum w:abstractNumId="130">
    <w:nsid w:val="44380727"/>
    <w:multiLevelType w:val="hybridMultilevel"/>
    <w:lvl w:ilvl="0">
      <w:lvlJc w:val="left"/>
      <w:lvlText w:val="(%1)"/>
      <w:numFmt w:val="lowerLetter"/>
      <w:start w:val="1"/>
    </w:lvl>
  </w:abstractNum>
  <w:abstractNum w:abstractNumId="131">
    <w:nsid w:val="6C053B16"/>
    <w:multiLevelType w:val="hybridMultilevel"/>
    <w:lvl w:ilvl="0">
      <w:lvlJc w:val="left"/>
      <w:lvlText w:val="(%1)"/>
      <w:numFmt w:val="lowerRoman"/>
      <w:start w:val="8"/>
    </w:lvl>
  </w:abstractNum>
  <w:abstractNum w:abstractNumId="132">
    <w:nsid w:val="4F294393"/>
    <w:multiLevelType w:val="hybridMultilevel"/>
    <w:lvl w:ilvl="0">
      <w:lvlJc w:val="left"/>
      <w:lvlText w:val="(%1)"/>
      <w:numFmt w:val="lowerRoman"/>
      <w:start w:val="1"/>
    </w:lvl>
  </w:abstractNum>
  <w:abstractNum w:abstractNumId="133">
    <w:nsid w:val="5243BFAC"/>
    <w:multiLevelType w:val="hybridMultilevel"/>
    <w:lvl w:ilvl="0">
      <w:lvlJc w:val="left"/>
      <w:lvlText w:val="•"/>
      <w:numFmt w:val="bullet"/>
      <w:start w:val="1"/>
    </w:lvl>
  </w:abstractNum>
  <w:abstractNum w:abstractNumId="134">
    <w:nsid w:val="425EB207"/>
    <w:multiLevelType w:val="hybridMultilevel"/>
    <w:lvl w:ilvl="0">
      <w:lvlJc w:val="left"/>
      <w:lvlText w:val="•"/>
      <w:numFmt w:val="bullet"/>
      <w:start w:val="1"/>
    </w:lvl>
  </w:abstractNum>
  <w:abstractNum w:abstractNumId="135">
    <w:nsid w:val="334A6F1F"/>
    <w:multiLevelType w:val="hybridMultilevel"/>
    <w:lvl w:ilvl="0">
      <w:lvlJc w:val="left"/>
      <w:lvlText w:val="%1."/>
      <w:numFmt w:val="decimal"/>
      <w:start w:val="1"/>
    </w:lvl>
  </w:abstractNum>
  <w:abstractNum w:abstractNumId="136">
    <w:nsid w:val="2E5B12B8"/>
    <w:multiLevelType w:val="hybridMultilevel"/>
    <w:lvl w:ilvl="0">
      <w:lvlJc w:val="left"/>
      <w:lvlText w:val="(%1)"/>
      <w:numFmt w:val="decimal"/>
      <w:start w:val="1"/>
    </w:lvl>
  </w:abstractNum>
  <w:abstractNum w:abstractNumId="137">
    <w:nsid w:val="5C03D76D"/>
    <w:multiLevelType w:val="hybridMultilevel"/>
    <w:lvl w:ilvl="0">
      <w:lvlJc w:val="left"/>
      <w:lvlText w:val="(%1)"/>
      <w:numFmt w:val="decimal"/>
      <w:start w:val="1"/>
    </w:lvl>
  </w:abstractNum>
  <w:abstractNum w:abstractNumId="138">
    <w:nsid w:val="66A48D11"/>
    <w:multiLevelType w:val="hybridMultilevel"/>
    <w:lvl w:ilvl="0">
      <w:lvlJc w:val="left"/>
      <w:lvlText w:val="*"/>
      <w:numFmt w:val="bullet"/>
      <w:start w:val="1"/>
    </w:lvl>
  </w:abstractNum>
  <w:abstractNum w:abstractNumId="139">
    <w:nsid w:val="56C28E34"/>
    <w:multiLevelType w:val="hybridMultilevel"/>
    <w:lvl w:ilvl="0">
      <w:lvlJc w:val="left"/>
      <w:lvlText w:val="*"/>
      <w:numFmt w:val="bullet"/>
      <w:start w:val="1"/>
    </w:lvl>
  </w:abstractNum>
  <w:abstractNum w:abstractNumId="140">
    <w:nsid w:val="13916F2D"/>
    <w:multiLevelType w:val="hybridMultilevel"/>
    <w:lvl w:ilvl="0">
      <w:lvlJc w:val="left"/>
      <w:lvlText w:val="•"/>
      <w:numFmt w:val="bullet"/>
      <w:start w:val="1"/>
    </w:lvl>
  </w:abstractNum>
  <w:abstractNum w:abstractNumId="141">
    <w:nsid w:val="435D38D"/>
    <w:multiLevelType w:val="hybridMultilevel"/>
    <w:lvl w:ilvl="0">
      <w:lvlJc w:val="left"/>
      <w:lvlText w:val="*"/>
      <w:numFmt w:val="bullet"/>
      <w:start w:val="1"/>
    </w:lvl>
  </w:abstractNum>
  <w:abstractNum w:abstractNumId="142">
    <w:nsid w:val="822C0EF"/>
    <w:multiLevelType w:val="hybridMultilevel"/>
    <w:lvl w:ilvl="0">
      <w:lvlJc w:val="left"/>
      <w:lvlText w:val="(%1)"/>
      <w:numFmt w:val="lowerLetter"/>
      <w:start w:val="1"/>
    </w:lvl>
  </w:abstractNum>
  <w:abstractNum w:abstractNumId="143">
    <w:nsid w:val="57C5BB4F"/>
    <w:multiLevelType w:val="hybridMultilevel"/>
    <w:lvl w:ilvl="0">
      <w:lvlJc w:val="left"/>
      <w:lvlText w:val="(%1)"/>
      <w:numFmt w:val="decimal"/>
      <w:start w:val="1"/>
    </w:lvl>
  </w:abstractNum>
  <w:abstractNum w:abstractNumId="144">
    <w:nsid w:val="1803D089"/>
    <w:multiLevelType w:val="hybridMultilevel"/>
    <w:lvl w:ilvl="0">
      <w:lvlJc w:val="left"/>
      <w:lvlText w:val="%1."/>
      <w:numFmt w:val="decimal"/>
      <w:start w:val="1"/>
    </w:lvl>
    <w:lvl w:ilvl="1">
      <w:lvlJc w:val="left"/>
      <w:lvlText w:val="(%2)"/>
      <w:numFmt w:val="lowerLetter"/>
      <w:start w:val="1"/>
    </w:lvl>
  </w:abstractNum>
  <w:abstractNum w:abstractNumId="145">
    <w:nsid w:val="4F3A06D4"/>
    <w:multiLevelType w:val="hybridMultilevel"/>
    <w:lvl w:ilvl="0">
      <w:lvlJc w:val="left"/>
      <w:lvlText w:val="(%1)"/>
      <w:numFmt w:val="lowerLetter"/>
      <w:start w:val="2"/>
    </w:lvl>
  </w:abstractNum>
  <w:abstractNum w:abstractNumId="146">
    <w:nsid w:val="59A377B6"/>
    <w:multiLevelType w:val="hybridMultilevel"/>
    <w:lvl w:ilvl="0">
      <w:lvlJc w:val="left"/>
      <w:lvlText w:val="(%1)"/>
      <w:numFmt w:val="lowerLetter"/>
      <w:start w:val="11"/>
    </w:lvl>
  </w:abstractNum>
  <w:abstractNum w:abstractNumId="147">
    <w:nsid w:val="48AEB063"/>
    <w:multiLevelType w:val="hybridMultilevel"/>
    <w:lvl w:ilvl="0">
      <w:lvlJc w:val="left"/>
      <w:lvlText w:val="(%1)"/>
      <w:numFmt w:val="lowerLetter"/>
      <w:start w:val="1"/>
    </w:lvl>
  </w:abstractNum>
  <w:abstractNum w:abstractNumId="148">
    <w:nsid w:val="24E135"/>
    <w:multiLevelType w:val="hybridMultilevel"/>
    <w:lvl w:ilvl="0">
      <w:lvlJc w:val="left"/>
      <w:lvlText w:val="(%1)"/>
      <w:numFmt w:val="lowerRoman"/>
      <w:start w:val="2"/>
    </w:lvl>
  </w:abstractNum>
  <w:abstractNum w:abstractNumId="149">
    <w:nsid w:val="BB13C1"/>
    <w:multiLevelType w:val="hybridMultilevel"/>
    <w:lvl w:ilvl="0">
      <w:lvlJc w:val="left"/>
      <w:lvlText w:val="(%1)"/>
      <w:numFmt w:val="lowerLetter"/>
      <w:start w:val="1"/>
    </w:lvl>
  </w:abstractNum>
  <w:abstractNum w:abstractNumId="150">
    <w:nsid w:val="271210C7"/>
    <w:multiLevelType w:val="hybridMultilevel"/>
    <w:lvl w:ilvl="0">
      <w:lvlJc w:val="left"/>
      <w:lvlText w:val="(%1)"/>
      <w:numFmt w:val="lowerLetter"/>
      <w:start w:val="2"/>
    </w:lvl>
  </w:abstractNum>
  <w:abstractNum w:abstractNumId="151">
    <w:nsid w:val="217B22E4"/>
    <w:multiLevelType w:val="hybridMultilevel"/>
    <w:lvl w:ilvl="0">
      <w:lvlJc w:val="left"/>
      <w:lvlText w:val="(%1)"/>
      <w:numFmt w:val="lowerLetter"/>
      <w:start w:val="1"/>
    </w:lvl>
  </w:abstractNum>
  <w:abstractNum w:abstractNumId="152">
    <w:nsid w:val="53E31A24"/>
    <w:multiLevelType w:val="hybridMultilevel"/>
    <w:lvl w:ilvl="0">
      <w:lvlJc w:val="left"/>
      <w:lvlText w:val="(%1)"/>
      <w:numFmt w:val="lowerLetter"/>
      <w:start w:val="2"/>
    </w:lvl>
  </w:abstractNum>
  <w:abstractNum w:abstractNumId="153">
    <w:nsid w:val="6DC45E83"/>
    <w:multiLevelType w:val="hybridMultilevel"/>
    <w:lvl w:ilvl="0">
      <w:lvlJc w:val="left"/>
      <w:lvlText w:val="(%1)"/>
      <w:numFmt w:val="lowerLetter"/>
      <w:start w:val="8"/>
    </w:lvl>
  </w:abstractNum>
  <w:abstractNum w:abstractNumId="154">
    <w:nsid w:val="17304A67"/>
    <w:multiLevelType w:val="hybridMultilevel"/>
    <w:lvl w:ilvl="0">
      <w:lvlJc w:val="left"/>
      <w:lvlText w:val="(%1)"/>
      <w:numFmt w:val="lowerLetter"/>
      <w:start w:val="1"/>
    </w:lvl>
  </w:abstractNum>
  <w:abstractNum w:abstractNumId="155">
    <w:nsid w:val="2BB180D8"/>
    <w:multiLevelType w:val="hybridMultilevel"/>
    <w:lvl w:ilvl="0">
      <w:lvlJc w:val="left"/>
      <w:lvlText w:val="(%1)"/>
      <w:numFmt w:val="lowerLetter"/>
      <w:start w:val="2"/>
    </w:lvl>
  </w:abstractNum>
  <w:abstractNum w:abstractNumId="156">
    <w:nsid w:val="556B69ED"/>
    <w:multiLevelType w:val="hybridMultilevel"/>
    <w:lvl w:ilvl="0">
      <w:lvlJc w:val="left"/>
      <w:lvlText w:val="(%1)"/>
      <w:numFmt w:val="lowerRoman"/>
      <w:start w:val="1"/>
    </w:lvl>
  </w:abstractNum>
  <w:abstractNum w:abstractNumId="157">
    <w:nsid w:val="70836196"/>
    <w:multiLevelType w:val="hybridMultilevel"/>
    <w:lvl w:ilvl="0">
      <w:lvlJc w:val="left"/>
      <w:lvlText w:val="(%1)"/>
      <w:numFmt w:val="lowerLetter"/>
      <w:start w:val="1"/>
    </w:lvl>
  </w:abstractNum>
  <w:abstractNum w:abstractNumId="158">
    <w:nsid w:val="539F7F12"/>
    <w:multiLevelType w:val="hybridMultilevel"/>
    <w:lvl w:ilvl="0">
      <w:lvlJc w:val="left"/>
      <w:lvlText w:val="(%1)"/>
      <w:numFmt w:val="lowerLetter"/>
      <w:start w:val="2"/>
    </w:lvl>
  </w:abstractNum>
  <w:abstractNum w:abstractNumId="159">
    <w:nsid w:val="2817E7EC"/>
    <w:multiLevelType w:val="hybridMultilevel"/>
    <w:lvl w:ilvl="0">
      <w:lvlJc w:val="left"/>
      <w:lvlText w:val="(%1)"/>
      <w:numFmt w:val="lowerLetter"/>
      <w:start w:val="5"/>
    </w:lvl>
  </w:abstractNum>
  <w:abstractNum w:abstractNumId="160">
    <w:nsid w:val="71482545"/>
    <w:multiLevelType w:val="hybridMultilevel"/>
    <w:lvl w:ilvl="0">
      <w:lvlJc w:val="left"/>
      <w:lvlText w:val="(%1)"/>
      <w:numFmt w:val="lowerLetter"/>
      <w:start w:val="1"/>
    </w:lvl>
  </w:abstractNum>
  <w:abstractNum w:abstractNumId="161">
    <w:nsid w:val="17D78639"/>
    <w:multiLevelType w:val="hybridMultilevel"/>
    <w:lvl w:ilvl="0">
      <w:lvlJc w:val="left"/>
      <w:lvlText w:val="(%1)"/>
      <w:numFmt w:val="lowerLetter"/>
      <w:start w:val="1"/>
    </w:lvl>
  </w:abstractNum>
  <w:abstractNum w:abstractNumId="162">
    <w:nsid w:val="141D2302"/>
    <w:multiLevelType w:val="hybridMultilevel"/>
    <w:lvl w:ilvl="0">
      <w:lvlJc w:val="left"/>
      <w:lvlText w:val="%1."/>
      <w:numFmt w:val="decimal"/>
      <w:start w:val="2"/>
    </w:lvl>
  </w:abstractNum>
  <w:abstractNum w:abstractNumId="163">
    <w:nsid w:val="407168D8"/>
    <w:multiLevelType w:val="hybridMultilevel"/>
    <w:lvl w:ilvl="0">
      <w:lvlJc w:val="left"/>
      <w:lvlText w:val="(%1)"/>
      <w:numFmt w:val="lowerLetter"/>
      <w:start w:val="1"/>
    </w:lvl>
  </w:abstractNum>
  <w:abstractNum w:abstractNumId="164">
    <w:nsid w:val="6A1B45E5"/>
    <w:multiLevelType w:val="hybridMultilevel"/>
    <w:lvl w:ilvl="0">
      <w:lvlJc w:val="left"/>
      <w:lvlText w:val="(%1)"/>
      <w:numFmt w:val="lowerLetter"/>
      <w:start w:val="1"/>
    </w:lvl>
  </w:abstractNum>
  <w:abstractNum w:abstractNumId="165">
    <w:nsid w:val="567BD50A"/>
    <w:multiLevelType w:val="hybridMultilevel"/>
    <w:lvl w:ilvl="0">
      <w:lvlJc w:val="left"/>
      <w:lvlText w:val="(%1)"/>
      <w:numFmt w:val="lowerLetter"/>
      <w:start w:val="2"/>
    </w:lvl>
  </w:abstractNum>
  <w:abstractNum w:abstractNumId="166">
    <w:nsid w:val="73BBD7F8"/>
    <w:multiLevelType w:val="hybridMultilevel"/>
    <w:lvl w:ilvl="0">
      <w:lvlJc w:val="left"/>
      <w:lvlText w:val="%1."/>
      <w:numFmt w:val="decimal"/>
      <w:start w:val="3"/>
    </w:lvl>
  </w:abstractNum>
  <w:abstractNum w:abstractNumId="167">
    <w:nsid w:val="1876589D"/>
    <w:multiLevelType w:val="hybridMultilevel"/>
    <w:lvl w:ilvl="0">
      <w:lvlJc w:val="left"/>
      <w:lvlText w:val="(%1)"/>
      <w:numFmt w:val="lowerLetter"/>
      <w:start w:val="1"/>
    </w:lvl>
  </w:abstractNum>
  <w:abstractNum w:abstractNumId="168">
    <w:nsid w:val="327FAC77"/>
    <w:multiLevelType w:val="hybridMultilevel"/>
    <w:lvl w:ilvl="0">
      <w:lvlJc w:val="left"/>
      <w:lvlText w:val="(%1)"/>
      <w:numFmt w:val="lowerLetter"/>
      <w:start w:val="2"/>
    </w:lvl>
  </w:abstractNum>
  <w:abstractNum w:abstractNumId="169">
    <w:nsid w:val="5A606509"/>
    <w:multiLevelType w:val="hybridMultilevel"/>
    <w:lvl w:ilvl="0">
      <w:lvlJc w:val="left"/>
      <w:lvlText w:val="(%1)"/>
      <w:numFmt w:val="lowerLetter"/>
      <w:start w:val="1"/>
    </w:lvl>
  </w:abstractNum>
  <w:abstractNum w:abstractNumId="170">
    <w:nsid w:val="6F38E6D1"/>
    <w:multiLevelType w:val="hybridMultilevel"/>
    <w:lvl w:ilvl="0">
      <w:lvlJc w:val="left"/>
      <w:lvlText w:val="(%1)"/>
      <w:numFmt w:val="lowerLetter"/>
      <w:start w:val="1"/>
    </w:lvl>
  </w:abstractNum>
  <w:abstractNum w:abstractNumId="171">
    <w:nsid w:val="46111BA5"/>
    <w:multiLevelType w:val="hybridMultilevel"/>
    <w:lvl w:ilvl="0">
      <w:lvlJc w:val="left"/>
      <w:lvlText w:val="(%1)"/>
      <w:numFmt w:val="lowerLetter"/>
      <w:start w:val="5"/>
    </w:lvl>
  </w:abstractNum>
  <w:abstractNum w:abstractNumId="172">
    <w:nsid w:val="5E963896"/>
    <w:multiLevelType w:val="hybridMultilevel"/>
    <w:lvl w:ilvl="0">
      <w:lvlJc w:val="left"/>
      <w:lvlText w:val="(%1)"/>
      <w:numFmt w:val="decimal"/>
      <w:start w:val="1"/>
    </w:lvl>
  </w:abstractNum>
  <w:abstractNum w:abstractNumId="173">
    <w:nsid w:val="775BA7C1"/>
    <w:multiLevelType w:val="hybridMultilevel"/>
    <w:lvl w:ilvl="0">
      <w:lvlJc w:val="left"/>
      <w:lvlText w:val="(%1)"/>
      <w:numFmt w:val="lowerLetter"/>
      <w:start w:val="1"/>
    </w:lvl>
  </w:abstractNum>
  <w:abstractNum w:abstractNumId="174">
    <w:nsid w:val="1DD6D6F4"/>
    <w:multiLevelType w:val="hybridMultilevel"/>
    <w:lvl w:ilvl="0">
      <w:lvlJc w:val="left"/>
      <w:lvlText w:val="%1."/>
      <w:numFmt w:val="decimal"/>
      <w:start w:val="1"/>
    </w:lvl>
  </w:abstractNum>
  <w:abstractNum w:abstractNumId="175">
    <w:nsid w:val="769A091F"/>
    <w:multiLevelType w:val="hybridMultilevel"/>
    <w:lvl w:ilvl="0">
      <w:lvlJc w:val="left"/>
      <w:lvlText w:val="%1."/>
      <w:numFmt w:val="decimal"/>
      <w:start w:val="2"/>
    </w:lvl>
  </w:abstractNum>
  <w:abstractNum w:abstractNumId="176">
    <w:nsid w:val="4695AE95"/>
    <w:multiLevelType w:val="hybridMultilevel"/>
    <w:lvl w:ilvl="0">
      <w:lvlJc w:val="left"/>
      <w:lvlText w:val="%1."/>
      <w:numFmt w:val="decimal"/>
      <w:start w:val="3"/>
    </w:lvl>
  </w:abstractNum>
  <w:abstractNum w:abstractNumId="177">
    <w:nsid w:val="777A4EAA"/>
    <w:multiLevelType w:val="hybridMultilevel"/>
    <w:lvl w:ilvl="0">
      <w:lvlJc w:val="left"/>
      <w:lvlText w:val="(%1)"/>
      <w:numFmt w:val="lowerLetter"/>
      <w:start w:val="1"/>
    </w:lvl>
  </w:abstractNum>
  <w:abstractNum w:abstractNumId="178">
    <w:nsid w:val="3F48B982"/>
    <w:multiLevelType w:val="hybridMultilevel"/>
    <w:lvl w:ilvl="0">
      <w:lvlJc w:val="left"/>
      <w:lvlText w:val="(%1)"/>
      <w:numFmt w:val="lowerLetter"/>
      <w:start w:val="2"/>
    </w:lvl>
  </w:abstractNum>
  <w:abstractNum w:abstractNumId="179">
    <w:nsid w:val="46BA8FCA"/>
    <w:multiLevelType w:val="hybridMultilevel"/>
    <w:lvl w:ilvl="0">
      <w:lvlJc w:val="left"/>
      <w:lvlText w:val="(%1)"/>
      <w:numFmt w:val="lowerLetter"/>
      <w:start w:val="1"/>
    </w:lvl>
  </w:abstractNum>
  <w:abstractNum w:abstractNumId="180">
    <w:nsid w:val="7835626C"/>
    <w:multiLevelType w:val="hybridMultilevel"/>
    <w:lvl w:ilvl="0">
      <w:lvlJc w:val="left"/>
      <w:lvlText w:val="(%1)"/>
      <w:numFmt w:val="lowerLetter"/>
      <w:start w:val="1"/>
    </w:lvl>
  </w:abstractNum>
  <w:abstractNum w:abstractNumId="181">
    <w:nsid w:val="665ACA49"/>
    <w:multiLevelType w:val="hybridMultilevel"/>
    <w:lvl w:ilvl="0">
      <w:lvlJc w:val="left"/>
      <w:lvlText w:val="(%1)"/>
      <w:numFmt w:val="decimal"/>
      <w:start w:val="1"/>
    </w:lvl>
  </w:abstractNum>
  <w:abstractNum w:abstractNumId="182">
    <w:nsid w:val="6835B2AE"/>
    <w:multiLevelType w:val="hybridMultilevel"/>
    <w:lvl w:ilvl="0">
      <w:lvlJc w:val="left"/>
      <w:lvlText w:val="(%1)"/>
      <w:numFmt w:val="lowerLetter"/>
      <w:start w:val="1"/>
    </w:lvl>
  </w:abstractNum>
  <w:abstractNum w:abstractNumId="183">
    <w:nsid w:val="4C187C90"/>
    <w:multiLevelType w:val="hybridMultilevel"/>
    <w:lvl w:ilvl="0">
      <w:lvlJc w:val="left"/>
      <w:lvlText w:val="["/>
      <w:numFmt w:val="bullet"/>
      <w:start w:val="1"/>
    </w:lvl>
  </w:abstractNum>
  <w:abstractNum w:abstractNumId="184">
    <w:nsid w:val="541F28CD"/>
    <w:multiLevelType w:val="hybridMultilevel"/>
    <w:lvl w:ilvl="0">
      <w:lvlJc w:val="left"/>
      <w:lvlText w:val="["/>
      <w:numFmt w:val="bullet"/>
      <w:start w:val="1"/>
    </w:lvl>
  </w:abstractNum>
  <w:abstractNum w:abstractNumId="185">
    <w:nsid w:val="7F65FD16"/>
    <w:multiLevelType w:val="hybridMultilevel"/>
    <w:lvl w:ilvl="0">
      <w:lvlJc w:val="left"/>
      <w:lvlText w:val="["/>
      <w:numFmt w:val="bullet"/>
      <w:start w:val="1"/>
    </w:lvl>
  </w:abstractNum>
  <w:abstractNum w:abstractNumId="186">
    <w:nsid w:val="77C9FD68"/>
    <w:multiLevelType w:val="hybridMultilevel"/>
    <w:lvl w:ilvl="0">
      <w:lvlJc w:val="left"/>
      <w:lvlText w:val="["/>
      <w:numFmt w:val="bullet"/>
      <w:start w:val="1"/>
    </w:lvl>
  </w:abstractNum>
  <w:abstractNum w:abstractNumId="187">
    <w:nsid w:val="298A92BA"/>
    <w:multiLevelType w:val="hybridMultilevel"/>
    <w:lvl w:ilvl="0">
      <w:lvlJc w:val="left"/>
      <w:lvlText w:val="%1."/>
      <w:numFmt w:val="decimal"/>
      <w:start w:val="2"/>
    </w:lvl>
  </w:abstractNum>
  <w:abstractNum w:abstractNumId="188">
    <w:nsid w:val="6FE95EAC"/>
    <w:multiLevelType w:val="hybridMultilevel"/>
    <w:lvl w:ilvl="0">
      <w:lvlJc w:val="left"/>
      <w:lvlText w:val="%1."/>
      <w:numFmt w:val="decimal"/>
      <w:start w:val="3"/>
    </w:lvl>
  </w:abstractNum>
  <w:abstractNum w:abstractNumId="189">
    <w:nsid w:val="4B697C7A"/>
    <w:multiLevelType w:val="hybridMultilevel"/>
    <w:lvl w:ilvl="0">
      <w:lvlJc w:val="left"/>
      <w:lvlText w:val="%1."/>
      <w:numFmt w:val="decimal"/>
      <w:start w:val="1"/>
    </w:lvl>
    <w:lvl w:ilvl="1">
      <w:lvlJc w:val="left"/>
      <w:lvlText w:val="(%2)"/>
      <w:numFmt w:val="lowerLetter"/>
      <w:start w:val="1"/>
    </w:lvl>
  </w:abstractNum>
  <w:abstractNum w:abstractNumId="190">
    <w:nsid w:val="51A27AA6"/>
    <w:multiLevelType w:val="hybridMultilevel"/>
    <w:lvl w:ilvl="0">
      <w:lvlJc w:val="left"/>
      <w:lvlText w:val="%1"/>
      <w:numFmt w:val="decimal"/>
      <w:start w:val="1"/>
    </w:lvl>
    <w:lvl w:ilvl="1">
      <w:lvlJc w:val="left"/>
      <w:lvlText w:val="(%2)"/>
      <w:numFmt w:val="lowerLetter"/>
      <w:start w:val="3"/>
    </w:lvl>
  </w:abstractNum>
  <w:abstractNum w:abstractNumId="191">
    <w:nsid w:val="613183F2"/>
    <w:multiLevelType w:val="hybridMultilevel"/>
    <w:lvl w:ilvl="0">
      <w:lvlJc w:val="left"/>
      <w:lvlText w:val="%1."/>
      <w:numFmt w:val="decimal"/>
      <w:start w:val="2"/>
    </w:lvl>
    <w:lvl w:ilvl="1">
      <w:lvlJc w:val="left"/>
      <w:lvlText w:val="(%2)"/>
      <w:numFmt w:val="lowerLetter"/>
      <w:start w:val="1"/>
    </w:lvl>
  </w:abstractNum>
  <w:abstractNum w:abstractNumId="192">
    <w:nsid w:val="634102B4"/>
    <w:multiLevelType w:val="hybridMultilevel"/>
    <w:lvl w:ilvl="0">
      <w:lvlJc w:val="left"/>
      <w:lvlText w:val="(%1)"/>
      <w:numFmt w:val="lowerLetter"/>
      <w:start w:val="3"/>
    </w:lvl>
  </w:abstractNum>
  <w:abstractNum w:abstractNumId="193">
    <w:nsid w:val="65BF9DA8"/>
    <w:multiLevelType w:val="hybridMultilevel"/>
    <w:lvl w:ilvl="0">
      <w:lvlJc w:val="left"/>
      <w:lvlText w:val="%1"/>
      <w:numFmt w:val="decimal"/>
      <w:start w:val="1"/>
    </w:lvl>
    <w:lvl w:ilvl="1">
      <w:lvlJc w:val="left"/>
      <w:lvlText w:val="(%2)"/>
      <w:numFmt w:val="lowerLetter"/>
      <w:start w:val="4"/>
    </w:lvl>
  </w:abstractNum>
  <w:abstractNum w:abstractNumId="194">
    <w:nsid w:val="21A2ECCA"/>
    <w:multiLevelType w:val="hybridMultilevel"/>
    <w:lvl w:ilvl="0">
      <w:lvlJc w:val="left"/>
      <w:lvlText w:val="%1."/>
      <w:numFmt w:val="decimal"/>
      <w:start w:val="3"/>
    </w:lvl>
    <w:lvl w:ilvl="1">
      <w:lvlJc w:val="left"/>
      <w:lvlText w:val="(%2)"/>
      <w:numFmt w:val="lowerLetter"/>
      <w:start w:val="1"/>
    </w:lvl>
  </w:abstractNum>
  <w:abstractNum w:abstractNumId="195">
    <w:nsid w:val="4D5C4899"/>
    <w:multiLevelType w:val="hybridMultilevel"/>
    <w:lvl w:ilvl="0">
      <w:lvlJc w:val="left"/>
      <w:lvlText w:val="(%1)"/>
      <w:numFmt w:val="lowerLetter"/>
      <w:start w:val="2"/>
    </w:lvl>
  </w:abstractNum>
  <w:abstractNum w:abstractNumId="196">
    <w:nsid w:val="3C3B72B2"/>
    <w:multiLevelType w:val="hybridMultilevel"/>
    <w:lvl w:ilvl="0">
      <w:lvlJc w:val="left"/>
      <w:lvlText w:val="%1."/>
      <w:numFmt w:val="decimal"/>
      <w:start w:val="4"/>
    </w:lvl>
    <w:lvl w:ilvl="1">
      <w:lvlJc w:val="left"/>
      <w:lvlText w:val="(%2)"/>
      <w:numFmt w:val="lowerLetter"/>
      <w:start w:val="1"/>
    </w:lvl>
  </w:abstractNum>
  <w:abstractNum w:abstractNumId="197">
    <w:nsid w:val="155EC4C2"/>
    <w:multiLevelType w:val="hybridMultilevel"/>
    <w:lvl w:ilvl="0">
      <w:lvlJc w:val="left"/>
      <w:lvlText w:val="%1."/>
      <w:numFmt w:val="decimal"/>
      <w:start w:val="5"/>
    </w:lvl>
  </w:abstractNum>
  <w:abstractNum w:abstractNumId="198">
    <w:nsid w:val="65D2A137"/>
    <w:multiLevelType w:val="hybridMultilevel"/>
    <w:lvl w:ilvl="0">
      <w:lvlJc w:val="left"/>
      <w:lvlText w:val="%1."/>
      <w:numFmt w:val="decimal"/>
      <w:start w:val="10"/>
    </w:lvl>
  </w:abstractNum>
  <w:abstractNum w:abstractNumId="199">
    <w:nsid w:val="6EBB1F2A"/>
    <w:multiLevelType w:val="hybridMultilevel"/>
    <w:lvl w:ilvl="0">
      <w:lvlJc w:val="left"/>
      <w:lvlText w:val="%1"/>
      <w:numFmt w:val="lowerLetter"/>
      <w:start w:val="1"/>
    </w:lvl>
    <w:lvl w:ilvl="1">
      <w:lvlJc w:val="left"/>
      <w:lvlText w:val="%2."/>
      <w:numFmt w:val="decimal"/>
      <w:start w:val="12"/>
    </w:lvl>
  </w:abstractNum>
  <w:abstractNum w:abstractNumId="200">
    <w:nsid w:val="6FBF29CB"/>
    <w:multiLevelType w:val="hybridMultilevel"/>
    <w:lvl w:ilvl="0">
      <w:lvlJc w:val="left"/>
      <w:lvlText w:val="(%1)"/>
      <w:numFmt w:val="lowerLetter"/>
      <w:start w:val="5"/>
    </w:lvl>
    <w:lvl w:ilvl="1">
      <w:lvlJc w:val="left"/>
      <w:lvlText w:val="%2."/>
      <w:numFmt w:val="decimal"/>
      <w:start w:val="13"/>
    </w:lvl>
  </w:abstractNum>
  <w:abstractNum w:abstractNumId="201">
    <w:nsid w:val="550B8808"/>
    <w:multiLevelType w:val="hybridMultilevel"/>
    <w:lvl w:ilvl="0">
      <w:lvlJc w:val="left"/>
      <w:lvlText w:val="%1."/>
      <w:numFmt w:val="decimal"/>
      <w:start w:val="18"/>
    </w:lvl>
  </w:abstractNum>
  <w:abstractNum w:abstractNumId="202">
    <w:nsid w:val="34CC3ACF"/>
    <w:multiLevelType w:val="hybridMultilevel"/>
    <w:lvl w:ilvl="0">
      <w:lvlJc w:val="left"/>
      <w:lvlText w:val="%1."/>
      <w:numFmt w:val="decimal"/>
      <w:start w:val="1"/>
    </w:lvl>
  </w:abstractNum>
  <w:abstractNum w:abstractNumId="203">
    <w:nsid w:val="4E556261"/>
    <w:multiLevelType w:val="hybridMultilevel"/>
    <w:lvl w:ilvl="0">
      <w:lvlJc w:val="left"/>
      <w:lvlText w:val="%1."/>
      <w:numFmt w:val="decimal"/>
      <w:start w:val="2"/>
    </w:lvl>
  </w:abstractNum>
  <w:abstractNum w:abstractNumId="204">
    <w:nsid w:val="4C672FC9"/>
    <w:multiLevelType w:val="hybridMultilevel"/>
    <w:lvl w:ilvl="0">
      <w:lvlJc w:val="left"/>
      <w:lvlText w:val="(%1)"/>
      <w:numFmt w:val="lowerLetter"/>
      <w:start w:val="1"/>
    </w:lvl>
  </w:abstractNum>
  <w:abstractNum w:abstractNumId="205">
    <w:nsid w:val="52A311C3"/>
    <w:multiLevelType w:val="hybridMultilevel"/>
    <w:lvl w:ilvl="0">
      <w:lvlJc w:val="left"/>
      <w:lvlText w:val="(%1)"/>
      <w:numFmt w:val="lowerLetter"/>
      <w:start w:val="2"/>
    </w:lvl>
  </w:abstractNum>
  <w:abstractNum w:abstractNumId="206">
    <w:nsid w:val="44EF6B80"/>
    <w:multiLevelType w:val="hybridMultilevel"/>
    <w:lvl w:ilvl="0">
      <w:lvlJc w:val="left"/>
      <w:lvlText w:val="(%1)"/>
      <w:numFmt w:val="lowerLetter"/>
      <w:start w:val="1"/>
    </w:lvl>
    <w:lvl w:ilvl="1">
      <w:lvlJc w:val="left"/>
      <w:lvlText w:val="(%2)"/>
      <w:numFmt w:val="lowerRoman"/>
      <w:start w:val="1"/>
    </w:lvl>
  </w:abstractNum>
  <w:abstractNum w:abstractNumId="207">
    <w:nsid w:val="12FCDE5E"/>
    <w:multiLevelType w:val="hybridMultilevel"/>
    <w:lvl w:ilvl="0">
      <w:lvlJc w:val="left"/>
      <w:lvlText w:val="(%1)"/>
      <w:numFmt w:val="lowerLetter"/>
      <w:start w:val="2"/>
    </w:lvl>
  </w:abstractNum>
  <w:abstractNum w:abstractNumId="208">
    <w:nsid w:val="4A1D606E"/>
    <w:multiLevelType w:val="hybridMultilevel"/>
    <w:lvl w:ilvl="0">
      <w:lvlJc w:val="left"/>
      <w:lvlText w:val="(%1)"/>
      <w:numFmt w:val="lowerLetter"/>
      <w:start w:val="3"/>
    </w:lvl>
    <w:lvl w:ilvl="1">
      <w:lvlJc w:val="left"/>
      <w:lvlText w:val="(%2)"/>
      <w:numFmt w:val="lowerRoman"/>
      <w:start w:val="1"/>
    </w:lvl>
  </w:abstractNum>
  <w:abstractNum w:abstractNumId="209">
    <w:nsid w:val="4382503"/>
    <w:multiLevelType w:val="hybridMultilevel"/>
    <w:lvl w:ilvl="0">
      <w:lvlJc w:val="left"/>
      <w:lvlText w:val="(%1)"/>
      <w:numFmt w:val="lowerLetter"/>
      <w:start w:val="5"/>
    </w:lvl>
    <w:lvl w:ilvl="1">
      <w:lvlJc w:val="left"/>
      <w:lvlText w:val="(%2)"/>
      <w:numFmt w:val="lowerRoman"/>
      <w:start w:val="1"/>
    </w:lvl>
  </w:abstractNum>
  <w:abstractNum w:abstractNumId="210">
    <w:nsid w:val="59B76E28"/>
    <w:multiLevelType w:val="hybridMultilevel"/>
    <w:lvl w:ilvl="0">
      <w:lvlJc w:val="left"/>
      <w:lvlText w:val="(%1)"/>
      <w:numFmt w:val="lowerLetter"/>
      <w:start w:val="1"/>
    </w:lvl>
  </w:abstractNum>
  <w:abstractNum w:abstractNumId="211">
    <w:nsid w:val="4252C2DA"/>
    <w:multiLevelType w:val="hybridMultilevel"/>
    <w:lvl w:ilvl="0">
      <w:lvlJc w:val="left"/>
      <w:lvlText w:val="%1"/>
      <w:numFmt w:val="lowerLetter"/>
      <w:start w:val="1"/>
    </w:lvl>
    <w:lvl w:ilvl="1">
      <w:lvlJc w:val="left"/>
      <w:lvlText w:val="(%2)"/>
      <w:numFmt w:val="lowerLetter"/>
      <w:start w:val="2"/>
    </w:lvl>
  </w:abstractNum>
  <w:abstractNum w:abstractNumId="212">
    <w:nsid w:val="6A92EF4C"/>
    <w:multiLevelType w:val="hybridMultilevel"/>
    <w:lvl w:ilvl="0">
      <w:lvlJc w:val="left"/>
      <w:lvlText w:val="(%1)"/>
      <w:numFmt w:val="lowerLetter"/>
      <w:start w:val="35"/>
    </w:lvl>
    <w:lvl w:ilvl="1">
      <w:lvlJc w:val="left"/>
      <w:lvlText w:val="(%2)"/>
      <w:numFmt w:val="lowerLetter"/>
      <w:start w:val="4"/>
    </w:lvl>
  </w:abstractNum>
  <w:abstractNum w:abstractNumId="213">
    <w:nsid w:val="41ED20D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14">
    <w:nsid w:val="E6B3F6A"/>
    <w:multiLevelType w:val="hybridMultilevel"/>
    <w:lvl w:ilvl="0">
      <w:lvlJc w:val="left"/>
      <w:lvlText w:val="%1"/>
      <w:numFmt w:val="lowerLetter"/>
      <w:start w:val="1"/>
    </w:lvl>
    <w:lvl w:ilvl="1">
      <w:lvlJc w:val="left"/>
      <w:lvlText w:val="(%2)"/>
      <w:numFmt w:val="lowerLetter"/>
      <w:start w:val="22"/>
    </w:lvl>
  </w:abstractNum>
  <w:abstractNum w:abstractNumId="215">
    <w:nsid w:val="3EB21819"/>
    <w:multiLevelType w:val="hybridMultilevel"/>
    <w:lvl w:ilvl="0">
      <w:lvlJc w:val="left"/>
      <w:lvlText w:val="(%1)"/>
      <w:numFmt w:val="lowerLetter"/>
      <w:start w:val="2"/>
    </w:lvl>
    <w:lvl w:ilvl="1">
      <w:lvlJc w:val="left"/>
      <w:lvlText w:val="%2"/>
      <w:numFmt w:val="lowerLetter"/>
      <w:start w:val="1"/>
    </w:lvl>
  </w:abstractNum>
  <w:abstractNum w:abstractNumId="216">
    <w:nsid w:val="41531DED"/>
    <w:multiLevelType w:val="hybridMultilevel"/>
    <w:lvl w:ilvl="0">
      <w:lvlJc w:val="left"/>
      <w:lvlText w:val="(%1)"/>
      <w:numFmt w:val="lowerLetter"/>
      <w:start w:val="1"/>
    </w:lvl>
  </w:abstractNum>
  <w:abstractNum w:abstractNumId="217">
    <w:nsid w:val="6353CD2"/>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218">
    <w:nsid w:val="683CAAD3"/>
    <w:multiLevelType w:val="hybridMultilevel"/>
    <w:lvl w:ilvl="0">
      <w:lvlJc w:val="left"/>
      <w:lvlText w:val="(%1)"/>
      <w:numFmt w:val="lowerLetter"/>
      <w:start w:val="7"/>
    </w:lvl>
  </w:abstractNum>
  <w:abstractNum w:abstractNumId="219">
    <w:nsid w:val="313C7C99"/>
    <w:multiLevelType w:val="hybridMultilevel"/>
    <w:lvl w:ilvl="0">
      <w:lvlJc w:val="left"/>
      <w:lvlText w:val="(%1)"/>
      <w:numFmt w:val="lowerLetter"/>
      <w:start w:val="1"/>
    </w:lvl>
    <w:lvl w:ilvl="1">
      <w:lvlJc w:val="left"/>
      <w:lvlText w:val="(%2)"/>
      <w:numFmt w:val="lowerRoman"/>
      <w:start w:val="1"/>
    </w:lvl>
  </w:abstractNum>
  <w:abstractNum w:abstractNumId="220">
    <w:nsid w:val="519EB94C"/>
    <w:multiLevelType w:val="hybridMultilevel"/>
    <w:lvl w:ilvl="0">
      <w:lvlJc w:val="left"/>
      <w:lvlText w:val="%1"/>
      <w:numFmt w:val="decimal"/>
      <w:start w:val="1"/>
    </w:lvl>
    <w:lvl w:ilvl="1">
      <w:lvlJc w:val="left"/>
      <w:lvlText w:val="(%2)"/>
      <w:numFmt w:val="lowerLetter"/>
      <w:start w:val="3"/>
    </w:lvl>
  </w:abstractNum>
  <w:abstractNum w:abstractNumId="221">
    <w:nsid w:val="39DF2579"/>
    <w:multiLevelType w:val="hybridMultilevel"/>
    <w:lvl w:ilvl="0">
      <w:lvlJc w:val="left"/>
      <w:lvlText w:val="%1."/>
      <w:numFmt w:val="decimal"/>
      <w:start w:val="3"/>
    </w:lvl>
    <w:lvl w:ilvl="1">
      <w:lvlJc w:val="left"/>
      <w:lvlText w:val="%2"/>
      <w:numFmt w:val="lowerLetter"/>
      <w:start w:val="1"/>
    </w:lvl>
  </w:abstractNum>
  <w:abstractNum w:abstractNumId="222">
    <w:nsid w:val="126E008B"/>
    <w:multiLevelType w:val="hybridMultilevel"/>
    <w:lvl w:ilvl="0">
      <w:lvlJc w:val="left"/>
      <w:lvlText w:val="(%1)"/>
      <w:numFmt w:val="lowerLetter"/>
      <w:start w:val="1"/>
    </w:lvl>
  </w:abstractNum>
  <w:abstractNum w:abstractNumId="223">
    <w:nsid w:val="34DFBC00"/>
    <w:multiLevelType w:val="hybridMultilevel"/>
    <w:lvl w:ilvl="0">
      <w:lvlJc w:val="left"/>
      <w:lvlText w:val="(%1)"/>
      <w:numFmt w:val="lowerLetter"/>
      <w:start w:val="1"/>
    </w:lvl>
  </w:abstractNum>
  <w:abstractNum w:abstractNumId="224">
    <w:nsid w:val="1F9EC322"/>
    <w:multiLevelType w:val="hybridMultilevel"/>
    <w:lvl w:ilvl="0">
      <w:lvlJc w:val="left"/>
      <w:lvlText w:val="%1."/>
      <w:numFmt w:val="decimal"/>
      <w:start w:val="4"/>
    </w:lvl>
  </w:abstractNum>
  <w:abstractNum w:abstractNumId="225">
    <w:nsid w:val="3410ED56"/>
    <w:multiLevelType w:val="hybridMultilevel"/>
    <w:lvl w:ilvl="0">
      <w:lvlJc w:val="left"/>
      <w:lvlText w:val="%1."/>
      <w:numFmt w:val="decimal"/>
      <w:start w:val="5"/>
    </w:lvl>
  </w:abstractNum>
  <w:abstractNum w:abstractNumId="226">
    <w:nsid w:val="23C049A"/>
    <w:multiLevelType w:val="hybridMultilevel"/>
    <w:lvl w:ilvl="0">
      <w:lvlJc w:val="left"/>
      <w:lvlText w:val="(%1)"/>
      <w:numFmt w:val="lowerLetter"/>
      <w:start w:val="1"/>
    </w:lvl>
  </w:abstractNum>
  <w:abstractNum w:abstractNumId="227">
    <w:nsid w:val="5BDA35D4"/>
    <w:multiLevelType w:val="hybridMultilevel"/>
    <w:lvl w:ilvl="0">
      <w:lvlJc w:val="left"/>
      <w:lvlText w:val="(%1)"/>
      <w:numFmt w:val="lowerLetter"/>
      <w:start w:val="1"/>
    </w:lvl>
  </w:abstractNum>
  <w:abstractNum w:abstractNumId="228">
    <w:nsid w:val="496FB218"/>
    <w:multiLevelType w:val="hybridMultilevel"/>
    <w:lvl w:ilvl="0">
      <w:lvlJc w:val="left"/>
      <w:lvlText w:val="(%1)"/>
      <w:numFmt w:val="lowerLetter"/>
      <w:start w:val="4"/>
    </w:lvl>
  </w:abstractNum>
  <w:abstractNum w:abstractNumId="229">
    <w:nsid w:val="680EA5D1"/>
    <w:multiLevelType w:val="hybridMultilevel"/>
    <w:lvl w:ilvl="0">
      <w:lvlJc w:val="left"/>
      <w:lvlText w:val="(%1)"/>
      <w:numFmt w:val="lowerLetter"/>
      <w:start w:val="1"/>
    </w:lvl>
  </w:abstractNum>
  <w:abstractNum w:abstractNumId="230">
    <w:nsid w:val="4A9554FE"/>
    <w:multiLevelType w:val="hybridMultilevel"/>
    <w:lvl w:ilvl="0">
      <w:lvlJc w:val="left"/>
      <w:lvlText w:val="(%1)"/>
      <w:numFmt w:val="lowerLetter"/>
      <w:start w:val="4"/>
    </w:lvl>
  </w:abstractNum>
  <w:abstractNum w:abstractNumId="231">
    <w:nsid w:val="392EDBE4"/>
    <w:multiLevelType w:val="hybridMultilevel"/>
    <w:lvl w:ilvl="0">
      <w:lvlJc w:val="left"/>
      <w:lvlText w:val="%1."/>
      <w:numFmt w:val="decimal"/>
      <w:start w:val="6"/>
    </w:lvl>
  </w:abstractNum>
  <w:abstractNum w:abstractNumId="232">
    <w:nsid w:val="3D1A2DD9"/>
    <w:multiLevelType w:val="hybridMultilevel"/>
    <w:lvl w:ilvl="0">
      <w:lvlJc w:val="left"/>
      <w:lvlText w:val="%1"/>
      <w:numFmt w:val="decimal"/>
      <w:start w:val="1"/>
    </w:lvl>
    <w:lvl w:ilvl="1">
      <w:lvlJc w:val="left"/>
      <w:lvlText w:val="(%2)"/>
      <w:numFmt w:val="lowerLetter"/>
      <w:start w:val="2"/>
    </w:lvl>
  </w:abstractNum>
  <w:abstractNum w:abstractNumId="233">
    <w:nsid w:val="7F618FCD"/>
    <w:multiLevelType w:val="hybridMultilevel"/>
    <w:lvl w:ilvl="0">
      <w:lvlJc w:val="left"/>
      <w:lvlText w:val="(%1)"/>
      <w:numFmt w:val="decimal"/>
      <w:start w:val="120"/>
    </w:lvl>
    <w:lvl w:ilvl="1">
      <w:lvlJc w:val="left"/>
      <w:lvlText w:val="(%2)"/>
      <w:numFmt w:val="lowerLetter"/>
      <w:start w:val="6"/>
    </w:lvl>
  </w:abstractNum>
  <w:abstractNum w:abstractNumId="234">
    <w:nsid w:val="7843E45"/>
    <w:multiLevelType w:val="hybridMultilevel"/>
    <w:lvl w:ilvl="0">
      <w:lvlJc w:val="left"/>
      <w:lvlText w:val="(%1)"/>
      <w:numFmt w:val="lowerLetter"/>
      <w:start w:val="11"/>
    </w:lvl>
  </w:abstractNum>
  <w:abstractNum w:abstractNumId="235">
    <w:nsid w:val="9815DA3"/>
    <w:multiLevelType w:val="hybridMultilevel"/>
    <w:lvl w:ilvl="0">
      <w:lvlJc w:val="left"/>
      <w:lvlText w:val="%1"/>
      <w:numFmt w:val="lowerLetter"/>
      <w:start w:val="1"/>
    </w:lvl>
    <w:lvl w:ilvl="1">
      <w:lvlJc w:val="left"/>
      <w:lvlText w:val="(%2)"/>
      <w:numFmt w:val="lowerLetter"/>
      <w:start w:val="1"/>
    </w:lvl>
  </w:abstractNum>
  <w:abstractNum w:abstractNumId="236">
    <w:nsid w:val="5204A191"/>
    <w:multiLevelType w:val="hybridMultilevel"/>
    <w:lvl w:ilvl="0">
      <w:lvlJc w:val="left"/>
      <w:lvlText w:val="(%1)"/>
      <w:numFmt w:val="lowerLetter"/>
      <w:start w:val="2"/>
    </w:lvl>
    <w:lvl w:ilvl="1">
      <w:lvlJc w:val="left"/>
      <w:lvlText w:val="(%2)"/>
      <w:numFmt w:val="lowerLetter"/>
      <w:start w:val="4"/>
    </w:lvl>
  </w:abstractNum>
  <w:abstractNum w:abstractNumId="237">
    <w:nsid w:val="4C73A9C6"/>
    <w:multiLevelType w:val="hybridMultilevel"/>
    <w:lvl w:ilvl="0">
      <w:lvlJc w:val="left"/>
      <w:lvlText w:val="(%1)"/>
      <w:numFmt w:val="lowerLetter"/>
      <w:start w:val="5"/>
    </w:lvl>
  </w:abstractNum>
  <w:abstractNum w:abstractNumId="238">
    <w:nsid w:val="1C7E3C01"/>
    <w:multiLevelType w:val="hybridMultilevel"/>
    <w:lvl w:ilvl="0">
      <w:lvlJc w:val="left"/>
      <w:lvlText w:val="(%1)"/>
      <w:numFmt w:val="lowerLetter"/>
      <w:start w:val="1"/>
    </w:lvl>
  </w:abstractNum>
  <w:abstractNum w:abstractNumId="239">
    <w:nsid w:val="1C2201FF"/>
    <w:multiLevelType w:val="hybridMultilevel"/>
    <w:lvl w:ilvl="0">
      <w:lvlJc w:val="left"/>
      <w:lvlText w:val="(%1)"/>
      <w:numFmt w:val="lowerLetter"/>
      <w:start w:val="1"/>
    </w:lvl>
  </w:abstractNum>
  <w:abstractNum w:abstractNumId="240">
    <w:nsid w:val="50ABCEC9"/>
    <w:multiLevelType w:val="hybridMultilevel"/>
    <w:lvl w:ilvl="0">
      <w:lvlJc w:val="left"/>
      <w:lvlText w:val="(%1)"/>
      <w:numFmt w:val="lowerLetter"/>
      <w:start w:val="3"/>
    </w:lvl>
  </w:abstractNum>
  <w:abstractNum w:abstractNumId="241">
    <w:nsid w:val="7635AA2A"/>
    <w:multiLevelType w:val="hybridMultilevel"/>
    <w:lvl w:ilvl="0">
      <w:lvlJc w:val="left"/>
      <w:lvlText w:val="(%1)"/>
      <w:numFmt w:val="lowerLetter"/>
      <w:start w:val="1"/>
    </w:lvl>
    <w:lvl w:ilvl="1">
      <w:lvlJc w:val="left"/>
      <w:lvlText w:val="(%2)"/>
      <w:numFmt w:val="lowerRoman"/>
      <w:start w:val="1"/>
    </w:lvl>
  </w:abstractNum>
  <w:abstractNum w:abstractNumId="242">
    <w:nsid w:val="5E74C4D9"/>
    <w:multiLevelType w:val="hybridMultilevel"/>
    <w:lvl w:ilvl="0">
      <w:lvlJc w:val="left"/>
      <w:lvlText w:val="(%1)"/>
      <w:numFmt w:val="lowerRoman"/>
      <w:start w:val="2"/>
    </w:lvl>
  </w:abstractNum>
  <w:abstractNum w:abstractNumId="243">
    <w:nsid w:val="3B3EBE15"/>
    <w:multiLevelType w:val="hybridMultilevel"/>
    <w:lvl w:ilvl="0">
      <w:lvlJc w:val="left"/>
      <w:lvlText w:val="(%1)"/>
      <w:numFmt w:val="lowerLetter"/>
      <w:start w:val="1"/>
    </w:lvl>
  </w:abstractNum>
  <w:abstractNum w:abstractNumId="244">
    <w:nsid w:val="3822CB01"/>
    <w:multiLevelType w:val="hybridMultilevel"/>
    <w:lvl w:ilvl="0">
      <w:lvlJc w:val="left"/>
      <w:lvlText w:val="(%1)"/>
      <w:numFmt w:val="lowerLetter"/>
      <w:start w:val="1"/>
    </w:lvl>
  </w:abstractNum>
  <w:abstractNum w:abstractNumId="245">
    <w:nsid w:val="6CE00443"/>
    <w:multiLevelType w:val="hybridMultilevel"/>
    <w:lvl w:ilvl="0">
      <w:lvlJc w:val="left"/>
      <w:lvlText w:val="(%1)"/>
      <w:numFmt w:val="lowerLetter"/>
      <w:start w:val="3"/>
    </w:lvl>
  </w:abstractNum>
  <w:abstractNum w:abstractNumId="246">
    <w:nsid w:val="79F0D62F"/>
    <w:multiLevelType w:val="hybridMultilevel"/>
    <w:lvl w:ilvl="0">
      <w:lvlJc w:val="left"/>
      <w:lvlText w:val="%1."/>
      <w:numFmt w:val="decimal"/>
      <w:start w:val="7"/>
    </w:lvl>
  </w:abstractNum>
  <w:abstractNum w:abstractNumId="247">
    <w:nsid w:val="7975E8EE"/>
    <w:multiLevelType w:val="hybridMultilevel"/>
    <w:lvl w:ilvl="0">
      <w:lvlJc w:val="left"/>
      <w:lvlText w:val="(%1)"/>
      <w:numFmt w:val="lowerRoman"/>
      <w:start w:val="1"/>
    </w:lvl>
  </w:abstractNum>
  <w:abstractNum w:abstractNumId="248">
    <w:nsid w:val="73154115"/>
    <w:multiLevelType w:val="hybridMultilevel"/>
    <w:lvl w:ilvl="0">
      <w:lvlJc w:val="left"/>
      <w:lvlText w:val="(%1)"/>
      <w:numFmt w:val="lowerLetter"/>
      <w:start w:val="1"/>
    </w:lvl>
  </w:abstractNum>
  <w:abstractNum w:abstractNumId="249">
    <w:nsid w:val="622D8102"/>
    <w:multiLevelType w:val="hybridMultilevel"/>
    <w:lvl w:ilvl="0">
      <w:lvlJc w:val="left"/>
      <w:lvlText w:val="%1"/>
      <w:numFmt w:val="decimal"/>
      <w:start w:val="1"/>
    </w:lvl>
    <w:lvl w:ilvl="1">
      <w:lvlJc w:val="left"/>
      <w:lvlText w:val="(%2)"/>
      <w:numFmt w:val="lowerLetter"/>
      <w:start w:val="2"/>
    </w:lvl>
  </w:abstractNum>
  <w:abstractNum w:abstractNumId="250">
    <w:nsid w:val="2AB26587"/>
    <w:multiLevelType w:val="hybridMultilevel"/>
    <w:lvl w:ilvl="0">
      <w:lvlJc w:val="left"/>
      <w:lvlText w:val="%1."/>
      <w:numFmt w:val="decimal"/>
      <w:start w:val="8"/>
    </w:lvl>
    <w:lvl w:ilvl="1">
      <w:lvlJc w:val="left"/>
      <w:lvlText w:val="%2"/>
      <w:numFmt w:val="lowerLetter"/>
      <w:start w:val="1"/>
    </w:lvl>
  </w:abstractNum>
  <w:abstractNum w:abstractNumId="251">
    <w:nsid w:val="44B3FA61"/>
    <w:multiLevelType w:val="hybridMultilevel"/>
    <w:lvl w:ilvl="0">
      <w:lvlJc w:val="left"/>
      <w:lvlText w:val="(%1)"/>
      <w:numFmt w:val="lowerLetter"/>
      <w:start w:val="1"/>
    </w:lvl>
  </w:abstractNum>
  <w:abstractNum w:abstractNumId="252">
    <w:nsid w:val="1C0CA67C"/>
    <w:multiLevelType w:val="hybridMultilevel"/>
    <w:lvl w:ilvl="0">
      <w:lvlJc w:val="left"/>
      <w:lvlText w:val="(%1)"/>
      <w:numFmt w:val="lowerLetter"/>
      <w:start w:val="1"/>
    </w:lvl>
  </w:abstractNum>
  <w:abstractNum w:abstractNumId="253">
    <w:nsid w:val="3D206613"/>
    <w:multiLevelType w:val="hybridMultilevel"/>
    <w:lvl w:ilvl="0">
      <w:lvlJc w:val="left"/>
      <w:lvlText w:val="%1."/>
      <w:numFmt w:val="decimal"/>
      <w:start w:val="9"/>
    </w:lvl>
  </w:abstractNum>
  <w:abstractNum w:abstractNumId="254">
    <w:nsid w:val="7993B662"/>
    <w:multiLevelType w:val="hybridMultilevel"/>
    <w:lvl w:ilvl="0">
      <w:lvlJc w:val="left"/>
      <w:lvlText w:val="(%1)"/>
      <w:numFmt w:val="lowerLetter"/>
      <w:start w:val="1"/>
    </w:lvl>
  </w:abstractNum>
  <w:abstractNum w:abstractNumId="255">
    <w:nsid w:val="3BAB699E"/>
    <w:multiLevelType w:val="hybridMultilevel"/>
    <w:lvl w:ilvl="0">
      <w:lvlJc w:val="left"/>
      <w:lvlText w:val="(%1)"/>
      <w:numFmt w:val="lowerLetter"/>
      <w:start w:val="5"/>
    </w:lvl>
  </w:abstractNum>
  <w:abstractNum w:abstractNumId="256">
    <w:nsid w:val="71315369"/>
    <w:multiLevelType w:val="hybridMultilevel"/>
    <w:lvl w:ilvl="0">
      <w:lvlJc w:val="left"/>
      <w:lvlText w:val="%1."/>
      <w:numFmt w:val="decimal"/>
      <w:start w:val="10"/>
    </w:lvl>
  </w:abstractNum>
  <w:abstractNum w:abstractNumId="257">
    <w:nsid w:val="7BCFBAFC"/>
    <w:multiLevelType w:val="hybridMultilevel"/>
    <w:lvl w:ilvl="0">
      <w:lvlJc w:val="left"/>
      <w:lvlText w:val="%1."/>
      <w:numFmt w:val="decimal"/>
      <w:start w:val="11"/>
    </w:lvl>
  </w:abstractNum>
  <w:abstractNum w:abstractNumId="258">
    <w:nsid w:val="17859F72"/>
    <w:multiLevelType w:val="hybridMultilevel"/>
    <w:lvl w:ilvl="0">
      <w:lvlJc w:val="left"/>
      <w:lvlText w:val="%1."/>
      <w:numFmt w:val="decimal"/>
      <w:start w:val="12"/>
    </w:lvl>
  </w:abstractNum>
  <w:abstractNum w:abstractNumId="259">
    <w:nsid w:val="3AA10581"/>
    <w:multiLevelType w:val="hybridMultilevel"/>
    <w:lvl w:ilvl="0">
      <w:lvlJc w:val="left"/>
      <w:lvlText w:val="(%1)"/>
      <w:numFmt w:val="lowerLetter"/>
      <w:start w:val="1"/>
    </w:lvl>
    <w:lvl w:ilvl="1">
      <w:lvlJc w:val="left"/>
      <w:lvlText w:val="(%2)"/>
      <w:numFmt w:val="lowerRoman"/>
      <w:start w:val="1"/>
    </w:lvl>
  </w:abstractNum>
  <w:abstractNum w:abstractNumId="260">
    <w:nsid w:val="63DE60CD"/>
    <w:multiLevelType w:val="hybridMultilevel"/>
    <w:lvl w:ilvl="0">
      <w:lvlJc w:val="left"/>
      <w:lvlText w:val="(%1)"/>
      <w:numFmt w:val="lowerLetter"/>
      <w:start w:val="3"/>
    </w:lvl>
  </w:abstractNum>
  <w:abstractNum w:abstractNumId="261">
    <w:nsid w:val="621AF471"/>
    <w:multiLevelType w:val="hybridMultilevel"/>
    <w:lvl w:ilvl="0">
      <w:lvlJc w:val="left"/>
      <w:lvlText w:val="(%1)"/>
      <w:numFmt w:val="lowerLetter"/>
      <w:start w:val="4"/>
    </w:lvl>
  </w:abstractNum>
  <w:abstractNum w:abstractNumId="262">
    <w:nsid w:val="73CFE165"/>
    <w:multiLevelType w:val="hybridMultilevel"/>
    <w:lvl w:ilvl="0">
      <w:lvlJc w:val="left"/>
      <w:lvlText w:val="(%1)"/>
      <w:numFmt w:val="lowerLetter"/>
      <w:start w:val="7"/>
    </w:lvl>
  </w:abstractNum>
  <w:abstractNum w:abstractNumId="263">
    <w:nsid w:val="20F88EA6"/>
    <w:multiLevelType w:val="hybridMultilevel"/>
    <w:lvl w:ilvl="0">
      <w:lvlJc w:val="left"/>
      <w:lvlText w:val="(%1)"/>
      <w:numFmt w:val="lowerLetter"/>
      <w:start w:val="11"/>
    </w:lvl>
  </w:abstractNum>
  <w:abstractNum w:abstractNumId="264">
    <w:nsid w:val="617C843E"/>
    <w:multiLevelType w:val="hybridMultilevel"/>
    <w:lvl w:ilvl="0">
      <w:lvlJc w:val="left"/>
      <w:lvlText w:val="(%1)"/>
      <w:numFmt w:val="lowerLetter"/>
      <w:start w:val="1"/>
    </w:lvl>
  </w:abstractNum>
  <w:abstractNum w:abstractNumId="265">
    <w:nsid w:val="7B541FAB"/>
    <w:multiLevelType w:val="hybridMultilevel"/>
    <w:lvl w:ilvl="0">
      <w:lvlJc w:val="left"/>
      <w:lvlText w:val="(%1)"/>
      <w:numFmt w:val="lowerLetter"/>
      <w:start w:val="6"/>
    </w:lvl>
  </w:abstractNum>
  <w:abstractNum w:abstractNumId="266">
    <w:nsid w:val="2A79EC49"/>
    <w:multiLevelType w:val="hybridMultilevel"/>
    <w:lvl w:ilvl="0">
      <w:lvlJc w:val="left"/>
      <w:lvlText w:val="(%1)"/>
      <w:numFmt w:val="lowerLetter"/>
      <w:start w:val="12"/>
    </w:lvl>
  </w:abstractNum>
  <w:abstractNum w:abstractNumId="267">
    <w:nsid w:val="338125CF"/>
    <w:multiLevelType w:val="hybridMultilevel"/>
    <w:lvl w:ilvl="0">
      <w:lvlJc w:val="left"/>
      <w:lvlText w:val="(%1)"/>
      <w:numFmt w:val="lowerLetter"/>
      <w:start w:val="1"/>
    </w:lvl>
  </w:abstractNum>
  <w:abstractNum w:abstractNumId="268">
    <w:nsid w:val="47C7C971"/>
    <w:multiLevelType w:val="hybridMultilevel"/>
    <w:lvl w:ilvl="0">
      <w:lvlJc w:val="left"/>
      <w:lvlText w:val="(%1)"/>
      <w:numFmt w:val="lowerLetter"/>
      <w:start w:val="3"/>
    </w:lvl>
    <w:lvl w:ilvl="1">
      <w:lvlJc w:val="left"/>
      <w:lvlText w:val="(%2)"/>
      <w:numFmt w:val="lowerRoman"/>
      <w:start w:val="1"/>
    </w:lvl>
  </w:abstractNum>
  <w:abstractNum w:abstractNumId="269">
    <w:nsid w:val="46F8284B"/>
    <w:multiLevelType w:val="hybridMultilevel"/>
    <w:lvl w:ilvl="0">
      <w:lvlJc w:val="left"/>
      <w:lvlText w:val="(%1)"/>
      <w:numFmt w:val="lowerLetter"/>
      <w:start w:val="4"/>
    </w:lvl>
  </w:abstractNum>
  <w:abstractNum w:abstractNumId="270">
    <w:nsid w:val="4FA327C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1">
    <w:nsid w:val="1873983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72">
    <w:nsid w:val="3D2DD275"/>
    <w:multiLevelType w:val="hybridMultilevel"/>
    <w:lvl w:ilvl="0">
      <w:lvlJc w:val="left"/>
      <w:lvlText w:val="(%1)"/>
      <w:numFmt w:val="lowerLetter"/>
      <w:start w:val="1"/>
    </w:lvl>
  </w:abstractNum>
  <w:abstractNum w:abstractNumId="273">
    <w:nsid w:val="2E17ECA7"/>
    <w:multiLevelType w:val="hybridMultilevel"/>
    <w:lvl w:ilvl="0">
      <w:lvlJc w:val="left"/>
      <w:lvlText w:val="(%1)"/>
      <w:numFmt w:val="lowerLetter"/>
      <w:start w:val="2"/>
    </w:lvl>
  </w:abstractNum>
  <w:abstractNum w:abstractNumId="274">
    <w:nsid w:val="53B2564F"/>
    <w:multiLevelType w:val="hybridMultilevel"/>
    <w:lvl w:ilvl="0">
      <w:lvlJc w:val="left"/>
      <w:lvlText w:val="(%1)"/>
      <w:numFmt w:val="lowerLetter"/>
      <w:start w:val="1"/>
    </w:lvl>
  </w:abstractNum>
  <w:abstractNum w:abstractNumId="275">
    <w:nsid w:val="75509D76"/>
    <w:multiLevelType w:val="hybridMultilevel"/>
    <w:lvl w:ilvl="0">
      <w:lvlJc w:val="left"/>
      <w:lvlText w:val="%1."/>
      <w:numFmt w:val="decimal"/>
      <w:start w:val="14"/>
    </w:lvl>
  </w:abstractNum>
  <w:abstractNum w:abstractNumId="276">
    <w:nsid w:val="1AF7F0EA"/>
    <w:multiLevelType w:val="hybridMultilevel"/>
    <w:lvl w:ilvl="0">
      <w:lvlJc w:val="left"/>
      <w:lvlText w:val="(%1)"/>
      <w:numFmt w:val="lowerLetter"/>
      <w:start w:val="1"/>
    </w:lvl>
    <w:lvl w:ilvl="1">
      <w:lvlJc w:val="left"/>
      <w:lvlText w:val="(%2)"/>
      <w:numFmt w:val="lowerLetter"/>
      <w:start w:val="9"/>
    </w:lvl>
  </w:abstractNum>
  <w:abstractNum w:abstractNumId="277">
    <w:nsid w:val="4DA32C7E"/>
    <w:multiLevelType w:val="hybridMultilevel"/>
    <w:lvl w:ilvl="0">
      <w:lvlJc w:val="left"/>
      <w:lvlText w:val="%1"/>
      <w:numFmt w:val="lowerLetter"/>
      <w:start w:val="1"/>
    </w:lvl>
    <w:lvl w:ilvl="1">
      <w:lvlJc w:val="left"/>
      <w:lvlText w:val="(%2)"/>
      <w:numFmt w:val="lowerRoman"/>
      <w:start w:val="2"/>
    </w:lvl>
  </w:abstractNum>
  <w:abstractNum w:abstractNumId="278">
    <w:nsid w:val="6EC68664"/>
    <w:multiLevelType w:val="hybridMultilevel"/>
    <w:lvl w:ilvl="0">
      <w:lvlJc w:val="left"/>
      <w:lvlText w:val="(%1)"/>
      <w:numFmt w:val="lowerLetter"/>
      <w:start w:val="2"/>
    </w:lvl>
    <w:lvl w:ilvl="1">
      <w:lvlJc w:val="left"/>
      <w:lvlText w:val="%2"/>
      <w:numFmt w:val="lowerRoman"/>
      <w:start w:val="1"/>
    </w:lvl>
  </w:abstractNum>
  <w:abstractNum w:abstractNumId="279">
    <w:nsid w:val="E0D31FF"/>
    <w:multiLevelType w:val="hybridMultilevel"/>
    <w:lvl w:ilvl="0">
      <w:lvlJc w:val="left"/>
      <w:lvlText w:val="(%1)"/>
      <w:numFmt w:val="lowerLetter"/>
      <w:start w:val="1"/>
    </w:lvl>
  </w:abstractNum>
  <w:abstractNum w:abstractNumId="280">
    <w:nsid w:val="2FD0AD81"/>
    <w:multiLevelType w:val="hybridMultilevel"/>
    <w:lvl w:ilvl="0">
      <w:lvlJc w:val="left"/>
      <w:lvlText w:val="."/>
      <w:numFmt w:val="bullet"/>
      <w:start w:val="1"/>
    </w:lvl>
  </w:abstractNum>
  <w:abstractNum w:abstractNumId="281">
    <w:nsid w:val="1978EBEB"/>
    <w:multiLevelType w:val="hybridMultilevel"/>
    <w:lvl w:ilvl="0">
      <w:lvlJc w:val="left"/>
      <w:lvlText w:val="(%1)"/>
      <w:numFmt w:val="lowerRoman"/>
      <w:start w:val="1"/>
    </w:lvl>
    <w:lvl w:ilvl="1">
      <w:lvlJc w:val="left"/>
      <w:lvlText w:val="(%2)"/>
      <w:numFmt w:val="upperLetter"/>
      <w:start w:val="1"/>
    </w:lvl>
  </w:abstractNum>
  <w:abstractNum w:abstractNumId="282">
    <w:nsid w:val="52C12C61"/>
    <w:multiLevelType w:val="hybridMultilevel"/>
    <w:lvl w:ilvl="0">
      <w:lvlJc w:val="left"/>
      <w:lvlText w:val="(%1)"/>
      <w:numFmt w:val="lowerLetter"/>
      <w:start w:val="1"/>
    </w:lvl>
  </w:abstractNum>
  <w:abstractNum w:abstractNumId="283">
    <w:nsid w:val="4BDD53FD"/>
    <w:multiLevelType w:val="hybridMultilevel"/>
    <w:lvl w:ilvl="0">
      <w:lvlJc w:val="left"/>
      <w:lvlText w:val="(%1)"/>
      <w:numFmt w:val="lowerRoman"/>
      <w:start w:val="1"/>
    </w:lvl>
  </w:abstractNum>
  <w:abstractNum w:abstractNumId="284">
    <w:nsid w:val="569951FE"/>
    <w:multiLevelType w:val="hybridMultilevel"/>
    <w:lvl w:ilvl="0">
      <w:lvlJc w:val="left"/>
      <w:lvlText w:val="(%1)"/>
      <w:numFmt w:val="lowerRoman"/>
      <w:start w:val="2"/>
    </w:lvl>
  </w:abstractNum>
  <w:abstractNum w:abstractNumId="285">
    <w:nsid w:val="4C54E2C3"/>
    <w:multiLevelType w:val="hybridMultilevel"/>
    <w:lvl w:ilvl="0">
      <w:lvlJc w:val="left"/>
      <w:lvlText w:val="(%1)"/>
      <w:numFmt w:val="lowerRoman"/>
      <w:start w:val="1"/>
    </w:lvl>
    <w:lvl w:ilvl="1">
      <w:lvlJc w:val="left"/>
      <w:lvlText w:val="(%2)"/>
      <w:numFmt w:val="upperLetter"/>
      <w:start w:val="1"/>
    </w:lvl>
  </w:abstractNum>
  <w:abstractNum w:abstractNumId="286">
    <w:nsid w:val="788BD9B"/>
    <w:multiLevelType w:val="hybridMultilevel"/>
    <w:lvl w:ilvl="0">
      <w:lvlJc w:val="left"/>
      <w:lvlText w:val="(%1)"/>
      <w:numFmt w:val="lowerLetter"/>
      <w:start w:val="1"/>
    </w:lvl>
  </w:abstractNum>
  <w:abstractNum w:abstractNumId="287">
    <w:nsid w:val="47CAA567"/>
    <w:multiLevelType w:val="hybridMultilevel"/>
    <w:lvl w:ilvl="0">
      <w:lvlJc w:val="left"/>
      <w:lvlText w:val="(%1)"/>
      <w:numFmt w:val="lowerRoman"/>
      <w:start w:val="2"/>
    </w:lvl>
  </w:abstractNum>
  <w:abstractNum w:abstractNumId="288">
    <w:nsid w:val="48249DBF"/>
    <w:multiLevelType w:val="hybridMultilevel"/>
    <w:lvl w:ilvl="0">
      <w:lvlJc w:val="left"/>
      <w:lvlText w:val="(%1)"/>
      <w:numFmt w:val="lowerLetter"/>
      <w:start w:val="1"/>
    </w:lvl>
  </w:abstractNum>
  <w:abstractNum w:abstractNumId="289">
    <w:nsid w:val="1F0E5D0D"/>
    <w:multiLevelType w:val="hybridMultilevel"/>
    <w:lvl w:ilvl="0">
      <w:lvlJc w:val="left"/>
      <w:lvlText w:val="(%1)"/>
      <w:numFmt w:val="lowerLetter"/>
      <w:start w:val="1"/>
    </w:lvl>
    <w:lvl w:ilvl="1">
      <w:lvlJc w:val="left"/>
      <w:lvlText w:val="(%2)"/>
      <w:numFmt w:val="lowerRoman"/>
      <w:start w:val="1"/>
    </w:lvl>
  </w:abstractNum>
  <w:abstractNum w:abstractNumId="290">
    <w:nsid w:val="26BAAE9"/>
    <w:multiLevelType w:val="hybridMultilevel"/>
    <w:lvl w:ilvl="0">
      <w:lvlJc w:val="left"/>
      <w:lvlText w:val="(%1)"/>
      <w:numFmt w:val="lowerLetter"/>
      <w:start w:val="1"/>
    </w:lvl>
  </w:abstractNum>
  <w:abstractNum w:abstractNumId="291">
    <w:nsid w:val="2C02FE8C"/>
    <w:multiLevelType w:val="hybridMultilevel"/>
    <w:lvl w:ilvl="0">
      <w:lvlJc w:val="left"/>
      <w:lvlText w:val="(%1)"/>
      <w:numFmt w:val="lowerLetter"/>
      <w:start w:val="3"/>
    </w:lvl>
  </w:abstractNum>
  <w:abstractNum w:abstractNumId="292">
    <w:nsid w:val="129517E"/>
    <w:multiLevelType w:val="hybridMultilevel"/>
    <w:lvl w:ilvl="0">
      <w:lvlJc w:val="left"/>
      <w:lvlText w:val="(%1)"/>
      <w:numFmt w:val="lowerRoman"/>
      <w:start w:val="1"/>
    </w:lvl>
  </w:abstractNum>
  <w:abstractNum w:abstractNumId="293">
    <w:nsid w:val="763B8C4E"/>
    <w:multiLevelType w:val="hybridMultilevel"/>
    <w:lvl w:ilvl="0">
      <w:lvlJc w:val="left"/>
      <w:lvlText w:val="(%1)"/>
      <w:numFmt w:val="lowerLetter"/>
      <w:start w:val="1"/>
    </w:lvl>
  </w:abstractNum>
  <w:abstractNum w:abstractNumId="294">
    <w:nsid w:val="4CFB8D32"/>
    <w:multiLevelType w:val="hybridMultilevel"/>
    <w:lvl w:ilvl="0">
      <w:lvlJc w:val="left"/>
      <w:lvlText w:val="(%1)"/>
      <w:numFmt w:val="lowerLetter"/>
      <w:start w:val="2"/>
    </w:lvl>
  </w:abstractNum>
  <w:abstractNum w:abstractNumId="295">
    <w:nsid w:val="62A5D5BD"/>
    <w:multiLevelType w:val="hybridMultilevel"/>
    <w:lvl w:ilvl="0">
      <w:lvlJc w:val="left"/>
      <w:lvlText w:val="(%1)"/>
      <w:numFmt w:val="lowerLetter"/>
      <w:start w:val="4"/>
    </w:lvl>
  </w:abstractNum>
  <w:abstractNum w:abstractNumId="296">
    <w:nsid w:val="718FABF9"/>
    <w:multiLevelType w:val="hybridMultilevel"/>
    <w:lvl w:ilvl="0">
      <w:lvlJc w:val="left"/>
      <w:lvlText w:val="%1."/>
      <w:numFmt w:val="upperLetter"/>
      <w:start w:val="1"/>
    </w:lvl>
  </w:abstractNum>
  <w:abstractNum w:abstractNumId="297">
    <w:nsid w:val="7775797C"/>
    <w:multiLevelType w:val="hybridMultilevel"/>
    <w:lvl w:ilvl="0">
      <w:lvlJc w:val="left"/>
      <w:lvlText w:val="(%1)"/>
      <w:numFmt w:val="lowerLetter"/>
      <w:start w:val="1"/>
    </w:lvl>
  </w:abstractNum>
  <w:abstractNum w:abstractNumId="298">
    <w:nsid w:val="1626FB8C"/>
    <w:multiLevelType w:val="hybridMultilevel"/>
    <w:lvl w:ilvl="0">
      <w:lvlJc w:val="left"/>
      <w:lvlText w:val="(%1)"/>
      <w:numFmt w:val="lowerLetter"/>
      <w:start w:val="7"/>
    </w:lvl>
  </w:abstractNum>
  <w:abstractNum w:abstractNumId="299">
    <w:nsid w:val="3957756A"/>
    <w:multiLevelType w:val="hybridMultilevel"/>
    <w:lvl w:ilvl="0">
      <w:lvlJc w:val="left"/>
      <w:lvlText w:val="(%1)"/>
      <w:numFmt w:val="lowerLetter"/>
      <w:start w:val="16"/>
    </w:lvl>
  </w:abstractNum>
  <w:abstractNum w:abstractNumId="300">
    <w:nsid w:val="3E6DA1C7"/>
    <w:multiLevelType w:val="hybridMultilevel"/>
    <w:lvl w:ilvl="0">
      <w:lvlJc w:val="left"/>
      <w:lvlText w:val="(%1)"/>
      <w:numFmt w:val="lowerLetter"/>
      <w:start w:val="24"/>
    </w:lvl>
  </w:abstractNum>
  <w:abstractNum w:abstractNumId="301">
    <w:nsid w:val="65CA235B"/>
    <w:multiLevelType w:val="hybridMultilevel"/>
    <w:lvl w:ilvl="0">
      <w:lvlJc w:val="left"/>
      <w:lvlText w:val="(%1)"/>
      <w:numFmt w:val="lowerLetter"/>
      <w:start w:val="27"/>
    </w:lvl>
  </w:abstractNum>
  <w:abstractNum w:abstractNumId="302">
    <w:nsid w:val="51CB0DA4"/>
    <w:multiLevelType w:val="hybridMultilevel"/>
    <w:lvl w:ilvl="0">
      <w:lvlJc w:val="left"/>
      <w:lvlText w:val="(%1)"/>
      <w:numFmt w:val="lowerLetter"/>
      <w:start w:val="31"/>
    </w:lvl>
  </w:abstractNum>
  <w:abstractNum w:abstractNumId="303">
    <w:nsid w:val="7B9B743C"/>
    <w:multiLevelType w:val="hybridMultilevel"/>
    <w:lvl w:ilvl="0">
      <w:lvlJc w:val="left"/>
      <w:lvlText w:val="(%1)"/>
      <w:numFmt w:val="lowerLetter"/>
      <w:start w:val="1"/>
    </w:lvl>
  </w:abstractNum>
  <w:abstractNum w:abstractNumId="304">
    <w:nsid w:val="13E21002"/>
    <w:multiLevelType w:val="hybridMultilevel"/>
    <w:lvl w:ilvl="0">
      <w:lvlJc w:val="left"/>
      <w:lvlText w:val="(%1)"/>
      <w:numFmt w:val="lowerLetter"/>
      <w:start w:val="1"/>
    </w:lvl>
  </w:abstractNum>
  <w:abstractNum w:abstractNumId="305">
    <w:nsid w:val="257D63F4"/>
    <w:multiLevelType w:val="hybridMultilevel"/>
    <w:lvl w:ilvl="0">
      <w:lvlJc w:val="left"/>
      <w:lvlText w:val="(%1)"/>
      <w:numFmt w:val="lowerLetter"/>
      <w:start w:val="2"/>
    </w:lvl>
  </w:abstractNum>
  <w:abstractNum w:abstractNumId="306">
    <w:nsid w:val="70EC11B2"/>
    <w:multiLevelType w:val="hybridMultilevel"/>
    <w:lvl w:ilvl="0">
      <w:lvlJc w:val="left"/>
      <w:lvlText w:val="(%1)"/>
      <w:numFmt w:val="lowerLetter"/>
      <w:start w:val="10"/>
    </w:lvl>
  </w:abstractNum>
  <w:abstractNum w:abstractNumId="307">
    <w:nsid w:val="2EDA00ED"/>
    <w:multiLevelType w:val="hybridMultilevel"/>
    <w:lvl w:ilvl="0">
      <w:lvlJc w:val="left"/>
      <w:lvlText w:val="(%1)"/>
      <w:numFmt w:val="lowerLetter"/>
      <w:start w:val="1"/>
    </w:lvl>
  </w:abstractNum>
  <w:abstractNum w:abstractNumId="308">
    <w:nsid w:val="73209072"/>
    <w:multiLevelType w:val="hybridMultilevel"/>
    <w:lvl w:ilvl="0">
      <w:lvlJc w:val="left"/>
      <w:lvlText w:val="(%1)"/>
      <w:numFmt w:val="lowerLetter"/>
      <w:start w:val="1"/>
    </w:lvl>
  </w:abstractNum>
  <w:abstractNum w:abstractNumId="309">
    <w:nsid w:val="5FB29816"/>
    <w:multiLevelType w:val="hybridMultilevel"/>
    <w:lvl w:ilvl="0">
      <w:lvlJc w:val="left"/>
      <w:lvlText w:val="(%1)"/>
      <w:numFmt w:val="lowerLetter"/>
      <w:start w:val="1"/>
    </w:lvl>
  </w:abstractNum>
  <w:abstractNum w:abstractNumId="310">
    <w:nsid w:val="3CE732EC"/>
    <w:multiLevelType w:val="hybridMultilevel"/>
    <w:lvl w:ilvl="0">
      <w:lvlJc w:val="left"/>
      <w:lvlText w:val="(%1)"/>
      <w:numFmt w:val="lowerLetter"/>
      <w:start w:val="6"/>
    </w:lvl>
  </w:abstractNum>
  <w:abstractNum w:abstractNumId="311">
    <w:nsid w:val="22F13DF3"/>
    <w:multiLevelType w:val="hybridMultilevel"/>
    <w:lvl w:ilvl="0">
      <w:lvlJc w:val="left"/>
      <w:lvlText w:val="(%1)"/>
      <w:numFmt w:val="lowerLetter"/>
      <w:start w:val="11"/>
    </w:lvl>
  </w:abstractNum>
  <w:abstractNum w:abstractNumId="312">
    <w:nsid w:val="792B8401"/>
    <w:multiLevelType w:val="hybridMultilevel"/>
    <w:lvl w:ilvl="0">
      <w:lvlJc w:val="left"/>
      <w:lvlText w:val="(%1)"/>
      <w:numFmt w:val="lowerLetter"/>
      <w:start w:val="18"/>
    </w:lvl>
  </w:abstractNum>
  <w:abstractNum w:abstractNumId="313">
    <w:nsid w:val="FA85F4D"/>
    <w:multiLevelType w:val="hybridMultilevel"/>
    <w:lvl w:ilvl="0">
      <w:lvlJc w:val="left"/>
      <w:lvlText w:val="(%1)"/>
      <w:numFmt w:val="lowerLetter"/>
      <w:start w:val="23"/>
    </w:lvl>
  </w:abstractNum>
  <w:abstractNum w:abstractNumId="314">
    <w:nsid w:val="6ECE91F0"/>
    <w:multiLevelType w:val="hybridMultilevel"/>
    <w:lvl w:ilvl="0">
      <w:lvlJc w:val="left"/>
      <w:lvlText w:val="(%1)"/>
      <w:numFmt w:val="lowerLetter"/>
      <w:start w:val="27"/>
    </w:lvl>
  </w:abstractNum>
  <w:abstractNum w:abstractNumId="315">
    <w:nsid w:val="4FC4D600"/>
    <w:multiLevelType w:val="hybridMultilevel"/>
    <w:lvl w:ilvl="0">
      <w:lvlJc w:val="left"/>
      <w:lvlText w:val="(%1)"/>
      <w:numFmt w:val="lowerLetter"/>
      <w:start w:val="1"/>
    </w:lvl>
  </w:abstractNum>
  <w:abstractNum w:abstractNumId="316">
    <w:nsid w:val="5BFD4210"/>
    <w:multiLevelType w:val="hybridMultilevel"/>
    <w:lvl w:ilvl="0">
      <w:lvlJc w:val="left"/>
      <w:lvlText w:val="(%1)"/>
      <w:numFmt w:val="lowerLetter"/>
      <w:start w:val="3"/>
    </w:lvl>
  </w:abstractNum>
  <w:abstractNum w:abstractNumId="317">
    <w:nsid w:val="76574F8B"/>
    <w:multiLevelType w:val="hybridMultilevel"/>
    <w:lvl w:ilvl="0">
      <w:lvlJc w:val="left"/>
      <w:lvlText w:val="(%1)"/>
      <w:numFmt w:val="lowerLetter"/>
      <w:start w:val="1"/>
    </w:lvl>
  </w:abstractNum>
  <w:abstractNum w:abstractNumId="318">
    <w:nsid w:val="178F7B67"/>
    <w:multiLevelType w:val="hybridMultilevel"/>
    <w:lvl w:ilvl="0">
      <w:lvlJc w:val="left"/>
      <w:lvlText w:val="(%1)"/>
      <w:numFmt w:val="lowerLetter"/>
      <w:start w:val="1"/>
    </w:lvl>
  </w:abstractNum>
  <w:abstractNum w:abstractNumId="319">
    <w:nsid w:val="2421DFCF"/>
    <w:multiLevelType w:val="hybridMultilevel"/>
    <w:lvl w:ilvl="0">
      <w:lvlJc w:val="left"/>
      <w:lvlText w:val="(%1)"/>
      <w:numFmt w:val="lowerLetter"/>
      <w:start w:val="1"/>
    </w:lvl>
  </w:abstractNum>
  <w:abstractNum w:abstractNumId="320">
    <w:nsid w:val="1565AC99"/>
    <w:multiLevelType w:val="hybridMultilevel"/>
    <w:lvl w:ilvl="0">
      <w:lvlJc w:val="left"/>
      <w:lvlText w:val="%1."/>
      <w:numFmt w:val="decimal"/>
      <w:start w:val="1"/>
    </w:lvl>
  </w:abstractNum>
  <w:abstractNum w:abstractNumId="321">
    <w:nsid w:val="19FB2650"/>
    <w:multiLevelType w:val="hybridMultilevel"/>
    <w:lvl w:ilvl="0">
      <w:lvlJc w:val="left"/>
      <w:lvlText w:val="%1."/>
      <w:numFmt w:val="decimal"/>
      <w:start w:val="5"/>
    </w:lvl>
    <w:lvl w:ilvl="1">
      <w:lvlJc w:val="left"/>
      <w:lvlText w:val="(%2)"/>
      <w:numFmt w:val="lowerLetter"/>
      <w:start w:val="1"/>
    </w:lvl>
  </w:abstractNum>
  <w:abstractNum w:abstractNumId="322">
    <w:nsid w:val="5024DE5B"/>
    <w:multiLevelType w:val="hybridMultilevel"/>
    <w:lvl w:ilvl="0">
      <w:lvlJc w:val="left"/>
      <w:lvlText w:val="%1."/>
      <w:numFmt w:val="decimal"/>
      <w:start w:val="10"/>
    </w:lvl>
    <w:lvl w:ilvl="1">
      <w:lvlJc w:val="left"/>
      <w:lvlText w:val="(%2)"/>
      <w:numFmt w:val="lowerLetter"/>
      <w:start w:val="1"/>
    </w:lvl>
  </w:abstractNum>
  <w:abstractNum w:abstractNumId="323">
    <w:nsid w:val="168EFE17"/>
    <w:multiLevelType w:val="hybridMultilevel"/>
    <w:lvl w:ilvl="0">
      <w:lvlJc w:val="left"/>
      <w:lvlText w:val="(%1)"/>
      <w:numFmt w:val="lowerLetter"/>
      <w:start w:val="4"/>
    </w:lvl>
  </w:abstractNum>
  <w:abstractNum w:abstractNumId="324">
    <w:nsid w:val="1036B29F"/>
    <w:multiLevelType w:val="hybridMultilevel"/>
    <w:lvl w:ilvl="0">
      <w:lvlJc w:val="left"/>
      <w:lvlText w:val="%1."/>
      <w:numFmt w:val="decimal"/>
      <w:start w:val="1"/>
    </w:lvl>
    <w:lvl w:ilvl="1">
      <w:lvlJc w:val="left"/>
      <w:lvlText w:val="%2."/>
      <w:numFmt w:val="lowerLetter"/>
      <w:start w:val="1"/>
    </w:lvl>
  </w:abstractNum>
  <w:abstractNum w:abstractNumId="325">
    <w:nsid w:val="1D206B8E"/>
    <w:multiLevelType w:val="hybridMultilevel"/>
    <w:lvl w:ilvl="0">
      <w:lvlJc w:val="left"/>
      <w:lvlText w:val="%1."/>
      <w:numFmt w:val="decimal"/>
      <w:start w:val="2"/>
    </w:lvl>
    <w:lvl w:ilvl="1">
      <w:lvlJc w:val="left"/>
      <w:lvlText w:val="%2"/>
      <w:numFmt w:val="lowerLetter"/>
      <w:start w:val="1"/>
    </w:lvl>
  </w:abstractNum>
  <w:abstractNum w:abstractNumId="326">
    <w:nsid w:val="7934D3D4"/>
    <w:multiLevelType w:val="hybridMultilevel"/>
    <w:lvl w:ilvl="0">
      <w:lvlJc w:val="left"/>
      <w:lvlText w:val="%1"/>
      <w:numFmt w:val="decimal"/>
      <w:start w:val="1"/>
    </w:lvl>
    <w:lvl w:ilvl="1">
      <w:lvlJc w:val="left"/>
      <w:lvlText w:val="%2."/>
      <w:numFmt w:val="lowerLetter"/>
      <w:start w:val="2"/>
    </w:lvl>
  </w:abstractNum>
  <w:abstractNum w:abstractNumId="327">
    <w:nsid w:val="1C65E98"/>
    <w:multiLevelType w:val="hybridMultilevel"/>
    <w:lvl w:ilvl="0">
      <w:lvlJc w:val="left"/>
      <w:lvlText w:val="%1."/>
      <w:numFmt w:val="decimal"/>
      <w:start w:val="3"/>
    </w:lvl>
    <w:lvl w:ilvl="1">
      <w:lvlJc w:val="left"/>
      <w:lvlText w:val="%2."/>
      <w:numFmt w:val="lowerLetter"/>
      <w:start w:val="1"/>
    </w:lvl>
  </w:abstractNum>
  <w:abstractNum w:abstractNumId="328">
    <w:nsid w:val="1495E50A"/>
    <w:multiLevelType w:val="hybridMultilevel"/>
    <w:lvl w:ilvl="0">
      <w:lvlJc w:val="left"/>
      <w:lvlText w:val="%1."/>
      <w:numFmt w:val="decimal"/>
      <w:start w:val="5"/>
    </w:lvl>
  </w:abstractNum>
  <w:abstractNum w:abstractNumId="329">
    <w:nsid w:val="F5BCF61"/>
    <w:multiLevelType w:val="hybridMultilevel"/>
    <w:lvl w:ilvl="0">
      <w:lvlJc w:val="left"/>
      <w:lvlText w:val="%1"/>
      <w:numFmt w:val="decimal"/>
      <w:start w:val="1"/>
    </w:lvl>
    <w:lvl w:ilvl="1">
      <w:lvlJc w:val="left"/>
      <w:lvlText w:val="%2."/>
      <w:numFmt w:val="lowerLetter"/>
      <w:start w:val="2"/>
    </w:lvl>
  </w:abstractNum>
  <w:abstractNum w:abstractNumId="330">
    <w:nsid w:val="3B1DD403"/>
    <w:multiLevelType w:val="hybridMultilevel"/>
    <w:lvl w:ilvl="0">
      <w:lvlJc w:val="left"/>
      <w:lvlText w:val="%1."/>
      <w:numFmt w:val="decimal"/>
      <w:start w:val="6"/>
    </w:lvl>
    <w:lvl w:ilvl="1">
      <w:lvlJc w:val="left"/>
      <w:lvlText w:val="%2."/>
      <w:numFmt w:val="lowerLetter"/>
      <w:start w:val="1"/>
    </w:lvl>
  </w:abstractNum>
  <w:abstractNum w:abstractNumId="331">
    <w:nsid w:val="530386D1"/>
    <w:multiLevelType w:val="hybridMultilevel"/>
    <w:lvl w:ilvl="0">
      <w:lvlJc w:val="left"/>
      <w:lvlText w:val="%1."/>
      <w:numFmt w:val="lowerLetter"/>
      <w:start w:val="2"/>
    </w:lvl>
  </w:abstractNum>
  <w:abstractNum w:abstractNumId="332">
    <w:nsid w:val="7525F2BC"/>
    <w:multiLevelType w:val="hybridMultilevel"/>
    <w:lvl w:ilvl="0">
      <w:lvlJc w:val="left"/>
      <w:lvlText w:val="%1."/>
      <w:numFmt w:val="lowerLetter"/>
      <w:start w:val="5"/>
    </w:lvl>
  </w:abstractNum>
  <w:abstractNum w:abstractNumId="333">
    <w:nsid w:val="CE8E1A7"/>
    <w:multiLevelType w:val="hybridMultilevel"/>
    <w:lvl w:ilvl="0">
      <w:lvlJc w:val="left"/>
      <w:lvlText w:val="%1."/>
      <w:numFmt w:val="decimal"/>
      <w:start w:val="1"/>
    </w:lvl>
    <w:lvl w:ilvl="1">
      <w:lvlJc w:val="left"/>
      <w:lvlText w:val="%2."/>
      <w:numFmt w:val="lowerLetter"/>
      <w:start w:val="1"/>
    </w:lvl>
  </w:abstractNum>
  <w:abstractNum w:abstractNumId="334">
    <w:nsid w:val="4E9EFB0D"/>
    <w:multiLevelType w:val="hybridMultilevel"/>
    <w:lvl w:ilvl="0">
      <w:lvlJc w:val="left"/>
      <w:lvlText w:val="%1."/>
      <w:numFmt w:val="decimal"/>
      <w:start w:val="3"/>
    </w:lvl>
    <w:lvl w:ilvl="1">
      <w:lvlJc w:val="left"/>
      <w:lvlText w:val="%2."/>
      <w:numFmt w:val="lowerLetter"/>
      <w:start w:val="1"/>
    </w:lvl>
  </w:abstractNum>
  <w:abstractNum w:abstractNumId="335">
    <w:nsid w:val="90802BE"/>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2021-10-18T05:29:43Z</dcterms:created>
  <dcterms:modified xsi:type="dcterms:W3CDTF">2021-10-18T05:29:43Z</dcterms:modified>
</cp:coreProperties>
</file>