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UNITED STATES</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SECURITIES AND EXCHANGE COMMISSION</w:t>
      </w:r>
    </w:p>
    <w:p>
      <w:pPr>
        <w:pStyle w:val="TextBody"/>
        <w:bidi w:val="0"/>
        <w:spacing w:lineRule="auto" w:line="288" w:before="0" w:after="160"/>
        <w:jc w:val="center"/>
        <w:rPr>
          <w:rFonts w:ascii="Expensify Neue;sans-serif" w:hAnsi="Expensify Neue;sans-serif"/>
          <w:b/>
          <w:color w:val="000000"/>
          <w:sz w:val="28"/>
        </w:rPr>
      </w:pPr>
      <w:r>
        <w:rPr>
          <w:rFonts w:ascii="Expensify Neue;sans-serif" w:hAnsi="Expensify Neue;sans-serif"/>
          <w:b/>
          <w:color w:val="000000"/>
          <w:sz w:val="28"/>
        </w:rPr>
        <w:t>Washington, D.C. 20549</w:t>
      </w:r>
    </w:p>
    <w:p>
      <w:pPr>
        <w:pStyle w:val="TextBody"/>
        <w:bidi w:val="0"/>
        <w:spacing w:lineRule="auto" w:line="288" w:before="120" w:after="283"/>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FORM 10-Q</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For the quarterly period ended March 31, 2024</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TRANSITION REPORT PURSUANT TO SECTION 13 OR 15(d) OF THE SECURITIES EXCHANGE ACT OF 1934</w:t>
            </w:r>
          </w:p>
        </w:tc>
      </w:tr>
    </w:tbl>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For the transition period from _______ to _______</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Commission File Number 001-41043</w:t>
      </w:r>
    </w:p>
    <w:p>
      <w:pPr>
        <w:pStyle w:val="TextBody"/>
        <w:bidi w:val="0"/>
        <w:spacing w:lineRule="auto" w:line="288" w:before="120" w:after="283"/>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24"/>
        </w:rPr>
      </w:pPr>
      <w:r>
        <w:rPr>
          <w:rFonts w:ascii="Expensify Neue;sans-serif" w:hAnsi="Expensify Neue;sans-serif"/>
          <w:b/>
          <w:color w:val="000000"/>
          <w:sz w:val="24"/>
        </w:rPr>
        <w:t>(Exact name of registrant as specified in its charter)</w:t>
      </w:r>
    </w:p>
    <w:tbl>
      <w:tblPr>
        <w:tblW w:w="9388" w:type="dxa"/>
        <w:jc w:val="left"/>
        <w:tblInd w:w="0" w:type="dxa"/>
        <w:tblLayout w:type="fixed"/>
        <w:tblCellMar>
          <w:top w:w="28" w:type="dxa"/>
          <w:left w:w="28" w:type="dxa"/>
          <w:bottom w:w="28" w:type="dxa"/>
          <w:right w:w="28" w:type="dxa"/>
        </w:tblCellMar>
      </w:tblPr>
      <w:tblGrid>
        <w:gridCol w:w="2129"/>
        <w:gridCol w:w="1871"/>
        <w:gridCol w:w="1879"/>
        <w:gridCol w:w="1028"/>
        <w:gridCol w:w="1028"/>
        <w:gridCol w:w="1453"/>
      </w:tblGrid>
      <w:tr>
        <w:trPr/>
        <w:tc>
          <w:tcPr>
            <w:tcW w:w="212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Delaware</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27-0239450</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(State or other jurisdiction of incorporation or organization)</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(I.R.S. Employer Identification No.)</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401 SW 5th Ave</w:t>
            </w:r>
          </w:p>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 xml:space="preserve">Portland, Oregon </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8"/>
              </w:rPr>
            </w:pPr>
            <w:r>
              <w:rPr>
                <w:rFonts w:ascii="Expensify Neue;sans-serif" w:hAnsi="Expensify Neue;sans-serif"/>
                <w:b/>
                <w:color w:val="000000"/>
                <w:sz w:val="18"/>
              </w:rPr>
              <w:t>97204</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(Address of Principal Executive Offices)</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(Zip Code)</w:t>
            </w:r>
          </w:p>
        </w:tc>
      </w:tr>
    </w:tbl>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(971) 365-3939</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Registrant’s telephone number, including area code</w:t>
      </w:r>
    </w:p>
    <w:p>
      <w:pPr>
        <w:pStyle w:val="TextBody"/>
        <w:bidi w:val="0"/>
        <w:spacing w:lineRule="auto" w:line="288" w:before="120" w:after="283"/>
        <w:jc w:val="center"/>
        <w:rPr>
          <w:rFonts w:ascii="Expensify Neue;sans-serif" w:hAnsi="Expensify Neue;sans-serif"/>
          <w:b w:val="false"/>
          <w:color w:val="000000"/>
          <w:sz w:val="20"/>
        </w:rPr>
      </w:pPr>
      <w:r>
        <w:rPr>
          <w:rFonts w:ascii="Expensify Neue;sans-serif" w:hAnsi="Expensify Neue;sans-serif"/>
          <w:b w:val="false"/>
          <w:color w:val="000000"/>
          <w:sz w:val="20"/>
        </w:rPr>
        <w:t>___________________________________</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20"/>
        <w:gridCol w:w="1348"/>
        <w:gridCol w:w="1362"/>
        <w:gridCol w:w="109"/>
        <w:gridCol w:w="109"/>
        <w:gridCol w:w="109"/>
        <w:gridCol w:w="540"/>
        <w:gridCol w:w="540"/>
        <w:gridCol w:w="542"/>
        <w:gridCol w:w="109"/>
        <w:gridCol w:w="109"/>
        <w:gridCol w:w="109"/>
        <w:gridCol w:w="1053"/>
        <w:gridCol w:w="1053"/>
        <w:gridCol w:w="1493"/>
      </w:tblGrid>
      <w:tr>
        <w:trPr/>
        <w:tc>
          <w:tcPr>
            <w:tcW w:w="162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Name of each exchange on which registered</w:t>
            </w:r>
          </w:p>
        </w:tc>
      </w:tr>
      <w:tr>
        <w:trPr/>
        <w:tc>
          <w:tcPr>
            <w:tcW w:w="4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Nasdaq Stock Market LLC</w:t>
            </w:r>
          </w:p>
        </w:tc>
      </w:tr>
    </w:tbl>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w:t>
      </w:r>
    </w:p>
    <w:p>
      <w:pPr>
        <w:pStyle w:val="TextBody"/>
        <w:bidi w:val="0"/>
        <w:spacing w:lineRule="auto" w:line="288" w:before="120" w:after="283"/>
        <w:jc w:val="left"/>
        <w:rPr/>
      </w:pPr>
      <w:r>
        <w:rPr>
          <w:rFonts w:ascii="Expensify Neue;sans-serif" w:hAnsi="Expensify Neue;sans-serif"/>
          <w:b w:val="false"/>
          <w:color w:val="000000"/>
          <w:sz w:val="20"/>
        </w:rPr>
        <w:t>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pPr>
      <w:r>
        <w:rPr>
          <w:rFonts w:ascii="Expensify Neue;sans-serif" w:hAnsi="Expensify Neue;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r>
    </w:tbl>
    <w:p>
      <w:pPr>
        <w:pStyle w:val="TextBody"/>
        <w:bidi w:val="0"/>
        <w:spacing w:lineRule="auto" w:line="288" w:before="120" w:after="283"/>
        <w:jc w:val="left"/>
        <w:rPr/>
      </w:pPr>
      <w:r>
        <w:rPr>
          <w:rFonts w:ascii="Expensify Neue;sans-serif" w:hAnsi="Expensify Neue;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Indicate by check mark whether the registrant is a shell company (as defined in Rule 12b-2 of the Exchange Act).</w:t>
      </w:r>
    </w:p>
    <w:p>
      <w:pPr>
        <w:pStyle w:val="TextBody"/>
        <w:bidi w:val="0"/>
        <w:spacing w:lineRule="auto" w:line="288" w:before="0" w:after="160"/>
        <w:jc w:val="left"/>
        <w:rPr/>
      </w:pPr>
      <w:r>
        <w:rPr>
          <w:rFonts w:ascii="Expensify Neue;sans-serif" w:hAnsi="Expensify Neue;sans-serif"/>
          <w:b w:val="false"/>
          <w:color w:val="000000"/>
          <w:sz w:val="20"/>
        </w:rPr>
        <w:t xml:space="preserve">Yes </w:t>
      </w:r>
      <w:r>
        <w:rPr>
          <w:rFonts w:ascii="Wingdings;sans-serif" w:hAnsi="Wingdings;sans-serif"/>
          <w:b w:val="false"/>
          <w:color w:val="000000"/>
          <w:sz w:val="20"/>
        </w:rPr>
        <w:t>o</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x</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The registrant had outstanding 71,764,817 shares of Class A common stock, par value of $0.0001 per share, 7,333,335 shares of LT10 common stock, par value $0.0001 per share, and 7,395,695 shares of LT50 common stock, par value $0.0001 per share, as of May 6,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Table of Contents</w:t>
      </w:r>
    </w:p>
    <w:tbl>
      <w:tblPr>
        <w:tblW w:w="10205" w:type="dxa"/>
        <w:jc w:val="left"/>
        <w:tblInd w:w="0" w:type="dxa"/>
        <w:tblLayout w:type="fixed"/>
        <w:tblCellMar>
          <w:top w:w="28" w:type="dxa"/>
          <w:left w:w="28" w:type="dxa"/>
          <w:bottom w:w="28" w:type="dxa"/>
          <w:right w:w="28" w:type="dxa"/>
        </w:tblCellMar>
      </w:tblPr>
      <w:tblGrid>
        <w:gridCol w:w="832"/>
        <w:gridCol w:w="731"/>
        <w:gridCol w:w="731"/>
        <w:gridCol w:w="2518"/>
        <w:gridCol w:w="2326"/>
        <w:gridCol w:w="2359"/>
        <w:gridCol w:w="206"/>
        <w:gridCol w:w="206"/>
        <w:gridCol w:w="296"/>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Page</w:t>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0">
              <w:r>
                <w:rPr>
                  <w:rStyle w:val="InternetLink"/>
                  <w:rFonts w:ascii="Expensify Neue;sans-serif" w:hAnsi="Expensify Neue;sans-serif"/>
                  <w:b w:val="false"/>
                  <w:color w:val="0000FF"/>
                  <w:sz w:val="20"/>
                  <w:u w:val="single"/>
                </w:rPr>
                <w:t>Special Note Regarding Forward-Looking Statements</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3">
              <w:r>
                <w:rPr>
                  <w:rStyle w:val="InternetLink"/>
                  <w:rFonts w:ascii="Expensify Neue;sans-serif" w:hAnsi="Expensify Neue;sans-serif"/>
                  <w:b/>
                  <w:color w:val="0000FF"/>
                  <w:sz w:val="20"/>
                  <w:u w:val="single"/>
                </w:rPr>
                <w:t>Part I - Financial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6">
              <w:r>
                <w:rPr>
                  <w:rStyle w:val="InternetLink"/>
                  <w:rFonts w:ascii="Expensify Neue;sans-serif" w:hAnsi="Expensify Neue;sans-serif"/>
                  <w:b w:val="false"/>
                  <w:color w:val="0000FF"/>
                  <w:sz w:val="20"/>
                  <w:u w:val="single"/>
                </w:rPr>
                <w:t>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6">
              <w:r>
                <w:rPr>
                  <w:rStyle w:val="InternetLink"/>
                  <w:rFonts w:ascii="Expensify Neue;sans-serif" w:hAnsi="Expensify Neue;sans-serif"/>
                  <w:b w:val="false"/>
                  <w:color w:val="0000FF"/>
                  <w:sz w:val="20"/>
                  <w:u w:val="single"/>
                </w:rPr>
                <w:t>1</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e72e015a430441549da90e3a8b8c7aca_19">
              <w:r>
                <w:rPr>
                  <w:rStyle w:val="InternetLink"/>
                  <w:rFonts w:ascii="Expensify Neue;sans-serif" w:hAnsi="Expensify Neue;sans-serif"/>
                  <w:b w:val="false"/>
                  <w:color w:val="0000FF"/>
                  <w:sz w:val="20"/>
                  <w:u w:val="single"/>
                </w:rPr>
                <w:t>Condensed Consolidated Balance Sheets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9">
              <w:r>
                <w:rPr>
                  <w:rStyle w:val="InternetLink"/>
                  <w:rFonts w:ascii="Expensify Neue;sans-serif" w:hAnsi="Expensify Neue;sans-serif"/>
                  <w:b w:val="false"/>
                  <w:color w:val="0000FF"/>
                  <w:sz w:val="20"/>
                  <w:u w:val="single"/>
                </w:rPr>
                <w:t>2</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e72e015a430441549da90e3a8b8c7aca_22">
              <w:r>
                <w:rPr>
                  <w:rStyle w:val="InternetLink"/>
                  <w:rFonts w:ascii="Expensify Neue;sans-serif" w:hAnsi="Expensify Neue;sans-serif"/>
                  <w:b w:val="false"/>
                  <w:color w:val="0000FF"/>
                  <w:sz w:val="20"/>
                  <w:u w:val="single"/>
                </w:rPr>
                <w:t>Condensed Consolidated Statements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22">
              <w:r>
                <w:rPr>
                  <w:rStyle w:val="InternetLink"/>
                  <w:rFonts w:ascii="Expensify Neue;sans-serif" w:hAnsi="Expensify Neue;sans-serif"/>
                  <w:b w:val="false"/>
                  <w:color w:val="0000FF"/>
                  <w:sz w:val="20"/>
                  <w:u w:val="single"/>
                </w:rPr>
                <w:t>3</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72e015a430441549da90e3a8b8c7aca_25">
              <w:r>
                <w:rPr>
                  <w:rStyle w:val="InternetLink"/>
                  <w:rFonts w:ascii="Expensify Neue;sans-serif" w:hAnsi="Expensify Neue;sans-serif"/>
                  <w:b w:val="false"/>
                  <w:color w:val="0000FF"/>
                  <w:sz w:val="20"/>
                  <w:u w:val="single"/>
                </w:rPr>
                <w:t>Condensed Consolidated Statements of Changes in Stockholders’ Equity</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25">
              <w:r>
                <w:rPr>
                  <w:rStyle w:val="InternetLink"/>
                  <w:rFonts w:ascii="Expensify Neue;sans-serif" w:hAnsi="Expensify Neue;sans-serif"/>
                  <w:b w:val="false"/>
                  <w:color w:val="0000FF"/>
                  <w:sz w:val="20"/>
                  <w:u w:val="single"/>
                </w:rPr>
                <w:t>4</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e72e015a430441549da90e3a8b8c7aca_28">
              <w:r>
                <w:rPr>
                  <w:rStyle w:val="InternetLink"/>
                  <w:rFonts w:ascii="Expensify Neue;sans-serif" w:hAnsi="Expensify Neue;sans-serif"/>
                  <w:b w:val="false"/>
                  <w:color w:val="0000FF"/>
                  <w:sz w:val="20"/>
                  <w:u w:val="single"/>
                </w:rPr>
                <w:t>Condensed Consolidated Statements of Cash Flows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28">
              <w:r>
                <w:rPr>
                  <w:rStyle w:val="InternetLink"/>
                  <w:rFonts w:ascii="Expensify Neue;sans-serif" w:hAnsi="Expensify Neue;sans-serif"/>
                  <w:b w:val="false"/>
                  <w:color w:val="0000FF"/>
                  <w:sz w:val="20"/>
                  <w:u w:val="single"/>
                </w:rPr>
                <w:t>6</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e72e015a430441549da90e3a8b8c7aca_31">
              <w:r>
                <w:rPr>
                  <w:rStyle w:val="InternetLink"/>
                  <w:rFonts w:ascii="Expensify Neue;sans-serif" w:hAnsi="Expensify Neue;sans-serif"/>
                  <w:b w:val="false"/>
                  <w:color w:val="0000FF"/>
                  <w:sz w:val="20"/>
                  <w:u w:val="single"/>
                </w:rPr>
                <w:t>Notes to 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31">
              <w:r>
                <w:rPr>
                  <w:rStyle w:val="InternetLink"/>
                  <w:rFonts w:ascii="Expensify Neue;sans-serif" w:hAnsi="Expensify Neue;sans-serif"/>
                  <w:b w:val="false"/>
                  <w:color w:val="0000FF"/>
                  <w:sz w:val="20"/>
                  <w:u w:val="single"/>
                </w:rPr>
                <w:t>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e72e015a430441549da90e3a8b8c7aca_67">
              <w:r>
                <w:rPr>
                  <w:rStyle w:val="InternetLink"/>
                  <w:rFonts w:ascii="Expensify Neue;sans-serif" w:hAnsi="Expensify Neue;sans-serif"/>
                  <w:b w:val="false"/>
                  <w:color w:val="0000FF"/>
                  <w:sz w:val="20"/>
                  <w:u w:val="single"/>
                </w:rPr>
                <w:t>Management's Discussion and Analysis of Financial Condition and Results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67">
              <w:r>
                <w:rPr>
                  <w:rStyle w:val="InternetLink"/>
                  <w:rFonts w:ascii="Expensify Neue;sans-serif" w:hAnsi="Expensify Neue;sans-serif"/>
                  <w:b w:val="false"/>
                  <w:color w:val="0000FF"/>
                  <w:sz w:val="20"/>
                  <w:u w:val="single"/>
                </w:rPr>
                <w:t>23</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03">
              <w:r>
                <w:rPr>
                  <w:rStyle w:val="InternetLink"/>
                  <w:rFonts w:ascii="Expensify Neue;sans-serif" w:hAnsi="Expensify Neue;sans-serif"/>
                  <w:b w:val="false"/>
                  <w:color w:val="0000FF"/>
                  <w:sz w:val="20"/>
                  <w:u w:val="single"/>
                </w:rPr>
                <w:t>Quantitative and Qualitative Disclosures About Market Risk</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03">
              <w:r>
                <w:rPr>
                  <w:rStyle w:val="InternetLink"/>
                  <w:rFonts w:ascii="Expensify Neue;sans-serif" w:hAnsi="Expensify Neue;sans-serif"/>
                  <w:b w:val="false"/>
                  <w:color w:val="0000FF"/>
                  <w:sz w:val="20"/>
                  <w:u w:val="single"/>
                </w:rPr>
                <w:t>36</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06">
              <w:r>
                <w:rPr>
                  <w:rStyle w:val="InternetLink"/>
                  <w:rFonts w:ascii="Expensify Neue;sans-serif" w:hAnsi="Expensify Neue;sans-serif"/>
                  <w:b w:val="false"/>
                  <w:color w:val="0000FF"/>
                  <w:sz w:val="20"/>
                  <w:u w:val="single"/>
                </w:rPr>
                <w:t>Controls and Procedures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06">
              <w:r>
                <w:rPr>
                  <w:rStyle w:val="InternetLink"/>
                  <w:rFonts w:ascii="Expensify Neue;sans-serif" w:hAnsi="Expensify Neue;sans-serif"/>
                  <w:b w:val="false"/>
                  <w:color w:val="0000FF"/>
                  <w:sz w:val="20"/>
                  <w:u w:val="single"/>
                </w:rPr>
                <w:t>36</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09">
              <w:r>
                <w:rPr>
                  <w:rStyle w:val="InternetLink"/>
                  <w:rFonts w:ascii="Expensify Neue;sans-serif" w:hAnsi="Expensify Neue;sans-serif"/>
                  <w:b/>
                  <w:color w:val="0000FF"/>
                  <w:sz w:val="20"/>
                  <w:u w:val="single"/>
                </w:rPr>
                <w:t>Part II - Other Information</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12">
              <w:r>
                <w:rPr>
                  <w:rStyle w:val="InternetLink"/>
                  <w:rFonts w:ascii="Expensify Neue;sans-serif" w:hAnsi="Expensify Neue;sans-serif"/>
                  <w:b w:val="false"/>
                  <w:color w:val="0000FF"/>
                  <w:sz w:val="20"/>
                  <w:u w:val="single"/>
                </w:rPr>
                <w:t>Legal Proceedings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12">
              <w:r>
                <w:rPr>
                  <w:rStyle w:val="InternetLink"/>
                  <w:rFonts w:ascii="Expensify Neue;sans-serif" w:hAnsi="Expensify Neue;sans-serif"/>
                  <w:b w:val="false"/>
                  <w:color w:val="0000FF"/>
                  <w:sz w:val="20"/>
                  <w:u w:val="single"/>
                </w:rPr>
                <w:t>37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1A.</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15">
              <w:r>
                <w:rPr>
                  <w:rStyle w:val="InternetLink"/>
                  <w:rFonts w:ascii="Expensify Neue;sans-serif" w:hAnsi="Expensify Neue;sans-serif"/>
                  <w:b w:val="false"/>
                  <w:color w:val="0000FF"/>
                  <w:sz w:val="20"/>
                  <w:u w:val="single"/>
                </w:rPr>
                <w:t>Risk Factors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15">
              <w:r>
                <w:rPr>
                  <w:rStyle w:val="InternetLink"/>
                  <w:rFonts w:ascii="Expensify Neue;sans-serif" w:hAnsi="Expensify Neue;sans-serif"/>
                  <w:b w:val="false"/>
                  <w:color w:val="0000FF"/>
                  <w:sz w:val="20"/>
                  <w:u w:val="single"/>
                </w:rPr>
                <w:t>37</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21">
              <w:r>
                <w:rPr>
                  <w:rStyle w:val="InternetLink"/>
                  <w:rFonts w:ascii="Expensify Neue;sans-serif" w:hAnsi="Expensify Neue;sans-serif"/>
                  <w:b w:val="false"/>
                  <w:color w:val="000080"/>
                  <w:sz w:val="20"/>
                  <w:u w:val="single"/>
                </w:rPr>
                <w:t>Unregistered Sales of Equity Securities</w:t>
              </w:r>
            </w:hyperlink>
            <w:hyperlink w:anchor="ie72e015a430441549da90e3a8b8c7aca_121">
              <w:r>
                <w:rPr>
                  <w:rStyle w:val="InternetLink"/>
                  <w:rFonts w:ascii="Expensify Neue;sans-serif" w:hAnsi="Expensify Neue;sans-serif"/>
                  <w:b w:val="false"/>
                  <w:color w:val="000080"/>
                  <w:sz w:val="20"/>
                  <w:u w:val="single"/>
                </w:rPr>
                <w:t xml:space="preserve"> and</w:t>
              </w:r>
            </w:hyperlink>
            <w:hyperlink w:anchor="ie72e015a430441549da90e3a8b8c7aca_121">
              <w:r>
                <w:rPr>
                  <w:rStyle w:val="InternetLink"/>
                  <w:rFonts w:ascii="Expensify Neue;sans-serif" w:hAnsi="Expensify Neue;sans-serif"/>
                  <w:b w:val="false"/>
                  <w:color w:val="000080"/>
                  <w:sz w:val="20"/>
                  <w:u w:val="single"/>
                </w:rPr>
                <w:t xml:space="preserve"> Use of Proceeds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21">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24">
              <w:r>
                <w:rPr>
                  <w:rStyle w:val="InternetLink"/>
                  <w:rFonts w:ascii="Expensify Neue;sans-serif" w:hAnsi="Expensify Neue;sans-serif"/>
                  <w:b w:val="false"/>
                  <w:color w:val="0000FF"/>
                  <w:sz w:val="20"/>
                  <w:u w:val="single"/>
                </w:rPr>
                <w:t>Defaults Upon Senior Securities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24">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27">
              <w:r>
                <w:rPr>
                  <w:rStyle w:val="InternetLink"/>
                  <w:rFonts w:ascii="Expensify Neue;sans-serif" w:hAnsi="Expensify Neue;sans-serif"/>
                  <w:b w:val="false"/>
                  <w:color w:val="0000FF"/>
                  <w:sz w:val="20"/>
                  <w:u w:val="single"/>
                </w:rPr>
                <w:t>Mine Safety Disclosures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27">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5.</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30">
              <w:r>
                <w:rPr>
                  <w:rStyle w:val="InternetLink"/>
                  <w:rFonts w:ascii="Expensify Neue;sans-serif" w:hAnsi="Expensify Neue;sans-serif"/>
                  <w:b w:val="false"/>
                  <w:color w:val="0000FF"/>
                  <w:sz w:val="20"/>
                  <w:u w:val="single"/>
                </w:rPr>
                <w:t>Other Information</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30">
              <w:r>
                <w:rPr>
                  <w:rStyle w:val="InternetLink"/>
                  <w:rFonts w:ascii="Expensify Neue;sans-serif" w:hAnsi="Expensify Neue;sans-serif"/>
                  <w:b w:val="false"/>
                  <w:color w:val="0000FF"/>
                  <w:sz w:val="20"/>
                  <w:u w:val="single"/>
                </w:rPr>
                <w:t>38</w:t>
              </w:r>
            </w:hyperlink>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Item 6.</w:t>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33">
              <w:r>
                <w:rPr>
                  <w:rStyle w:val="InternetLink"/>
                  <w:rFonts w:ascii="Expensify Neue;sans-serif" w:hAnsi="Expensify Neue;sans-serif"/>
                  <w:b w:val="false"/>
                  <w:color w:val="0000FF"/>
                  <w:sz w:val="20"/>
                  <w:u w:val="single"/>
                </w:rPr>
                <w:t>Exhibits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e015a430441549da90e3a8b8c7aca_133">
              <w:r>
                <w:rPr>
                  <w:rStyle w:val="InternetLink"/>
                  <w:rFonts w:ascii="Expensify Neue;sans-serif" w:hAnsi="Expensify Neue;sans-serif"/>
                  <w:b w:val="false"/>
                  <w:color w:val="0000FF"/>
                  <w:sz w:val="20"/>
                  <w:u w:val="single"/>
                </w:rPr>
                <w:t>39</w:t>
              </w:r>
            </w:hyperlink>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2e015a430441549da90e3a8b8c7aca_136">
              <w:r>
                <w:rPr>
                  <w:rStyle w:val="InternetLink"/>
                  <w:rFonts w:ascii="Expensify Neue;sans-serif" w:hAnsi="Expensify Neue;sans-serif"/>
                  <w:b/>
                  <w:color w:val="0000FF"/>
                  <w:sz w:val="20"/>
                  <w:u w:val="single"/>
                </w:rPr>
                <w:t>Signatures</w:t>
              </w:r>
            </w:hyperlink>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Special Note Regarding Forward-Looking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amount and timing of operating expenses and capital expenditures that we may incur to maintain and expand our business and operations to remain competitive;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geopolitical tensions, including the war in Ukraine and the conflict in Israel, Gaza and surrounding areas;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impact of inflation on us and our members;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borrowing costs have and may continue to increase as a result of increases in interest rates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income tax liabilities and the adequacy of our reserves;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growth and expand our infrastructure and maintain our corporate culture;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identify, recruit and retain skilled personnel, including key members of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safety, affordability and convenience of our platform and our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defend litigation brought against us;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identify, manage and integrate any existing and potential acquisitions of businesses, talent, technologies or intellectual property;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conditions in either domestic or international markets, including geopolitical uncertainty and instability;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protect against security incidents, technical difficulties, or interruptions to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protect and enhance our intellectual property;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other risks and uncertainties identified under Item 1A. “Risk Factors” in our Annual Report on Form 10-K for the year ended December 31, 2023.</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2023,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17270"/>
                <wp:effectExtent l="0" t="0" r="0" b="0"/>
                <wp:wrapNone/>
                <wp:docPr id="5" name="Frame5"/>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Balance Sheets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data) </w:t>
      </w:r>
    </w:p>
    <w:tbl>
      <w:tblPr>
        <w:tblW w:w="10205" w:type="dxa"/>
        <w:jc w:val="left"/>
        <w:tblInd w:w="0" w:type="dxa"/>
        <w:tblLayout w:type="fixed"/>
        <w:tblCellMar>
          <w:top w:w="28" w:type="dxa"/>
          <w:left w:w="28" w:type="dxa"/>
          <w:bottom w:w="28" w:type="dxa"/>
          <w:right w:w="28" w:type="dxa"/>
        </w:tblCellMar>
      </w:tblPr>
      <w:tblGrid>
        <w:gridCol w:w="2850"/>
        <w:gridCol w:w="2277"/>
        <w:gridCol w:w="2302"/>
        <w:gridCol w:w="218"/>
        <w:gridCol w:w="854"/>
        <w:gridCol w:w="112"/>
        <w:gridCol w:w="109"/>
        <w:gridCol w:w="109"/>
        <w:gridCol w:w="109"/>
        <w:gridCol w:w="223"/>
        <w:gridCol w:w="875"/>
        <w:gridCol w:w="167"/>
      </w:tblGrid>
      <w:tr>
        <w:trPr/>
        <w:tc>
          <w:tcPr>
            <w:tcW w:w="2850"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Assets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49,340 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47,510 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receivable, net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13,557 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13,834 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assets, net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48,513 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39,261 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Prepaid expenses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4,379 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5,649 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current assets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27,399 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30,978 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assets</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143,188 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137,232 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Capitalized software, net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12,494 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Property and equipment, net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14,138 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14,372 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right-of-use assets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5,954 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6,435 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assets, net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assets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5,918 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5,794 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assets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184,771 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176,784 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Liabilities and stockholders' equity</w:t>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Accrued expenses and other liabilities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10,326 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9,390 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Borrowings under line of credit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Current portion of long-term debt, net of original issue discount and debt issuance costs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7,624 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7,655 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current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liabilities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35,560 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33,990 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liabilities</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70,319 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67,892 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non-current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6,155 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6,467 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liabilities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78,261 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76,040 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Commitments and contingencies (Note 4)</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Stockholders' equity:</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Preferred stock, par value $0.0001; 10,000,000 shares of preferred stock authorized as of March 31, 2024 and December 31, 2023; no shares of preferred stock issued and outstanding as of March 31, 2024 and December 31, 2023</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Common stock, par value $0.0001; 1,000,000,000 shares of Class A common stock authorized as of March 31, 2024 and December 31, 2023; 71,755,477 and 70,569,815 shares of Class A common stock issued and outstanding as of March 31, 2024 and December 31, 2023, respectively; 24,994,705 and 24,994,989 shares of LT10 common stock authorized as of March 31, 2024 and December 31, 2023, respectively; 7,333,335 and 7,333,619 shares of LT10 common stock issued and outstanding as of March 31, 2024 and December 31, 2023, respectively; 24,969,634 and 24,998,941 shares of LT50 common stock authorized as of March 31, 2024 and December 31, 2023, respectively; 7,395,695 and 7,321,894 shares of LT50 common stock issued and outstanding as of March 31, 2024 and December 31, 2023, respectively</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Additional paid-in capital</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251,055 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241,509 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Accumulated deficit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(144,554)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(140,773)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stockholders' equity</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106,510 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100,744 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 and stockholders' equity</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184,771 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176,784 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43635"/>
                <wp:effectExtent l="0" t="0" r="0" b="0"/>
                <wp:wrapNone/>
                <wp:docPr id="6" name="Frame6"/>
                <a:graphic xmlns:a="http://schemas.openxmlformats.org/drawingml/2006/main">
                  <a:graphicData uri="http://schemas.microsoft.com/office/word/2010/wordprocessingShape">
                    <wps:wsp>
                      <wps:cNvSpPr txBox="1"/>
                      <wps:spPr>
                        <a:xfrm>
                          <a:off x="0" y="0"/>
                          <a:ext cx="6480175" cy="114363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0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Operations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596"/>
        <w:gridCol w:w="2226"/>
        <w:gridCol w:w="2230"/>
        <w:gridCol w:w="267"/>
        <w:gridCol w:w="979"/>
        <w:gridCol w:w="121"/>
        <w:gridCol w:w="121"/>
        <w:gridCol w:w="121"/>
        <w:gridCol w:w="121"/>
        <w:gridCol w:w="267"/>
        <w:gridCol w:w="979"/>
        <w:gridCol w:w="177"/>
      </w:tblGrid>
      <w:tr>
        <w:trPr/>
        <w:tc>
          <w:tcPr>
            <w:tcW w:w="259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40,101 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24,326 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20,744 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27,030 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(4,120)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(5,945)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(0.07)</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85,141,411 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81,768,429 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42390"/>
                <wp:effectExtent l="0" t="0" r="0" b="0"/>
                <wp:wrapNone/>
                <wp:docPr id="7" name="Frame7"/>
                <a:graphic xmlns:a="http://schemas.openxmlformats.org/drawingml/2006/main">
                  <a:graphicData uri="http://schemas.microsoft.com/office/word/2010/wordprocessingShape">
                    <wps:wsp>
                      <wps:cNvSpPr txBox="1"/>
                      <wps:spPr>
                        <a:xfrm>
                          <a:off x="0" y="0"/>
                          <a:ext cx="6480175" cy="1342390"/>
                        </a:xfrm>
                        <a:prstGeom prst="rect"/>
                        <a:solidFill>
                          <a:srgbClr val="FFFFFF"/>
                        </a:solidFill>
                      </wps:spPr>
                      <wps:txb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7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p>
      <w:pPr>
        <w:pStyle w:val="TextBody"/>
        <w:bidi w:val="0"/>
        <w:spacing w:before="160" w:after="283"/>
        <w:ind w:left="0" w:right="0" w:firstLine="720"/>
        <w:jc w:val="left"/>
        <w:rPr/>
      </w:pPr>
      <w:r>
        <w:rPr/>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March 31, 2024</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2023</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85,225,328 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(140,773)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100,744 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42,304 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137 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(30,434)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1,030,144 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209,877 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8,439 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(3,781)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2024</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86,484,507 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(144,554)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106,510 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75055"/>
                <wp:effectExtent l="0" t="0" r="0" b="0"/>
                <wp:wrapNone/>
                <wp:docPr id="8" name="Frame8"/>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821"/>
        <w:gridCol w:w="287"/>
        <w:gridCol w:w="288"/>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March 31, 2023</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2022</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82,429,367 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97,241 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50,994 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1,548 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(735)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163,417 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1,099 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245,313 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Shares withheld from common stock issued to pay employee payroll taxes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(83,376)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(5,945)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March 31, 2023</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82,806,528 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206,207 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(103,518)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102,696 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75055"/>
                <wp:effectExtent l="0" t="0" r="0" b="0"/>
                <wp:wrapNone/>
                <wp:docPr id="9" name="Frame9"/>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833"/>
        <w:gridCol w:w="2476"/>
        <w:gridCol w:w="2485"/>
        <w:gridCol w:w="199"/>
        <w:gridCol w:w="659"/>
        <w:gridCol w:w="110"/>
        <w:gridCol w:w="110"/>
        <w:gridCol w:w="110"/>
        <w:gridCol w:w="110"/>
        <w:gridCol w:w="199"/>
        <w:gridCol w:w="751"/>
        <w:gridCol w:w="163"/>
      </w:tblGrid>
      <w:tr>
        <w:trPr/>
        <w:tc>
          <w:tcPr>
            <w:tcW w:w="2833"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Three Months Ended March 31,</w:t>
            </w:r>
          </w:p>
        </w:tc>
      </w:tr>
      <w:tr>
        <w:trPr/>
        <w:tc>
          <w:tcPr>
            <w:tcW w:w="7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2023</w:t>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operating activities:</w:t>
            </w:r>
          </w:p>
        </w:tc>
        <w:tc>
          <w:tcPr>
            <w:tcW w:w="9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loss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(5,945)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Adjustments to reconcile net loss to net cash provided by operating activities: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Depreciation and amortization</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Reduction of operating lease right-of-use assets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Loss on impairment, receivables and sale or disposal of equipment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expense</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7,524 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10,004 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Amortization of original issue discount and debt issuance costs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Deferred tax assets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Changes in assets and liabilities: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receivable, net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assets, net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(6,120)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(2,683)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Prepaid expenses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current assets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assets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payable</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Accrued expenses and other liabilities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1,947 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Operating lease liabilities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liabilities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(738)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liabilities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provided by operating activities</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3,471 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7,642 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investing activities:</w:t>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Purchases of property and equipment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Software development costs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used in investing activities</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(898)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financing activities:</w:t>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finance leases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outstanding debt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14"/>
              </w:rPr>
            </w:pPr>
            <w:r>
              <w:rPr>
                <w:rFonts w:ascii="Expensify Neue;sans-serif" w:hAnsi="Expensify Neue;sans-serif"/>
                <w:b w:val="false"/>
                <w:color w:val="000000"/>
                <w:sz w:val="14"/>
              </w:rPr>
              <w:t>Payments for debt issuance costs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Repurchases of early exercised stock options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common stock purchased under Matching Plan</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issuance of common stock on exercise of stock options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Payments for employee taxes withheld from stock-based awards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14"/>
              </w:rPr>
            </w:pPr>
            <w:r>
              <w:rPr>
                <w:rFonts w:ascii="Expensify Neue;sans-serif" w:hAnsi="Expensify Neue;sans-serif"/>
                <w:b w:val="false"/>
                <w:color w:val="000000"/>
                <w:sz w:val="14"/>
              </w:rPr>
              <w:t>Net cash provided by financing activities</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14"/>
              </w:rPr>
            </w:pPr>
            <w:r>
              <w:rPr>
                <w:rFonts w:ascii="Expensify Neue;sans-serif" w:hAnsi="Expensify Neue;sans-serif"/>
                <w:b w:val="false"/>
                <w:color w:val="000000"/>
                <w:sz w:val="14"/>
              </w:rPr>
              <w:t>Net increase in cash and cash equivalents and restricted cash</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6,885 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beginning of period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96,658 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147,710 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end of period</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98,145 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154,595 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Supplemental disclosure of cash flow information:</w:t>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interest</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income taxes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Noncash investing and financing items: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capitalized as software development costs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Purchases of property and equipment and capitalized software in accounts payable and accrued expenses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Right-of-use assets acquired through operating leases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Reconciliation of cash and cash equivalents and restricted cash to the Condensed Consolidated Balance Sheets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49,340 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111,232 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other current assets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24,267 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19,013 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settlement assets, net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24,538 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24,350 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Total cash, cash equivalents and restricted cash</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98,145 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154,595 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75055"/>
                <wp:effectExtent l="0" t="0" r="0" b="0"/>
                <wp:wrapNone/>
                <wp:docPr id="10" name="Frame10"/>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 – GENERAL INFORMATION</w:t>
      </w:r>
    </w:p>
    <w:p>
      <w:pPr>
        <w:pStyle w:val="TextBody"/>
        <w:bidi w:val="0"/>
        <w:spacing w:lineRule="auto" w:line="288" w:before="0" w:after="160"/>
        <w:jc w:val="left"/>
        <w:rPr/>
      </w:pPr>
      <w:r>
        <w:rPr>
          <w:rFonts w:ascii="Expensify Neue;sans-serif" w:hAnsi="Expensify Neue;sans-serif"/>
          <w:b/>
          <w:color w:val="000000"/>
          <w:sz w:val="20"/>
        </w:rPr>
        <w:t>Description of the Business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("SMBs") and enterprises on a per-active-member basis.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also offers an Expensify charge card (the "Expensify Card"), which is primarily distributed to corporate customers in the United States ("U.S.") who subsequently distribute the card to their employees for business use. The Expensify Card allows customers to have real-time control over their employees' spending and compliance with spending limits in addition to eReceipt reporting on purchases.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2024</w:t>
      </w:r>
      <w:r>
        <w:rPr>
          <w:rFonts w:ascii="Expensify Neue;sans-serif" w:hAnsi="Expensify Neue;sans-serif"/>
          <w:b w:val="false"/>
          <w:color w:val="000000"/>
          <w:sz w:val="20"/>
          <w:shd w:fill="FFFFFF" w:val="clear"/>
        </w:rPr>
        <w:t>, the Expensify Card consisted of two card programs operating concurrently. Under the original Expensify Card program launched in 2020 (the “Legacy Card Program”), Expensify has an agreement with the payment processor, Marqeta, Inc. ("Marqeta"), and relies on Marqeta to manage the relationship with the issuing bank, Sutton Bank, and the card network, Visa, in authorizing and settling transactions. In October 2023, Expensify augmented the Expensify Card program by entering into an agreement with a new issuing bank, The Bancorp Bank, N.A. ("Bancorp"), to issue Expensify Cards to customers and authorize and settle transactions on the Visa card network (the “Updated Card Program”). The Updated Card Program launched during the</w:t>
      </w:r>
      <w:r>
        <w:rPr>
          <w:color w:val="000000"/>
        </w:rPr>
        <w:t xml:space="preserve"> </w:t>
      </w:r>
      <w:r>
        <w:rPr>
          <w:rFonts w:ascii="Expensify Neue;sans-serif" w:hAnsi="Expensify Neue;sans-serif"/>
          <w:b w:val="false"/>
          <w:color w:val="000000"/>
          <w:sz w:val="20"/>
        </w:rPr>
        <w:t xml:space="preserve">three months ended March 31, 2024, and all new Expensify Cards issued subsequent to the launch operate under the Updated Card Program.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Basis of Presentation and Principles of Consolidation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accompanying condensed consolidated financial statements include the accounts of Expensify, its wholly-owned subsidiaries, and Expensify.org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2023 ("2023 Annual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Results of operations for the three months ended March 31, 2024 are not necessarily indicative of the results that may be expected for the year ending December 31, 2024 or for any other future annual or interim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0250"/>
                <wp:effectExtent l="0" t="0" r="0" b="0"/>
                <wp:wrapNone/>
                <wp:docPr id="11" name="Frame1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Use of Estimates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Updates to Significant Accounting Policies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Company’s significant accounting policies are discussed in Note 2 of the 2023 Annual Report. Since the date the 2023 Annual Report was filed with the SEC, there have been no material changes to the Company's significant accounting policies, including the status of adoption of recent accounting pronouncements. </w:t>
      </w:r>
    </w:p>
    <w:p>
      <w:pPr>
        <w:pStyle w:val="TextBody"/>
        <w:bidi w:val="0"/>
        <w:spacing w:lineRule="auto" w:line="288" w:before="0" w:after="160"/>
        <w:jc w:val="left"/>
        <w:rPr/>
      </w:pPr>
      <w:r>
        <w:rPr>
          <w:rFonts w:ascii="Expensify Neue;sans-serif" w:hAnsi="Expensify Neue;sans-serif"/>
          <w:b/>
          <w:color w:val="000000"/>
          <w:sz w:val="20"/>
        </w:rPr>
        <w:t>Recent Accounting Pronouncements</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In October 2023, the FASB issued ASU 2023-06, </w:t>
      </w:r>
      <w:r>
        <w:rPr>
          <w:rFonts w:ascii="Expensify Neue;sans-serif" w:hAnsi="Expensify Neue;sans-serif"/>
          <w:b w:val="false"/>
          <w:i/>
          <w:color w:val="000000"/>
          <w:sz w:val="20"/>
          <w:shd w:fill="FFFFFF" w:val="clear"/>
        </w:rPr>
        <w:t>Disclosure Improvements</w:t>
      </w:r>
      <w:r>
        <w:rPr>
          <w:color w:val="000000"/>
        </w:rPr>
        <w:t xml:space="preserve"> </w:t>
      </w:r>
      <w:r>
        <w:rPr>
          <w:rFonts w:ascii="Expensify Neue;sans-serif" w:hAnsi="Expensify Neue;sans-serif"/>
          <w:b w:val="false"/>
          <w:i/>
          <w:color w:val="000000"/>
          <w:sz w:val="20"/>
        </w:rPr>
        <w:t xml:space="preserve">- Codification Amendments in Responses to the SEC's Disclosure Update and Simplification Initiative. </w:t>
      </w:r>
      <w:r>
        <w:rPr>
          <w:rFonts w:ascii="Expensify Neue;sans-serif" w:hAnsi="Expensify Neue;sans-serif"/>
          <w:b w:val="false"/>
          <w:color w:val="000000"/>
          <w:sz w:val="20"/>
        </w:rPr>
        <w:t>The amendments clarify or improve disclosure and presentation requirements on various disclosure areas, including the statement of cash flows, earnings per share, debt, and equity. The amendments will align the requirements in the FASB ASC with the SEC's regulations. The amendments in this ASU will be effective on the date the related disclosures are removed from Regulation S-X or Regulation S-K by the SEC, and will not be effective if the SEC has not removed the applicable disclosure requirement by June 30, 2027. Early adoption is prohibited. The Company is currently evaluating the impact of this update on its consolidated financial statement disclosures.</w:t>
      </w:r>
    </w:p>
    <w:p>
      <w:pPr>
        <w:pStyle w:val="TextBody"/>
        <w:bidi w:val="0"/>
        <w:spacing w:lineRule="auto" w:line="288" w:before="0" w:after="160"/>
        <w:jc w:val="left"/>
        <w:rPr/>
      </w:pPr>
      <w:r>
        <w:rPr>
          <w:rFonts w:ascii="Expensify Neue;sans-serif" w:hAnsi="Expensify Neue;sans-serif"/>
          <w:b w:val="false"/>
          <w:color w:val="000000"/>
          <w:sz w:val="20"/>
        </w:rPr>
        <w:t xml:space="preserve">In November 2023, the FASB issued ASU 2023-07, </w:t>
      </w:r>
      <w:r>
        <w:rPr>
          <w:rFonts w:ascii="Expensify Neue;sans-serif" w:hAnsi="Expensify Neue;sans-serif"/>
          <w:b w:val="false"/>
          <w:i/>
          <w:color w:val="000000"/>
          <w:sz w:val="20"/>
        </w:rPr>
        <w:t xml:space="preserve">Segment Reporting </w:t>
      </w:r>
      <w:r>
        <w:rPr>
          <w:rFonts w:ascii="Expensify Neue;sans-serif" w:hAnsi="Expensify Neue;sans-serif"/>
          <w:b w:val="false"/>
          <w:color w:val="000000"/>
          <w:sz w:val="20"/>
        </w:rPr>
        <w:t xml:space="preserve">- </w:t>
      </w:r>
      <w:r>
        <w:rPr>
          <w:rFonts w:ascii="Expensify Neue;sans-serif" w:hAnsi="Expensify Neue;sans-serif"/>
          <w:b w:val="false"/>
          <w:i/>
          <w:color w:val="000000"/>
          <w:sz w:val="20"/>
        </w:rPr>
        <w:t>Improvements to Reportable Segment Disclosures</w:t>
      </w:r>
      <w:r>
        <w:rPr>
          <w:rFonts w:ascii="Expensify Neue;sans-serif" w:hAnsi="Expensify Neue;sans-serif"/>
          <w:b w:val="false"/>
          <w:color w:val="000000"/>
          <w:sz w:val="20"/>
        </w:rPr>
        <w:t>, which provides improvement primarily through enhanced disclosures about significant segment expenses. The ASU is effective for annual periods beginning after December 15, 2023 and quarterly periods beginning after December 15, 2024. The ASU allows for adoption on a retrospective basis for all prior periods presented in the financial statements. The Company is currently evaluating the effect of this update on its consolidated financial statements and related disclosures.</w:t>
      </w:r>
    </w:p>
    <w:p>
      <w:pPr>
        <w:pStyle w:val="TextBody"/>
        <w:bidi w:val="0"/>
        <w:spacing w:lineRule="auto" w:line="288" w:before="0" w:after="160"/>
        <w:jc w:val="left"/>
        <w:rPr/>
      </w:pPr>
      <w:r>
        <w:rPr>
          <w:rFonts w:ascii="Expensify Neue;sans-serif" w:hAnsi="Expensify Neue;sans-serif"/>
          <w:b w:val="false"/>
          <w:color w:val="000000"/>
          <w:sz w:val="20"/>
        </w:rPr>
        <w:t xml:space="preserve">In December 2023, the FASB issued ASU 2023-09, </w:t>
      </w:r>
      <w:r>
        <w:rPr>
          <w:rFonts w:ascii="Expensify Neue;sans-serif" w:hAnsi="Expensify Neue;sans-serif"/>
          <w:b w:val="false"/>
          <w:i/>
          <w:color w:val="000000"/>
          <w:sz w:val="20"/>
        </w:rPr>
        <w:t>Improvements to Income Tax Disclosures</w:t>
      </w:r>
      <w:r>
        <w:rPr>
          <w:rFonts w:ascii="Expensify Neue;sans-serif" w:hAnsi="Expensify Neue;sans-serif"/>
          <w:b w:val="false"/>
          <w:color w:val="000000"/>
          <w:sz w:val="20"/>
        </w:rPr>
        <w:t>, which requires disclosure of disaggregated income taxes paid, prescribes standard categories for the components of the effective tax rate reconciliation, and modifies other income tax-related disclosures. The ASU is effective for annual periods beginning after December 15, 2024 and allows for adoption on a prospective basis, with a retrospective option. The Company is currently evaluating the effect of this update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0250"/>
                <wp:effectExtent l="0" t="0" r="0" b="0"/>
                <wp:wrapNone/>
                <wp:docPr id="12" name="Frame12"/>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2 - REVENUE AND CERTAIN STATEMENT OF OPERATIONS COMPONENTS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table below provides the Company's total revenue by geographic region based on the currency of the subscription (in thousands). No other individual country outside of the United States accounted for more than 10% of total revenue.</w:t>
      </w:r>
    </w:p>
    <w:tbl>
      <w:tblPr>
        <w:tblW w:w="4963" w:type="dxa"/>
        <w:jc w:val="left"/>
        <w:tblInd w:w="0" w:type="dxa"/>
        <w:tblLayout w:type="fixed"/>
        <w:tblCellMar>
          <w:top w:w="28" w:type="dxa"/>
          <w:left w:w="28" w:type="dxa"/>
          <w:bottom w:w="28" w:type="dxa"/>
          <w:right w:w="28" w:type="dxa"/>
        </w:tblCellMar>
      </w:tblPr>
      <w:tblGrid>
        <w:gridCol w:w="684"/>
        <w:gridCol w:w="602"/>
        <w:gridCol w:w="604"/>
        <w:gridCol w:w="258"/>
        <w:gridCol w:w="943"/>
        <w:gridCol w:w="124"/>
        <w:gridCol w:w="124"/>
        <w:gridCol w:w="124"/>
        <w:gridCol w:w="124"/>
        <w:gridCol w:w="258"/>
        <w:gridCol w:w="943"/>
        <w:gridCol w:w="175"/>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States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30,513 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36,635 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All other locations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40,101 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 individual customer represented more than 10% of the Company’s total revenue during the three months ended March 31, 2024 and 2023.</w:t>
      </w:r>
    </w:p>
    <w:p>
      <w:pPr>
        <w:pStyle w:val="TextBody"/>
        <w:bidi w:val="0"/>
        <w:spacing w:lineRule="auto" w:line="288" w:before="0" w:after="160"/>
        <w:jc w:val="left"/>
        <w:rPr/>
      </w:pPr>
      <w:r>
        <w:rPr>
          <w:rFonts w:ascii="Expensify Neue;sans-serif" w:hAnsi="Expensify Neue;sans-serif"/>
          <w:b/>
          <w:color w:val="000000"/>
          <w:sz w:val="20"/>
          <w:shd w:fill="FFFFFF" w:val="clear"/>
        </w:rPr>
        <w:t>Cashback Rewards</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offers a cashback rewards program to all Expensify Card customers based on volume of Expensify Card transactions and Software as a Service ("SaaS") subscription tier. Cashback rewards are earned on a monthly basis and are applied against outstanding customer receivables or paid out the following month. The Company considers the cashback payments to customers as consideration payable to a customer and it is recorded as a reduction to Revenue within the Condensed Consolidated Statements of Operations. </w:t>
      </w:r>
      <w:r>
        <w:rPr>
          <w:rFonts w:ascii="Expensify Neue;sans-serif" w:hAnsi="Expensify Neue;sans-serif"/>
          <w:b w:val="false"/>
          <w:color w:val="000000"/>
          <w:sz w:val="20"/>
        </w:rPr>
        <w:t>Cashback rewards for the three months ended March 31, 2024 and 2023 was $2.0 million and $1.2 million, respectively.</w:t>
      </w:r>
    </w:p>
    <w:p>
      <w:pPr>
        <w:pStyle w:val="TextBody"/>
        <w:bidi w:val="0"/>
        <w:spacing w:lineRule="auto" w:line="288" w:before="0" w:after="160"/>
        <w:jc w:val="left"/>
        <w:rPr/>
      </w:pPr>
      <w:r>
        <w:rPr>
          <w:rFonts w:ascii="Expensify Neue;sans-serif" w:hAnsi="Expensify Neue;sans-serif"/>
          <w:b/>
          <w:color w:val="000000"/>
          <w:sz w:val="20"/>
          <w:shd w:fill="FFFFFF" w:val="clear"/>
        </w:rPr>
        <w:t>Interchange</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The Company generates revenue from the authorization and settlement of Expensify Card transactions under the Updated Card Program. The Company is contractually entitled to all interchange generated on Expensify Card transactions based on its agreement with the issuing bank. Under the Updated Card Program, the Company is the principal in the transaction (i.e. the Company controls the services) and recognizes interchange as revenue on a gross basis within Revenue on the accompanying Condensed Consolidated Statements of Operations. For</w:t>
      </w:r>
      <w:r>
        <w:rPr>
          <w:color w:val="000000"/>
        </w:rPr>
        <w:t xml:space="preserve"> </w:t>
      </w:r>
      <w:r>
        <w:rPr>
          <w:rFonts w:ascii="Expensify Neue;sans-serif" w:hAnsi="Expensify Neue;sans-serif"/>
          <w:b w:val="false"/>
          <w:color w:val="000000"/>
          <w:sz w:val="20"/>
        </w:rPr>
        <w:t xml:space="preserve">the three months ended March 31, 2024, </w:t>
      </w:r>
      <w:r>
        <w:rPr>
          <w:rFonts w:ascii="Expensify Neue;sans-serif" w:hAnsi="Expensify Neue;sans-serif"/>
          <w:b w:val="false"/>
          <w:color w:val="000000"/>
          <w:sz w:val="20"/>
          <w:shd w:fill="FFFFFF" w:val="clear"/>
        </w:rPr>
        <w:t xml:space="preserve">the Company had an immaterial amount of interchange revenue. </w:t>
      </w:r>
    </w:p>
    <w:p>
      <w:pPr>
        <w:pStyle w:val="TextBody"/>
        <w:bidi w:val="0"/>
        <w:spacing w:lineRule="auto" w:line="288" w:before="0" w:after="160"/>
        <w:jc w:val="left"/>
        <w:rPr/>
      </w:pPr>
      <w:r>
        <w:rPr>
          <w:rFonts w:ascii="Expensify Neue;sans-serif" w:hAnsi="Expensify Neue;sans-serif"/>
          <w:b/>
          <w:color w:val="000000"/>
          <w:sz w:val="20"/>
          <w:shd w:fill="FFFFFF" w:val="clear"/>
        </w:rPr>
        <w:t>Consideration From a Vendor, Net</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receives consideration from a vendor for monetizing Expensify Card activities under the Legacy Card Program. This consideration, net of credit card processing fees paid to the vendor, is included as a reduction to Cost of revenue, net within the Condensed Consolidated Statements of Operations. </w:t>
      </w:r>
      <w:r>
        <w:rPr>
          <w:rFonts w:ascii="Expensify Neue;sans-serif" w:hAnsi="Expensify Neue;sans-serif"/>
          <w:b w:val="false"/>
          <w:color w:val="000000"/>
          <w:sz w:val="20"/>
        </w:rPr>
        <w:t>Consideration from a vendor, net for the three months ended March 31, 2024 and 2023 was $3.2 million and $2.1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0250"/>
                <wp:effectExtent l="0" t="0" r="0" b="0"/>
                <wp:wrapNone/>
                <wp:docPr id="13" name="Frame13"/>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3 - CERTAIN BALANCE SHEET COMPONENTS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Other Current Assets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 consisted of the following (in thousands):</w:t>
      </w:r>
    </w:p>
    <w:tbl>
      <w:tblPr>
        <w:tblW w:w="10000" w:type="dxa"/>
        <w:jc w:val="left"/>
        <w:tblInd w:w="0" w:type="dxa"/>
        <w:tblLayout w:type="fixed"/>
        <w:tblCellMar>
          <w:top w:w="28" w:type="dxa"/>
          <w:left w:w="28" w:type="dxa"/>
          <w:bottom w:w="28" w:type="dxa"/>
          <w:right w:w="28" w:type="dxa"/>
        </w:tblCellMar>
      </w:tblPr>
      <w:tblGrid>
        <w:gridCol w:w="2210"/>
        <w:gridCol w:w="1942"/>
        <w:gridCol w:w="1953"/>
        <w:gridCol w:w="309"/>
        <w:gridCol w:w="1131"/>
        <w:gridCol w:w="149"/>
        <w:gridCol w:w="109"/>
        <w:gridCol w:w="109"/>
        <w:gridCol w:w="109"/>
        <w:gridCol w:w="371"/>
        <w:gridCol w:w="1356"/>
        <w:gridCol w:w="252"/>
      </w:tblGrid>
      <w:tr>
        <w:trPr/>
        <w:tc>
          <w:tcPr>
            <w:tcW w:w="221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Card posted collateral for funds held for customers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16,561 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 in transit for funds held for customers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5,107 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Expensify.org restricted cash</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5,881 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 receivable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contract acquisition costs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Payments LLC restricted cash</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escrow and other restricted cash</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27,399 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30,978 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Capitalized Software,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 consisted of the following (in thousands):</w:t>
      </w:r>
    </w:p>
    <w:tbl>
      <w:tblPr>
        <w:tblW w:w="7945" w:type="dxa"/>
        <w:jc w:val="left"/>
        <w:tblInd w:w="0" w:type="dxa"/>
        <w:tblLayout w:type="fixed"/>
        <w:tblCellMar>
          <w:top w:w="28" w:type="dxa"/>
          <w:left w:w="28" w:type="dxa"/>
          <w:bottom w:w="28" w:type="dxa"/>
          <w:right w:w="28" w:type="dxa"/>
        </w:tblCellMar>
      </w:tblPr>
      <w:tblGrid>
        <w:gridCol w:w="1467"/>
        <w:gridCol w:w="1289"/>
        <w:gridCol w:w="1294"/>
        <w:gridCol w:w="309"/>
        <w:gridCol w:w="1131"/>
        <w:gridCol w:w="149"/>
        <w:gridCol w:w="109"/>
        <w:gridCol w:w="109"/>
        <w:gridCol w:w="109"/>
        <w:gridCol w:w="371"/>
        <w:gridCol w:w="1356"/>
        <w:gridCol w:w="252"/>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26,444 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22,683 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Less: accumulated amortization </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(11,337)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12,494 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expense related to capitalized software development costs is recorded in Cost of revenue, net on the Condensed Consolidated Statements of Operations. Amortization expense was $1.2 million and $0.7 million for the three months ended March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0250"/>
                <wp:effectExtent l="0" t="0" r="0" b="0"/>
                <wp:wrapNone/>
                <wp:docPr id="14" name="Frame1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Property and Equipment,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consisted of the following (in thousands):</w:t>
      </w:r>
    </w:p>
    <w:tbl>
      <w:tblPr>
        <w:tblW w:w="7104" w:type="dxa"/>
        <w:jc w:val="left"/>
        <w:tblInd w:w="0" w:type="dxa"/>
        <w:tblLayout w:type="fixed"/>
        <w:tblCellMar>
          <w:top w:w="28" w:type="dxa"/>
          <w:left w:w="28" w:type="dxa"/>
          <w:bottom w:w="28" w:type="dxa"/>
          <w:right w:w="28" w:type="dxa"/>
        </w:tblCellMar>
      </w:tblPr>
      <w:tblGrid>
        <w:gridCol w:w="1163"/>
        <w:gridCol w:w="1020"/>
        <w:gridCol w:w="1026"/>
        <w:gridCol w:w="309"/>
        <w:gridCol w:w="1131"/>
        <w:gridCol w:w="149"/>
        <w:gridCol w:w="109"/>
        <w:gridCol w:w="109"/>
        <w:gridCol w:w="109"/>
        <w:gridCol w:w="371"/>
        <w:gridCol w:w="1356"/>
        <w:gridCol w:w="25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Computers and equipment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Furniture and fixtures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Leasehold improvements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Commercial building</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Land</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property and equipment</w:t>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23,251 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23,251 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depreciation</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(8,879)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14,138 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14,372 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Depreciation expense related to property and equipment is recorded in General and administrative, Sales and marketing, and Interest and other expenses, net on the Condensed Consolidated Statements of Operations. Depreciation expense related to property and equipment for the three months ended March 31, 2024 and 2023 was $0.2 million and $0.5 million, respectively. </w:t>
      </w:r>
    </w:p>
    <w:p>
      <w:pPr>
        <w:pStyle w:val="TextBody"/>
        <w:bidi w:val="0"/>
        <w:spacing w:lineRule="auto" w:line="288" w:before="0" w:after="160"/>
        <w:jc w:val="left"/>
        <w:rPr/>
      </w:pPr>
      <w:r>
        <w:rPr>
          <w:rFonts w:ascii="Expensify Neue;sans-serif" w:hAnsi="Expensify Neue;sans-serif"/>
          <w:b/>
          <w:color w:val="000000"/>
          <w:sz w:val="20"/>
        </w:rPr>
        <w:t>Accrued Expenses and Other Liabilities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 consisted of the following (in thousands):</w:t>
      </w:r>
    </w:p>
    <w:tbl>
      <w:tblPr>
        <w:tblW w:w="10205" w:type="dxa"/>
        <w:jc w:val="left"/>
        <w:tblInd w:w="0" w:type="dxa"/>
        <w:tblLayout w:type="fixed"/>
        <w:tblCellMar>
          <w:top w:w="28" w:type="dxa"/>
          <w:left w:w="28" w:type="dxa"/>
          <w:bottom w:w="28" w:type="dxa"/>
          <w:right w:w="28" w:type="dxa"/>
        </w:tblCellMar>
      </w:tblPr>
      <w:tblGrid>
        <w:gridCol w:w="2302"/>
        <w:gridCol w:w="2022"/>
        <w:gridCol w:w="2031"/>
        <w:gridCol w:w="306"/>
        <w:gridCol w:w="1120"/>
        <w:gridCol w:w="147"/>
        <w:gridCol w:w="109"/>
        <w:gridCol w:w="109"/>
        <w:gridCol w:w="109"/>
        <w:gridCol w:w="405"/>
        <w:gridCol w:w="1266"/>
        <w:gridCol w:w="279"/>
      </w:tblGrid>
      <w:tr>
        <w:trPr/>
        <w:tc>
          <w:tcPr>
            <w:tcW w:w="230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3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Professional fees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payroll and other taxes payable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Partner payouts and advertising fees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Restricted common stock liability for early stock option exercises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payable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 reports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Commissions payable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Hosting and license fees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Credit card processing fees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payroll liability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9,390 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0250"/>
                <wp:effectExtent l="0" t="0" r="0" b="0"/>
                <wp:wrapNone/>
                <wp:docPr id="15" name="Frame1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4 - COMMITMENTS AND CONTINGENCIES</w:t>
      </w:r>
    </w:p>
    <w:p>
      <w:pPr>
        <w:pStyle w:val="TextBody"/>
        <w:bidi w:val="0"/>
        <w:spacing w:lineRule="auto" w:line="288" w:before="0" w:after="160"/>
        <w:jc w:val="left"/>
        <w:rPr/>
      </w:pPr>
      <w:r>
        <w:rPr>
          <w:rFonts w:ascii="Expensify Neue;sans-serif" w:hAnsi="Expensify Neue;sans-serif"/>
          <w:b/>
          <w:color w:val="000000"/>
          <w:sz w:val="20"/>
        </w:rPr>
        <w:t>Finance and Operating Lease Arrangements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did not enter into any new lease agreements during the three months ended March 31, 2024. The components of lease cost reflected in the Condensed Consolidated Statements of Operations for all leases were as follows (in thousands):</w:t>
      </w:r>
    </w:p>
    <w:tbl>
      <w:tblPr>
        <w:tblW w:w="5951" w:type="dxa"/>
        <w:jc w:val="left"/>
        <w:tblInd w:w="0" w:type="dxa"/>
        <w:tblLayout w:type="fixed"/>
        <w:tblCellMar>
          <w:top w:w="28" w:type="dxa"/>
          <w:left w:w="28" w:type="dxa"/>
          <w:bottom w:w="28" w:type="dxa"/>
          <w:right w:w="28" w:type="dxa"/>
        </w:tblCellMar>
      </w:tblPr>
      <w:tblGrid>
        <w:gridCol w:w="1041"/>
        <w:gridCol w:w="916"/>
        <w:gridCol w:w="922"/>
        <w:gridCol w:w="331"/>
        <w:gridCol w:w="772"/>
        <w:gridCol w:w="160"/>
        <w:gridCol w:w="160"/>
        <w:gridCol w:w="160"/>
        <w:gridCol w:w="160"/>
        <w:gridCol w:w="331"/>
        <w:gridCol w:w="772"/>
        <w:gridCol w:w="226"/>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cost:</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of ROU assets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on lease liabilities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finance lease cost</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cost</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lease cost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information related to leases was as follows (in thousands, except as noted within):</w:t>
      </w:r>
    </w:p>
    <w:tbl>
      <w:tblPr>
        <w:tblW w:w="10205" w:type="dxa"/>
        <w:jc w:val="left"/>
        <w:tblInd w:w="0" w:type="dxa"/>
        <w:tblLayout w:type="fixed"/>
        <w:tblCellMar>
          <w:top w:w="28" w:type="dxa"/>
          <w:left w:w="28" w:type="dxa"/>
          <w:bottom w:w="28" w:type="dxa"/>
          <w:right w:w="28" w:type="dxa"/>
        </w:tblCellMar>
      </w:tblPr>
      <w:tblGrid>
        <w:gridCol w:w="2323"/>
        <w:gridCol w:w="2039"/>
        <w:gridCol w:w="2049"/>
        <w:gridCol w:w="288"/>
        <w:gridCol w:w="901"/>
        <w:gridCol w:w="364"/>
        <w:gridCol w:w="109"/>
        <w:gridCol w:w="109"/>
        <w:gridCol w:w="109"/>
        <w:gridCol w:w="341"/>
        <w:gridCol w:w="1068"/>
        <w:gridCol w:w="505"/>
      </w:tblGrid>
      <w:tr>
        <w:trPr/>
        <w:tc>
          <w:tcPr>
            <w:tcW w:w="2323"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March 31,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ROU asset (included within Lease right-of-use assets)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330 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364 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ROU asset (included within Lease right-of-use assets)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5,624 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6,071 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remaining lease term (in years):</w:t>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2.67</w:t>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9.18</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discount rate:</w:t>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8.10 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8.30 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Supplemental cash flow information related to leases was as follows (in thousands):</w:t>
      </w:r>
    </w:p>
    <w:tbl>
      <w:tblPr>
        <w:tblW w:w="10165" w:type="dxa"/>
        <w:jc w:val="left"/>
        <w:tblInd w:w="0" w:type="dxa"/>
        <w:tblLayout w:type="fixed"/>
        <w:tblCellMar>
          <w:top w:w="28" w:type="dxa"/>
          <w:left w:w="28" w:type="dxa"/>
          <w:bottom w:w="28" w:type="dxa"/>
          <w:right w:w="28" w:type="dxa"/>
        </w:tblCellMar>
      </w:tblPr>
      <w:tblGrid>
        <w:gridCol w:w="2574"/>
        <w:gridCol w:w="2263"/>
        <w:gridCol w:w="2273"/>
        <w:gridCol w:w="321"/>
        <w:gridCol w:w="704"/>
        <w:gridCol w:w="154"/>
        <w:gridCol w:w="154"/>
        <w:gridCol w:w="154"/>
        <w:gridCol w:w="154"/>
        <w:gridCol w:w="321"/>
        <w:gridCol w:w="875"/>
        <w:gridCol w:w="218"/>
      </w:tblGrid>
      <w:tr>
        <w:trPr/>
        <w:tc>
          <w:tcPr>
            <w:tcW w:w="2574"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 paid for amounts included in the measurement of lease liabilities: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operating leases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finance leases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Financing cash flows from finance leases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99440"/>
                <wp:effectExtent l="0" t="0" r="0" b="0"/>
                <wp:wrapNone/>
                <wp:docPr id="16" name="Frame1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Maturities of lease liabilities as of March 31, 2024 were as follows (in thousands):</w:t>
      </w:r>
    </w:p>
    <w:tbl>
      <w:tblPr>
        <w:tblW w:w="6807" w:type="dxa"/>
        <w:jc w:val="left"/>
        <w:tblInd w:w="0" w:type="dxa"/>
        <w:tblLayout w:type="fixed"/>
        <w:tblCellMar>
          <w:top w:w="28" w:type="dxa"/>
          <w:left w:w="28" w:type="dxa"/>
          <w:bottom w:w="28" w:type="dxa"/>
          <w:right w:w="28" w:type="dxa"/>
        </w:tblCellMar>
      </w:tblPr>
      <w:tblGrid>
        <w:gridCol w:w="1092"/>
        <w:gridCol w:w="958"/>
        <w:gridCol w:w="965"/>
        <w:gridCol w:w="416"/>
        <w:gridCol w:w="971"/>
        <w:gridCol w:w="203"/>
        <w:gridCol w:w="109"/>
        <w:gridCol w:w="109"/>
        <w:gridCol w:w="109"/>
        <w:gridCol w:w="389"/>
        <w:gridCol w:w="1219"/>
        <w:gridCol w:w="267"/>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For the year ending:</w:t>
            </w:r>
          </w:p>
        </w:tc>
        <w:tc>
          <w:tcPr>
            <w:tcW w:w="15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Finance leases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Operating leases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Remainder of 2024</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2025</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2026</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2027</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2028</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Thereafter</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4,499 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future lease payments</w:t>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9,109 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imputed interest</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(2,856)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Lease liabilities, current</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 liabilities, non-current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5,949 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Amortizing Term Mortgage</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August 2019, the Company entered into an $8.3 million amortizing term mortgage agreement with Canadian Imperial Bank of Commerce ("CIBC") for the Company's commercial building located in Portland, Oregon. The agreement requires principal and interest payments to be made each month over a five-year period. Interest accrues at a fixed rate of 5.00% per year until August 2024, at which point the remaining outstanding principal balance on the amortizing term mortgage is due in full</w:t>
      </w:r>
      <w:r>
        <w:rPr>
          <w:rFonts w:ascii="Expensify Neue;sans-serif" w:hAnsi="Expensify Neue;sans-serif"/>
          <w:b w:val="false"/>
          <w:color w:val="000000"/>
          <w:sz w:val="20"/>
          <w:shd w:fill="FFFFFF" w:val="clear"/>
        </w:rPr>
        <w:t xml:space="preserve">. The borrowings are secured by the building. The outstanding balance of the amortizing term mortgage was </w:t>
      </w:r>
      <w:r>
        <w:rPr>
          <w:rFonts w:ascii="Expensify Neue;sans-serif" w:hAnsi="Expensify Neue;sans-serif"/>
          <w:b w:val="false"/>
          <w:color w:val="000000"/>
          <w:sz w:val="20"/>
        </w:rPr>
        <w:t>$7.6 million and $7.7 million a</w:t>
      </w:r>
      <w:r>
        <w:rPr>
          <w:rFonts w:ascii="Expensify Neue;sans-serif" w:hAnsi="Expensify Neue;sans-serif"/>
          <w:b w:val="false"/>
          <w:color w:val="000000"/>
          <w:sz w:val="20"/>
          <w:shd w:fill="FFFFFF" w:val="clear"/>
        </w:rPr>
        <w:t xml:space="preserve">s of </w:t>
      </w:r>
      <w:r>
        <w:rPr>
          <w:rFonts w:ascii="Expensify Neue;sans-serif" w:hAnsi="Expensify Neue;sans-serif"/>
          <w:b w:val="false"/>
          <w:color w:val="000000"/>
          <w:sz w:val="20"/>
        </w:rPr>
        <w:t>March 31, 2024</w:t>
      </w:r>
      <w:r>
        <w:rPr>
          <w:color w:val="000000"/>
          <w:shd w:fill="FFFFFF" w:val="clear"/>
        </w:rPr>
        <w:t xml:space="preserve"> </w:t>
      </w:r>
      <w:r>
        <w:rPr>
          <w:rFonts w:ascii="Expensify Neue;sans-serif" w:hAnsi="Expensify Neue;sans-serif"/>
          <w:b w:val="false"/>
          <w:color w:val="000000"/>
          <w:sz w:val="20"/>
          <w:shd w:fill="FFFFFF" w:val="clear"/>
        </w:rPr>
        <w:t>and December 31, 2023, respectively</w:t>
      </w:r>
      <w:r>
        <w:rPr>
          <w:rFonts w:ascii="Expensify Neue;sans-serif" w:hAnsi="Expensify Neue;sans-serif"/>
          <w:b w:val="false"/>
          <w:color w:val="000000"/>
          <w:sz w:val="20"/>
        </w:rPr>
        <w:t>.</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Loan and Security Agreement</w:t>
      </w:r>
    </w:p>
    <w:p>
      <w:pPr>
        <w:pStyle w:val="TextBody"/>
        <w:bidi w:val="0"/>
        <w:spacing w:lineRule="auto" w:line="288" w:before="0" w:after="160"/>
        <w:jc w:val="left"/>
        <w:rPr/>
      </w:pPr>
      <w:r>
        <w:rPr>
          <w:rFonts w:ascii="Expensify Neue;sans-serif" w:hAnsi="Expensify Neue;sans-serif"/>
          <w:b w:val="false"/>
          <w:color w:val="000000"/>
          <w:sz w:val="20"/>
        </w:rPr>
        <w:t>In September 2021, the Company amended and restated its loan and security agreement with CIBC ("2021 Amended Loan and Security Agreement") which consisted of a $45.0 million initial term loan, the option to enter into an additional $30.0 million delayed term loan that expired in March 2023, and a monthly revolving line of credit of $25.0 million. Under the 2021 Amended Loan and Security Agreement, the initial term loan of $45.0 million was payable over a 60-month period with principal and accrued interest payments due each quarter, commencing on September 30, 2021. The 2021 Amended Loan and Security Agreement amortized in equal quarterly installments of $0.1 million through September 30, 2024, $0.2 million beginning October 1, 2024 and $0.6 million beginning October 1, 2025, with any remaining principal balance due and payable on maturity in September 2026. The amounts borrowed accrued interest at the bank’s reference rate plus 2.25%</w:t>
      </w:r>
      <w:r>
        <w:rPr>
          <w:color w:val="000000"/>
          <w:shd w:fill="FFFFFF" w:val="clear"/>
        </w:rPr>
        <w:t xml:space="preserve"> </w:t>
      </w:r>
      <w:r>
        <w:rPr>
          <w:rFonts w:ascii="Expensify Neue;sans-serif" w:hAnsi="Expensify Neue;sans-serif"/>
          <w:b w:val="false"/>
          <w:color w:val="000000"/>
          <w:sz w:val="20"/>
          <w:shd w:fill="FFFFFF" w:val="clear"/>
        </w:rPr>
        <w:t xml:space="preserve">beginning on September 30, 2021 and continued on a quarterly basis through maturity of the term loan. The borrowings were secured by substantially all the Company’s assets. </w:t>
      </w:r>
      <w:r>
        <w:rPr>
          <w:rFonts w:ascii="Expensify Neue;sans-serif" w:hAnsi="Expensify Neue;sans-serif"/>
          <w:b w:val="false"/>
          <w:color w:val="000000"/>
          <w:sz w:val="20"/>
        </w:rPr>
        <w:t xml:space="preserve">The then outstanding balance of $36.0 million and $0.1 million of accrued interest on the term loan were repaid in full on October 12,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9440"/>
                <wp:effectExtent l="0" t="0" r="0" b="0"/>
                <wp:wrapNone/>
                <wp:docPr id="17" name="Frame1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pPr>
      <w:r>
        <w:rPr>
          <w:rFonts w:ascii="Expensify Neue;sans-serif" w:hAnsi="Expensify Neue;sans-serif"/>
          <w:b w:val="false"/>
          <w:color w:val="000000"/>
          <w:sz w:val="20"/>
        </w:rPr>
        <w:t>In February 2024, the Company entered into a Second Amended and Restated Loan and Security Agreement ("2024 Amended Loan and Security Agreement") with CIBC. The 2024 Amended Loan and Security Agreement amends and restates the 2021 Amended Loan and Security Agreement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the operations of the Company. The 2024 Amended Loan and Security Agreement continues to provide for a $25.0 million revolving credit facility. Borrowings under the line of credit accrue interest at CIBC’s reference rate plus 1.00% (9.50% as of March 31, 2024) and are secured by substantially all of the Company's assets. As of March 31, 2024</w:t>
      </w:r>
      <w:r>
        <w:rPr>
          <w:color w:val="000000"/>
          <w:shd w:fill="FFFFFF" w:val="clear"/>
        </w:rPr>
        <w:t xml:space="preserve"> </w:t>
      </w:r>
      <w:r>
        <w:rPr>
          <w:rFonts w:ascii="Expensify Neue;sans-serif" w:hAnsi="Expensify Neue;sans-serif"/>
          <w:b w:val="false"/>
          <w:color w:val="000000"/>
          <w:sz w:val="20"/>
          <w:shd w:fill="FFFFFF" w:val="clear"/>
        </w:rPr>
        <w:t>and December 31, 2023</w:t>
      </w:r>
      <w:r>
        <w:rPr>
          <w:rFonts w:ascii="Expensify Neue;sans-serif" w:hAnsi="Expensify Neue;sans-serif"/>
          <w:b w:val="false"/>
          <w:color w:val="000000"/>
          <w:sz w:val="20"/>
        </w:rPr>
        <w:t>, there were $15.0 million of borrowings under the line of credit and $10.0 million of capacity available for additional borrowings.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incurred an immaterial amount of costs in connection with entering into the 2024 Amended Loan and Security Agreement. These debt issuance costs are reflected as a deferred asset within Other current assets on the Condensed Consolidated Balance Sheets and are being amortized to interest expense on a straight-line basis over the term of the agreement. As of March 31, 2024, the unamortized debt issuance costs included within Other current assets was $0.1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Future aggregate annual principal payments on long-term debt as of March 31, 2024 is expected to be as follows (in thousands):</w:t>
      </w:r>
    </w:p>
    <w:tbl>
      <w:tblPr>
        <w:tblW w:w="10205" w:type="dxa"/>
        <w:jc w:val="left"/>
        <w:tblInd w:w="0" w:type="dxa"/>
        <w:tblLayout w:type="fixed"/>
        <w:tblCellMar>
          <w:top w:w="28" w:type="dxa"/>
          <w:left w:w="28" w:type="dxa"/>
          <w:bottom w:w="28" w:type="dxa"/>
          <w:right w:w="28" w:type="dxa"/>
        </w:tblCellMar>
      </w:tblPr>
      <w:tblGrid>
        <w:gridCol w:w="3243"/>
        <w:gridCol w:w="2764"/>
        <w:gridCol w:w="2784"/>
        <w:gridCol w:w="109"/>
        <w:gridCol w:w="109"/>
        <w:gridCol w:w="109"/>
        <w:gridCol w:w="226"/>
        <w:gridCol w:w="706"/>
        <w:gridCol w:w="155"/>
      </w:tblGrid>
      <w:tr>
        <w:trPr/>
        <w:tc>
          <w:tcPr>
            <w:tcW w:w="3243"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7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For the year ending: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Remainder of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unamortized original issue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Current portion of long-term debt, net of unamortized original issue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Long-term debt, net of unamortized original issue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Additionally, $15.0 million of outstanding borrowings under the line of credit are due in September 2025 upon maturity of the facility.</w:t>
      </w:r>
    </w:p>
    <w:p>
      <w:pPr>
        <w:pStyle w:val="TextBody"/>
        <w:bidi w:val="0"/>
        <w:spacing w:lineRule="auto" w:line="288" w:before="0" w:after="160"/>
        <w:jc w:val="left"/>
        <w:rPr/>
      </w:pPr>
      <w:r>
        <w:rPr>
          <w:rFonts w:ascii="Expensify Neue;sans-serif" w:hAnsi="Expensify Neue;sans-serif"/>
          <w:b w:val="false"/>
          <w:color w:val="000000"/>
          <w:sz w:val="20"/>
        </w:rPr>
        <w:t xml:space="preserve">As of March 31, 2024, </w:t>
      </w:r>
      <w:r>
        <w:rPr>
          <w:rFonts w:ascii="Expensify Neue;sans-serif" w:hAnsi="Expensify Neue;sans-serif"/>
          <w:b w:val="false"/>
          <w:color w:val="000000"/>
          <w:sz w:val="20"/>
          <w:shd w:fill="FFFFFF" w:val="clear"/>
        </w:rPr>
        <w:t xml:space="preserve">the Company was not in compliance with all debt covenants, </w:t>
      </w:r>
      <w:r>
        <w:rPr>
          <w:rFonts w:ascii="Expensify Neue;sans-serif" w:hAnsi="Expensify Neue;sans-serif"/>
          <w:b w:val="false"/>
          <w:color w:val="000000"/>
          <w:sz w:val="20"/>
        </w:rPr>
        <w:t xml:space="preserve">specifically the covenant restricting the amount of repurchases of common stock. </w:t>
      </w:r>
      <w:r>
        <w:rPr>
          <w:rFonts w:ascii="Expensify Neue;sans-serif" w:hAnsi="Expensify Neue;sans-serif"/>
          <w:b w:val="false"/>
          <w:color w:val="000000"/>
          <w:sz w:val="20"/>
          <w:shd w:fill="FFFFFF" w:val="clear"/>
        </w:rPr>
        <w:t xml:space="preserve">A waiver was obtained from CIBC for the Company's non-compliance with this covenant. The Company does not believe non-compliance with this covenant had any material impact on the Company or its operations. </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In May 2024, the Company entered into a First Amendment to the 2024 Amended Loan and Security Agreement, which amended the covenant restricting the amount of repurchases of common stock to allow for certain additional repurchase activity and provided a waiver for the Company's non-compliance during prior periods with the previous version of such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99440"/>
                <wp:effectExtent l="0" t="0" r="0" b="0"/>
                <wp:wrapNone/>
                <wp:docPr id="18" name="Frame1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Defined Contribution Plans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participant’s eligible compensation. No discretionary profit-sharing contributions were made during the </w:t>
      </w:r>
      <w:r>
        <w:rPr>
          <w:rFonts w:ascii="Expensify Neue;sans-serif" w:hAnsi="Expensify Neue;sans-serif"/>
          <w:b w:val="false"/>
          <w:color w:val="000000"/>
          <w:sz w:val="20"/>
        </w:rPr>
        <w:t>three months ended March 31, 2024 and 2023</w:t>
      </w:r>
      <w:r>
        <w:rPr>
          <w:rFonts w:ascii="Expensify Neue;sans-serif" w:hAnsi="Expensify Neue;sans-serif"/>
          <w:b w:val="false"/>
          <w:color w:val="000000"/>
          <w:sz w:val="20"/>
          <w:shd w:fill="FFFFFF" w:val="clear"/>
        </w:rPr>
        <w:t>. The Company’s 401(k) matching contributions for each of the three</w:t>
      </w:r>
      <w:r>
        <w:rPr>
          <w:color w:val="000000"/>
        </w:rPr>
        <w:t xml:space="preserve"> </w:t>
      </w:r>
      <w:r>
        <w:rPr>
          <w:rFonts w:ascii="Expensify Neue;sans-serif" w:hAnsi="Expensify Neue;sans-serif"/>
          <w:b w:val="false"/>
          <w:color w:val="000000"/>
          <w:sz w:val="20"/>
        </w:rPr>
        <w:t>months ended</w:t>
      </w:r>
      <w:r>
        <w:rPr>
          <w:color w:val="000000"/>
          <w:shd w:fill="FFFFFF" w:val="clear"/>
        </w:rPr>
        <w:t xml:space="preserve"> </w:t>
      </w:r>
      <w:r>
        <w:rPr>
          <w:rFonts w:ascii="Expensify Neue;sans-serif" w:hAnsi="Expensify Neue;sans-serif"/>
          <w:b w:val="false"/>
          <w:color w:val="000000"/>
          <w:sz w:val="20"/>
        </w:rPr>
        <w:t>March 31, 2024 and 2023</w:t>
      </w:r>
      <w:r>
        <w:rPr>
          <w:color w:val="000000"/>
          <w:shd w:fill="FFFFFF" w:val="clear"/>
        </w:rPr>
        <w:t xml:space="preserve"> </w:t>
      </w:r>
      <w:r>
        <w:rPr>
          <w:rFonts w:ascii="Expensify Neue;sans-serif" w:hAnsi="Expensify Neue;sans-serif"/>
          <w:b w:val="false"/>
          <w:color w:val="000000"/>
          <w:sz w:val="20"/>
          <w:shd w:fill="FFFFFF" w:val="clear"/>
        </w:rPr>
        <w:t>were $</w:t>
      </w:r>
      <w:r>
        <w:rPr>
          <w:rFonts w:ascii="Expensify Neue;sans-serif" w:hAnsi="Expensify Neue;sans-serif"/>
          <w:b w:val="false"/>
          <w:color w:val="000000"/>
          <w:sz w:val="20"/>
        </w:rPr>
        <w:t>0.2 million and $0.3 million, respectively</w:t>
      </w:r>
      <w:r>
        <w:rPr>
          <w:rFonts w:ascii="Expensify Neue;sans-serif" w:hAnsi="Expensify Neue;sans-serif"/>
          <w:b w:val="false"/>
          <w:color w:val="000000"/>
          <w:sz w:val="20"/>
          <w:shd w:fill="FFFFFF" w:val="clear"/>
        </w:rPr>
        <w:t xml:space="preserve">. </w:t>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Legal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March 31, 2024, there were no legal contingency matters, either individually or in aggregate, that would have a material adverse effect on the Company’s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5 - STOCK INCENTIVE PLANS</w:t>
      </w:r>
    </w:p>
    <w:p>
      <w:pPr>
        <w:pStyle w:val="TextBody"/>
        <w:bidi w:val="0"/>
        <w:spacing w:lineRule="auto" w:line="288" w:before="0" w:after="160"/>
        <w:jc w:val="left"/>
        <w:rPr/>
      </w:pPr>
      <w:r>
        <w:rPr>
          <w:rFonts w:ascii="Expensify Neue;sans-serif" w:hAnsi="Expensify Neue;sans-serif"/>
          <w:b/>
          <w:color w:val="000000"/>
          <w:sz w:val="20"/>
        </w:rPr>
        <w:t>2009 and 2019 Stock Plans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covering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Following the completion of the initial public offering of the Company’s Class A common stock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9440"/>
                <wp:effectExtent l="0" t="0" r="0" b="0"/>
                <wp:wrapNone/>
                <wp:docPr id="19" name="Frame1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Incentive Plans </w:t>
      </w:r>
    </w:p>
    <w:p>
      <w:pPr>
        <w:pStyle w:val="TextBody"/>
        <w:bidi w:val="0"/>
        <w:spacing w:lineRule="auto" w:line="288" w:before="0" w:after="160"/>
        <w:jc w:val="left"/>
        <w:rPr/>
      </w:pPr>
      <w:r>
        <w:rPr>
          <w:rFonts w:ascii="Expensify Neue;sans-serif" w:hAnsi="Expensify Neue;sans-serif"/>
          <w:b w:val="false"/>
          <w:color w:val="000000"/>
          <w:sz w:val="20"/>
        </w:rPr>
        <w:t xml:space="preserve">In November 2021, the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March 31, 2024 and </w:t>
      </w:r>
      <w:r>
        <w:rPr>
          <w:rFonts w:ascii="Expensify Neue;sans-serif" w:hAnsi="Expensify Neue;sans-serif"/>
          <w:b w:val="false"/>
          <w:color w:val="000000"/>
          <w:sz w:val="20"/>
          <w:shd w:fill="FFFFFF" w:val="clear"/>
        </w:rPr>
        <w:t>December 31, 2023</w:t>
      </w:r>
      <w:r>
        <w:rPr>
          <w:color w:val="000000"/>
        </w:rPr>
        <w:t xml:space="preserve"> </w:t>
      </w:r>
      <w:r>
        <w:rPr>
          <w:rFonts w:ascii="Expensify Neue;sans-serif" w:hAnsi="Expensify Neue;sans-serif"/>
          <w:b w:val="false"/>
          <w:color w:val="000000"/>
          <w:sz w:val="20"/>
        </w:rPr>
        <w:t xml:space="preserve">was 27,396,255 shares and 22,282,735 shares, respectively. The number of shares will automatically increase each subsequent January 1 through January 1, 2031, by the lesser of (A) 6% of the aggregate number of shares of all classes of common stock outstanding on the immediately preceding calendar year end, or (B) such lesser number of shares as determined by the Company’s Board of Directors or compensation committee; provided, however, that no more than 87,576,990 shares of Class A common stock may be issued upon the exercise of incentive stock options.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Matching Plan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Matching Plan operates using consecutive three-month offering periods that commenced on March 15, 2022. Employees, consultants and directors (collectively,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three-month offering period.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March 14, 2024 purchased a total of 441,541 Class A common shares, based on a purchase price of $2.07, resulting in gross cash proceeds to the Company of $0.9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March 14, 2023 purchased a total of 147,319 Class A common shares, based on a purchase price of $7.46, resulting in gross cash proceeds to the Company of $1.1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99440"/>
                <wp:effectExtent l="0" t="0" r="0" b="0"/>
                <wp:wrapNone/>
                <wp:docPr id="20" name="Frame2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offering period ended March 14, 2024, the Company elected to match each share of Class A common stock purchased or issued under the Matching Plan with 1/20 of a share of Class A common stock. During the three months ended March 31, 2024, the Company granted a total of 110,084 shares of Class A common stock as a matching contribution under the Matching Plan, with no shares withheld for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offering period ended March 14, 2023, the Company elected to match each share of Class A common stock purchased or issued under the Matching Plan with 1/20 of a share of Class A common stock. During the three months ended March 31, 2023, the Company granted a total of 16,098 shares of Class A common stock as a matching contribution under the Matching Plan, with no shares withheld for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fair value of awards granted as a result of the Company matches within the Matching Plan was estimated using the Black-Scholes option pricing model with the following weighted average assumptions:</w:t>
      </w:r>
    </w:p>
    <w:tbl>
      <w:tblPr>
        <w:tblW w:w="6880" w:type="dxa"/>
        <w:jc w:val="left"/>
        <w:tblInd w:w="0" w:type="dxa"/>
        <w:tblLayout w:type="fixed"/>
        <w:tblCellMar>
          <w:top w:w="28" w:type="dxa"/>
          <w:left w:w="28" w:type="dxa"/>
          <w:bottom w:w="28" w:type="dxa"/>
          <w:right w:w="28" w:type="dxa"/>
        </w:tblCellMar>
      </w:tblPr>
      <w:tblGrid>
        <w:gridCol w:w="1378"/>
        <w:gridCol w:w="1214"/>
        <w:gridCol w:w="1218"/>
        <w:gridCol w:w="270"/>
        <w:gridCol w:w="701"/>
        <w:gridCol w:w="342"/>
        <w:gridCol w:w="130"/>
        <w:gridCol w:w="130"/>
        <w:gridCol w:w="130"/>
        <w:gridCol w:w="270"/>
        <w:gridCol w:w="701"/>
        <w:gridCol w:w="396"/>
      </w:tblGrid>
      <w:tr>
        <w:trPr/>
        <w:tc>
          <w:tcPr>
            <w:tcW w:w="137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Fair value of common stock per share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7.55 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dividend yield </w:t>
            </w:r>
            <w:r>
              <w:rPr>
                <w:rFonts w:ascii="Expensify Neue;sans-serif" w:hAnsi="Expensify Neue;sans-serif"/>
                <w:b w:val="false"/>
                <w:color w:val="000000"/>
                <w:sz w:val="13"/>
              </w:rPr>
              <w:t>(1)</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Risk-free interest rate </w:t>
            </w:r>
            <w:r>
              <w:rPr>
                <w:rFonts w:ascii="Expensify Neue;sans-serif" w:hAnsi="Expensify Neue;sans-serif"/>
                <w:b w:val="false"/>
                <w:color w:val="000000"/>
                <w:sz w:val="13"/>
              </w:rPr>
              <w:t>(2)</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volatility </w:t>
            </w:r>
            <w:r>
              <w:rPr>
                <w:rFonts w:ascii="Expensify Neue;sans-serif" w:hAnsi="Expensify Neue;sans-serif"/>
                <w:b w:val="false"/>
                <w:color w:val="000000"/>
                <w:sz w:val="13"/>
              </w:rPr>
              <w:t>(3)</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89.8 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59.7 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life (in years) </w:t>
            </w:r>
            <w:r>
              <w:rPr>
                <w:rFonts w:ascii="Expensify Neue;sans-serif" w:hAnsi="Expensify Neue;sans-serif"/>
                <w:b w:val="false"/>
                <w:color w:val="000000"/>
                <w:sz w:val="13"/>
              </w:rPr>
              <w:t>(4)</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0.25</w:t>
            </w:r>
          </w:p>
        </w:tc>
      </w:tr>
      <w:tr>
        <w:trPr/>
        <w:tc>
          <w:tcPr>
            <w:tcW w:w="38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(1)The Company has no history or expectation of paying cash dividends on its common stock.</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(2)The risk-free interest rate is based on the U.S. Treasury yield for a term consistent with the expected life of the awards in effect at the time of grant.</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(3)The Company estimates volatility of its common stock at the date of the grant based on the expected weighted-average volatility of its Class A common stock.</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expected life of awards granted as a Company match within the Matching Plan represents the duration of each offering period under the terms of the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has made discretionary contributions under the Matching Plan to eligible Service Providers. During the three months ended March 31, 2024, the Company granted a total of 478,519 shares of Class A common stock as discretionary contributions under the Matching Plan, with no shares withheld for taxes. There were no discretionary contributions under the Matching Plan during the three months ended March 31, 2023.</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Restricted Stock Units </w:t>
      </w:r>
    </w:p>
    <w:p>
      <w:pPr>
        <w:pStyle w:val="TextBody"/>
        <w:bidi w:val="0"/>
        <w:spacing w:lineRule="auto" w:line="288" w:before="0" w:after="160"/>
        <w:jc w:val="left"/>
        <w:rPr/>
      </w:pPr>
      <w:r>
        <w:rPr>
          <w:rFonts w:ascii="Expensify Neue;sans-serif" w:hAnsi="Expensify Neue;sans-serif"/>
          <w:b w:val="false"/>
          <w:color w:val="000000"/>
          <w:sz w:val="20"/>
        </w:rPr>
        <w:t>On September 24, 2021, under the 2019 Stock Plan, the Company approved the grant of Class A and LT50 common stock RSUs to Service Providers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having vested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w:t>
      </w:r>
      <w:r>
        <w:rPr>
          <w:color w:val="000000"/>
        </w:rPr>
        <w:t xml:space="preserve"> </w:t>
      </w:r>
      <w:r>
        <w:rPr>
          <w:rFonts w:ascii="Expensify Neue;sans-serif" w:hAnsi="Expensify Neue;sans-serif"/>
          <w:b w:val="false"/>
          <w:color w:val="000000"/>
          <w:sz w:val="20"/>
        </w:rPr>
        <w:t>of each grant vesting on the first anniversary of the vesting commencement date and 1/32 of each grant vesting in equal quarterly installments thereafter until fully vested, in each case, subject to continued service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9440"/>
                <wp:effectExtent l="0" t="0" r="0" b="0"/>
                <wp:wrapNone/>
                <wp:docPr id="21" name="Frame2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Company's Non-Employee Director Compensation Program, which was adopted under the 2021 Incentive Plans, the Company granted no Class A common stock RSUs for the three months ended March 31, 2024. A total of 2,316 Class A common RSUs vested during the three months ended March 31, 2024 related to previously granted RSU awards as the quarterly service conditions were satisfied.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2024, RSU activity for Service Providers and non-employee directors was as follows:</w:t>
      </w:r>
    </w:p>
    <w:tbl>
      <w:tblPr>
        <w:tblW w:w="10205" w:type="dxa"/>
        <w:jc w:val="left"/>
        <w:tblInd w:w="0" w:type="dxa"/>
        <w:tblLayout w:type="fixed"/>
        <w:tblCellMar>
          <w:top w:w="28" w:type="dxa"/>
          <w:left w:w="28" w:type="dxa"/>
          <w:bottom w:w="28" w:type="dxa"/>
          <w:right w:w="28" w:type="dxa"/>
        </w:tblCellMar>
      </w:tblPr>
      <w:tblGrid>
        <w:gridCol w:w="968"/>
        <w:gridCol w:w="851"/>
        <w:gridCol w:w="855"/>
        <w:gridCol w:w="749"/>
        <w:gridCol w:w="593"/>
        <w:gridCol w:w="565"/>
        <w:gridCol w:w="109"/>
        <w:gridCol w:w="109"/>
        <w:gridCol w:w="109"/>
        <w:gridCol w:w="674"/>
        <w:gridCol w:w="581"/>
        <w:gridCol w:w="521"/>
        <w:gridCol w:w="109"/>
        <w:gridCol w:w="109"/>
        <w:gridCol w:w="109"/>
        <w:gridCol w:w="663"/>
        <w:gridCol w:w="2074"/>
        <w:gridCol w:w="457"/>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grant date fair value per share</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2023</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2,742,273 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2,646,332 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32.59 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vested</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(106,769)</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(103,108)</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32.45 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cancelled/forfeited/expired</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(266,231)</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(266,231)</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37.62 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March 31, 2024</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2,369,273 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2,276,993 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32.02 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674"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As of March 31, 2024</w:t>
      </w:r>
      <w:r>
        <w:rPr>
          <w:rFonts w:ascii="Expensify Neue;sans-serif" w:hAnsi="Expensify Neue;sans-serif"/>
          <w:b w:val="false"/>
          <w:color w:val="000000"/>
          <w:sz w:val="20"/>
          <w:shd w:fill="FFFFFF" w:val="clear"/>
        </w:rPr>
        <w:t xml:space="preserve">, there was $127.1 million of unamortized stock-based compensation cost related to unvested RSUs, which is expected to be recognized over the remaining weighted average life of 5.14 years. </w:t>
      </w:r>
      <w:r>
        <w:rPr>
          <w:rFonts w:ascii="Expensify Neue;sans-serif" w:hAnsi="Expensify Neue;sans-serif"/>
          <w:b w:val="false"/>
          <w:color w:val="000000"/>
          <w:sz w:val="20"/>
        </w:rPr>
        <w:t xml:space="preserve">As of </w:t>
      </w:r>
      <w:r>
        <w:rPr>
          <w:rFonts w:ascii="Expensify Neue;sans-serif" w:hAnsi="Expensify Neue;sans-serif"/>
          <w:b w:val="false"/>
          <w:color w:val="000000"/>
          <w:sz w:val="20"/>
          <w:shd w:fill="FFFFFF" w:val="clear"/>
        </w:rPr>
        <w:t>December 31, 2023</w:t>
      </w:r>
      <w:r>
        <w:rPr>
          <w:rFonts w:ascii="Expensify Neue;sans-serif" w:hAnsi="Expensify Neue;sans-serif"/>
          <w:b w:val="false"/>
          <w:color w:val="000000"/>
          <w:sz w:val="20"/>
        </w:rPr>
        <w:t xml:space="preserve">, there was $153.4 million of unamortized stock-based compensation cost related to unvested RSUs, which was expected to be recognized over the remaining weighted average life of </w:t>
      </w:r>
      <w:r>
        <w:rPr>
          <w:rFonts w:ascii="Expensify Neue;sans-serif" w:hAnsi="Expensify Neue;sans-serif"/>
          <w:b w:val="false"/>
          <w:color w:val="000000"/>
          <w:sz w:val="20"/>
          <w:shd w:fill="FFFFFF" w:val="clear"/>
        </w:rPr>
        <w:t>5.37 years</w:t>
      </w:r>
      <w:r>
        <w:rPr>
          <w:rFonts w:ascii="Expensify Neue;sans-serif" w:hAnsi="Expensify Neue;sans-serif"/>
          <w:b w:val="false"/>
          <w:color w:val="000000"/>
          <w:sz w:val="20"/>
        </w:rPr>
        <w:t xml:space="preserve">.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 </w:t>
      </w:r>
    </w:p>
    <w:p>
      <w:pPr>
        <w:pStyle w:val="TextBody"/>
        <w:bidi w:val="0"/>
        <w:spacing w:lineRule="auto" w:line="288" w:before="0" w:after="160"/>
        <w:jc w:val="left"/>
        <w:rPr/>
      </w:pPr>
      <w:r>
        <w:rPr>
          <w:rFonts w:ascii="Expensify Neue;sans-serif" w:hAnsi="Expensify Neue;sans-serif"/>
          <w:b w:val="false"/>
          <w:color w:val="000000"/>
          <w:sz w:val="20"/>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r>
        <w:rPr>
          <w:rFonts w:ascii="Expensify Neue;sans-serif" w:hAnsi="Expensify Neue;sans-serif"/>
          <w:b w:val="false"/>
          <w:color w:val="000000"/>
          <w:sz w:val="20"/>
          <w:shd w:fill="FFFFFF" w:val="clear"/>
        </w:rPr>
        <w:t xml:space="preserve">.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There was an immaterial amount of exercised restricted common stock repurchased during the </w:t>
      </w:r>
      <w:r>
        <w:rPr>
          <w:rFonts w:ascii="Expensify Neue;sans-serif" w:hAnsi="Expensify Neue;sans-serif"/>
          <w:b w:val="false"/>
          <w:color w:val="000000"/>
          <w:sz w:val="20"/>
        </w:rPr>
        <w:t>three months ended March 31, 2024 and 2023</w:t>
      </w:r>
      <w:r>
        <w:rPr>
          <w:rFonts w:ascii="Expensify Neue;sans-serif" w:hAnsi="Expensify Neue;sans-serif"/>
          <w:b w:val="false"/>
          <w:color w:val="000000"/>
          <w:sz w:val="2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2024</w:t>
      </w:r>
      <w:r>
        <w:rPr>
          <w:color w:val="000000"/>
          <w:shd w:fill="FFFFFF" w:val="clear"/>
        </w:rPr>
        <w:t xml:space="preserve"> </w:t>
      </w:r>
      <w:r>
        <w:rPr>
          <w:rFonts w:ascii="Expensify Neue;sans-serif" w:hAnsi="Expensify Neue;sans-serif"/>
          <w:b w:val="false"/>
          <w:color w:val="000000"/>
          <w:sz w:val="20"/>
          <w:shd w:fill="FFFFFF" w:val="clear"/>
        </w:rPr>
        <w:t>and December 31, 2023, there were 288,740 and</w:t>
      </w:r>
      <w:r>
        <w:rPr>
          <w:color w:val="000000"/>
        </w:rPr>
        <w:t xml:space="preserve"> </w:t>
      </w:r>
      <w:r>
        <w:rPr>
          <w:rFonts w:ascii="Expensify Neue;sans-serif" w:hAnsi="Expensify Neue;sans-serif"/>
          <w:b w:val="false"/>
          <w:color w:val="000000"/>
          <w:sz w:val="20"/>
        </w:rPr>
        <w:t xml:space="preserve">393,251 </w:t>
      </w:r>
      <w:r>
        <w:rPr>
          <w:rFonts w:ascii="Expensify Neue;sans-serif" w:hAnsi="Expensify Neue;sans-serif"/>
          <w:b w:val="false"/>
          <w:color w:val="000000"/>
          <w:sz w:val="20"/>
          <w:shd w:fill="FFFFFF" w:val="clear"/>
        </w:rPr>
        <w:t>shares subject to repurchase, respectively, related to unvested stock options that had been early exercised</w:t>
      </w:r>
      <w:r>
        <w:rPr>
          <w:rFonts w:ascii="Expensify Neue;sans-serif" w:hAnsi="Expensify Neue;sans-serif"/>
          <w:b w:val="false"/>
          <w:color w:val="000000"/>
          <w:sz w:val="20"/>
        </w:rPr>
        <w:t>. As of March 31, 2024</w:t>
      </w:r>
      <w:r>
        <w:rPr>
          <w:color w:val="000000"/>
          <w:shd w:fill="FFFFFF" w:val="clear"/>
        </w:rPr>
        <w:t xml:space="preserve"> </w:t>
      </w:r>
      <w:r>
        <w:rPr>
          <w:rFonts w:ascii="Expensify Neue;sans-serif" w:hAnsi="Expensify Neue;sans-serif"/>
          <w:b w:val="false"/>
          <w:color w:val="000000"/>
          <w:sz w:val="20"/>
          <w:shd w:fill="FFFFFF" w:val="clear"/>
        </w:rPr>
        <w:t xml:space="preserve">and December 31, 2023, the Company recorded a liability related to shares subject to repurchase of $0.4 million and </w:t>
      </w:r>
      <w:r>
        <w:rPr>
          <w:rFonts w:ascii="Expensify Neue;sans-serif" w:hAnsi="Expensify Neue;sans-serif"/>
          <w:b w:val="false"/>
          <w:color w:val="000000"/>
          <w:sz w:val="20"/>
        </w:rPr>
        <w:t>$0.6 million, respectively</w:t>
      </w:r>
      <w:r>
        <w:rPr>
          <w:rFonts w:ascii="Expensify Neue;sans-serif" w:hAnsi="Expensify Neue;sans-serif"/>
          <w:b w:val="false"/>
          <w:color w:val="000000"/>
          <w:sz w:val="20"/>
          <w:shd w:fill="FFFFFF" w:val="clear"/>
        </w:rPr>
        <w:t>, which is included within Accrued expenses and other liabilities in the accompanying Condensed Consolidated Balance Sheets</w:t>
      </w:r>
      <w:r>
        <w:rPr>
          <w:rFonts w:ascii="Expensify Neue;sans-serif" w:hAnsi="Expensify Neue;sans-serif"/>
          <w:b w:val="false"/>
          <w:color w:val="000000"/>
          <w:sz w:val="20"/>
        </w:rPr>
        <w:t>. These amounts are reclassified to Common stock and Additional paid-in capital as the underlying shares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99440"/>
                <wp:effectExtent l="0" t="0" r="0" b="0"/>
                <wp:wrapNone/>
                <wp:docPr id="22" name="Frame2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summary of the Company's stock option activity was as follows:</w:t>
      </w:r>
    </w:p>
    <w:tbl>
      <w:tblPr>
        <w:tblW w:w="10205" w:type="dxa"/>
        <w:jc w:val="left"/>
        <w:tblInd w:w="0" w:type="dxa"/>
        <w:tblLayout w:type="fixed"/>
        <w:tblCellMar>
          <w:top w:w="28" w:type="dxa"/>
          <w:left w:w="28" w:type="dxa"/>
          <w:bottom w:w="28" w:type="dxa"/>
          <w:right w:w="28" w:type="dxa"/>
        </w:tblCellMar>
      </w:tblPr>
      <w:tblGrid>
        <w:gridCol w:w="1046"/>
        <w:gridCol w:w="917"/>
        <w:gridCol w:w="921"/>
        <w:gridCol w:w="563"/>
        <w:gridCol w:w="563"/>
        <w:gridCol w:w="246"/>
        <w:gridCol w:w="109"/>
        <w:gridCol w:w="109"/>
        <w:gridCol w:w="109"/>
        <w:gridCol w:w="761"/>
        <w:gridCol w:w="1973"/>
        <w:gridCol w:w="369"/>
        <w:gridCol w:w="109"/>
        <w:gridCol w:w="109"/>
        <w:gridCol w:w="109"/>
        <w:gridCol w:w="640"/>
        <w:gridCol w:w="640"/>
        <w:gridCol w:w="912"/>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Weighted average </w:t>
              <w:br/>
              <w:t xml:space="preserve">remaining contractual life </w:t>
              <w:br/>
              <w:t>(in years)</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5,902,591 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4.03</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Options exercised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(42,304)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0.91 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cancelled/forfeited/expired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(102,781)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March 31, 2024</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5,757,506 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3.63</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Exercisable at March 31, 2024</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5,706,466 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3.61</w:t>
            </w:r>
          </w:p>
        </w:tc>
      </w:tr>
      <w:tr>
        <w:trPr/>
        <w:tc>
          <w:tcPr>
            <w:tcW w:w="2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total pretax intrinsic value of options outstanding at March 31, 2024 and December 31, 2023 was $5.4 million and $8.9 million, respectively. The total pretax intrinsic value of options exercisable at March 31, 2024 was $5.4 million. The intrinsic value is the difference between the estimated fair market value of the Company’s common stock at the date of exercise and the exercise price for in-the-money options.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2024</w:t>
      </w:r>
      <w:r>
        <w:rPr>
          <w:rFonts w:ascii="Expensify Neue;sans-serif" w:hAnsi="Expensify Neue;sans-serif"/>
          <w:b w:val="false"/>
          <w:color w:val="000000"/>
          <w:sz w:val="20"/>
          <w:shd w:fill="FFFFFF" w:val="clear"/>
        </w:rPr>
        <w:t xml:space="preserve">, there was $3.1 million of unrecognized stock-based compensation cost related to unvested stock options, which is expected to be recognized over a weighted average period of 0.63 years. </w:t>
      </w:r>
      <w:r>
        <w:rPr>
          <w:rFonts w:ascii="Expensify Neue;sans-serif" w:hAnsi="Expensify Neue;sans-serif"/>
          <w:b w:val="false"/>
          <w:color w:val="000000"/>
          <w:sz w:val="20"/>
        </w:rPr>
        <w:t xml:space="preserve">As of </w:t>
      </w:r>
      <w:r>
        <w:rPr>
          <w:rFonts w:ascii="Expensify Neue;sans-serif" w:hAnsi="Expensify Neue;sans-serif"/>
          <w:b w:val="false"/>
          <w:color w:val="000000"/>
          <w:sz w:val="20"/>
          <w:shd w:fill="FFFFFF" w:val="clear"/>
        </w:rPr>
        <w:t>December 31, 2023</w:t>
      </w:r>
      <w:r>
        <w:rPr>
          <w:rFonts w:ascii="Expensify Neue;sans-serif" w:hAnsi="Expensify Neue;sans-serif"/>
          <w:b w:val="false"/>
          <w:color w:val="000000"/>
          <w:sz w:val="20"/>
        </w:rPr>
        <w:t>, there was $4.1 million of unrecognized stock-based compensation cost related to unvested stock options, which was expected to be recognized over a weighted average period of 0.75 years.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Cash received from option exercises and purchases of shares under the Stock Plans for the </w:t>
      </w:r>
      <w:r>
        <w:rPr>
          <w:rFonts w:ascii="Expensify Neue;sans-serif" w:hAnsi="Expensify Neue;sans-serif"/>
          <w:b w:val="false"/>
          <w:color w:val="000000"/>
          <w:sz w:val="20"/>
        </w:rPr>
        <w:t>three months ended March 31, 2024</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2023</w:t>
      </w:r>
      <w:r>
        <w:rPr>
          <w:color w:val="000000"/>
          <w:shd w:fill="FFFFFF" w:val="clear"/>
        </w:rPr>
        <w:t xml:space="preserve"> </w:t>
      </w:r>
      <w:r>
        <w:rPr>
          <w:rFonts w:ascii="Expensify Neue;sans-serif" w:hAnsi="Expensify Neue;sans-serif"/>
          <w:b w:val="false"/>
          <w:color w:val="000000"/>
          <w:sz w:val="20"/>
          <w:shd w:fill="FFFFFF" w:val="clear"/>
        </w:rPr>
        <w:t>was immaterial and $0.1 million, re</w:t>
      </w:r>
      <w:r>
        <w:rPr>
          <w:rFonts w:ascii="Expensify Neue;sans-serif" w:hAnsi="Expensify Neue;sans-serif"/>
          <w:b w:val="false"/>
          <w:color w:val="000000"/>
          <w:sz w:val="20"/>
        </w:rPr>
        <w:t xml:space="preserv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9440"/>
                <wp:effectExtent l="0" t="0" r="0" b="0"/>
                <wp:wrapNone/>
                <wp:docPr id="23" name="Frame2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the stock-based compensation recognized for options granted under the 2009 Stock Plan, options and RSUs granted under the 2019 Stock Plan, RSUs granted under the 2021 Plan and matching and discretionary shares issued under the Matching Plan (in thousands):</w:t>
      </w:r>
    </w:p>
    <w:tbl>
      <w:tblPr>
        <w:tblW w:w="10205" w:type="dxa"/>
        <w:jc w:val="left"/>
        <w:tblInd w:w="0" w:type="dxa"/>
        <w:tblLayout w:type="fixed"/>
        <w:tblCellMar>
          <w:top w:w="28" w:type="dxa"/>
          <w:left w:w="28" w:type="dxa"/>
          <w:bottom w:w="28" w:type="dxa"/>
          <w:right w:w="28" w:type="dxa"/>
        </w:tblCellMar>
      </w:tblPr>
      <w:tblGrid>
        <w:gridCol w:w="2578"/>
        <w:gridCol w:w="2236"/>
        <w:gridCol w:w="2250"/>
        <w:gridCol w:w="266"/>
        <w:gridCol w:w="834"/>
        <w:gridCol w:w="128"/>
        <w:gridCol w:w="128"/>
        <w:gridCol w:w="128"/>
        <w:gridCol w:w="128"/>
        <w:gridCol w:w="266"/>
        <w:gridCol w:w="976"/>
        <w:gridCol w:w="128"/>
        <w:gridCol w:w="159"/>
      </w:tblGrid>
      <w:tr>
        <w:trPr/>
        <w:tc>
          <w:tcPr>
            <w:tcW w:w="2578"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Restricted stock units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 options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10,661 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stock-based compensation capitalized as software development costs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10,004 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tbl>
      <w:tblPr>
        <w:tblW w:w="7258" w:type="dxa"/>
        <w:jc w:val="left"/>
        <w:tblInd w:w="0" w:type="dxa"/>
        <w:tblLayout w:type="fixed"/>
        <w:tblCellMar>
          <w:top w:w="28" w:type="dxa"/>
          <w:left w:w="28" w:type="dxa"/>
          <w:bottom w:w="28" w:type="dxa"/>
          <w:right w:w="28" w:type="dxa"/>
        </w:tblCellMar>
      </w:tblPr>
      <w:tblGrid>
        <w:gridCol w:w="1513"/>
        <w:gridCol w:w="1333"/>
        <w:gridCol w:w="1338"/>
        <w:gridCol w:w="270"/>
        <w:gridCol w:w="843"/>
        <w:gridCol w:w="130"/>
        <w:gridCol w:w="130"/>
        <w:gridCol w:w="130"/>
        <w:gridCol w:w="130"/>
        <w:gridCol w:w="270"/>
        <w:gridCol w:w="987"/>
        <w:gridCol w:w="184"/>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3,306 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1,848 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10,004 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6 -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three months ended March 31, 2024, the Company prepared its interim tax provision by applying a year-to-date effective tax rate, which the Company believes results in the best estimate of the annual effective tax rate.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three months ended March 31, 2024 and 2023, the Company recorded a provision for income taxes of $1.0 million and $1.8 million, respectively, which resulted in effective tax rates of (37.6)% and (44.3)%,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difference between the statutory rate and the effective rate for 2024 was primarily due to non-deductible stock-based compensation, Section 162(m) of the Internal Revenue Code ("IRC") compensation limitations, and the change in valuation allowance. The difference between the statutory rate and the effective rate for 2023 was primarily due to non-deductible stock-based compensation, as well as the change in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9440"/>
                <wp:effectExtent l="0" t="0" r="0" b="0"/>
                <wp:wrapNone/>
                <wp:docPr id="24" name="Frame2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pPr>
      <w:r>
        <w:rPr>
          <w:rFonts w:ascii="Expensify Neue;sans-serif" w:hAnsi="Expensify Neue;sans-serif"/>
          <w:b w:val="false"/>
          <w:color w:val="000000"/>
          <w:sz w:val="20"/>
        </w:rPr>
        <w:t xml:space="preserve">The Company follows the provisions of ASC 740-10, </w:t>
      </w:r>
      <w:r>
        <w:rPr>
          <w:rFonts w:ascii="Expensify Neue;sans-serif" w:hAnsi="Expensify Neue;sans-serif"/>
          <w:b w:val="false"/>
          <w:i/>
          <w:color w:val="000000"/>
          <w:sz w:val="20"/>
        </w:rPr>
        <w:t>Accounting for Uncertainty in Income Taxes</w:t>
      </w:r>
      <w:r>
        <w:rPr>
          <w:rFonts w:ascii="Expensify Neue;sans-serif" w:hAnsi="Expensify Neue;sans-serif"/>
          <w:b w:val="false"/>
          <w:color w:val="000000"/>
          <w:sz w:val="20"/>
        </w:rPr>
        <w:t>. ASC 740-10 prescribes a comprehensive model for the recognition, measurement, presentation and disclosure in financial statements of uncertain tax positions that have been taken or expected to be taken on a tax return. As of March 31, 2024 and December 31, 2023, the Company recorded an uncertain tax position liability of $1.7 million and $1.5 million, respectively, within Other liabilities on the Condensed Consolidated Balance Sheets. This liability includes $0.2 million and an immaterial amount of interest and penalties as of March 31,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7 - 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2599"/>
        <w:gridCol w:w="2225"/>
        <w:gridCol w:w="2231"/>
        <w:gridCol w:w="297"/>
        <w:gridCol w:w="949"/>
        <w:gridCol w:w="121"/>
        <w:gridCol w:w="121"/>
        <w:gridCol w:w="121"/>
        <w:gridCol w:w="121"/>
        <w:gridCol w:w="297"/>
        <w:gridCol w:w="949"/>
        <w:gridCol w:w="174"/>
      </w:tblGrid>
      <w:tr>
        <w:trPr/>
        <w:tc>
          <w:tcPr>
            <w:tcW w:w="259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7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(5,945)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85,141,411 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81,768,429 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potentially dilutive shares were not included in the calculation of diluted shares outstanding as the effect would have been anti-dilutive:</w:t>
      </w:r>
    </w:p>
    <w:tbl>
      <w:tblPr>
        <w:tblW w:w="7301" w:type="dxa"/>
        <w:jc w:val="left"/>
        <w:tblInd w:w="0" w:type="dxa"/>
        <w:tblLayout w:type="fixed"/>
        <w:tblCellMar>
          <w:top w:w="28" w:type="dxa"/>
          <w:left w:w="28" w:type="dxa"/>
          <w:bottom w:w="28" w:type="dxa"/>
          <w:right w:w="28" w:type="dxa"/>
        </w:tblCellMar>
      </w:tblPr>
      <w:tblGrid>
        <w:gridCol w:w="1190"/>
        <w:gridCol w:w="1046"/>
        <w:gridCol w:w="1048"/>
        <w:gridCol w:w="769"/>
        <w:gridCol w:w="357"/>
        <w:gridCol w:w="326"/>
        <w:gridCol w:w="326"/>
        <w:gridCol w:w="326"/>
        <w:gridCol w:w="326"/>
        <w:gridCol w:w="769"/>
        <w:gridCol w:w="357"/>
        <w:gridCol w:w="461"/>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1,490,098 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4,329,958 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7,678 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1,490,098 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4,337,636 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9440"/>
                <wp:effectExtent l="0" t="0" r="0" b="0"/>
                <wp:wrapNone/>
                <wp:docPr id="25" name="Frame2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8 - EQUITY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May 10, 2022, the Executive Committee of the Board of Directors approved a share repurchase program with authorization to purchase up to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its discretion without prior notice.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2024, the Company did not repurchase any shares of Class A common stock under the 2022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9 - RELATED PARTY TRANSACTIONS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three months ended March 31, 2024 and 2023, Expensify, Inc. made no contributions and contributed $0.1 million, respectively, to Expensify.org, a nonprofit benefit organization established by the Company. There were no commitments from Expensify, Inc. that remained open for contribution as of March 31, 2024 and December 31, 2023.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There are no other significant related party transactions for the Company as of March 31, 2024, except as noted elsewhere in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99440"/>
                <wp:effectExtent l="0" t="0" r="0" b="0"/>
                <wp:wrapNone/>
                <wp:docPr id="26" name="Frame2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2. Management's Discussion and Analysis of Financial Condition and Results of Operations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2023 ("2023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2023 Annual Report and included elsewhere in this Quarterly Report on Form 10-Q. See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13 million members to our community and processed and automated 1.6 billion expense transactions on our platform as of March 31, 2024, freeing people to spend less time managing expenses and more time doing the things they love. For the quarter ended March 31, 2024, an average of 687,931 paid members across an average of 44,200 companies and over 200 countries and territories used Expensify to make money easy.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RECENT DEVELOPMENTS</w:t>
      </w:r>
    </w:p>
    <w:p>
      <w:pPr>
        <w:pStyle w:val="TextBody"/>
        <w:bidi w:val="0"/>
        <w:spacing w:lineRule="auto" w:line="288" w:before="0" w:after="160"/>
        <w:jc w:val="left"/>
        <w:rPr/>
      </w:pPr>
      <w:r>
        <w:rPr>
          <w:rFonts w:ascii="Expensify Neue;sans-serif" w:hAnsi="Expensify Neue;sans-serif"/>
          <w:b w:val="false"/>
          <w:color w:val="000000"/>
          <w:sz w:val="20"/>
        </w:rPr>
        <w:t xml:space="preserve">Since 2020, when we launched the Expensify Card, it has operated under one card program (the “Legacy Card Program”). During the three months ended March 31, 2024, we launched a new card program (the "Updated Card Program"). The Legacy Card Program operates under an agreement with the payment processor, </w:t>
      </w:r>
      <w:r>
        <w:rPr>
          <w:rFonts w:ascii="Expensify Neue;sans-serif" w:hAnsi="Expensify Neue;sans-serif"/>
          <w:b w:val="false"/>
          <w:color w:val="000000"/>
          <w:sz w:val="20"/>
          <w:shd w:fill="FFFFFF" w:val="clear"/>
        </w:rPr>
        <w:t xml:space="preserve">Marqeta, Inc. ("Marqeta"), </w:t>
      </w:r>
      <w:r>
        <w:rPr>
          <w:rFonts w:ascii="Expensify Neue;sans-serif" w:hAnsi="Expensify Neue;sans-serif"/>
          <w:b w:val="false"/>
          <w:color w:val="000000"/>
          <w:sz w:val="20"/>
        </w:rPr>
        <w:t xml:space="preserve">and relies on Marqeta to manage the relationship with the issuing bank, Sutton Bank, and the card network, Visa, in authorizing and settling transactions. The Updated Card Program operates under an agreement with a new issuing bank, </w:t>
      </w:r>
      <w:r>
        <w:rPr>
          <w:rFonts w:ascii="Expensify Neue;sans-serif" w:hAnsi="Expensify Neue;sans-serif"/>
          <w:b w:val="false"/>
          <w:color w:val="000000"/>
          <w:sz w:val="20"/>
          <w:shd w:fill="FFFFFF" w:val="clear"/>
        </w:rPr>
        <w:t>The Bancorp Bank, N.A. ("Bancorp"),</w:t>
      </w:r>
      <w:r>
        <w:rPr>
          <w:color w:val="000000"/>
        </w:rPr>
        <w:t xml:space="preserve"> </w:t>
      </w:r>
      <w:r>
        <w:rPr>
          <w:rFonts w:ascii="Expensify Neue;sans-serif" w:hAnsi="Expensify Neue;sans-serif"/>
          <w:b w:val="false"/>
          <w:color w:val="000000"/>
          <w:sz w:val="20"/>
        </w:rPr>
        <w:t xml:space="preserve">to issue Expensify Cards to customers and authorize and settle transactions on the Visa card network.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 new Expensify Cards issued subsequent to the launch of the Updated Card Program will operate under such program. Our transition of cardholders from the Legacy Card Program to the Updated Card Program has commenced, and we currently expect full completion of this transition by December 31, 2024.</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9440"/>
                <wp:effectExtent l="0" t="0" r="0" b="0"/>
                <wp:wrapNone/>
                <wp:docPr id="27" name="Frame2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Components of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based on the usage of our cloud-based expense management software platform under arrangements paid monthly in arrears that are either (i) month-to-month and can be terminated by either party without penalty at any time or (ii) 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a cashback rewards program to all customers based on volume of Expensify Card transactions and software as a service ("SaaS") subscription tier. Cashback rewards are earned on a monthly basis and are applied against outstanding customer receivables or are paid out the following month. We consider our cashback rewards as consideration payable to a customer, and they are recorded as contra revenue within Revenue on the Condensed Consolidated Statements of Operations. Cashback rewards applied against outstanding customer receivables are reflected as reductions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in conjunction with the applicable SaaS subscription tier of each customer and the timing of payments made to customers.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2024</w:t>
      </w:r>
      <w:r>
        <w:rPr>
          <w:rFonts w:ascii="Expensify Neue;sans-serif" w:hAnsi="Expensify Neue;sans-serif"/>
          <w:b w:val="false"/>
          <w:color w:val="000000"/>
          <w:sz w:val="20"/>
          <w:shd w:fill="FFFFFF" w:val="clear"/>
        </w:rPr>
        <w:t xml:space="preserve">, the Expensify Card consisted of two card programs operating concurrently: the Legacy Card Program and the Updated Card Program. All new Expensify Card issuances subsequent to the launch of the Updated Card Program operate under that program. </w:t>
      </w:r>
    </w:p>
    <w:p>
      <w:pPr>
        <w:pStyle w:val="TextBody"/>
        <w:bidi w:val="0"/>
        <w:spacing w:lineRule="auto" w:line="288" w:before="0" w:after="160"/>
        <w:jc w:val="left"/>
        <w:rPr/>
      </w:pPr>
      <w:r>
        <w:rPr>
          <w:rFonts w:ascii="Expensify Neue;sans-serif" w:hAnsi="Expensify Neue;sans-serif"/>
          <w:b w:val="false"/>
          <w:color w:val="000000"/>
          <w:sz w:val="20"/>
          <w:shd w:fill="FFFFFF" w:val="clear"/>
        </w:rPr>
        <w:t>Under the Updated Card Program, we generate revenue from the authorization and settlement of Expensify Card transactions and are contractually entitled to all interchange generated on Expensify Card transactions based on our agreement with the issuing bank. Under the Updated Card Program, we are the principal in the transaction (i.e. we control the services) and recognize interchange as revenue on a gross basis within Revenue on the accompanying Condensed Consolidated Statements of Operations. For</w:t>
      </w:r>
      <w:r>
        <w:rPr>
          <w:color w:val="000000"/>
        </w:rPr>
        <w:t xml:space="preserve"> </w:t>
      </w:r>
      <w:r>
        <w:rPr>
          <w:rFonts w:ascii="Expensify Neue;sans-serif" w:hAnsi="Expensify Neue;sans-serif"/>
          <w:b w:val="false"/>
          <w:color w:val="000000"/>
          <w:sz w:val="20"/>
        </w:rPr>
        <w:t xml:space="preserve">the three months ended March 31, 2024, </w:t>
      </w:r>
      <w:r>
        <w:rPr>
          <w:rFonts w:ascii="Expensify Neue;sans-serif" w:hAnsi="Expensify Neue;sans-serif"/>
          <w:b w:val="false"/>
          <w:color w:val="000000"/>
          <w:sz w:val="20"/>
          <w:shd w:fill="FFFFFF" w:val="clear"/>
        </w:rPr>
        <w:t xml:space="preserve">we had an immaterial amount of interchange revenue.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primarily consists of expenses related to hosting our service, including the costs of data center capacity, credit card processing fees, third-party software license fees, outsourcing costs to support customer service and outsourcing costs to support our patented scanning technology SmartScan, net of consideration from a vendor.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9440"/>
                <wp:effectExtent l="0" t="0" r="0" b="0"/>
                <wp:wrapNone/>
                <wp:docPr id="28" name="Frame2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Consideration from a vendor is related to the Expensify Card under the Legacy Card Program, where we use a third-party vendor to issue Expensify Cards and process the related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(our remainder portion, "Expensify interchange amount"). The vendor also charges us fees ("vendor fees") for the services it provides to us. Due to the nature of the vendor agreement, we do not record the Expensify interchange amount as revenue under the Legacy Card Program. Instead, the net of the Expensify interchange amount and vendor fees are paid to us, which we record as "Consideration from a vendor, net," a contra expense in Cost of revenue, net on the Condensed Consolidated Statements of Operations.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summarizes these various amounts for each of the periods presented:</w:t>
      </w:r>
    </w:p>
    <w:tbl>
      <w:tblPr>
        <w:tblW w:w="6416" w:type="dxa"/>
        <w:jc w:val="left"/>
        <w:tblInd w:w="0" w:type="dxa"/>
        <w:tblLayout w:type="fixed"/>
        <w:tblCellMar>
          <w:top w:w="28" w:type="dxa"/>
          <w:left w:w="28" w:type="dxa"/>
          <w:bottom w:w="28" w:type="dxa"/>
          <w:right w:w="28" w:type="dxa"/>
        </w:tblCellMar>
      </w:tblPr>
      <w:tblGrid>
        <w:gridCol w:w="1211"/>
        <w:gridCol w:w="1064"/>
        <w:gridCol w:w="1070"/>
        <w:gridCol w:w="283"/>
        <w:gridCol w:w="884"/>
        <w:gridCol w:w="136"/>
        <w:gridCol w:w="136"/>
        <w:gridCol w:w="136"/>
        <w:gridCol w:w="136"/>
        <w:gridCol w:w="283"/>
        <w:gridCol w:w="884"/>
        <w:gridCol w:w="193"/>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interchange amount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Vendor fees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Consideration from a vendor, net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2,072 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Research and Development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consist primarily of personnel-related expenses, including stock-based compensation, and external contributor costs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right-of-use assets, information technology and external professional services, including finance and accounting, audit, tax, legal and compliance, and human resources.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Sales and marketing expenses primarily consist of personnel-related expenses, including stock-based compensation, advertising expenses, depreciation on property and equipment, outsourcing costs for sales and product demos, branding and public relations expenses and referral fees for strategic partners and other benefits that we provide to our referral and affiliate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9440"/>
                <wp:effectExtent l="0" t="0" r="0" b="0"/>
                <wp:wrapNone/>
                <wp:docPr id="29" name="Frame2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and Other Expenses,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 consist primarily of interest paid under our credit facilities with Canadian Imperial Bank of Commerce ("CIBC"). It also includes the results of operations of our Fifth &amp; Harvey, LLC subsidiary, which holds title to and manages operations of the operating lease for lots in Portland, Oregon that are currently used to host multiple portable food vendors open to the general public, as well as realized gains and losses on foreign currency transactions and foreign currency remeasurement.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Provision for Income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Income taxes primarily consist of income taxes in the United States, United Kingdom, Australia, Netherlands and Canada, as well as states in the United States in which we do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99440"/>
                <wp:effectExtent l="0" t="0" r="0" b="0"/>
                <wp:wrapNone/>
                <wp:docPr id="30" name="Frame3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results of operations presented below should be reviewed in conjunction with the condensed consolidated financial statements and notes included elsewhere in this Quarterly Report on Form 10-Q.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our results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979"/>
        <w:gridCol w:w="1650"/>
        <w:gridCol w:w="1654"/>
        <w:gridCol w:w="430"/>
        <w:gridCol w:w="1292"/>
        <w:gridCol w:w="446"/>
        <w:gridCol w:w="170"/>
        <w:gridCol w:w="170"/>
        <w:gridCol w:w="170"/>
        <w:gridCol w:w="430"/>
        <w:gridCol w:w="1292"/>
        <w:gridCol w:w="522"/>
      </w:tblGrid>
      <w:tr>
        <w:trPr/>
        <w:tc>
          <w:tcPr>
            <w:tcW w:w="197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 share and per share data)</w:t>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40,101 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Cost of revenue, net</w:t>
            </w:r>
            <w:r>
              <w:rPr>
                <w:rFonts w:ascii="Expensify Neue;sans-serif" w:hAnsi="Expensify Neue;sans-serif"/>
                <w:b w:val="false"/>
                <w:color w:val="000000"/>
                <w:sz w:val="13"/>
              </w:rPr>
              <w:t>(1)</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14,584 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15,775 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18,951 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24,326 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2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Research and development</w:t>
            </w:r>
            <w:r>
              <w:rPr>
                <w:rFonts w:ascii="Expensify Neue;sans-serif" w:hAnsi="Expensify Neue;sans-serif"/>
                <w:b w:val="false"/>
                <w:color w:val="000000"/>
                <w:sz w:val="13"/>
              </w:rPr>
              <w:t>(1)</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5,418 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General and administrative</w:t>
            </w:r>
            <w:r>
              <w:rPr>
                <w:rFonts w:ascii="Expensify Neue;sans-serif" w:hAnsi="Expensify Neue;sans-serif"/>
                <w:b w:val="false"/>
                <w:color w:val="000000"/>
                <w:sz w:val="13"/>
              </w:rPr>
              <w:t>(1)</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11,431 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12,429 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Sales and marketing</w:t>
            </w:r>
            <w:r>
              <w:rPr>
                <w:rFonts w:ascii="Expensify Neue;sans-serif" w:hAnsi="Expensify Neue;sans-serif"/>
                <w:b w:val="false"/>
                <w:color w:val="000000"/>
                <w:sz w:val="13"/>
              </w:rPr>
              <w:t>(1)</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9,183 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20,744 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27,030 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(2,704)</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(1,416)</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(2,747)</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(4,120)</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(1,825)</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(5,945)</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2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(0.04)</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(0.07)</w:t>
            </w:r>
          </w:p>
        </w:tc>
        <w:tc>
          <w:tcPr>
            <w:tcW w:w="5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85,141,411 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81,768,429 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52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(1)Includes stock-based compensation expense as follows:</w:t>
      </w:r>
    </w:p>
    <w:tbl>
      <w:tblPr>
        <w:tblW w:w="5832" w:type="dxa"/>
        <w:jc w:val="left"/>
        <w:tblInd w:w="0" w:type="dxa"/>
        <w:tblLayout w:type="fixed"/>
        <w:tblCellMar>
          <w:top w:w="28" w:type="dxa"/>
          <w:left w:w="28" w:type="dxa"/>
          <w:bottom w:w="28" w:type="dxa"/>
          <w:right w:w="28" w:type="dxa"/>
        </w:tblCellMar>
      </w:tblPr>
      <w:tblGrid>
        <w:gridCol w:w="998"/>
        <w:gridCol w:w="879"/>
        <w:gridCol w:w="883"/>
        <w:gridCol w:w="276"/>
        <w:gridCol w:w="783"/>
        <w:gridCol w:w="153"/>
        <w:gridCol w:w="153"/>
        <w:gridCol w:w="153"/>
        <w:gridCol w:w="153"/>
        <w:gridCol w:w="276"/>
        <w:gridCol w:w="909"/>
        <w:gridCol w:w="216"/>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Cost of revenue, net</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2,932 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3,306 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Research and development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2,206 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General and administrative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Sales and marketing</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1,848 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Stock-based compensation expense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7,524 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10,004 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9440"/>
                <wp:effectExtent l="0" t="0" r="0" b="0"/>
                <wp:wrapNone/>
                <wp:docPr id="31" name="Frame3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COMPARISON OF THE THREE MONTHS ENDED MARCH 31, 2024 AND 2023</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tbl>
      <w:tblPr>
        <w:tblW w:w="6613" w:type="dxa"/>
        <w:jc w:val="left"/>
        <w:tblInd w:w="0" w:type="dxa"/>
        <w:tblLayout w:type="fixed"/>
        <w:tblCellMar>
          <w:top w:w="28" w:type="dxa"/>
          <w:left w:w="28" w:type="dxa"/>
          <w:bottom w:w="28" w:type="dxa"/>
          <w:right w:w="28" w:type="dxa"/>
        </w:tblCellMar>
      </w:tblPr>
      <w:tblGrid>
        <w:gridCol w:w="353"/>
        <w:gridCol w:w="311"/>
        <w:gridCol w:w="312"/>
        <w:gridCol w:w="258"/>
        <w:gridCol w:w="945"/>
        <w:gridCol w:w="124"/>
        <w:gridCol w:w="124"/>
        <w:gridCol w:w="124"/>
        <w:gridCol w:w="124"/>
        <w:gridCol w:w="258"/>
        <w:gridCol w:w="945"/>
        <w:gridCol w:w="124"/>
        <w:gridCol w:w="109"/>
        <w:gridCol w:w="109"/>
        <w:gridCol w:w="109"/>
        <w:gridCol w:w="226"/>
        <w:gridCol w:w="796"/>
        <w:gridCol w:w="109"/>
        <w:gridCol w:w="109"/>
        <w:gridCol w:w="109"/>
        <w:gridCol w:w="109"/>
        <w:gridCol w:w="247"/>
        <w:gridCol w:w="248"/>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33,535 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40,101 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decreased by $6.6 million, or 16%, for the three months ended March 31, 2024 compared to the same period in 2023,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738" w:type="dxa"/>
        <w:jc w:val="center"/>
        <w:tblInd w:w="0" w:type="dxa"/>
        <w:tblLayout w:type="fixed"/>
        <w:tblCellMar>
          <w:top w:w="28" w:type="dxa"/>
          <w:left w:w="28" w:type="dxa"/>
          <w:bottom w:w="28" w:type="dxa"/>
          <w:right w:w="28" w:type="dxa"/>
        </w:tblCellMar>
      </w:tblPr>
      <w:tblGrid>
        <w:gridCol w:w="759"/>
        <w:gridCol w:w="669"/>
        <w:gridCol w:w="671"/>
        <w:gridCol w:w="228"/>
        <w:gridCol w:w="833"/>
        <w:gridCol w:w="288"/>
        <w:gridCol w:w="110"/>
        <w:gridCol w:w="110"/>
        <w:gridCol w:w="110"/>
        <w:gridCol w:w="228"/>
        <w:gridCol w:w="833"/>
        <w:gridCol w:w="288"/>
        <w:gridCol w:w="109"/>
        <w:gridCol w:w="109"/>
        <w:gridCol w:w="109"/>
        <w:gridCol w:w="226"/>
        <w:gridCol w:w="796"/>
        <w:gridCol w:w="109"/>
        <w:gridCol w:w="109"/>
        <w:gridCol w:w="109"/>
        <w:gridCol w:w="109"/>
        <w:gridCol w:w="246"/>
        <w:gridCol w:w="249"/>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14,584 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15,775 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18,951 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24,326 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decreased by $1.2 million, or 8%, for the three months ended March 31, 2024 compared to the same period in 2023. Cost of revenue, net decreased primarily due to an increase in Consideration from a vendor, net, driven primarily by a higher number of members using the Expensify Card under the Legacy Card Program and the increased spend captured from such members, which reduced Cost of revenue, net by $3.2 million and $2.1 million for the three months ended March 31, 2024 and 2023,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57% for the three months ended March 31, 2024 compared to 61% in the same period in 2023 due to the factors described in the preceding paragraphs for Revenue and Cost of revenue, net.</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7951" w:type="dxa"/>
        <w:jc w:val="left"/>
        <w:tblInd w:w="0" w:type="dxa"/>
        <w:tblLayout w:type="fixed"/>
        <w:tblCellMar>
          <w:top w:w="28" w:type="dxa"/>
          <w:left w:w="28" w:type="dxa"/>
          <w:bottom w:w="28" w:type="dxa"/>
          <w:right w:w="28" w:type="dxa"/>
        </w:tblCellMar>
      </w:tblPr>
      <w:tblGrid>
        <w:gridCol w:w="1010"/>
        <w:gridCol w:w="888"/>
        <w:gridCol w:w="892"/>
        <w:gridCol w:w="284"/>
        <w:gridCol w:w="888"/>
        <w:gridCol w:w="137"/>
        <w:gridCol w:w="137"/>
        <w:gridCol w:w="137"/>
        <w:gridCol w:w="137"/>
        <w:gridCol w:w="284"/>
        <w:gridCol w:w="888"/>
        <w:gridCol w:w="137"/>
        <w:gridCol w:w="109"/>
        <w:gridCol w:w="109"/>
        <w:gridCol w:w="109"/>
        <w:gridCol w:w="226"/>
        <w:gridCol w:w="526"/>
        <w:gridCol w:w="109"/>
        <w:gridCol w:w="109"/>
        <w:gridCol w:w="109"/>
        <w:gridCol w:w="109"/>
        <w:gridCol w:w="143"/>
        <w:gridCol w:w="14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increased by $0.5 million, or 9%, for the three months ended March 31, 2024 compared to the same period in 2023, primarily due to an increase in employee time spent on project initiatives and new product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99440"/>
                <wp:effectExtent l="0" t="0" r="0" b="0"/>
                <wp:wrapNone/>
                <wp:docPr id="32" name="Frame3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126" w:type="dxa"/>
        <w:jc w:val="center"/>
        <w:tblInd w:w="0" w:type="dxa"/>
        <w:tblLayout w:type="fixed"/>
        <w:tblCellMar>
          <w:top w:w="28" w:type="dxa"/>
          <w:left w:w="28" w:type="dxa"/>
          <w:bottom w:w="28" w:type="dxa"/>
          <w:right w:w="28" w:type="dxa"/>
        </w:tblCellMar>
      </w:tblPr>
      <w:tblGrid>
        <w:gridCol w:w="1010"/>
        <w:gridCol w:w="888"/>
        <w:gridCol w:w="891"/>
        <w:gridCol w:w="258"/>
        <w:gridCol w:w="945"/>
        <w:gridCol w:w="124"/>
        <w:gridCol w:w="124"/>
        <w:gridCol w:w="124"/>
        <w:gridCol w:w="124"/>
        <w:gridCol w:w="258"/>
        <w:gridCol w:w="945"/>
        <w:gridCol w:w="124"/>
        <w:gridCol w:w="109"/>
        <w:gridCol w:w="109"/>
        <w:gridCol w:w="109"/>
        <w:gridCol w:w="226"/>
        <w:gridCol w:w="616"/>
        <w:gridCol w:w="109"/>
        <w:gridCol w:w="109"/>
        <w:gridCol w:w="109"/>
        <w:gridCol w:w="109"/>
        <w:gridCol w:w="187"/>
        <w:gridCol w:w="18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decreased by $1.0 million, or 8%, for the three months ended March 31, 2024 compared to the same period in 2023, primarily due to a decrease in employee time allocated to administrative functions related to maintenance activities in regards to compliance with Section 404 of the Sarbanes-Oxley Act and other public company requirements.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770" w:type="dxa"/>
        <w:jc w:val="center"/>
        <w:tblInd w:w="0" w:type="dxa"/>
        <w:tblLayout w:type="fixed"/>
        <w:tblCellMar>
          <w:top w:w="28" w:type="dxa"/>
          <w:left w:w="28" w:type="dxa"/>
          <w:bottom w:w="28" w:type="dxa"/>
          <w:right w:w="28" w:type="dxa"/>
        </w:tblCellMar>
      </w:tblPr>
      <w:tblGrid>
        <w:gridCol w:w="772"/>
        <w:gridCol w:w="677"/>
        <w:gridCol w:w="681"/>
        <w:gridCol w:w="284"/>
        <w:gridCol w:w="888"/>
        <w:gridCol w:w="137"/>
        <w:gridCol w:w="137"/>
        <w:gridCol w:w="137"/>
        <w:gridCol w:w="137"/>
        <w:gridCol w:w="284"/>
        <w:gridCol w:w="888"/>
        <w:gridCol w:w="137"/>
        <w:gridCol w:w="109"/>
        <w:gridCol w:w="109"/>
        <w:gridCol w:w="109"/>
        <w:gridCol w:w="226"/>
        <w:gridCol w:w="796"/>
        <w:gridCol w:w="109"/>
        <w:gridCol w:w="109"/>
        <w:gridCol w:w="109"/>
        <w:gridCol w:w="109"/>
        <w:gridCol w:w="247"/>
        <w:gridCol w:w="248"/>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decreased by $5.8 million, or 63%, for the three months ended March 31, 2024 compared to the same period in 2023, primarily due to a decrease in employee time allocated to sales and marketing activities, including conferences and events, and a decrease in outsourcing activities related to sales and product demos.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and Other Expenses, Net</w:t>
      </w:r>
    </w:p>
    <w:tbl>
      <w:tblPr>
        <w:tblW w:w="8654" w:type="dxa"/>
        <w:jc w:val="left"/>
        <w:tblInd w:w="0" w:type="dxa"/>
        <w:tblLayout w:type="fixed"/>
        <w:tblCellMar>
          <w:top w:w="28" w:type="dxa"/>
          <w:left w:w="28" w:type="dxa"/>
          <w:bottom w:w="28" w:type="dxa"/>
          <w:right w:w="28" w:type="dxa"/>
        </w:tblCellMar>
      </w:tblPr>
      <w:tblGrid>
        <w:gridCol w:w="1188"/>
        <w:gridCol w:w="1047"/>
        <w:gridCol w:w="1049"/>
        <w:gridCol w:w="284"/>
        <w:gridCol w:w="775"/>
        <w:gridCol w:w="137"/>
        <w:gridCol w:w="137"/>
        <w:gridCol w:w="137"/>
        <w:gridCol w:w="137"/>
        <w:gridCol w:w="284"/>
        <w:gridCol w:w="1001"/>
        <w:gridCol w:w="137"/>
        <w:gridCol w:w="109"/>
        <w:gridCol w:w="109"/>
        <w:gridCol w:w="109"/>
        <w:gridCol w:w="226"/>
        <w:gridCol w:w="526"/>
        <w:gridCol w:w="109"/>
        <w:gridCol w:w="109"/>
        <w:gridCol w:w="109"/>
        <w:gridCol w:w="109"/>
        <w:gridCol w:w="247"/>
        <w:gridCol w:w="248"/>
        <w:gridCol w:w="331"/>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 decreased by $0.5 million, or 33%, for the three months ended March 31, 2024 compared to the same period in 2023, primarily due to a decrease in interest expense incurred due to the repayment of the term loan component of the 2021 Amended Loan and Security Agreement (as defined below) on October 12,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99440"/>
                <wp:effectExtent l="0" t="0" r="0" b="0"/>
                <wp:wrapNone/>
                <wp:docPr id="33" name="Frame3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8095" w:type="dxa"/>
        <w:jc w:val="left"/>
        <w:tblInd w:w="0" w:type="dxa"/>
        <w:tblLayout w:type="fixed"/>
        <w:tblCellMar>
          <w:top w:w="28" w:type="dxa"/>
          <w:left w:w="28" w:type="dxa"/>
          <w:bottom w:w="28" w:type="dxa"/>
          <w:right w:w="28" w:type="dxa"/>
        </w:tblCellMar>
      </w:tblPr>
      <w:tblGrid>
        <w:gridCol w:w="989"/>
        <w:gridCol w:w="869"/>
        <w:gridCol w:w="871"/>
        <w:gridCol w:w="264"/>
        <w:gridCol w:w="931"/>
        <w:gridCol w:w="127"/>
        <w:gridCol w:w="127"/>
        <w:gridCol w:w="127"/>
        <w:gridCol w:w="127"/>
        <w:gridCol w:w="264"/>
        <w:gridCol w:w="931"/>
        <w:gridCol w:w="127"/>
        <w:gridCol w:w="109"/>
        <w:gridCol w:w="109"/>
        <w:gridCol w:w="109"/>
        <w:gridCol w:w="226"/>
        <w:gridCol w:w="526"/>
        <w:gridCol w:w="109"/>
        <w:gridCol w:w="109"/>
        <w:gridCol w:w="109"/>
        <w:gridCol w:w="109"/>
        <w:gridCol w:w="247"/>
        <w:gridCol w:w="248"/>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recorded a provision for income taxes of $1.0 million during the three months ended March 31, 2024 compared to a provision for income taxes of $1.8 million for the same period in 2023.</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2024 and 2023, our effective income tax rate was (37.6)% and (44.3)%, respectively. The effective income tax rate differs from the statutory rate in 2024 primarily due to non-deductible stock-based compensation, Section 162(m) of the Internal Revenue Code ("IRC") compensation limitations, and the change in valuation allowance. The effective income tax rate differs from the statutory rate in 2023 primarily due to non-deductible stock-based compensation as well as the change in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Key Business Metrics and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KEY BUSINESS METRICS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Paid Members</w:t>
      </w:r>
    </w:p>
    <w:p>
      <w:pPr>
        <w:pStyle w:val="TextBody"/>
        <w:bidi w:val="0"/>
        <w:spacing w:lineRule="auto" w:line="288" w:before="0" w:after="160"/>
        <w:jc w:val="left"/>
        <w:rPr/>
      </w:pPr>
      <w:r>
        <w:rPr>
          <w:rFonts w:ascii="Expensify Neue;sans-serif" w:hAnsi="Expensify Neue;sans-serif"/>
          <w:b w:val="false"/>
          <w:color w:val="000000"/>
          <w:sz w:val="20"/>
        </w:rPr>
        <w:t xml:space="preserve">We believe that our ability to increase the number of paid members on our platform will drive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plans during any particular quarter. For small and medium businesses ("SMBs") or sole proprietors with only one employee, the business owner may also be the only paid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average number of paid members for each of the periods presented (in thousands):</w:t>
      </w:r>
    </w:p>
    <w:tbl>
      <w:tblPr>
        <w:tblW w:w="3837" w:type="dxa"/>
        <w:jc w:val="left"/>
        <w:tblInd w:w="0" w:type="dxa"/>
        <w:tblLayout w:type="fixed"/>
        <w:tblCellMar>
          <w:top w:w="28" w:type="dxa"/>
          <w:left w:w="28" w:type="dxa"/>
          <w:bottom w:w="28" w:type="dxa"/>
          <w:right w:w="28" w:type="dxa"/>
        </w:tblCellMar>
      </w:tblPr>
      <w:tblGrid>
        <w:gridCol w:w="744"/>
        <w:gridCol w:w="654"/>
        <w:gridCol w:w="657"/>
        <w:gridCol w:w="109"/>
        <w:gridCol w:w="109"/>
        <w:gridCol w:w="109"/>
        <w:gridCol w:w="426"/>
        <w:gridCol w:w="426"/>
        <w:gridCol w:w="603"/>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Paid members</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688</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747</w:t>
            </w:r>
          </w:p>
        </w:tc>
      </w:tr>
      <w:tr>
        <w:trPr/>
        <w:tc>
          <w:tcPr>
            <w:tcW w:w="20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99440"/>
                <wp:effectExtent l="0" t="0" r="0" b="0"/>
                <wp:wrapNone/>
                <wp:docPr id="34" name="Frame3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NON-GAAP FINANCIAL MEASURES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Limitations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Adjusted EBITDA and Adjusted EBITDA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5968" w:type="dxa"/>
        <w:jc w:val="left"/>
        <w:tblInd w:w="0" w:type="dxa"/>
        <w:tblLayout w:type="fixed"/>
        <w:tblCellMar>
          <w:top w:w="28" w:type="dxa"/>
          <w:left w:w="28" w:type="dxa"/>
          <w:bottom w:w="28" w:type="dxa"/>
          <w:right w:w="28" w:type="dxa"/>
        </w:tblCellMar>
      </w:tblPr>
      <w:tblGrid>
        <w:gridCol w:w="906"/>
        <w:gridCol w:w="798"/>
        <w:gridCol w:w="801"/>
        <w:gridCol w:w="278"/>
        <w:gridCol w:w="872"/>
        <w:gridCol w:w="353"/>
        <w:gridCol w:w="134"/>
        <w:gridCol w:w="134"/>
        <w:gridCol w:w="134"/>
        <w:gridCol w:w="278"/>
        <w:gridCol w:w="872"/>
        <w:gridCol w:w="408"/>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7,114 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8,713 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Non-GAAP Net Income and Non-GAAP Net Income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non-GAAP net income as net loss from operations in accordance with GAAP excluding stock-based compensation.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tbl>
      <w:tblPr>
        <w:tblW w:w="6493" w:type="dxa"/>
        <w:jc w:val="left"/>
        <w:tblInd w:w="0" w:type="dxa"/>
        <w:tblLayout w:type="fixed"/>
        <w:tblCellMar>
          <w:top w:w="28" w:type="dxa"/>
          <w:left w:w="28" w:type="dxa"/>
          <w:bottom w:w="28" w:type="dxa"/>
          <w:right w:w="28" w:type="dxa"/>
        </w:tblCellMar>
      </w:tblPr>
      <w:tblGrid>
        <w:gridCol w:w="1098"/>
        <w:gridCol w:w="963"/>
        <w:gridCol w:w="969"/>
        <w:gridCol w:w="278"/>
        <w:gridCol w:w="872"/>
        <w:gridCol w:w="353"/>
        <w:gridCol w:w="134"/>
        <w:gridCol w:w="134"/>
        <w:gridCol w:w="134"/>
        <w:gridCol w:w="278"/>
        <w:gridCol w:w="872"/>
        <w:gridCol w:w="408"/>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3,743 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4,059 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margin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99440"/>
                <wp:effectExtent l="0" t="0" r="0" b="0"/>
                <wp:wrapNone/>
                <wp:docPr id="35" name="Frame3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Reconciliations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tables reconcile the most directly comparable GAAP financial measure to each of these non-GAAP financial measures.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and Adjusted EBITDA Margin</w:t>
      </w:r>
    </w:p>
    <w:tbl>
      <w:tblPr>
        <w:tblW w:w="7106" w:type="dxa"/>
        <w:jc w:val="left"/>
        <w:tblInd w:w="0" w:type="dxa"/>
        <w:tblLayout w:type="fixed"/>
        <w:tblCellMar>
          <w:top w:w="28" w:type="dxa"/>
          <w:left w:w="28" w:type="dxa"/>
          <w:bottom w:w="28" w:type="dxa"/>
          <w:right w:w="28" w:type="dxa"/>
        </w:tblCellMar>
      </w:tblPr>
      <w:tblGrid>
        <w:gridCol w:w="1320"/>
        <w:gridCol w:w="1156"/>
        <w:gridCol w:w="1168"/>
        <w:gridCol w:w="261"/>
        <w:gridCol w:w="924"/>
        <w:gridCol w:w="331"/>
        <w:gridCol w:w="126"/>
        <w:gridCol w:w="126"/>
        <w:gridCol w:w="126"/>
        <w:gridCol w:w="261"/>
        <w:gridCol w:w="924"/>
        <w:gridCol w:w="383"/>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(5,945)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Depreciation and amortization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1,383 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10,004 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7,114 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8,713 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22 </w:t>
            </w:r>
          </w:p>
        </w:tc>
        <w:tc>
          <w:tcPr>
            <w:tcW w:w="3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and Non-GAAP Net Income Margin</w:t>
      </w:r>
    </w:p>
    <w:tbl>
      <w:tblPr>
        <w:tblW w:w="7107" w:type="dxa"/>
        <w:jc w:val="left"/>
        <w:tblInd w:w="0" w:type="dxa"/>
        <w:tblLayout w:type="fixed"/>
        <w:tblCellMar>
          <w:top w:w="28" w:type="dxa"/>
          <w:left w:w="28" w:type="dxa"/>
          <w:bottom w:w="28" w:type="dxa"/>
          <w:right w:w="28" w:type="dxa"/>
        </w:tblCellMar>
      </w:tblPr>
      <w:tblGrid>
        <w:gridCol w:w="1320"/>
        <w:gridCol w:w="1156"/>
        <w:gridCol w:w="1169"/>
        <w:gridCol w:w="261"/>
        <w:gridCol w:w="924"/>
        <w:gridCol w:w="331"/>
        <w:gridCol w:w="126"/>
        <w:gridCol w:w="126"/>
        <w:gridCol w:w="126"/>
        <w:gridCol w:w="261"/>
        <w:gridCol w:w="924"/>
        <w:gridCol w:w="383"/>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(3,781)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(5,945)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10,004 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3,743 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4,059 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margin</w:t>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3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Liquidity and Capital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March 31, 2024, we had $49.3 million in cash and cash equivalents and $22.6 million in outstanding indebtedness.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9440"/>
                <wp:effectExtent l="0" t="0" r="0" b="0"/>
                <wp:wrapNone/>
                <wp:docPr id="36" name="Frame3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cash flows for the periods indicated:</w:t>
      </w:r>
    </w:p>
    <w:tbl>
      <w:tblPr>
        <w:tblW w:w="9551" w:type="dxa"/>
        <w:jc w:val="left"/>
        <w:tblInd w:w="0" w:type="dxa"/>
        <w:tblLayout w:type="fixed"/>
        <w:tblCellMar>
          <w:top w:w="28" w:type="dxa"/>
          <w:left w:w="28" w:type="dxa"/>
          <w:bottom w:w="28" w:type="dxa"/>
          <w:right w:w="28" w:type="dxa"/>
        </w:tblCellMar>
      </w:tblPr>
      <w:tblGrid>
        <w:gridCol w:w="2230"/>
        <w:gridCol w:w="1954"/>
        <w:gridCol w:w="1966"/>
        <w:gridCol w:w="284"/>
        <w:gridCol w:w="888"/>
        <w:gridCol w:w="137"/>
        <w:gridCol w:w="137"/>
        <w:gridCol w:w="137"/>
        <w:gridCol w:w="137"/>
        <w:gridCol w:w="284"/>
        <w:gridCol w:w="888"/>
        <w:gridCol w:w="137"/>
        <w:gridCol w:w="109"/>
        <w:gridCol w:w="109"/>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March 31,</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(2,829)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financing activities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20"/>
              </w:rPr>
            </w:pPr>
            <w:r>
              <w:rPr>
                <w:rFonts w:ascii="Expensify Neue;sans-serif" w:hAnsi="Expensify Neue;sans-serif"/>
                <w:b w:val="false"/>
                <w:color w:val="000000"/>
                <w:sz w:val="20"/>
              </w:rPr>
              <w:t>Net increase in cash and cash equivalents and restricted cash</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6,885 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OPERATING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 was $3.5 million for the three months ended March 31, 2024 compared to $7.6 million for the same period in 2023. The decrease was primarily due to a reduction in funds held for customers due to the timing of expense reimbursement activity and a decrease in revenue.</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INVESTING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2024, net cash used in investing activities was $2.8 million, primarily consisting of software development costs.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cash used in investing activities increased for the three months ended March 31, 2024 compared to the same period in 2023, primarily due to an increase in employee and external software development costs.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FINANCING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three months ended March 31, 2024, net cash provided by financing activities was $0.8 million, primarily consisting of proceeds from common stock purchased under the Company's 2021 Stock Purchase and Matching Plan ("Matching Plan").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March 31, 2023 net cash provided by financing activities was $0.1 million, primarily consisting of proceeds from common stock purchased under the Matching Plan, offset by payments for employee taxes withheld from stock-based awards.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Amortizing Term Mortgage</w:t>
      </w:r>
    </w:p>
    <w:p>
      <w:pPr>
        <w:pStyle w:val="TextBody"/>
        <w:bidi w:val="0"/>
        <w:spacing w:lineRule="auto" w:line="288" w:before="0" w:after="160"/>
        <w:jc w:val="left"/>
        <w:rPr/>
      </w:pPr>
      <w:r>
        <w:rPr>
          <w:rFonts w:ascii="Expensify Neue;sans-serif" w:hAnsi="Expensify Neue;sans-serif"/>
          <w:b w:val="false"/>
          <w:color w:val="000000"/>
          <w:sz w:val="20"/>
        </w:rPr>
        <w:t>In August 2019, the Company entered into an $8.3 million amortizing term mortgage agreement with Canadian Imperial Bank of Commerce ("CIBC") for the Company's commercial building located in Portland, Oregon. The agreement requires principal and interest payments due each month over a five-year period. Interest accrues at a fixed rate of 5.00% per year until August 2024, at which point the remaining outstanding principal balance on the amortizing term mortgage is due in full</w:t>
      </w:r>
      <w:r>
        <w:rPr>
          <w:rFonts w:ascii="Expensify Neue;sans-serif" w:hAnsi="Expensify Neue;sans-serif"/>
          <w:b w:val="false"/>
          <w:color w:val="000000"/>
          <w:sz w:val="20"/>
          <w:shd w:fill="FFFFFF" w:val="clear"/>
        </w:rPr>
        <w:t xml:space="preserve">. The borrowings are secured by the building. The outstanding balance of the amortizing term mortgage was </w:t>
      </w:r>
      <w:r>
        <w:rPr>
          <w:rFonts w:ascii="Expensify Neue;sans-serif" w:hAnsi="Expensify Neue;sans-serif"/>
          <w:b w:val="false"/>
          <w:color w:val="000000"/>
          <w:sz w:val="20"/>
        </w:rPr>
        <w:t xml:space="preserve">$7.6 million </w:t>
      </w: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March 31, 2024</w:t>
      </w:r>
      <w:r>
        <w:rPr>
          <w:rFonts w:ascii="Expensify Neue;sans-serif" w:hAnsi="Expensify Neue;sans-serif"/>
          <w:b w:val="false"/>
          <w:color w:val="000000"/>
          <w:sz w:val="20"/>
          <w:shd w:fill="FFFFFF" w:val="clear"/>
        </w:rPr>
        <w:t xml:space="preserve">. See Note 4 to our condensed consolidated financial statements included elsewhere in this Quarterly Report on Form 10-Q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9440"/>
                <wp:effectExtent l="0" t="0" r="0" b="0"/>
                <wp:wrapNone/>
                <wp:docPr id="37" name="Frame3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Loan and Security Agreement</w:t>
      </w:r>
    </w:p>
    <w:p>
      <w:pPr>
        <w:pStyle w:val="TextBody"/>
        <w:bidi w:val="0"/>
        <w:spacing w:lineRule="auto" w:line="288" w:before="0" w:after="160"/>
        <w:jc w:val="left"/>
        <w:rPr/>
      </w:pPr>
      <w:r>
        <w:rPr>
          <w:rFonts w:ascii="Expensify Neue;sans-serif" w:hAnsi="Expensify Neue;sans-serif"/>
          <w:b w:val="false"/>
          <w:color w:val="000000"/>
          <w:sz w:val="20"/>
        </w:rPr>
        <w:t>In September 2021, we amended and restated our loan and security agreement with CIBC (the "2021 Amended Loan and Security Agreement"), which consisted of a $45.0 million initial term loan, the option to enter into an additional $30.0 million delayed term loan that expired in March 2023, and a monthly revolving line of credit of $25.0 million. Under the 2021 Amended Loan and Security Agreement, the initial term loan of $45.0 million was payable over a 60-month period with principal and accrued interest payments due each quarter, commencing on September 30, 2021. The 2021 Amended Loan and Security Agreement amortized in equal quarterly installments of $0.1 million through September 30, 2024, $0.2 million beginning October 1, 2024 and $0.6 million beginning October 1, 2025, with any remaining principal balance due and payable on maturity in September 2026. The amounts borrowed accrued interest at the bank’s reference rate plus 2.25%</w:t>
      </w:r>
      <w:r>
        <w:rPr>
          <w:color w:val="000000"/>
          <w:shd w:fill="FFFFFF" w:val="clear"/>
        </w:rPr>
        <w:t xml:space="preserve"> </w:t>
      </w:r>
      <w:r>
        <w:rPr>
          <w:rFonts w:ascii="Expensify Neue;sans-serif" w:hAnsi="Expensify Neue;sans-serif"/>
          <w:b w:val="false"/>
          <w:color w:val="000000"/>
          <w:sz w:val="20"/>
          <w:shd w:fill="FFFFFF" w:val="clear"/>
        </w:rPr>
        <w:t xml:space="preserve">beginning on September 30, 2021 and continuing on a quarterly basis through maturity of the term loan. The borrowings were secured by substantially all our assets. </w:t>
      </w:r>
      <w:r>
        <w:rPr>
          <w:rFonts w:ascii="Expensify Neue;sans-serif" w:hAnsi="Expensify Neue;sans-serif"/>
          <w:b w:val="false"/>
          <w:color w:val="000000"/>
          <w:sz w:val="20"/>
        </w:rPr>
        <w:t xml:space="preserve">The then outstanding balance of $36.0 million and $0.1 million of accrued interest on the term loan were repaid in full on October 12, 2023.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February 2024, we entered into a Second Amended and Restated Loan and Security Agreement (the "2024 Amended Loan and Security Agreement") with CIBC. The 2024 Amended Loan and Security Agreement amends and restates the 2021 Amended Loan and Security Agreement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our operations. The 2024 Amended Loan and Security Agreement continues to provide for a $25.0 million revolving credit facility. Borrowings under the line of credit accrue interest at CIBC’s reference rate plus 1.00% (9.50% as of March 31, 2024) and are secured by substantially all of our assets.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incurred an immaterial amount of costs in connection with entering into the 2024 Amended Loan and Security Agreement. These debt issuance costs are reflected as a deferred asset within Other current assets on the Condensed Consolidated Balance Sheets and are being amortized to interest expense on a straight-line basis over the term of the agreement. As of March 31, 2024, the unamortized debt issuance costs included within Other current assets was $0.1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outstanding balance of the revolving line of credit was $15.0 million as of March 31, 2024. See Note 4 to our condensed consolidated financial statements included elsewhere in this Quarterly Report on Form 10-Q for further information.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Certain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are subject to customary covenants under the 2024 Amended Loan and Security Agreement which, unless waived by CIBC, restrict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liquidity ratio, as defined in the 2024 Amended Loan and Security Agreement, tested each quarter, of not less than 1.10 to 1.00 for the quarter ending March 31, 2024, not less than 1.20 to 1.00 from the quarter ending June 30, 2024 and each quarter thereafter, and a total EBITDA net leverage ratio, as defined in the 2024 Amended Loan and Security Agreement, tested each quarter, of not less than 2.50 to 1.00 from the quarter ended March 31, 2025 and each quarter thereafter.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9440"/>
                <wp:effectExtent l="0" t="0" r="0" b="0"/>
                <wp:wrapNone/>
                <wp:docPr id="38" name="Frame3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pPr>
      <w:r>
        <w:rPr>
          <w:rFonts w:ascii="Expensify Neue;sans-serif" w:hAnsi="Expensify Neue;sans-serif"/>
          <w:b w:val="false"/>
          <w:color w:val="000000"/>
          <w:sz w:val="20"/>
        </w:rPr>
        <w:t xml:space="preserve">As of March 31, 2024, </w:t>
      </w:r>
      <w:r>
        <w:rPr>
          <w:rFonts w:ascii="Expensify Neue;sans-serif" w:hAnsi="Expensify Neue;sans-serif"/>
          <w:b w:val="false"/>
          <w:color w:val="000000"/>
          <w:sz w:val="20"/>
          <w:shd w:fill="FFFFFF" w:val="clear"/>
        </w:rPr>
        <w:t xml:space="preserve">we were not in compliance with all debt covenants, </w:t>
      </w:r>
      <w:r>
        <w:rPr>
          <w:rFonts w:ascii="Expensify Neue;sans-serif" w:hAnsi="Expensify Neue;sans-serif"/>
          <w:b w:val="false"/>
          <w:color w:val="000000"/>
          <w:sz w:val="20"/>
        </w:rPr>
        <w:t xml:space="preserve">specifically the covenant restricting the amount of repurchases of common stock. </w:t>
      </w:r>
      <w:r>
        <w:rPr>
          <w:rFonts w:ascii="Expensify Neue;sans-serif" w:hAnsi="Expensify Neue;sans-serif"/>
          <w:b w:val="false"/>
          <w:color w:val="000000"/>
          <w:sz w:val="20"/>
          <w:shd w:fill="FFFFFF" w:val="clear"/>
        </w:rPr>
        <w:t xml:space="preserve">A waiver was obtained from CIBC for our non-compliance with this covenant. We do not believe non-compliance with this covenant had any material impact on us or our operations. </w:t>
      </w:r>
      <w:r>
        <w:rPr>
          <w:rFonts w:ascii="Expensify Neue;sans-serif" w:hAnsi="Expensify Neue;sans-serif"/>
          <w:b w:val="false"/>
          <w:color w:val="000000"/>
          <w:sz w:val="20"/>
        </w:rPr>
        <w:t>We expect to be in compliance with all debt covenants pursuant to the 2024 Amended Loan and Security Agreement, or to have received a waiver for any non-compliance, by the end of the fiscal quarter ended June 30, 2024.</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In May 2024, we entered into a First Amendment to the 2024 Amended Loan and Security Agreement, which amended the covenant restricting the amount of repurchases of common stock to allow for certain additional repurchase activity and provided a waiver for our non-compliance during prior periods with the previous version of such covenant.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Contractual Obligations and Commitments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March 31, 2024, there have been no material changes in our contractual obligations and commitments as disclosed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 xml:space="preserve">Indemnification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Off-Balance Sheet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Critical Accounting Policies and Estimates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to our critical accounting policies and estimates as compared to those described in Part II, Item 7. “Management’s Discussion and Analysis of Financial Condition and Results of Operations”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9440"/>
                <wp:effectExtent l="0" t="0" r="0" b="0"/>
                <wp:wrapNone/>
                <wp:docPr id="39" name="Frame3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pPr>
      <w:r>
        <w:rPr>
          <w:rFonts w:ascii="Expensify Neue;sans-serif" w:hAnsi="Expensify Neue;sans-serif"/>
          <w:b/>
          <w:color w:val="000000"/>
          <w:sz w:val="32"/>
        </w:rPr>
        <w:t>Recent Accounting Pronouncements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1 to our condensed consolidated financial statements included elsewhere in this Quarterly Report on Form 10-Q for recently issued accounting pronouncements not yet adopted as of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3. Quantitative and Qualitative Disclosures About Market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in our market risk from the disclosure included under Part II, Item 7A. “Quantitative and Qualitative Disclosures About Market Risk”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4. Controls and Procedures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EVALUATION OF DISCLOSURE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Commission's (the "SEC") rules and forms. Based on such evaluation, our chief executive officer and chief financial officer have concluded that as of March 31, 2024, our disclosure controls and procedures were effective at a reasonable assurance level.</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CHANGES IN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LIMITATIONS OF EFFECTIVENESS OF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9440"/>
                <wp:effectExtent l="0" t="0" r="0" b="0"/>
                <wp:wrapNone/>
                <wp:docPr id="40" name="Frame4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November 29, 2023, a putative securities class action (the “Putative Class Action”) was filed in the United States District Court for the District of Oregon captioned Wilhite v. Expensify, Inc., et al., Case No. 3:23-cv-01784-JR, naming us, two of our executive officers and two of our former directors as defendants (collectively, the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is due May 10, 2024. Defendants' motion to dismiss the amended complaint is due July 9, 2024. The lead plaintiff's opposition is due September 6, 2024, and Defendants' reply is due October 18, 2024. The court has not yet scheduled a hearing on Defendants' anticipated motion to dismiss. The Defendants intend to deny the allegations of wrongdoing and vigorously defend against the claims in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1A. Risk Factors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to the risk factors set forth in Part I, Item IA. "Risk Factors" of our 2023 Annual Report. You should carefully read and consider the risks and uncertainties, together with all of the other information included in the 2023 Annual Report and this Quarterly Report on Form 10-Q, including the section titled “Management’s Discussion and Analysis of Financial Condition and Results of Operations” and our condensed consolidated financial statements and related notes, and other documents that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9440"/>
                <wp:effectExtent l="0" t="0" r="0" b="0"/>
                <wp:wrapNone/>
                <wp:docPr id="41" name="Frame4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2. Unregistered Sales of Equity Securities and Use of Proceeds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ISSUER PURCHASES OF EQUITY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regarding our purchases of shares of Class A common stock during the three months ended March 31, 2024.</w:t>
      </w:r>
    </w:p>
    <w:tbl>
      <w:tblPr>
        <w:tblW w:w="10205" w:type="dxa"/>
        <w:jc w:val="left"/>
        <w:tblInd w:w="0" w:type="dxa"/>
        <w:tblLayout w:type="fixed"/>
        <w:tblCellMar>
          <w:top w:w="28" w:type="dxa"/>
          <w:left w:w="28" w:type="dxa"/>
          <w:bottom w:w="28" w:type="dxa"/>
          <w:right w:w="28" w:type="dxa"/>
        </w:tblCellMar>
      </w:tblPr>
      <w:tblGrid>
        <w:gridCol w:w="727"/>
        <w:gridCol w:w="344"/>
        <w:gridCol w:w="346"/>
        <w:gridCol w:w="475"/>
        <w:gridCol w:w="475"/>
        <w:gridCol w:w="476"/>
        <w:gridCol w:w="109"/>
        <w:gridCol w:w="109"/>
        <w:gridCol w:w="109"/>
        <w:gridCol w:w="687"/>
        <w:gridCol w:w="1236"/>
        <w:gridCol w:w="333"/>
        <w:gridCol w:w="109"/>
        <w:gridCol w:w="109"/>
        <w:gridCol w:w="109"/>
        <w:gridCol w:w="595"/>
        <w:gridCol w:w="595"/>
        <w:gridCol w:w="597"/>
        <w:gridCol w:w="109"/>
        <w:gridCol w:w="109"/>
        <w:gridCol w:w="109"/>
        <w:gridCol w:w="323"/>
        <w:gridCol w:w="1786"/>
        <w:gridCol w:w="229"/>
      </w:tblGrid>
      <w:tr>
        <w:trPr/>
        <w:tc>
          <w:tcPr>
            <w:tcW w:w="7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Maximum number (or approximate dollar value) of shares that may yet be purchased under the program</w:t>
            </w:r>
            <w:r>
              <w:rPr>
                <w:rFonts w:ascii="Expensify Neue;sans-serif" w:hAnsi="Expensify Neue;sans-serif"/>
                <w:b/>
                <w:color w:val="000000"/>
                <w:sz w:val="13"/>
              </w:rPr>
              <w:t>(1)</w:t>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January 1 - 31, 2024</w:t>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February 1 - 29, 2024</w:t>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March 1 - 31, 2024</w:t>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Three months ended March 31, 2024</w:t>
            </w:r>
          </w:p>
        </w:tc>
        <w:tc>
          <w:tcPr>
            <w:tcW w:w="14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 At March 31, 2024, we had approximately $41.0 million remaining under the share repurchase authorization, not including amounts used for net share settlement of vested equity incentive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3. Defaults Upon Senior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4. Mine Safety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5. Other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9440"/>
                <wp:effectExtent l="0" t="0" r="0" b="0"/>
                <wp:wrapNone/>
                <wp:docPr id="42" name="Frame4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0"/>
        <w:jc w:val="left"/>
        <w:rPr>
          <w:rFonts w:ascii="Expensify Neue;sans-serif" w:hAnsi="Expensify Neue;sans-serif"/>
          <w:b/>
          <w:color w:val="000000"/>
          <w:sz w:val="32"/>
        </w:rPr>
      </w:pPr>
      <w:r>
        <w:rPr>
          <w:rFonts w:ascii="Expensify Neue;sans-serif" w:hAnsi="Expensify Neue;sans-serif"/>
          <w:b/>
          <w:color w:val="000000"/>
          <w:sz w:val="32"/>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849"/>
        <w:gridCol w:w="1706"/>
        <w:gridCol w:w="1722"/>
        <w:gridCol w:w="109"/>
        <w:gridCol w:w="109"/>
        <w:gridCol w:w="109"/>
        <w:gridCol w:w="210"/>
        <w:gridCol w:w="210"/>
        <w:gridCol w:w="174"/>
        <w:gridCol w:w="295"/>
        <w:gridCol w:w="295"/>
        <w:gridCol w:w="200"/>
        <w:gridCol w:w="255"/>
        <w:gridCol w:w="255"/>
        <w:gridCol w:w="256"/>
        <w:gridCol w:w="485"/>
        <w:gridCol w:w="390"/>
        <w:gridCol w:w="393"/>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Incorporated by Reference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Form</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File No.</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Exhibit</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Filing Date</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Expensify Neue;sans-serif" w:hAnsi="Expensify Neue;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February 27, 2024</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Expensify Neue;sans-serif" w:hAnsi="Expensify Neue;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15, 2021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Expensify Neue;sans-serif" w:hAnsi="Expensify Neue;sans-serif"/>
                  <w:b w:val="false"/>
                  <w:color w:val="000080"/>
                  <w:sz w:val="18"/>
                  <w:u w:val="single"/>
                </w:rPr>
                <w:t>S</w:t>
              </w:r>
            </w:hyperlink>
            <w:hyperlink r:id="rId5">
              <w:r>
                <w:rPr>
                  <w:rStyle w:val="InternetLink"/>
                  <w:rFonts w:ascii="Expensify Neue;sans-serif" w:hAnsi="Expensify Neue;sans-serif"/>
                  <w:b w:val="false"/>
                  <w:color w:val="000080"/>
                  <w:sz w:val="18"/>
                  <w:u w:val="single"/>
                </w:rPr>
                <w:t>econd Amended and Restated Loan and Secu</w:t>
              </w:r>
            </w:hyperlink>
            <w:hyperlink r:id="rId6">
              <w:r>
                <w:rPr>
                  <w:rStyle w:val="InternetLink"/>
                  <w:rFonts w:ascii="Expensify Neue;sans-serif" w:hAnsi="Expensify Neue;sans-serif"/>
                  <w:b w:val="false"/>
                  <w:color w:val="000080"/>
                  <w:sz w:val="18"/>
                  <w:u w:val="single"/>
                </w:rPr>
                <w:t>rity Agreement, dated as of February 21, 2024, by and among Expensify, Inc., the L</w:t>
              </w:r>
            </w:hyperlink>
            <w:hyperlink r:id="rId7">
              <w:r>
                <w:rPr>
                  <w:rStyle w:val="InternetLink"/>
                  <w:rFonts w:ascii="Expensify Neue;sans-serif" w:hAnsi="Expensify Neue;sans-serif"/>
                  <w:b w:val="false"/>
                  <w:color w:val="000080"/>
                  <w:sz w:val="18"/>
                  <w:u w:val="single"/>
                </w:rPr>
                <w:t>enders party thereto and Canadian</w:t>
              </w:r>
            </w:hyperlink>
            <w:hyperlink r:id="rId8">
              <w:r>
                <w:rPr>
                  <w:rStyle w:val="InternetLink"/>
                  <w:rFonts w:ascii="Expensify Neue;sans-serif" w:hAnsi="Expensify Neue;sans-serif"/>
                  <w:b w:val="false"/>
                  <w:color w:val="000080"/>
                  <w:sz w:val="18"/>
                  <w:u w:val="single"/>
                </w:rPr>
                <w:t xml:space="preserve"> Imperial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February 22, 2024</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firstamendmentt.htm">
              <w:r>
                <w:rPr>
                  <w:rStyle w:val="InternetLink"/>
                  <w:rFonts w:ascii="Expensify Neue;sans-serif" w:hAnsi="Expensify Neue;sans-serif"/>
                  <w:b w:val="false"/>
                  <w:color w:val="000080"/>
                  <w:sz w:val="18"/>
                  <w:u w:val="single"/>
                </w:rPr>
                <w:t>F</w:t>
              </w:r>
            </w:hyperlink>
            <w:hyperlink w:anchor="exhibit102-firstamendmentt.htm">
              <w:r>
                <w:rPr>
                  <w:rStyle w:val="InternetLink"/>
                  <w:rFonts w:ascii="Expensify Neue;sans-serif" w:hAnsi="Expensify Neue;sans-serif"/>
                  <w:b w:val="false"/>
                  <w:color w:val="000080"/>
                  <w:sz w:val="18"/>
                  <w:u w:val="single"/>
                </w:rPr>
                <w:t>irst Amendment to the Second Amended and Resta</w:t>
              </w:r>
            </w:hyperlink>
            <w:hyperlink w:anchor="exhibit102-firstamendmentt.htm">
              <w:r>
                <w:rPr>
                  <w:rStyle w:val="InternetLink"/>
                  <w:rFonts w:ascii="Expensify Neue;sans-serif" w:hAnsi="Expensify Neue;sans-serif"/>
                  <w:b w:val="false"/>
                  <w:color w:val="000080"/>
                  <w:sz w:val="18"/>
                  <w:u w:val="single"/>
                </w:rPr>
                <w:t>ted Loan and Security Agreement, dated as of May 7, 2024, by and am</w:t>
              </w:r>
            </w:hyperlink>
            <w:hyperlink w:anchor="exhibit102-firstamendmentt.htm">
              <w:r>
                <w:rPr>
                  <w:rStyle w:val="InternetLink"/>
                  <w:rFonts w:ascii="Expensify Neue;sans-serif" w:hAnsi="Expensify Neue;sans-serif"/>
                  <w:b w:val="false"/>
                  <w:color w:val="000080"/>
                  <w:sz w:val="18"/>
                  <w:u w:val="single"/>
                </w:rPr>
                <w:t>ong</w:t>
              </w:r>
            </w:hyperlink>
            <w:hyperlink w:anchor="exhibit102-firstamendmentt.htm">
              <w:r>
                <w:rPr>
                  <w:rStyle w:val="InternetLink"/>
                  <w:rFonts w:ascii="Expensify Neue;sans-serif" w:hAnsi="Expensify Neue;sans-serif"/>
                  <w:b w:val="false"/>
                  <w:color w:val="000080"/>
                  <w:sz w:val="18"/>
                  <w:u w:val="single"/>
                </w:rPr>
                <w:t xml:space="preserve"> Expensify, Inc.</w:t>
              </w:r>
            </w:hyperlink>
            <w:hyperlink w:anchor="exhibit102-firstamendmentt.htm">
              <w:r>
                <w:rPr>
                  <w:rStyle w:val="InternetLink"/>
                  <w:rFonts w:ascii="Expensify Neue;sans-serif" w:hAnsi="Expensify Neue;sans-serif"/>
                  <w:b w:val="false"/>
                  <w:color w:val="000080"/>
                  <w:sz w:val="18"/>
                  <w:u w:val="single"/>
                </w:rPr>
                <w:t>, th</w:t>
              </w:r>
            </w:hyperlink>
            <w:hyperlink w:anchor="exhibit102-firstamendmentt.htm">
              <w:r>
                <w:rPr>
                  <w:rStyle w:val="InternetLink"/>
                  <w:rFonts w:ascii="Expensify Neue;sans-serif" w:hAnsi="Expensify Neue;sans-serif"/>
                  <w:b w:val="false"/>
                  <w:color w:val="000080"/>
                  <w:sz w:val="18"/>
                  <w:u w:val="single"/>
                </w:rPr>
                <w:t>e Lenders part</w:t>
              </w:r>
            </w:hyperlink>
            <w:hyperlink w:anchor="exhibit102-firstamendmentt.htm">
              <w:r>
                <w:rPr>
                  <w:rStyle w:val="InternetLink"/>
                  <w:rFonts w:ascii="Expensify Neue;sans-serif" w:hAnsi="Expensify Neue;sans-serif"/>
                  <w:b w:val="false"/>
                  <w:color w:val="000080"/>
                  <w:sz w:val="18"/>
                  <w:u w:val="single"/>
                </w:rPr>
                <w:t>y thereto</w:t>
              </w:r>
            </w:hyperlink>
            <w:hyperlink w:anchor="exhibit102-firstamendmentt.htm">
              <w:r>
                <w:rPr>
                  <w:rStyle w:val="InternetLink"/>
                  <w:rFonts w:ascii="Expensify Neue;sans-serif" w:hAnsi="Expensify Neue;sans-serif"/>
                  <w:b w:val="false"/>
                  <w:color w:val="000080"/>
                  <w:sz w:val="18"/>
                  <w:u w:val="single"/>
                </w:rPr>
                <w:t xml:space="preserve"> and Ca</w:t>
              </w:r>
            </w:hyperlink>
            <w:hyperlink w:anchor="exhibit102-firstamendmentt.htm">
              <w:r>
                <w:rPr>
                  <w:rStyle w:val="InternetLink"/>
                  <w:rFonts w:ascii="Expensify Neue;sans-serif" w:hAnsi="Expensify Neue;sans-serif"/>
                  <w:b w:val="false"/>
                  <w:color w:val="000080"/>
                  <w:sz w:val="18"/>
                  <w:u w:val="single"/>
                </w:rPr>
                <w:t>nadian Im</w:t>
              </w:r>
            </w:hyperlink>
            <w:hyperlink w:anchor="exhibit102-firstamendmentt.htm">
              <w:r>
                <w:rPr>
                  <w:rStyle w:val="InternetLink"/>
                  <w:rFonts w:ascii="Expensify Neue;sans-serif" w:hAnsi="Expensify Neue;sans-serif"/>
                  <w:b w:val="false"/>
                  <w:color w:val="000080"/>
                  <w:sz w:val="18"/>
                  <w:u w:val="single"/>
                </w:rPr>
                <w:t>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xqq12024.htm">
              <w:r>
                <w:rPr>
                  <w:rStyle w:val="InternetLink"/>
                  <w:rFonts w:ascii="Expensify Neue;sans-serif" w:hAnsi="Expensify Neue;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xqq12024.htm">
              <w:r>
                <w:rPr>
                  <w:rStyle w:val="InternetLink"/>
                  <w:rFonts w:ascii="Expensify Neue;sans-serif" w:hAnsi="Expensify Neue;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xqq12024.htm">
              <w:r>
                <w:rPr>
                  <w:rStyle w:val="InternetLink"/>
                  <w:rFonts w:ascii="Expensify Neue;sans-serif" w:hAnsi="Expensify Neue;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xqq12024.htm">
              <w:r>
                <w:rPr>
                  <w:rStyle w:val="InternetLink"/>
                  <w:rFonts w:ascii="Expensify Neue;sans-serif" w:hAnsi="Expensify Neue;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101.INS</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101.SCH</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101.CAL</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101.DEF</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101.PRE</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Presentation Linkable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104</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9440"/>
                <wp:effectExtent l="0" t="0" r="0" b="0"/>
                <wp:wrapNone/>
                <wp:docPr id="43" name="Frame4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e72e015a430441549da90e3a8b8c7aca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Signatures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the Securities Exchange Act of 1934, the registrant has duly caused this report to be signed on its behalf by the undersigned thereunto duly authorized.</w:t>
      </w:r>
    </w:p>
    <w:tbl>
      <w:tblPr>
        <w:tblW w:w="6591" w:type="dxa"/>
        <w:jc w:val="left"/>
        <w:tblInd w:w="0" w:type="dxa"/>
        <w:tblLayout w:type="fixed"/>
        <w:tblCellMar>
          <w:top w:w="28" w:type="dxa"/>
          <w:left w:w="28" w:type="dxa"/>
          <w:bottom w:w="28" w:type="dxa"/>
          <w:right w:w="28" w:type="dxa"/>
        </w:tblCellMar>
      </w:tblPr>
      <w:tblGrid>
        <w:gridCol w:w="350"/>
        <w:gridCol w:w="308"/>
        <w:gridCol w:w="308"/>
        <w:gridCol w:w="308"/>
        <w:gridCol w:w="308"/>
        <w:gridCol w:w="308"/>
        <w:gridCol w:w="307"/>
        <w:gridCol w:w="307"/>
        <w:gridCol w:w="307"/>
        <w:gridCol w:w="1100"/>
        <w:gridCol w:w="1100"/>
        <w:gridCol w:w="1580"/>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EXPENSIFY, INC.</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May 9, 2024</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r>
      <w:tr>
        <w:trPr/>
        <w:tc>
          <w:tcPr>
            <w:tcW w:w="18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President and Chief Executive Officer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Executive Officer)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May 9, 2024</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 Ryan Schaffer</w:t>
            </w:r>
          </w:p>
        </w:tc>
      </w:tr>
      <w:tr>
        <w:trPr/>
        <w:tc>
          <w:tcPr>
            <w:tcW w:w="18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FIRST AMENDMENT TO </w:t>
        <w:br/>
        <w:t>SECOND AMENDED AND RESTATED LOAN AND SECURITY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This FIRST AMENDMENT TO SECOND AMENDED AND RESTATED LOAN AND SECURITY AGREEMENT (this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is entered into as of May 7, 2024 (the “</w:t>
      </w:r>
      <w:r>
        <w:rPr>
          <w:rFonts w:ascii="Times New Roman;sans-serif" w:hAnsi="Times New Roman;sans-serif"/>
          <w:b/>
          <w:color w:val="000000"/>
          <w:sz w:val="20"/>
        </w:rPr>
        <w:t>First</w:t>
      </w:r>
      <w:r>
        <w:rPr>
          <w:color w:val="000000"/>
        </w:rPr>
        <w:t xml:space="preserve"> </w:t>
      </w:r>
      <w:r>
        <w:rPr>
          <w:rFonts w:ascii="Times New Roman;sans-serif" w:hAnsi="Times New Roman;sans-serif"/>
          <w:b/>
          <w:color w:val="000000"/>
          <w:sz w:val="20"/>
        </w:rPr>
        <w:t>Amendment Effective Date</w:t>
      </w:r>
      <w:r>
        <w:rPr>
          <w:color w:val="000000"/>
        </w:rPr>
        <w:t>”</w:t>
      </w:r>
      <w:r>
        <w:rPr>
          <w:rFonts w:ascii="Times New Roman;sans-serif" w:hAnsi="Times New Roman;sans-serif"/>
          <w:b w:val="false"/>
          <w:color w:val="000000"/>
          <w:sz w:val="20"/>
        </w:rPr>
        <w:t>) by and among EXPENSIFY, INC., a Delaware corporation (in its capacity as borrower representative, “</w:t>
      </w:r>
      <w:r>
        <w:rPr>
          <w:rFonts w:ascii="Times New Roman;sans-serif" w:hAnsi="Times New Roman;sans-serif"/>
          <w:b/>
          <w:color w:val="000000"/>
          <w:sz w:val="20"/>
        </w:rPr>
        <w:t>Borrower Representative</w:t>
      </w:r>
      <w:r>
        <w:rPr>
          <w:color w:val="000000"/>
        </w:rPr>
        <w:t>”</w:t>
      </w:r>
      <w:r>
        <w:rPr>
          <w:rFonts w:ascii="Times New Roman;sans-serif" w:hAnsi="Times New Roman;sans-serif"/>
          <w:b w:val="false"/>
          <w:color w:val="000000"/>
          <w:sz w:val="20"/>
        </w:rPr>
        <w:t>), the Lenders party hereto, constituting Required Lenders, Canadian Imperial Bank of Commerce (in its individual capacity, “</w:t>
      </w:r>
      <w:r>
        <w:rPr>
          <w:rFonts w:ascii="Times New Roman;sans-serif" w:hAnsi="Times New Roman;sans-serif"/>
          <w:b/>
          <w:color w:val="000000"/>
          <w:sz w:val="20"/>
        </w:rPr>
        <w:t>CIBC</w:t>
      </w:r>
      <w:r>
        <w:rPr>
          <w:color w:val="000000"/>
        </w:rPr>
        <w:t>”</w:t>
      </w:r>
      <w:r>
        <w:rPr>
          <w:rFonts w:ascii="Times New Roman;sans-serif" w:hAnsi="Times New Roman;sans-serif"/>
          <w:b w:val="false"/>
          <w:color w:val="000000"/>
          <w:sz w:val="20"/>
        </w:rPr>
        <w:t>, and in its capacity as administrative agent and collateral agent for the Lenders “</w:t>
      </w:r>
      <w:r>
        <w:rPr>
          <w:rFonts w:ascii="Times New Roman;sans-serif" w:hAnsi="Times New Roman;sans-serif"/>
          <w:b/>
          <w:color w:val="000000"/>
          <w:sz w:val="20"/>
        </w:rPr>
        <w:t>Agent</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Borrower Representative, Lenders and Agent are parties to that certain Second Amended and Restated Loan and Security Agreement, dated as of February 21, 2024 (as amended, restated, supplemented or otherwise modified from time to time,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Capitalized terms used but not otherwise defined herein shall have the meanings given to them in the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Borrower Representative has requested certain modifications to the terms of the Agreement, and Agent and Required Lenders, although under no obligation to do so, have agreed to such modifications, on the terms set forth herein. </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AGREEMENT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the parties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color w:val="000000"/>
          <w:sz w:val="20"/>
        </w:rPr>
        <w:t>Definitions</w:t>
      </w:r>
      <w:r>
        <w:rPr>
          <w:rFonts w:ascii="Times New Roman;sans-serif" w:hAnsi="Times New Roman;sans-serif"/>
          <w:b w:val="false"/>
          <w:color w:val="000000"/>
          <w:sz w:val="20"/>
        </w:rPr>
        <w:t xml:space="preserve">. Capitalized terms used but not defined in this Amendment shall have the respective meanings given to them in the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color w:val="000000"/>
          <w:sz w:val="20"/>
        </w:rPr>
        <w:t>Amendments</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Section 7.7(a)(vi)</w:t>
      </w:r>
      <w:r>
        <w:rPr>
          <w:color w:val="000000"/>
        </w:rPr>
        <w:t xml:space="preserve"> </w:t>
      </w:r>
      <w:r>
        <w:rPr>
          <w:rFonts w:ascii="Times New Roman;sans-serif" w:hAnsi="Times New Roman;sans-serif"/>
          <w:b w:val="false"/>
          <w:color w:val="000000"/>
          <w:sz w:val="20"/>
        </w:rPr>
        <w:t>of the Agreement is hereby amended and restated to read as follows:</w:t>
      </w:r>
    </w:p>
    <w:p>
      <w:pPr>
        <w:pStyle w:val="TextBody"/>
        <w:bidi w:val="0"/>
        <w:spacing w:lineRule="auto" w:line="28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(6)Borrower Representative may repurchase or otherwise retire certain shares of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its common stock otherwise issuable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 upon conversion of restricted stock unit awards and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 pursuant to its stock purchase and matching plan, in each case, to satisfy certain tax obligations with respect to such restricted stock unit awards or shares owing by the applicable employee, and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unvested options or restricted stock grants granted to of the employees, directors, officers or consultants under equity incentive plans to be repurchased upon the departure or other termination of service,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provided that </w:t>
      </w:r>
    </w:p>
    <w:p>
      <w:pPr>
        <w:pStyle w:val="TextBody"/>
        <w:bidi w:val="0"/>
        <w:spacing w:lineRule="auto" w:line="288" w:before="0" w:after="240"/>
        <w:jc w:val="both"/>
        <w:rPr/>
      </w:pPr>
      <w:r>
        <w:rPr>
          <w:rFonts w:ascii="Times New Roman;sans-serif" w:hAnsi="Times New Roman;sans-serif"/>
          <w:b w:val="false"/>
          <w:color w:val="000000"/>
          <w:sz w:val="20"/>
        </w:rPr>
        <w:t xml:space="preserve">(i) the aggregate amount of such repurchases described in </w:t>
      </w:r>
      <w:r>
        <w:rPr>
          <w:rFonts w:ascii="Times New Roman;sans-serif" w:hAnsi="Times New Roman;sans-serif"/>
          <w:b w:val="false"/>
          <w:color w:val="000000"/>
          <w:sz w:val="20"/>
          <w:u w:val="single"/>
        </w:rPr>
        <w:t>clauses (A) and (B)</w:t>
      </w:r>
      <w:r>
        <w:rPr>
          <w:color w:val="000000"/>
        </w:rPr>
        <w:t xml:space="preserve"> </w:t>
      </w:r>
      <w:r>
        <w:rPr>
          <w:rFonts w:ascii="Times New Roman;sans-serif" w:hAnsi="Times New Roman;sans-serif"/>
          <w:b w:val="false"/>
          <w:color w:val="000000"/>
          <w:sz w:val="20"/>
        </w:rPr>
        <w:t xml:space="preserve">shall not, during any consecutive twelve (12) month period, exceed $2,500,000,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no Default or Event of Default shall exist or result from such repurchase or other retirement of shares, and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Borrower Representative shall have delivered calculations certified by a Responsible Officer demonstrating pro forma financial covenant compliance to Administrative Agent concurrently with such repurchase, or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 xml:space="preserve">to the Agreement is hereby amended and restated as set forth in </w:t>
      </w:r>
      <w:r>
        <w:rPr>
          <w:rFonts w:ascii="Times New Roman;sans-serif" w:hAnsi="Times New Roman;sans-serif"/>
          <w:b w:val="false"/>
          <w:color w:val="000000"/>
          <w:sz w:val="20"/>
          <w:u w:val="single"/>
        </w:rPr>
        <w:t>Exhibit C</w:t>
      </w:r>
      <w:r>
        <w:rPr>
          <w:color w:val="000000"/>
        </w:rPr>
        <w:t xml:space="preserve"> </w:t>
      </w:r>
      <w:r>
        <w:rPr>
          <w:rFonts w:ascii="Times New Roman;sans-serif" w:hAnsi="Times New Roman;sans-serif"/>
          <w:b w:val="false"/>
          <w:color w:val="000000"/>
          <w:sz w:val="20"/>
        </w:rPr>
        <w:t>attached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color w:val="000000"/>
          <w:sz w:val="20"/>
        </w:rPr>
        <w:t>Waiver</w:t>
      </w:r>
      <w:r>
        <w:rPr>
          <w:rFonts w:ascii="Times New Roman;sans-serif" w:hAnsi="Times New Roman;sans-serif"/>
          <w:b w:val="false"/>
          <w:color w:val="000000"/>
          <w:sz w:val="20"/>
        </w:rPr>
        <w:t xml:space="preserve">. Agent and Lender hereby agree to waive any Event of Default resulting from the repurchase of unvested equity incentive options of Borrower Representative from employees, consultants, officers or directors, in each case, in connection with the termination of service, in excess of amounts permitted under </w:t>
      </w:r>
      <w:r>
        <w:rPr>
          <w:rFonts w:ascii="Times New Roman;sans-serif" w:hAnsi="Times New Roman;sans-serif"/>
          <w:b w:val="false"/>
          <w:color w:val="000000"/>
          <w:sz w:val="20"/>
          <w:u w:val="single"/>
        </w:rPr>
        <w:t>Section 7.7</w:t>
      </w:r>
      <w:r>
        <w:rPr>
          <w:color w:val="000000"/>
        </w:rPr>
        <w:t xml:space="preserve"> </w:t>
      </w:r>
      <w:r>
        <w:rPr>
          <w:rFonts w:ascii="Times New Roman;sans-serif" w:hAnsi="Times New Roman;sans-serif"/>
          <w:b w:val="false"/>
          <w:color w:val="000000"/>
          <w:sz w:val="20"/>
        </w:rPr>
        <w:t xml:space="preserve">(as in effect prior to the effectiveness of this Amendment) in amounts as disclosed to Agent as of the date of this Amendment from January 1, 2022 through the date of this Amendment, in amounts not exceeding the following: fiscal year 2024 (through date of this Amendment): $32,000, fiscal year 2023: $17,000; fiscal year 2022: $25,000. The foregoing waiver shall be precisely limited as written and shall not be deemed to (a) be a consent to any amendment, waiver or modification of any other term or condition of any Loan Document except as expressly set forth herein, (b) create a course of dealing with respect to any future amendment, waiver, consent or other modification of any other term or condition of the Loan Documents (or with respect to any existing or future breach of the Loan Documents), or (c) otherwise prejudice any right or remedy which Secured Parties may now have or may have in the future under or in connection with any Loan Document.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color w:val="000000"/>
          <w:sz w:val="20"/>
        </w:rPr>
        <w:t>Obligations</w:t>
      </w:r>
      <w:r>
        <w:rPr>
          <w:rFonts w:ascii="Times New Roman;sans-serif" w:hAnsi="Times New Roman;sans-serif"/>
          <w:b w:val="false"/>
          <w:color w:val="000000"/>
          <w:sz w:val="20"/>
        </w:rPr>
        <w:t xml:space="preserve">. Each Borrower hereby acknowledges that the Obligations are due and owing as set forth in the Agreement without setoff, recoupment, defense or counterclaim, in law or in equity, of any nature or kind. All security interests granted to Agent by Borrowers under any Loan Document is hereby reaffirmed by Borrowers and shall continue to secure the Obligations from the Closing Date. Except as expressly set forth herein, the terms of the Loan Documents remain in effect. This Amendment is a Loan Document.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color w:val="000000"/>
          <w:sz w:val="20"/>
        </w:rPr>
        <w:t>Representations</w:t>
      </w:r>
      <w:r>
        <w:rPr>
          <w:rFonts w:ascii="Times New Roman;sans-serif" w:hAnsi="Times New Roman;sans-serif"/>
          <w:b w:val="false"/>
          <w:color w:val="000000"/>
          <w:sz w:val="20"/>
        </w:rPr>
        <w:t>. To induce Agent and Lenders to enter into this Amendment, each Borrower hereby represents and warrants as follows:    </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5.1The representations and warranties contained in the Agreement and the other Loan Documents are true and correct in all material respects as of the date of this Amendment (except for such representations and warranties referring to another date, which representations and warranties are true and correct in all material respects as of such date), provided that the Perfection Certificate is hereby amended and restated as set forth in the Schedule 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5.2</w:t>
      </w:r>
      <w:r>
        <w:rPr>
          <w:rFonts w:ascii="Times New Roman;sans-serif" w:hAnsi="Times New Roman;sans-serif"/>
          <w:b w:val="false"/>
          <w:color w:val="000000"/>
          <w:sz w:val="20"/>
        </w:rPr>
        <w:t>No Event of Default has occurred or presently exists.</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5.3</w:t>
      </w:r>
      <w:r>
        <w:rPr>
          <w:rFonts w:ascii="Times New Roman;sans-serif" w:hAnsi="Times New Roman;sans-serif"/>
          <w:b w:val="false"/>
          <w:color w:val="000000"/>
          <w:sz w:val="20"/>
        </w:rPr>
        <w:t>Each Borrower has the power and authority to execute and deliver this Amendment and to perform its obligations under the Agreement, as amended by this Amendment.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5.4</w:t>
      </w:r>
      <w:r>
        <w:rPr>
          <w:rFonts w:ascii="Times New Roman;sans-serif" w:hAnsi="Times New Roman;sans-serif"/>
          <w:b w:val="false"/>
          <w:color w:val="000000"/>
          <w:sz w:val="20"/>
        </w:rPr>
        <w:t>The execution and delivery by each Borrower of this Amendment and the performance by such Borrower of its obligations under the Agreement (a) have been duly authorized by all necessary action on the part of such Borrower, and (b) will not contravene (i) any law or regulation binding on or affecting such Borrower, (ii) any contractual restriction with a Person binding on such Borrower, (iii) any order, judgment or decree of any court or other governmental or public body or authority, or subdivision thereof, binding on such Borrower, or (iv) the Operating Documents of such Borrower.</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5.5</w:t>
      </w:r>
      <w:r>
        <w:rPr>
          <w:rFonts w:ascii="Times New Roman;sans-serif" w:hAnsi="Times New Roman;sans-serif"/>
          <w:b w:val="false"/>
          <w:color w:val="000000"/>
          <w:sz w:val="20"/>
        </w:rPr>
        <w:t xml:space="preserve">The execution and delivery by each Borrower of this Amendment and the performance by such Borrower of its obligations under the Agreement, as amended by this Amendment, do not require any order, consent, approval, license, authorization or validation of, or filing, recording or registration with, or exemption by, any governmental or public body or authority, or subdivision thereof, binding on such Borrower, except as already has been obtained or made.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79755"/>
                <wp:effectExtent l="0" t="0" r="0" b="0"/>
                <wp:wrapNone/>
                <wp:docPr id="46" name="Frame4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color w:val="000000"/>
          <w:sz w:val="20"/>
        </w:rPr>
        <w:t>Counterparts; Electronic Execution of Documents</w:t>
      </w:r>
      <w:r>
        <w:rPr>
          <w:rFonts w:ascii="Times New Roman;sans-serif" w:hAnsi="Times New Roman;sans-serif"/>
          <w:b w:val="false"/>
          <w:color w:val="000000"/>
          <w:sz w:val="20"/>
        </w:rPr>
        <w:t xml:space="preserve">. This Amendment may be executed in any number of counterparts and by different parties on separate counterparts, each of which, when executed and delivered, is an original, and all taken together, constitute one Agreement. Delivery of an executed counterpart of a signature page of this Amendment or any document delivered in connection therewith by electronic means including by email delivery of a “.pdf” format data file shall be effective as delivery of an original executed counterpart thereof.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color w:val="000000"/>
          <w:sz w:val="20"/>
        </w:rPr>
        <w:t>Effectiveness</w:t>
      </w:r>
      <w:r>
        <w:rPr>
          <w:rFonts w:ascii="Times New Roman;sans-serif" w:hAnsi="Times New Roman;sans-serif"/>
          <w:b w:val="false"/>
          <w:color w:val="000000"/>
          <w:sz w:val="20"/>
        </w:rPr>
        <w:t>. This Amendment shall be effective upon due execution and delivery of this Amendment by the parties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color w:val="000000"/>
          <w:sz w:val="20"/>
        </w:rPr>
        <w:t>Expenses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Borrowers shall pay all Lender Expenses incurred in connection with this Amendment upon demand.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[REMAINDER OF PAGE INTENTIONALLY LEFT BLANK]</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79755"/>
                <wp:effectExtent l="0" t="0" r="0" b="0"/>
                <wp:wrapNone/>
                <wp:docPr id="47" name="Frame4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120" w:after="12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FIRST AMENDMENT TO SECOND AMENDED AND RESTATED LOAN AND SECURITY AGREEMENT]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undersigned have executed this Amendment as of the first date above written.</w:t>
      </w:r>
    </w:p>
    <w:p>
      <w:pPr>
        <w:pStyle w:val="TextBody"/>
        <w:bidi w:val="0"/>
        <w:spacing w:lineRule="auto" w:line="288" w:before="480" w:after="240"/>
        <w:jc w:val="both"/>
        <w:rPr/>
      </w:pPr>
      <w:r>
        <w:rPr>
          <w:rFonts w:ascii="Times New Roman;sans-serif" w:hAnsi="Times New Roman;sans-serif"/>
          <w:b w:val="false"/>
          <w:color w:val="000000"/>
          <w:sz w:val="20"/>
          <w:u w:val="single"/>
        </w:rPr>
        <w:t>BORROWER REPRESENTATIVE</w:t>
      </w:r>
      <w:r>
        <w:rPr>
          <w:rFonts w:ascii="Times New Roman;sans-serif" w:hAnsi="Times New Roman;sans-serif"/>
          <w:b w:val="false"/>
          <w:color w:val="000000"/>
          <w:sz w:val="20"/>
        </w:rPr>
        <w:t>:</w:t>
      </w:r>
    </w:p>
    <w:p>
      <w:pPr>
        <w:pStyle w:val="TextBody"/>
        <w:bidi w:val="0"/>
        <w:spacing w:lineRule="auto" w:line="288" w:before="0" w:after="480"/>
        <w:jc w:val="both"/>
        <w:rPr>
          <w:rFonts w:ascii="Times New Roman;sans-serif" w:hAnsi="Times New Roman;sans-serif"/>
          <w:b w:val="false"/>
          <w:color w:val="000000"/>
          <w:sz w:val="20"/>
        </w:rPr>
      </w:pPr>
      <w:r>
        <w:rPr>
          <w:rFonts w:ascii="Times New Roman;sans-serif" w:hAnsi="Times New Roman;sans-serif"/>
          <w:b w:val="false"/>
          <w:color w:val="000000"/>
          <w:sz w:val="20"/>
        </w:rPr>
        <w:t>EXPENSIFY, INC.</w:t>
      </w:r>
    </w:p>
    <w:p>
      <w:pPr>
        <w:pStyle w:val="TextBody"/>
        <w:bidi w:val="0"/>
        <w:spacing w:lineRule="auto" w:line="288" w:before="0" w:after="0"/>
        <w:jc w:val="both"/>
        <w:rPr/>
      </w:pPr>
      <w:r>
        <w:rPr>
          <w:rFonts w:ascii="Times New Roman;sans-serif" w:hAnsi="Times New Roman;sans-serif"/>
          <w:b w:val="false"/>
          <w:color w:val="000000"/>
          <w:sz w:val="20"/>
        </w:rPr>
        <w:t>By:    </w:t>
      </w:r>
      <w:r>
        <w:rPr>
          <w:rFonts w:ascii="Times New Roman;sans-serif" w:hAnsi="Times New Roman;sans-serif"/>
          <w:b w:val="false"/>
          <w:color w:val="000000"/>
          <w:sz w:val="20"/>
          <w:u w:val="single"/>
        </w:rPr>
        <w:t>/s/ Ryan Schaffer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Name: Ryan Schaffer</w:t>
        <w:br/>
        <w:t>    Title: CFO</w:t>
      </w:r>
    </w:p>
    <w:p>
      <w:pPr>
        <w:pStyle w:val="TextBody"/>
        <w:bidi w:val="0"/>
        <w:spacing w:lineRule="auto" w:line="288" w:before="480" w:after="240"/>
        <w:jc w:val="left"/>
        <w:rPr/>
      </w:pPr>
      <w:r>
        <w:rPr>
          <w:rFonts w:ascii="Times New Roman;sans-serif" w:hAnsi="Times New Roman;sans-serif"/>
          <w:b w:val="false"/>
          <w:color w:val="000000"/>
          <w:sz w:val="20"/>
          <w:u w:val="single"/>
        </w:rPr>
        <w:t>ADMINISTRATIVE AGENT AND LENDER</w:t>
      </w:r>
      <w:r>
        <w:rPr>
          <w:rFonts w:ascii="Times New Roman;sans-serif" w:hAnsi="Times New Roman;sans-serif"/>
          <w:b w:val="false"/>
          <w:color w:val="000000"/>
          <w:sz w:val="20"/>
        </w:rPr>
        <w:t>:</w:t>
      </w:r>
    </w:p>
    <w:p>
      <w:pPr>
        <w:pStyle w:val="TextBody"/>
        <w:bidi w:val="0"/>
        <w:spacing w:lineRule="auto" w:line="288" w:before="0" w:after="480"/>
        <w:jc w:val="left"/>
        <w:rPr>
          <w:rFonts w:ascii="Times New Roman;sans-serif" w:hAnsi="Times New Roman;sans-serif"/>
          <w:b w:val="false"/>
          <w:color w:val="000000"/>
          <w:sz w:val="20"/>
        </w:rPr>
      </w:pPr>
      <w:r>
        <w:rPr>
          <w:rFonts w:ascii="Times New Roman;sans-serif" w:hAnsi="Times New Roman;sans-serif"/>
          <w:b w:val="false"/>
          <w:color w:val="000000"/>
          <w:sz w:val="20"/>
        </w:rPr>
        <w:t>CANADIAN IMPERIAL BANK OF COMMERCE</w:t>
      </w:r>
    </w:p>
    <w:p>
      <w:pPr>
        <w:pStyle w:val="TextBody"/>
        <w:bidi w:val="0"/>
        <w:spacing w:lineRule="auto" w:line="288" w:before="0" w:after="0"/>
        <w:jc w:val="both"/>
        <w:rPr/>
      </w:pPr>
      <w:r>
        <w:rPr>
          <w:rFonts w:ascii="Times New Roman;sans-serif" w:hAnsi="Times New Roman;sans-serif"/>
          <w:b w:val="false"/>
          <w:color w:val="000000"/>
          <w:sz w:val="20"/>
        </w:rPr>
        <w:t>By:    </w:t>
      </w:r>
      <w:r>
        <w:rPr>
          <w:rFonts w:ascii="Times New Roman;sans-serif" w:hAnsi="Times New Roman;sans-serif"/>
          <w:b w:val="false"/>
          <w:color w:val="000000"/>
          <w:sz w:val="20"/>
          <w:u w:val="single"/>
        </w:rPr>
        <w:t>/s/ Ian Curry    </w:t>
      </w:r>
    </w:p>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0"/>
        </w:rPr>
        <w:t>Name: Ian Curry</w:t>
        <w:br/>
        <w:t>    Title: Authorized Signatory</w:t>
      </w:r>
    </w:p>
    <w:p>
      <w:pPr>
        <w:pStyle w:val="TextBody"/>
        <w:bidi w:val="0"/>
        <w:spacing w:lineRule="auto" w:line="288" w:before="480" w:after="283"/>
        <w:jc w:val="both"/>
        <w:rPr/>
      </w:pPr>
      <w:r>
        <w:rPr>
          <w:rFonts w:ascii="Times New Roman;sans-serif" w:hAnsi="Times New Roman;sans-serif"/>
          <w:b w:val="false"/>
          <w:color w:val="000000"/>
          <w:sz w:val="20"/>
        </w:rPr>
        <w:t>By:    </w:t>
      </w:r>
      <w:r>
        <w:rPr>
          <w:rFonts w:ascii="Times New Roman;sans-serif" w:hAnsi="Times New Roman;sans-serif"/>
          <w:b w:val="false"/>
          <w:color w:val="000000"/>
          <w:sz w:val="20"/>
          <w:u w:val="single"/>
        </w:rPr>
        <w:t>/s/ Joshua Tam    </w:t>
      </w:r>
    </w:p>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0"/>
        </w:rPr>
        <w:t>Name: Joshua Tam</w:t>
        <w:br/>
        <w:t>    Title: Authorized Signatory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 David Barrett, certify that: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973" w:type="dxa"/>
        <w:jc w:val="left"/>
        <w:tblInd w:w="0" w:type="dxa"/>
        <w:tblLayout w:type="fixed"/>
        <w:tblCellMar>
          <w:top w:w="28" w:type="dxa"/>
          <w:left w:w="28" w:type="dxa"/>
          <w:bottom w:w="28" w:type="dxa"/>
          <w:right w:w="28" w:type="dxa"/>
        </w:tblCellMar>
      </w:tblPr>
      <w:tblGrid>
        <w:gridCol w:w="319"/>
        <w:gridCol w:w="281"/>
        <w:gridCol w:w="281"/>
        <w:gridCol w:w="281"/>
        <w:gridCol w:w="281"/>
        <w:gridCol w:w="281"/>
        <w:gridCol w:w="109"/>
        <w:gridCol w:w="109"/>
        <w:gridCol w:w="109"/>
        <w:gridCol w:w="109"/>
        <w:gridCol w:w="109"/>
        <w:gridCol w:w="109"/>
        <w:gridCol w:w="758"/>
        <w:gridCol w:w="758"/>
        <w:gridCol w:w="1079"/>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7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Ryan Schaffer, certify that:</w:t>
      </w:r>
    </w:p>
    <w:p>
      <w:pPr>
        <w:pStyle w:val="TextBody"/>
        <w:bidi w:val="0"/>
        <w:spacing w:before="0" w:after="0"/>
        <w:jc w:val="left"/>
        <w:rPr/>
      </w:pPr>
      <w:r>
        <w:rPr/>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883" w:type="dxa"/>
        <w:jc w:val="left"/>
        <w:tblInd w:w="0" w:type="dxa"/>
        <w:tblLayout w:type="fixed"/>
        <w:tblCellMar>
          <w:top w:w="28" w:type="dxa"/>
          <w:left w:w="28" w:type="dxa"/>
          <w:bottom w:w="28" w:type="dxa"/>
          <w:right w:w="28" w:type="dxa"/>
        </w:tblCellMar>
      </w:tblPr>
      <w:tblGrid>
        <w:gridCol w:w="319"/>
        <w:gridCol w:w="281"/>
        <w:gridCol w:w="281"/>
        <w:gridCol w:w="281"/>
        <w:gridCol w:w="281"/>
        <w:gridCol w:w="281"/>
        <w:gridCol w:w="109"/>
        <w:gridCol w:w="109"/>
        <w:gridCol w:w="109"/>
        <w:gridCol w:w="109"/>
        <w:gridCol w:w="109"/>
        <w:gridCol w:w="109"/>
        <w:gridCol w:w="732"/>
        <w:gridCol w:w="732"/>
        <w:gridCol w:w="1041"/>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March 31, 2024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973" w:type="dxa"/>
        <w:jc w:val="left"/>
        <w:tblInd w:w="0" w:type="dxa"/>
        <w:tblLayout w:type="fixed"/>
        <w:tblCellMar>
          <w:top w:w="28" w:type="dxa"/>
          <w:left w:w="28" w:type="dxa"/>
          <w:bottom w:w="28" w:type="dxa"/>
          <w:right w:w="28" w:type="dxa"/>
        </w:tblCellMar>
      </w:tblPr>
      <w:tblGrid>
        <w:gridCol w:w="319"/>
        <w:gridCol w:w="281"/>
        <w:gridCol w:w="281"/>
        <w:gridCol w:w="281"/>
        <w:gridCol w:w="281"/>
        <w:gridCol w:w="281"/>
        <w:gridCol w:w="109"/>
        <w:gridCol w:w="109"/>
        <w:gridCol w:w="109"/>
        <w:gridCol w:w="109"/>
        <w:gridCol w:w="109"/>
        <w:gridCol w:w="109"/>
        <w:gridCol w:w="758"/>
        <w:gridCol w:w="758"/>
        <w:gridCol w:w="1079"/>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7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Quarterly Report on Form 10-Q of the Company for the quarterly period ended March 31, 2024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883" w:type="dxa"/>
        <w:jc w:val="left"/>
        <w:tblInd w:w="0" w:type="dxa"/>
        <w:tblLayout w:type="fixed"/>
        <w:tblCellMar>
          <w:top w:w="28" w:type="dxa"/>
          <w:left w:w="28" w:type="dxa"/>
          <w:bottom w:w="28" w:type="dxa"/>
          <w:right w:w="28" w:type="dxa"/>
        </w:tblCellMar>
      </w:tblPr>
      <w:tblGrid>
        <w:gridCol w:w="319"/>
        <w:gridCol w:w="281"/>
        <w:gridCol w:w="281"/>
        <w:gridCol w:w="281"/>
        <w:gridCol w:w="281"/>
        <w:gridCol w:w="281"/>
        <w:gridCol w:w="109"/>
        <w:gridCol w:w="109"/>
        <w:gridCol w:w="109"/>
        <w:gridCol w:w="109"/>
        <w:gridCol w:w="109"/>
        <w:gridCol w:w="109"/>
        <w:gridCol w:w="732"/>
        <w:gridCol w:w="732"/>
        <w:gridCol w:w="1041"/>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1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7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Wingdings">
    <w:altName w:val="sans-serif"/>
    <w:charset w:val="02"/>
    <w:family w:val="auto"/>
    <w:pitch w:val="default"/>
  </w:font>
  <w:font w:name="Expensify New Kansas Medium">
    <w:altName w:val="sans-serif"/>
    <w:charset w:val="01"/>
    <w:family w:val="auto"/>
    <w:pitch w:val="default"/>
  </w:font>
  <w:font w:name="Arial">
    <w:altName w:val="sans-serif"/>
    <w:charset w:val="01"/>
    <w:family w:val="auto"/>
    <w:pitch w:val="default"/>
  </w:font>
  <w:font w:name="GT America Exp">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76840/000147684024000016/exhibit31-10xk2023.htm" TargetMode="External"/><Relationship Id="rId3" Type="http://schemas.openxmlformats.org/officeDocument/2006/relationships/hyperlink" Target="https://www.sec.gov/Archives/edgar/data/0001476840/000162828021023404/exhibit32-8xkclosing.htm" TargetMode="External"/><Relationship Id="rId4" Type="http://schemas.openxmlformats.org/officeDocument/2006/relationships/hyperlink" Target="https://www.sec.gov/Archives/edgar/data/1476840/000147684024000013/exhibit101-8xkq423.htm" TargetMode="External"/><Relationship Id="rId5" Type="http://schemas.openxmlformats.org/officeDocument/2006/relationships/hyperlink" Target="https://www.sec.gov/Archives/edgar/data/1476840/000147684024000013/exhibit101-8xkq423.htm" TargetMode="External"/><Relationship Id="rId6" Type="http://schemas.openxmlformats.org/officeDocument/2006/relationships/hyperlink" Target="https://www.sec.gov/Archives/edgar/data/1476840/000147684024000013/exhibit101-8xkq423.htm" TargetMode="External"/><Relationship Id="rId7" Type="http://schemas.openxmlformats.org/officeDocument/2006/relationships/hyperlink" Target="https://www.sec.gov/Archives/edgar/data/1476840/000147684024000013/exhibit101-8xkq423.htm" TargetMode="External"/><Relationship Id="rId8" Type="http://schemas.openxmlformats.org/officeDocument/2006/relationships/hyperlink" Target="https://www.sec.gov/Archives/edgar/data/1476840/000147684024000013/exhibit101-8xkq42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18855</Words>
  <Characters>104458</Characters>
  <CharactersWithSpaces>122096</CharactersWithSpaces>
  <Paragraphs>2030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