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9"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As filed with the Securities and Exchange Commission on March 8, 2023</w:t>
      </w:r>
    </w:p>
    <w:p>
      <w:pPr>
        <w:spacing w:after="0" w:line="19" w:lineRule="exact"/>
        <w:rPr>
          <w:sz w:val="24"/>
          <w:szCs w:val="24"/>
          <w:color w:val="auto"/>
        </w:rPr>
      </w:pPr>
    </w:p>
    <w:p>
      <w:pPr>
        <w:ind w:left="9260"/>
        <w:spacing w:after="0"/>
        <w:rPr>
          <w:sz w:val="20"/>
          <w:szCs w:val="20"/>
          <w:color w:val="auto"/>
        </w:rPr>
      </w:pPr>
      <w:r>
        <w:rPr>
          <w:rFonts w:ascii="Times New Roman" w:cs="Times New Roman" w:eastAsia="Times New Roman" w:hAnsi="Times New Roman"/>
          <w:sz w:val="14"/>
          <w:szCs w:val="14"/>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93"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34"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90170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3"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9"/>
          <w:szCs w:val="29"/>
          <w:b w:val="1"/>
          <w:bCs w:val="1"/>
          <w:color w:val="auto"/>
        </w:rPr>
        <w:t>FORM S-8</w:t>
      </w:r>
    </w:p>
    <w:p>
      <w:pPr>
        <w:spacing w:after="0" w:line="42"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9"/>
          <w:szCs w:val="29"/>
          <w:b w:val="1"/>
          <w:bCs w:val="1"/>
          <w:color w:val="auto"/>
        </w:rPr>
        <w:t>REGISTRATION STATEMENT</w:t>
      </w:r>
    </w:p>
    <w:p>
      <w:pPr>
        <w:spacing w:after="0" w:line="22"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i w:val="1"/>
          <w:iCs w:val="1"/>
          <w:color w:val="auto"/>
        </w:rPr>
        <w:t>UNDER</w:t>
      </w:r>
    </w:p>
    <w:p>
      <w:pPr>
        <w:spacing w:after="0" w:line="3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8"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36"/>
          <w:szCs w:val="36"/>
          <w:b w:val="1"/>
          <w:bCs w:val="1"/>
          <w:color w:val="auto"/>
        </w:rPr>
        <w:t>EXPENSIFY, INC.</w:t>
      </w:r>
    </w:p>
    <w:p>
      <w:pPr>
        <w:spacing w:after="0" w:line="29"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99060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01" w:lineRule="exact"/>
        <w:rPr>
          <w:sz w:val="24"/>
          <w:szCs w:val="24"/>
          <w:color w:val="auto"/>
        </w:rPr>
      </w:pPr>
    </w:p>
    <w:tbl>
      <w:tblPr>
        <w:tblLayout w:type="fixed"/>
        <w:tblInd w:w="2000" w:type="dxa"/>
        <w:tblCellMar>
          <w:top w:w="0" w:type="dxa"/>
          <w:left w:w="0" w:type="dxa"/>
          <w:bottom w:w="0" w:type="dxa"/>
          <w:right w:w="0" w:type="dxa"/>
        </w:tblCellMar>
      </w:tblPr>
      <w:tr>
        <w:trPr>
          <w:trHeight w:val="190"/>
        </w:trPr>
        <w:tc>
          <w:tcPr>
            <w:tcW w:w="1780" w:type="dxa"/>
            <w:vAlign w:val="bottom"/>
          </w:tcPr>
          <w:p>
            <w:pPr>
              <w:jc w:val="center"/>
              <w:ind w:right="94"/>
              <w:spacing w:after="0"/>
              <w:rPr>
                <w:sz w:val="20"/>
                <w:szCs w:val="20"/>
                <w:color w:val="auto"/>
              </w:rPr>
            </w:pPr>
            <w:r>
              <w:rPr>
                <w:rFonts w:ascii="Times New Roman" w:cs="Times New Roman" w:eastAsia="Times New Roman" w:hAnsi="Times New Roman"/>
                <w:sz w:val="14"/>
                <w:szCs w:val="14"/>
                <w:b w:val="1"/>
                <w:bCs w:val="1"/>
                <w:color w:val="auto"/>
                <w:w w:val="99"/>
              </w:rPr>
              <w:t>DELAWARE</w:t>
            </w:r>
          </w:p>
        </w:tc>
        <w:tc>
          <w:tcPr>
            <w:tcW w:w="5140" w:type="dxa"/>
            <w:vAlign w:val="bottom"/>
          </w:tcPr>
          <w:p>
            <w:pPr>
              <w:jc w:val="center"/>
              <w:ind w:left="4091"/>
              <w:spacing w:after="0"/>
              <w:rPr>
                <w:sz w:val="20"/>
                <w:szCs w:val="20"/>
                <w:color w:val="auto"/>
              </w:rPr>
            </w:pPr>
            <w:r>
              <w:rPr>
                <w:rFonts w:ascii="Times New Roman" w:cs="Times New Roman" w:eastAsia="Times New Roman" w:hAnsi="Times New Roman"/>
                <w:sz w:val="14"/>
                <w:szCs w:val="14"/>
                <w:b w:val="1"/>
                <w:bCs w:val="1"/>
                <w:color w:val="auto"/>
              </w:rPr>
              <w:t>27-0239450</w:t>
            </w:r>
          </w:p>
        </w:tc>
      </w:tr>
      <w:tr>
        <w:trPr>
          <w:trHeight w:val="179"/>
        </w:trPr>
        <w:tc>
          <w:tcPr>
            <w:tcW w:w="1780" w:type="dxa"/>
            <w:vAlign w:val="bottom"/>
          </w:tcPr>
          <w:p>
            <w:pPr>
              <w:jc w:val="center"/>
              <w:ind w:right="94"/>
              <w:spacing w:after="0"/>
              <w:rPr>
                <w:sz w:val="20"/>
                <w:szCs w:val="20"/>
                <w:color w:val="auto"/>
              </w:rPr>
            </w:pPr>
            <w:r>
              <w:rPr>
                <w:rFonts w:ascii="Times New Roman" w:cs="Times New Roman" w:eastAsia="Times New Roman" w:hAnsi="Times New Roman"/>
                <w:sz w:val="13"/>
                <w:szCs w:val="13"/>
                <w:b w:val="1"/>
                <w:bCs w:val="1"/>
                <w:color w:val="auto"/>
                <w:w w:val="97"/>
              </w:rPr>
              <w:t>(State or other jurisdiction of</w:t>
            </w:r>
          </w:p>
        </w:tc>
        <w:tc>
          <w:tcPr>
            <w:tcW w:w="5140" w:type="dxa"/>
            <w:vAlign w:val="bottom"/>
          </w:tcPr>
          <w:p>
            <w:pPr>
              <w:jc w:val="center"/>
              <w:ind w:left="4091"/>
              <w:spacing w:after="0"/>
              <w:rPr>
                <w:sz w:val="20"/>
                <w:szCs w:val="20"/>
                <w:color w:val="auto"/>
              </w:rPr>
            </w:pPr>
            <w:r>
              <w:rPr>
                <w:rFonts w:ascii="Times New Roman" w:cs="Times New Roman" w:eastAsia="Times New Roman" w:hAnsi="Times New Roman"/>
                <w:sz w:val="13"/>
                <w:szCs w:val="13"/>
                <w:b w:val="1"/>
                <w:bCs w:val="1"/>
                <w:color w:val="auto"/>
                <w:w w:val="97"/>
              </w:rPr>
              <w:t>(IRS Employer</w:t>
            </w:r>
          </w:p>
        </w:tc>
      </w:tr>
      <w:tr>
        <w:trPr>
          <w:trHeight w:val="166"/>
        </w:trPr>
        <w:tc>
          <w:tcPr>
            <w:tcW w:w="1780" w:type="dxa"/>
            <w:vAlign w:val="bottom"/>
          </w:tcPr>
          <w:p>
            <w:pPr>
              <w:jc w:val="center"/>
              <w:ind w:right="74"/>
              <w:spacing w:after="0"/>
              <w:rPr>
                <w:sz w:val="20"/>
                <w:szCs w:val="20"/>
                <w:color w:val="auto"/>
              </w:rPr>
            </w:pPr>
            <w:r>
              <w:rPr>
                <w:rFonts w:ascii="Times New Roman" w:cs="Times New Roman" w:eastAsia="Times New Roman" w:hAnsi="Times New Roman"/>
                <w:sz w:val="13"/>
                <w:szCs w:val="13"/>
                <w:b w:val="1"/>
                <w:bCs w:val="1"/>
                <w:color w:val="auto"/>
                <w:w w:val="96"/>
              </w:rPr>
              <w:t>incorporation or organization)</w:t>
            </w:r>
          </w:p>
        </w:tc>
        <w:tc>
          <w:tcPr>
            <w:tcW w:w="5140" w:type="dxa"/>
            <w:vAlign w:val="bottom"/>
          </w:tcPr>
          <w:p>
            <w:pPr>
              <w:jc w:val="center"/>
              <w:ind w:left="4091"/>
              <w:spacing w:after="0"/>
              <w:rPr>
                <w:sz w:val="20"/>
                <w:szCs w:val="20"/>
                <w:color w:val="auto"/>
              </w:rPr>
            </w:pPr>
            <w:r>
              <w:rPr>
                <w:rFonts w:ascii="Times New Roman" w:cs="Times New Roman" w:eastAsia="Times New Roman" w:hAnsi="Times New Roman"/>
                <w:sz w:val="13"/>
                <w:szCs w:val="13"/>
                <w:b w:val="1"/>
                <w:bCs w:val="1"/>
                <w:color w:val="auto"/>
                <w:w w:val="96"/>
              </w:rPr>
              <w:t>Identification No.)</w:t>
            </w:r>
          </w:p>
        </w:tc>
      </w:tr>
      <w:tr>
        <w:trPr>
          <w:trHeight w:val="329"/>
        </w:trPr>
        <w:tc>
          <w:tcPr>
            <w:tcW w:w="1780" w:type="dxa"/>
            <w:vAlign w:val="bottom"/>
          </w:tcPr>
          <w:p>
            <w:pPr>
              <w:spacing w:after="0"/>
              <w:rPr>
                <w:sz w:val="24"/>
                <w:szCs w:val="24"/>
                <w:color w:val="auto"/>
              </w:rPr>
            </w:pPr>
          </w:p>
        </w:tc>
        <w:tc>
          <w:tcPr>
            <w:tcW w:w="5140" w:type="dxa"/>
            <w:vAlign w:val="bottom"/>
          </w:tcPr>
          <w:p>
            <w:pPr>
              <w:jc w:val="center"/>
              <w:ind w:right="1391"/>
              <w:spacing w:after="0"/>
              <w:rPr>
                <w:sz w:val="20"/>
                <w:szCs w:val="20"/>
                <w:color w:val="auto"/>
              </w:rPr>
            </w:pPr>
            <w:r>
              <w:rPr>
                <w:rFonts w:ascii="Times New Roman" w:cs="Times New Roman" w:eastAsia="Times New Roman" w:hAnsi="Times New Roman"/>
                <w:sz w:val="14"/>
                <w:szCs w:val="14"/>
                <w:b w:val="1"/>
                <w:bCs w:val="1"/>
                <w:color w:val="auto"/>
                <w:w w:val="97"/>
              </w:rPr>
              <w:t>401 SW 5</w:t>
            </w:r>
            <w:r>
              <w:rPr>
                <w:rFonts w:ascii="Times New Roman" w:cs="Times New Roman" w:eastAsia="Times New Roman" w:hAnsi="Times New Roman"/>
                <w:sz w:val="18"/>
                <w:szCs w:val="18"/>
                <w:b w:val="1"/>
                <w:bCs w:val="1"/>
                <w:color w:val="auto"/>
                <w:w w:val="97"/>
                <w:vertAlign w:val="superscript"/>
              </w:rPr>
              <w:t>th</w:t>
            </w:r>
            <w:r>
              <w:rPr>
                <w:rFonts w:ascii="Times New Roman" w:cs="Times New Roman" w:eastAsia="Times New Roman" w:hAnsi="Times New Roman"/>
                <w:sz w:val="14"/>
                <w:szCs w:val="14"/>
                <w:b w:val="1"/>
                <w:bCs w:val="1"/>
                <w:color w:val="auto"/>
                <w:w w:val="97"/>
              </w:rPr>
              <w:t xml:space="preserve"> Ave</w:t>
            </w:r>
          </w:p>
        </w:tc>
      </w:tr>
      <w:tr>
        <w:trPr>
          <w:trHeight w:val="166"/>
        </w:trPr>
        <w:tc>
          <w:tcPr>
            <w:tcW w:w="1780" w:type="dxa"/>
            <w:vAlign w:val="bottom"/>
          </w:tcPr>
          <w:p>
            <w:pPr>
              <w:spacing w:after="0"/>
              <w:rPr>
                <w:sz w:val="14"/>
                <w:szCs w:val="14"/>
                <w:color w:val="auto"/>
              </w:rPr>
            </w:pPr>
          </w:p>
        </w:tc>
        <w:tc>
          <w:tcPr>
            <w:tcW w:w="5140" w:type="dxa"/>
            <w:vAlign w:val="bottom"/>
          </w:tcPr>
          <w:p>
            <w:pPr>
              <w:jc w:val="center"/>
              <w:ind w:right="1391"/>
              <w:spacing w:after="0"/>
              <w:rPr>
                <w:sz w:val="20"/>
                <w:szCs w:val="20"/>
                <w:color w:val="auto"/>
              </w:rPr>
            </w:pPr>
            <w:r>
              <w:rPr>
                <w:rFonts w:ascii="Times New Roman" w:cs="Times New Roman" w:eastAsia="Times New Roman" w:hAnsi="Times New Roman"/>
                <w:sz w:val="14"/>
                <w:szCs w:val="14"/>
                <w:b w:val="1"/>
                <w:bCs w:val="1"/>
                <w:color w:val="auto"/>
              </w:rPr>
              <w:t>Portland, Oregon 97204</w:t>
            </w:r>
          </w:p>
        </w:tc>
      </w:tr>
      <w:tr>
        <w:trPr>
          <w:trHeight w:val="166"/>
        </w:trPr>
        <w:tc>
          <w:tcPr>
            <w:tcW w:w="1780" w:type="dxa"/>
            <w:vAlign w:val="bottom"/>
          </w:tcPr>
          <w:p>
            <w:pPr>
              <w:spacing w:after="0"/>
              <w:rPr>
                <w:sz w:val="14"/>
                <w:szCs w:val="14"/>
                <w:color w:val="auto"/>
              </w:rPr>
            </w:pPr>
          </w:p>
        </w:tc>
        <w:tc>
          <w:tcPr>
            <w:tcW w:w="5140" w:type="dxa"/>
            <w:vAlign w:val="bottom"/>
          </w:tcPr>
          <w:p>
            <w:pPr>
              <w:jc w:val="center"/>
              <w:ind w:right="1371"/>
              <w:spacing w:after="0"/>
              <w:rPr>
                <w:sz w:val="20"/>
                <w:szCs w:val="20"/>
                <w:color w:val="auto"/>
              </w:rPr>
            </w:pPr>
            <w:r>
              <w:rPr>
                <w:rFonts w:ascii="Times New Roman" w:cs="Times New Roman" w:eastAsia="Times New Roman" w:hAnsi="Times New Roman"/>
                <w:sz w:val="13"/>
                <w:szCs w:val="13"/>
                <w:b w:val="1"/>
                <w:bCs w:val="1"/>
                <w:color w:val="auto"/>
                <w:w w:val="96"/>
              </w:rPr>
              <w:t>(Address, including zip code of Principal Executive Offices)</w:t>
            </w:r>
          </w:p>
        </w:tc>
      </w:tr>
      <w:tr>
        <w:trPr>
          <w:trHeight w:val="248"/>
        </w:trPr>
        <w:tc>
          <w:tcPr>
            <w:tcW w:w="1780" w:type="dxa"/>
            <w:vAlign w:val="bottom"/>
          </w:tcPr>
          <w:p>
            <w:pPr>
              <w:spacing w:after="0"/>
              <w:rPr>
                <w:sz w:val="21"/>
                <w:szCs w:val="21"/>
                <w:color w:val="auto"/>
              </w:rPr>
            </w:pPr>
          </w:p>
        </w:tc>
        <w:tc>
          <w:tcPr>
            <w:tcW w:w="5140" w:type="dxa"/>
            <w:vAlign w:val="bottom"/>
          </w:tcPr>
          <w:p>
            <w:pPr>
              <w:jc w:val="center"/>
              <w:ind w:right="1391"/>
              <w:spacing w:after="0"/>
              <w:rPr>
                <w:sz w:val="20"/>
                <w:szCs w:val="20"/>
                <w:color w:val="auto"/>
              </w:rPr>
            </w:pPr>
            <w:r>
              <w:rPr>
                <w:rFonts w:ascii="Times New Roman" w:cs="Times New Roman" w:eastAsia="Times New Roman" w:hAnsi="Times New Roman"/>
                <w:sz w:val="14"/>
                <w:szCs w:val="14"/>
                <w:b w:val="1"/>
                <w:bCs w:val="1"/>
                <w:color w:val="auto"/>
              </w:rPr>
              <w:t>Expensify, Inc. 2021 Incentive Award Plan</w:t>
            </w:r>
          </w:p>
        </w:tc>
      </w:tr>
      <w:tr>
        <w:trPr>
          <w:trHeight w:val="180"/>
        </w:trPr>
        <w:tc>
          <w:tcPr>
            <w:tcW w:w="1780" w:type="dxa"/>
            <w:vAlign w:val="bottom"/>
          </w:tcPr>
          <w:p>
            <w:pPr>
              <w:spacing w:after="0"/>
              <w:rPr>
                <w:sz w:val="15"/>
                <w:szCs w:val="15"/>
                <w:color w:val="auto"/>
              </w:rPr>
            </w:pPr>
          </w:p>
        </w:tc>
        <w:tc>
          <w:tcPr>
            <w:tcW w:w="5140" w:type="dxa"/>
            <w:vAlign w:val="bottom"/>
          </w:tcPr>
          <w:p>
            <w:pPr>
              <w:jc w:val="center"/>
              <w:ind w:right="1371"/>
              <w:spacing w:after="0"/>
              <w:rPr>
                <w:sz w:val="20"/>
                <w:szCs w:val="20"/>
                <w:color w:val="auto"/>
              </w:rPr>
            </w:pPr>
            <w:r>
              <w:rPr>
                <w:rFonts w:ascii="Times New Roman" w:cs="Times New Roman" w:eastAsia="Times New Roman" w:hAnsi="Times New Roman"/>
                <w:sz w:val="14"/>
                <w:szCs w:val="14"/>
                <w:b w:val="1"/>
                <w:bCs w:val="1"/>
                <w:color w:val="auto"/>
              </w:rPr>
              <w:t>Expensify, Inc. 2021 Stock Purchase and Matching Plan</w:t>
            </w:r>
          </w:p>
        </w:tc>
      </w:tr>
      <w:tr>
        <w:trPr>
          <w:trHeight w:val="166"/>
        </w:trPr>
        <w:tc>
          <w:tcPr>
            <w:tcW w:w="1780" w:type="dxa"/>
            <w:vAlign w:val="bottom"/>
          </w:tcPr>
          <w:p>
            <w:pPr>
              <w:spacing w:after="0"/>
              <w:rPr>
                <w:sz w:val="14"/>
                <w:szCs w:val="14"/>
                <w:color w:val="auto"/>
              </w:rPr>
            </w:pPr>
          </w:p>
        </w:tc>
        <w:tc>
          <w:tcPr>
            <w:tcW w:w="5140" w:type="dxa"/>
            <w:vAlign w:val="bottom"/>
          </w:tcPr>
          <w:p>
            <w:pPr>
              <w:jc w:val="center"/>
              <w:ind w:right="1371"/>
              <w:spacing w:after="0"/>
              <w:rPr>
                <w:sz w:val="20"/>
                <w:szCs w:val="20"/>
                <w:color w:val="auto"/>
              </w:rPr>
            </w:pPr>
            <w:r>
              <w:rPr>
                <w:rFonts w:ascii="Times New Roman" w:cs="Times New Roman" w:eastAsia="Times New Roman" w:hAnsi="Times New Roman"/>
                <w:sz w:val="13"/>
                <w:szCs w:val="13"/>
                <w:b w:val="1"/>
                <w:bCs w:val="1"/>
                <w:color w:val="auto"/>
                <w:w w:val="96"/>
              </w:rPr>
              <w:t>(Full title of the plan)</w:t>
            </w:r>
          </w:p>
        </w:tc>
      </w:tr>
      <w:tr>
        <w:trPr>
          <w:trHeight w:val="248"/>
        </w:trPr>
        <w:tc>
          <w:tcPr>
            <w:tcW w:w="1780" w:type="dxa"/>
            <w:vAlign w:val="bottom"/>
          </w:tcPr>
          <w:p>
            <w:pPr>
              <w:spacing w:after="0"/>
              <w:rPr>
                <w:sz w:val="21"/>
                <w:szCs w:val="21"/>
                <w:color w:val="auto"/>
              </w:rPr>
            </w:pPr>
          </w:p>
        </w:tc>
        <w:tc>
          <w:tcPr>
            <w:tcW w:w="5140" w:type="dxa"/>
            <w:vAlign w:val="bottom"/>
          </w:tcPr>
          <w:p>
            <w:pPr>
              <w:jc w:val="center"/>
              <w:ind w:right="1391"/>
              <w:spacing w:after="0"/>
              <w:rPr>
                <w:sz w:val="20"/>
                <w:szCs w:val="20"/>
                <w:color w:val="auto"/>
              </w:rPr>
            </w:pPr>
            <w:r>
              <w:rPr>
                <w:rFonts w:ascii="Times New Roman" w:cs="Times New Roman" w:eastAsia="Times New Roman" w:hAnsi="Times New Roman"/>
                <w:sz w:val="14"/>
                <w:szCs w:val="14"/>
                <w:b w:val="1"/>
                <w:bCs w:val="1"/>
                <w:color w:val="auto"/>
              </w:rPr>
              <w:t>Ryan Schaffer</w:t>
            </w:r>
          </w:p>
        </w:tc>
      </w:tr>
      <w:tr>
        <w:trPr>
          <w:trHeight w:val="159"/>
        </w:trPr>
        <w:tc>
          <w:tcPr>
            <w:tcW w:w="1780" w:type="dxa"/>
            <w:vAlign w:val="bottom"/>
          </w:tcPr>
          <w:p>
            <w:pPr>
              <w:spacing w:after="0"/>
              <w:rPr>
                <w:sz w:val="13"/>
                <w:szCs w:val="13"/>
                <w:color w:val="auto"/>
              </w:rPr>
            </w:pPr>
          </w:p>
        </w:tc>
        <w:tc>
          <w:tcPr>
            <w:tcW w:w="5140" w:type="dxa"/>
            <w:vAlign w:val="bottom"/>
          </w:tcPr>
          <w:p>
            <w:pPr>
              <w:jc w:val="center"/>
              <w:ind w:right="1371"/>
              <w:spacing w:after="0" w:line="159" w:lineRule="exact"/>
              <w:rPr>
                <w:sz w:val="20"/>
                <w:szCs w:val="20"/>
                <w:color w:val="auto"/>
              </w:rPr>
            </w:pPr>
            <w:r>
              <w:rPr>
                <w:rFonts w:ascii="Times New Roman" w:cs="Times New Roman" w:eastAsia="Times New Roman" w:hAnsi="Times New Roman"/>
                <w:sz w:val="14"/>
                <w:szCs w:val="14"/>
                <w:b w:val="1"/>
                <w:bCs w:val="1"/>
                <w:color w:val="auto"/>
              </w:rPr>
              <w:t>Chief Financial Officer</w:t>
            </w:r>
          </w:p>
        </w:tc>
      </w:tr>
      <w:tr>
        <w:trPr>
          <w:trHeight w:val="165"/>
        </w:trPr>
        <w:tc>
          <w:tcPr>
            <w:tcW w:w="1780" w:type="dxa"/>
            <w:vAlign w:val="bottom"/>
          </w:tcPr>
          <w:p>
            <w:pPr>
              <w:spacing w:after="0"/>
              <w:rPr>
                <w:sz w:val="14"/>
                <w:szCs w:val="14"/>
                <w:color w:val="auto"/>
              </w:rPr>
            </w:pPr>
          </w:p>
        </w:tc>
        <w:tc>
          <w:tcPr>
            <w:tcW w:w="5140" w:type="dxa"/>
            <w:vAlign w:val="bottom"/>
          </w:tcPr>
          <w:p>
            <w:pPr>
              <w:jc w:val="center"/>
              <w:ind w:right="1391"/>
              <w:spacing w:after="0" w:line="165" w:lineRule="exact"/>
              <w:rPr>
                <w:sz w:val="20"/>
                <w:szCs w:val="20"/>
                <w:color w:val="auto"/>
              </w:rPr>
            </w:pPr>
            <w:r>
              <w:rPr>
                <w:rFonts w:ascii="Times New Roman" w:cs="Times New Roman" w:eastAsia="Times New Roman" w:hAnsi="Times New Roman"/>
                <w:sz w:val="14"/>
                <w:szCs w:val="14"/>
                <w:b w:val="1"/>
                <w:bCs w:val="1"/>
                <w:color w:val="auto"/>
                <w:w w:val="97"/>
              </w:rPr>
              <w:t>401 SW 5</w:t>
            </w:r>
            <w:r>
              <w:rPr>
                <w:rFonts w:ascii="Times New Roman" w:cs="Times New Roman" w:eastAsia="Times New Roman" w:hAnsi="Times New Roman"/>
                <w:sz w:val="18"/>
                <w:szCs w:val="18"/>
                <w:b w:val="1"/>
                <w:bCs w:val="1"/>
                <w:color w:val="auto"/>
                <w:w w:val="97"/>
                <w:vertAlign w:val="superscript"/>
              </w:rPr>
              <w:t>th</w:t>
            </w:r>
            <w:r>
              <w:rPr>
                <w:rFonts w:ascii="Times New Roman" w:cs="Times New Roman" w:eastAsia="Times New Roman" w:hAnsi="Times New Roman"/>
                <w:sz w:val="14"/>
                <w:szCs w:val="14"/>
                <w:b w:val="1"/>
                <w:bCs w:val="1"/>
                <w:color w:val="auto"/>
                <w:w w:val="97"/>
              </w:rPr>
              <w:t xml:space="preserve"> Ave</w:t>
            </w:r>
          </w:p>
        </w:tc>
      </w:tr>
      <w:tr>
        <w:trPr>
          <w:trHeight w:val="162"/>
        </w:trPr>
        <w:tc>
          <w:tcPr>
            <w:tcW w:w="1780" w:type="dxa"/>
            <w:vAlign w:val="bottom"/>
          </w:tcPr>
          <w:p>
            <w:pPr>
              <w:spacing w:after="0"/>
              <w:rPr>
                <w:sz w:val="14"/>
                <w:szCs w:val="14"/>
                <w:color w:val="auto"/>
              </w:rPr>
            </w:pPr>
          </w:p>
        </w:tc>
        <w:tc>
          <w:tcPr>
            <w:tcW w:w="5140" w:type="dxa"/>
            <w:vAlign w:val="bottom"/>
          </w:tcPr>
          <w:p>
            <w:pPr>
              <w:jc w:val="center"/>
              <w:ind w:right="1391"/>
              <w:spacing w:after="0"/>
              <w:rPr>
                <w:sz w:val="20"/>
                <w:szCs w:val="20"/>
                <w:color w:val="auto"/>
              </w:rPr>
            </w:pPr>
            <w:r>
              <w:rPr>
                <w:rFonts w:ascii="Times New Roman" w:cs="Times New Roman" w:eastAsia="Times New Roman" w:hAnsi="Times New Roman"/>
                <w:sz w:val="14"/>
                <w:szCs w:val="14"/>
                <w:b w:val="1"/>
                <w:bCs w:val="1"/>
                <w:color w:val="auto"/>
              </w:rPr>
              <w:t>Portland, Oregon 97204</w:t>
            </w:r>
          </w:p>
        </w:tc>
      </w:tr>
      <w:tr>
        <w:trPr>
          <w:trHeight w:val="190"/>
        </w:trPr>
        <w:tc>
          <w:tcPr>
            <w:tcW w:w="1780" w:type="dxa"/>
            <w:vAlign w:val="bottom"/>
          </w:tcPr>
          <w:p>
            <w:pPr>
              <w:spacing w:after="0"/>
              <w:rPr>
                <w:sz w:val="16"/>
                <w:szCs w:val="16"/>
                <w:color w:val="auto"/>
              </w:rPr>
            </w:pPr>
          </w:p>
        </w:tc>
        <w:tc>
          <w:tcPr>
            <w:tcW w:w="5140" w:type="dxa"/>
            <w:vAlign w:val="bottom"/>
          </w:tcPr>
          <w:p>
            <w:pPr>
              <w:jc w:val="center"/>
              <w:ind w:right="1391"/>
              <w:spacing w:after="0"/>
              <w:rPr>
                <w:sz w:val="20"/>
                <w:szCs w:val="20"/>
                <w:color w:val="auto"/>
              </w:rPr>
            </w:pPr>
            <w:r>
              <w:rPr>
                <w:rFonts w:ascii="Times New Roman" w:cs="Times New Roman" w:eastAsia="Times New Roman" w:hAnsi="Times New Roman"/>
                <w:sz w:val="14"/>
                <w:szCs w:val="14"/>
                <w:b w:val="1"/>
                <w:bCs w:val="1"/>
                <w:color w:val="auto"/>
              </w:rPr>
              <w:t>Telephone: (971) 365-3939</w:t>
            </w:r>
          </w:p>
        </w:tc>
      </w:tr>
    </w:tbl>
    <w:p>
      <w:pPr>
        <w:jc w:val="center"/>
        <w:ind w:right="-79"/>
        <w:spacing w:after="0"/>
        <w:rPr>
          <w:sz w:val="20"/>
          <w:szCs w:val="20"/>
          <w:color w:val="auto"/>
        </w:rPr>
      </w:pPr>
      <w:r>
        <w:rPr>
          <w:rFonts w:ascii="Times New Roman" w:cs="Times New Roman" w:eastAsia="Times New Roman" w:hAnsi="Times New Roman"/>
          <w:sz w:val="13"/>
          <w:szCs w:val="13"/>
          <w:b w:val="1"/>
          <w:bCs w:val="1"/>
          <w:color w:val="auto"/>
        </w:rPr>
        <w:t>(Name, address and telephone number, including area code, of agent for service)</w:t>
      </w:r>
    </w:p>
    <w:p>
      <w:pPr>
        <w:spacing w:after="0" w:line="77"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4"/>
          <w:szCs w:val="14"/>
          <w:b w:val="1"/>
          <w:bCs w:val="1"/>
          <w:i w:val="1"/>
          <w:iCs w:val="1"/>
          <w:color w:val="auto"/>
        </w:rPr>
        <w:t>Copy to:</w:t>
      </w:r>
    </w:p>
    <w:p>
      <w:pPr>
        <w:spacing w:after="0" w:line="179"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Tad J. Freese</w:t>
      </w:r>
    </w:p>
    <w:p>
      <w:pPr>
        <w:spacing w:after="0" w:line="19"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Alexa M. Berlin</w:t>
      </w:r>
    </w:p>
    <w:p>
      <w:pPr>
        <w:spacing w:after="0" w:line="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Benjamin A. Potter</w:t>
      </w:r>
    </w:p>
    <w:p>
      <w:pPr>
        <w:spacing w:after="0" w:line="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Latham &amp; Watkins LLP</w:t>
      </w:r>
    </w:p>
    <w:p>
      <w:pPr>
        <w:spacing w:after="0" w:line="1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140 Scott Drive</w:t>
      </w:r>
    </w:p>
    <w:p>
      <w:pPr>
        <w:spacing w:after="0" w:line="4"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Menlo Park, California 94025</w:t>
      </w:r>
    </w:p>
    <w:p>
      <w:pPr>
        <w:spacing w:after="0" w:line="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(650) 328-4600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8" w:lineRule="exact"/>
        <w:rPr>
          <w:sz w:val="24"/>
          <w:szCs w:val="24"/>
          <w:color w:val="auto"/>
        </w:rPr>
      </w:pPr>
    </w:p>
    <w:p>
      <w:pPr>
        <w:ind w:right="380"/>
        <w:spacing w:after="0" w:line="282"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84" w:lineRule="exact"/>
        <w:rPr>
          <w:sz w:val="24"/>
          <w:szCs w:val="24"/>
          <w:color w:val="auto"/>
        </w:rPr>
      </w:pPr>
    </w:p>
    <w:tbl>
      <w:tblPr>
        <w:tblLayout w:type="fixed"/>
        <w:tblInd w:w="20" w:type="dxa"/>
        <w:tblCellMar>
          <w:top w:w="0" w:type="dxa"/>
          <w:left w:w="0" w:type="dxa"/>
          <w:bottom w:w="0" w:type="dxa"/>
          <w:right w:w="0" w:type="dxa"/>
        </w:tblCellMar>
      </w:tblPr>
      <w:tr>
        <w:trPr>
          <w:trHeight w:val="226"/>
        </w:trPr>
        <w:tc>
          <w:tcPr>
            <w:tcW w:w="172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3600" w:type="dxa"/>
            <w:vAlign w:val="bottom"/>
          </w:tcPr>
          <w:p>
            <w:pPr>
              <w:ind w:left="440"/>
              <w:spacing w:after="0" w:line="141" w:lineRule="exact"/>
              <w:rPr>
                <w:sz w:val="20"/>
                <w:szCs w:val="20"/>
                <w:color w:val="auto"/>
              </w:rPr>
            </w:pPr>
            <w:r>
              <w:rPr>
                <w:rFonts w:ascii="MS PGothic" w:cs="MS PGothic" w:eastAsia="MS PGothic" w:hAnsi="MS PGothic"/>
                <w:sz w:val="14"/>
                <w:szCs w:val="14"/>
                <w:color w:val="auto"/>
              </w:rPr>
              <w:t>☒</w:t>
            </w:r>
          </w:p>
        </w:tc>
        <w:tc>
          <w:tcPr>
            <w:tcW w:w="5160" w:type="dxa"/>
            <w:vAlign w:val="bottom"/>
          </w:tcPr>
          <w:p>
            <w:pPr>
              <w:ind w:left="3060"/>
              <w:spacing w:after="0"/>
              <w:rPr>
                <w:sz w:val="20"/>
                <w:szCs w:val="20"/>
                <w:color w:val="auto"/>
              </w:rPr>
            </w:pPr>
            <w:r>
              <w:rPr>
                <w:rFonts w:ascii="Times New Roman" w:cs="Times New Roman" w:eastAsia="Times New Roman" w:hAnsi="Times New Roman"/>
                <w:sz w:val="14"/>
                <w:szCs w:val="14"/>
                <w:color w:val="auto"/>
              </w:rPr>
              <w:t>Accelerated filer</w:t>
            </w:r>
          </w:p>
        </w:tc>
        <w:tc>
          <w:tcPr>
            <w:tcW w:w="660" w:type="dxa"/>
            <w:vAlign w:val="bottom"/>
          </w:tcPr>
          <w:p>
            <w:pPr>
              <w:ind w:left="52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432"/>
        </w:trPr>
        <w:tc>
          <w:tcPr>
            <w:tcW w:w="172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3600" w:type="dxa"/>
            <w:vAlign w:val="bottom"/>
          </w:tcPr>
          <w:p>
            <w:pPr>
              <w:ind w:left="440"/>
              <w:spacing w:after="0" w:line="141" w:lineRule="exact"/>
              <w:rPr>
                <w:sz w:val="20"/>
                <w:szCs w:val="20"/>
                <w:color w:val="auto"/>
              </w:rPr>
            </w:pPr>
            <w:r>
              <w:rPr>
                <w:rFonts w:ascii="MS PGothic" w:cs="MS PGothic" w:eastAsia="MS PGothic" w:hAnsi="MS PGothic"/>
                <w:sz w:val="14"/>
                <w:szCs w:val="14"/>
                <w:color w:val="auto"/>
              </w:rPr>
              <w:t>☐</w:t>
            </w:r>
          </w:p>
        </w:tc>
        <w:tc>
          <w:tcPr>
            <w:tcW w:w="5160" w:type="dxa"/>
            <w:vAlign w:val="bottom"/>
          </w:tcPr>
          <w:p>
            <w:pPr>
              <w:ind w:left="306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660" w:type="dxa"/>
            <w:vAlign w:val="bottom"/>
          </w:tcPr>
          <w:p>
            <w:pPr>
              <w:ind w:left="52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432"/>
        </w:trPr>
        <w:tc>
          <w:tcPr>
            <w:tcW w:w="172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5160" w:type="dxa"/>
            <w:vAlign w:val="bottom"/>
          </w:tcPr>
          <w:p>
            <w:pPr>
              <w:ind w:left="3060"/>
              <w:spacing w:after="0"/>
              <w:rPr>
                <w:sz w:val="20"/>
                <w:szCs w:val="20"/>
                <w:color w:val="auto"/>
              </w:rPr>
            </w:pPr>
            <w:r>
              <w:rPr>
                <w:rFonts w:ascii="Times New Roman" w:cs="Times New Roman" w:eastAsia="Times New Roman" w:hAnsi="Times New Roman"/>
                <w:sz w:val="14"/>
                <w:szCs w:val="14"/>
                <w:color w:val="auto"/>
              </w:rPr>
              <w:t>Emerging growth company</w:t>
            </w:r>
          </w:p>
        </w:tc>
        <w:tc>
          <w:tcPr>
            <w:tcW w:w="660" w:type="dxa"/>
            <w:vAlign w:val="bottom"/>
          </w:tcPr>
          <w:p>
            <w:pPr>
              <w:ind w:left="520"/>
              <w:spacing w:after="0" w:line="141" w:lineRule="exact"/>
              <w:rPr>
                <w:sz w:val="20"/>
                <w:szCs w:val="20"/>
                <w:color w:val="auto"/>
              </w:rPr>
            </w:pPr>
            <w:r>
              <w:rPr>
                <w:rFonts w:ascii="MS PGothic" w:cs="MS PGothic" w:eastAsia="MS PGothic" w:hAnsi="MS PGothic"/>
                <w:sz w:val="14"/>
                <w:szCs w:val="14"/>
                <w:color w:val="auto"/>
                <w:w w:val="85"/>
              </w:rPr>
              <w:t>☐</w:t>
            </w:r>
          </w:p>
        </w:tc>
      </w:tr>
    </w:tbl>
    <w:p>
      <w:pPr>
        <w:spacing w:after="0" w:line="122" w:lineRule="exact"/>
        <w:rPr>
          <w:sz w:val="24"/>
          <w:szCs w:val="24"/>
          <w:color w:val="auto"/>
        </w:rPr>
      </w:pPr>
    </w:p>
    <w:p>
      <w:pPr>
        <w:ind w:right="480"/>
        <w:spacing w:after="0" w:line="189"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229235</wp:posOffset>
            </wp:positionV>
            <wp:extent cx="711517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1" w:name="page2"/>
    <w:bookmarkEnd w:id="1"/>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148" w:lineRule="exact"/>
        <w:rPr>
          <w:sz w:val="20"/>
          <w:szCs w:val="20"/>
          <w:color w:val="auto"/>
        </w:rPr>
      </w:pPr>
    </w:p>
    <w:p>
      <w:pPr>
        <w:spacing w:after="0" w:line="24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Registration Statement on Form S-8 (this “Registration Statement”) is being filed with the Securities and Exchange Commission for the purpose of registering an additional 9,829,203 shares of Class A common stock, par value $0.0001 per share, of Expensify, Inc. (the “Registrant”), 4,883,441 of which became available for issuance on January 1, 2022 and 4,945,762 of which became available for issuance on January 1, 2023, pursuant to the following employee benefit plans for which a Registration Statement of the Registrant on Form S-8 (</w:t>
      </w:r>
      <w:hyperlink r:id="rId15">
        <w:r>
          <w:rPr>
            <w:rFonts w:ascii="Times New Roman" w:cs="Times New Roman" w:eastAsia="Times New Roman" w:hAnsi="Times New Roman"/>
            <w:sz w:val="18"/>
            <w:szCs w:val="18"/>
            <w:u w:val="single" w:color="auto"/>
            <w:color w:val="0000FF"/>
          </w:rPr>
          <w:t>File No. 333-260933</w:t>
        </w:r>
      </w:hyperlink>
      <w:r>
        <w:rPr>
          <w:rFonts w:ascii="Times New Roman" w:cs="Times New Roman" w:eastAsia="Times New Roman" w:hAnsi="Times New Roman"/>
          <w:sz w:val="18"/>
          <w:szCs w:val="18"/>
          <w:color w:val="auto"/>
        </w:rPr>
        <w:t>) is effective: (i) the Expensify Inc. 2021 Incentive Award Plan and (ii) the Expensify Inc. 2021 Stock Purchase and Matching Plan.</w:t>
      </w:r>
    </w:p>
    <w:p>
      <w:pPr>
        <w:spacing w:after="0" w:line="22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Pursuant to General Instruction E of Form S-8, the contents of the above referenced registration statement are incorporated into this Registration Statement by reference to the extent not modified or superseded hereby or by any subsequently filed document, which is incorporated by reference herein or therein.</w:t>
      </w:r>
    </w:p>
    <w:p>
      <w:pPr>
        <w:sectPr>
          <w:pgSz w:w="11900" w:h="16838" w:orient="portrait"/>
          <w:cols w:equalWidth="0" w:num="1">
            <w:col w:w="11180"/>
          </w:cols>
          <w:pgMar w:left="320" w:top="1413" w:right="39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1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8. Exhibits.</w:t>
            </w:r>
          </w:p>
        </w:tc>
        <w:tc>
          <w:tcPr>
            <w:tcW w:w="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9"/>
        </w:trPr>
        <w:tc>
          <w:tcPr>
            <w:tcW w:w="13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13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5600" w:type="dxa"/>
            <w:vAlign w:val="bottom"/>
            <w:gridSpan w:val="17"/>
          </w:tcPr>
          <w:p>
            <w:pPr>
              <w:ind w:left="14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0" w:type="dxa"/>
            <w:vAlign w:val="bottom"/>
          </w:tcPr>
          <w:p>
            <w:pPr>
              <w:spacing w:after="0"/>
              <w:rPr>
                <w:sz w:val="1"/>
                <w:szCs w:val="1"/>
                <w:color w:val="auto"/>
              </w:rPr>
            </w:pPr>
          </w:p>
        </w:tc>
      </w:tr>
      <w:tr>
        <w:trPr>
          <w:trHeight w:val="331"/>
        </w:trPr>
        <w:tc>
          <w:tcPr>
            <w:tcW w:w="10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4.1</w:t>
            </w:r>
          </w:p>
        </w:tc>
        <w:tc>
          <w:tcPr>
            <w:tcW w:w="36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9840" w:type="dxa"/>
            <w:vAlign w:val="bottom"/>
            <w:tcBorders>
              <w:top w:val="single" w:sz="8" w:color="auto"/>
            </w:tcBorders>
            <w:gridSpan w:val="20"/>
          </w:tcPr>
          <w:p>
            <w:pPr>
              <w:spacing w:after="0"/>
              <w:rPr>
                <w:rFonts w:ascii="Times New Roman" w:cs="Times New Roman" w:eastAsia="Times New Roman" w:hAnsi="Times New Roman"/>
                <w:sz w:val="18"/>
                <w:szCs w:val="18"/>
                <w:color w:val="0000FF"/>
              </w:rPr>
            </w:pPr>
            <w:hyperlink r:id="rId16">
              <w:r>
                <w:rPr>
                  <w:rFonts w:ascii="Times New Roman" w:cs="Times New Roman" w:eastAsia="Times New Roman" w:hAnsi="Times New Roman"/>
                  <w:sz w:val="18"/>
                  <w:szCs w:val="18"/>
                  <w:color w:val="0000FF"/>
                </w:rPr>
                <w:t>Amended and Restated Certificate of Incorporation of the Company (incorporated by reference to Exhibit 3.1 to the Company’s Annual</w:t>
              </w:r>
            </w:hyperlink>
          </w:p>
        </w:tc>
        <w:tc>
          <w:tcPr>
            <w:tcW w:w="0" w:type="dxa"/>
            <w:vAlign w:val="bottom"/>
          </w:tcPr>
          <w:p>
            <w:pPr>
              <w:spacing w:after="0"/>
              <w:rPr>
                <w:sz w:val="1"/>
                <w:szCs w:val="1"/>
                <w:color w:val="auto"/>
              </w:rPr>
            </w:pPr>
          </w:p>
        </w:tc>
      </w:tr>
      <w:tr>
        <w:trPr>
          <w:trHeight w:val="155"/>
        </w:trPr>
        <w:tc>
          <w:tcPr>
            <w:tcW w:w="10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0" w:type="dxa"/>
            <w:vAlign w:val="bottom"/>
            <w:tcBorders>
              <w:top w:val="single" w:sz="8" w:color="0000FF"/>
              <w:bottom w:val="single" w:sz="8" w:color="0000FF"/>
            </w:tcBorders>
            <w:gridSpan w:val="10"/>
          </w:tcPr>
          <w:p>
            <w:pPr>
              <w:spacing w:after="0" w:line="156" w:lineRule="exact"/>
              <w:rPr>
                <w:rFonts w:ascii="Times New Roman" w:cs="Times New Roman" w:eastAsia="Times New Roman" w:hAnsi="Times New Roman"/>
                <w:sz w:val="18"/>
                <w:szCs w:val="18"/>
                <w:color w:val="0000FF"/>
                <w:w w:val="99"/>
              </w:rPr>
            </w:pPr>
            <w:hyperlink r:id="rId16">
              <w:r>
                <w:rPr>
                  <w:rFonts w:ascii="Times New Roman" w:cs="Times New Roman" w:eastAsia="Times New Roman" w:hAnsi="Times New Roman"/>
                  <w:sz w:val="18"/>
                  <w:szCs w:val="18"/>
                  <w:color w:val="0000FF"/>
                  <w:w w:val="99"/>
                </w:rPr>
                <w:t>Report on Form 10-K (File No. 001-41043), filed on March 8, 2023 with the SEC).</w:t>
              </w:r>
            </w:hyperlink>
          </w:p>
        </w:tc>
        <w:tc>
          <w:tcPr>
            <w:tcW w:w="3780" w:type="dxa"/>
            <w:vAlign w:val="bottom"/>
            <w:tcBorders>
              <w:top w:val="single" w:sz="8" w:color="0000FF"/>
            </w:tcBorders>
            <w:gridSpan w:val="8"/>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1"/>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4.2</w:t>
            </w: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40" w:type="dxa"/>
            <w:vAlign w:val="bottom"/>
            <w:gridSpan w:val="20"/>
          </w:tcPr>
          <w:p>
            <w:pPr>
              <w:spacing w:after="0"/>
              <w:rPr>
                <w:rFonts w:ascii="Times New Roman" w:cs="Times New Roman" w:eastAsia="Times New Roman" w:hAnsi="Times New Roman"/>
                <w:sz w:val="18"/>
                <w:szCs w:val="18"/>
                <w:color w:val="0000FF"/>
              </w:rPr>
            </w:pPr>
            <w:hyperlink r:id="rId17">
              <w:r>
                <w:rPr>
                  <w:rFonts w:ascii="Times New Roman" w:cs="Times New Roman" w:eastAsia="Times New Roman" w:hAnsi="Times New Roman"/>
                  <w:sz w:val="18"/>
                  <w:szCs w:val="18"/>
                  <w:color w:val="0000FF"/>
                </w:rPr>
                <w:t xml:space="preserve">Amended and Restated Bylaws of the Company (incorporated by reference to Exhibit </w:t>
              </w:r>
            </w:hyperlink>
            <w:r>
              <w:rPr>
                <w:rFonts w:ascii="Times New Roman" w:cs="Times New Roman" w:eastAsia="Times New Roman" w:hAnsi="Times New Roman"/>
                <w:sz w:val="18"/>
                <w:szCs w:val="18"/>
                <w:color w:val="0000FF"/>
              </w:rPr>
              <w:t xml:space="preserve">3.2 </w:t>
            </w:r>
            <w:hyperlink r:id="rId17">
              <w:r>
                <w:rPr>
                  <w:rFonts w:ascii="Times New Roman" w:cs="Times New Roman" w:eastAsia="Times New Roman" w:hAnsi="Times New Roman"/>
                  <w:sz w:val="18"/>
                  <w:szCs w:val="18"/>
                  <w:color w:val="0000FF"/>
                </w:rPr>
                <w:t>to the Company’s Current Report on Form 8-</w:t>
              </w:r>
            </w:hyperlink>
          </w:p>
        </w:tc>
        <w:tc>
          <w:tcPr>
            <w:tcW w:w="0" w:type="dxa"/>
            <w:vAlign w:val="bottom"/>
          </w:tcPr>
          <w:p>
            <w:pPr>
              <w:spacing w:after="0"/>
              <w:rPr>
                <w:sz w:val="1"/>
                <w:szCs w:val="1"/>
                <w:color w:val="auto"/>
              </w:rPr>
            </w:pPr>
          </w:p>
        </w:tc>
      </w:tr>
      <w:tr>
        <w:trPr>
          <w:trHeight w:val="183"/>
        </w:trPr>
        <w:tc>
          <w:tcPr>
            <w:tcW w:w="10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740" w:type="dxa"/>
            <w:vAlign w:val="bottom"/>
            <w:tcBorders>
              <w:top w:val="single" w:sz="8" w:color="0000FF"/>
            </w:tcBorders>
            <w:gridSpan w:val="17"/>
          </w:tcPr>
          <w:p>
            <w:pPr>
              <w:spacing w:after="0" w:line="182" w:lineRule="exact"/>
              <w:rPr>
                <w:rFonts w:ascii="Times New Roman" w:cs="Times New Roman" w:eastAsia="Times New Roman" w:hAnsi="Times New Roman"/>
                <w:sz w:val="18"/>
                <w:szCs w:val="18"/>
                <w:color w:val="0000FF"/>
              </w:rPr>
            </w:pPr>
            <w:hyperlink r:id="rId17">
              <w:r>
                <w:rPr>
                  <w:rFonts w:ascii="Times New Roman" w:cs="Times New Roman" w:eastAsia="Times New Roman" w:hAnsi="Times New Roman"/>
                  <w:sz w:val="18"/>
                  <w:szCs w:val="18"/>
                  <w:color w:val="0000FF"/>
                </w:rPr>
                <w:t xml:space="preserve">K (File No. 001-41043), filed on November </w:t>
              </w:r>
            </w:hyperlink>
            <w:r>
              <w:rPr>
                <w:rFonts w:ascii="Times New Roman" w:cs="Times New Roman" w:eastAsia="Times New Roman" w:hAnsi="Times New Roman"/>
                <w:sz w:val="18"/>
                <w:szCs w:val="18"/>
                <w:color w:val="0000FF"/>
              </w:rPr>
              <w:t xml:space="preserve">15, </w:t>
            </w:r>
            <w:hyperlink r:id="rId17">
              <w:r>
                <w:rPr>
                  <w:rFonts w:ascii="Times New Roman" w:cs="Times New Roman" w:eastAsia="Times New Roman" w:hAnsi="Times New Roman"/>
                  <w:sz w:val="18"/>
                  <w:szCs w:val="18"/>
                  <w:color w:val="0000FF"/>
                </w:rPr>
                <w:t>2021 with the SEC).</w:t>
              </w:r>
            </w:hyperlink>
          </w:p>
        </w:tc>
        <w:tc>
          <w:tcPr>
            <w:tcW w:w="6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4.3</w:t>
            </w: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40" w:type="dxa"/>
            <w:vAlign w:val="bottom"/>
            <w:gridSpan w:val="20"/>
          </w:tcPr>
          <w:p>
            <w:pPr>
              <w:spacing w:after="0"/>
              <w:rPr>
                <w:rFonts w:ascii="Times New Roman" w:cs="Times New Roman" w:eastAsia="Times New Roman" w:hAnsi="Times New Roman"/>
                <w:sz w:val="18"/>
                <w:szCs w:val="18"/>
                <w:color w:val="0000FF"/>
                <w:w w:val="99"/>
              </w:rPr>
            </w:pPr>
            <w:hyperlink r:id="rId18">
              <w:r>
                <w:rPr>
                  <w:rFonts w:ascii="Times New Roman" w:cs="Times New Roman" w:eastAsia="Times New Roman" w:hAnsi="Times New Roman"/>
                  <w:sz w:val="18"/>
                  <w:szCs w:val="18"/>
                  <w:color w:val="0000FF"/>
                  <w:w w:val="99"/>
                </w:rPr>
                <w:t>Form of Class A Common Stock Certificate (incorporated by reference to Exhibit 4.1 to the Company’s Registration Statement on Form</w:t>
              </w:r>
            </w:hyperlink>
          </w:p>
        </w:tc>
        <w:tc>
          <w:tcPr>
            <w:tcW w:w="0" w:type="dxa"/>
            <w:vAlign w:val="bottom"/>
          </w:tcPr>
          <w:p>
            <w:pPr>
              <w:spacing w:after="0"/>
              <w:rPr>
                <w:sz w:val="1"/>
                <w:szCs w:val="1"/>
                <w:color w:val="auto"/>
              </w:rPr>
            </w:pPr>
          </w:p>
        </w:tc>
      </w:tr>
      <w:tr>
        <w:trPr>
          <w:trHeight w:val="183"/>
        </w:trPr>
        <w:tc>
          <w:tcPr>
            <w:tcW w:w="10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800" w:type="dxa"/>
            <w:vAlign w:val="bottom"/>
            <w:tcBorders>
              <w:top w:val="single" w:sz="8" w:color="0000FF"/>
            </w:tcBorders>
            <w:gridSpan w:val="19"/>
          </w:tcPr>
          <w:p>
            <w:pPr>
              <w:spacing w:after="0" w:line="182" w:lineRule="exact"/>
              <w:rPr>
                <w:rFonts w:ascii="Times New Roman" w:cs="Times New Roman" w:eastAsia="Times New Roman" w:hAnsi="Times New Roman"/>
                <w:sz w:val="18"/>
                <w:szCs w:val="18"/>
                <w:color w:val="0000FF"/>
              </w:rPr>
            </w:pPr>
            <w:hyperlink r:id="rId18">
              <w:r>
                <w:rPr>
                  <w:rFonts w:ascii="Times New Roman" w:cs="Times New Roman" w:eastAsia="Times New Roman" w:hAnsi="Times New Roman"/>
                  <w:sz w:val="18"/>
                  <w:szCs w:val="18"/>
                  <w:color w:val="0000FF"/>
                </w:rPr>
                <w:t>S-1 (File No. 333-260297), filed on November 1, 2021 with the SEC).</w:t>
              </w:r>
            </w:hyperlink>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1"/>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5.1*</w:t>
            </w: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60" w:type="dxa"/>
            <w:vAlign w:val="bottom"/>
            <w:tcBorders>
              <w:top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rPr>
              <w:t>Opinion of Latham &amp; Watkins LLP.</w:t>
            </w:r>
          </w:p>
        </w:tc>
        <w:tc>
          <w:tcPr>
            <w:tcW w:w="4780" w:type="dxa"/>
            <w:vAlign w:val="bottom"/>
            <w:gridSpan w:val="14"/>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23.1*</w:t>
            </w:r>
          </w:p>
        </w:tc>
        <w:tc>
          <w:tcPr>
            <w:tcW w:w="3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72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9"/>
              </w:rPr>
              <w:t>Consent of Ernst &amp; Young LLP, independent registered public accounting firm.</w:t>
            </w:r>
          </w:p>
        </w:tc>
        <w:tc>
          <w:tcPr>
            <w:tcW w:w="4120" w:type="dxa"/>
            <w:vAlign w:val="bottom"/>
            <w:gridSpan w:val="11"/>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23.2*</w:t>
            </w:r>
          </w:p>
        </w:tc>
        <w:tc>
          <w:tcPr>
            <w:tcW w:w="3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84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Consent of Latham &amp; Watkins LLP (included in Exhibit 5.1).</w:t>
            </w:r>
          </w:p>
        </w:tc>
        <w:tc>
          <w:tcPr>
            <w:tcW w:w="0" w:type="dxa"/>
            <w:vAlign w:val="bottom"/>
          </w:tcPr>
          <w:p>
            <w:pPr>
              <w:spacing w:after="0"/>
              <w:rPr>
                <w:sz w:val="1"/>
                <w:szCs w:val="1"/>
                <w:color w:val="auto"/>
              </w:rPr>
            </w:pPr>
          </w:p>
        </w:tc>
      </w:tr>
      <w:tr>
        <w:trPr>
          <w:trHeight w:val="264"/>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24.1*</w:t>
            </w:r>
          </w:p>
        </w:tc>
        <w:tc>
          <w:tcPr>
            <w:tcW w:w="3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42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rPr>
              <w:t>Power of Attorney (included on the signature page hereto).</w:t>
            </w:r>
          </w:p>
        </w:tc>
        <w:tc>
          <w:tcPr>
            <w:tcW w:w="5420" w:type="dxa"/>
            <w:vAlign w:val="bottom"/>
            <w:gridSpan w:val="16"/>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0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99.1</w:t>
            </w: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3060" w:type="dxa"/>
            <w:vAlign w:val="bottom"/>
            <w:gridSpan w:val="2"/>
            <w:shd w:val="clear" w:color="auto" w:fill="0000FF"/>
          </w:tcPr>
          <w:p>
            <w:pPr>
              <w:spacing w:after="0" w:line="20" w:lineRule="exact"/>
              <w:rPr>
                <w:sz w:val="1"/>
                <w:szCs w:val="1"/>
                <w:color w:val="auto"/>
              </w:rPr>
            </w:pPr>
          </w:p>
        </w:tc>
        <w:tc>
          <w:tcPr>
            <w:tcW w:w="126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60" w:type="dxa"/>
            <w:vAlign w:val="bottom"/>
            <w:gridSpan w:val="3"/>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02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40" w:type="dxa"/>
            <w:vAlign w:val="bottom"/>
            <w:gridSpan w:val="20"/>
          </w:tcPr>
          <w:p>
            <w:pPr>
              <w:spacing w:after="0"/>
              <w:rPr>
                <w:rFonts w:ascii="Times New Roman" w:cs="Times New Roman" w:eastAsia="Times New Roman" w:hAnsi="Times New Roman"/>
                <w:sz w:val="18"/>
                <w:szCs w:val="18"/>
                <w:color w:val="0000FF"/>
              </w:rPr>
            </w:pPr>
            <w:hyperlink r:id="rId19">
              <w:r>
                <w:rPr>
                  <w:rFonts w:ascii="Times New Roman" w:cs="Times New Roman" w:eastAsia="Times New Roman" w:hAnsi="Times New Roman"/>
                  <w:sz w:val="18"/>
                  <w:szCs w:val="18"/>
                  <w:color w:val="0000FF"/>
                </w:rPr>
                <w:t>Expensify, Inc. 2021 Incentive Award Plan (incorporated by reference to Exhibit 10.18 to the Company’s Registration Statement on</w:t>
              </w:r>
            </w:hyperlink>
          </w:p>
        </w:tc>
        <w:tc>
          <w:tcPr>
            <w:tcW w:w="0" w:type="dxa"/>
            <w:vAlign w:val="bottom"/>
          </w:tcPr>
          <w:p>
            <w:pPr>
              <w:spacing w:after="0"/>
              <w:rPr>
                <w:sz w:val="1"/>
                <w:szCs w:val="1"/>
                <w:color w:val="auto"/>
              </w:rPr>
            </w:pPr>
          </w:p>
        </w:tc>
      </w:tr>
      <w:tr>
        <w:trPr>
          <w:trHeight w:val="183"/>
        </w:trPr>
        <w:tc>
          <w:tcPr>
            <w:tcW w:w="10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480" w:type="dxa"/>
            <w:vAlign w:val="bottom"/>
            <w:tcBorders>
              <w:top w:val="single" w:sz="8" w:color="0000FF"/>
            </w:tcBorders>
            <w:gridSpan w:val="13"/>
          </w:tcPr>
          <w:p>
            <w:pPr>
              <w:spacing w:after="0" w:line="182" w:lineRule="exact"/>
              <w:rPr>
                <w:rFonts w:ascii="Times New Roman" w:cs="Times New Roman" w:eastAsia="Times New Roman" w:hAnsi="Times New Roman"/>
                <w:sz w:val="18"/>
                <w:szCs w:val="18"/>
                <w:color w:val="0000FF"/>
              </w:rPr>
            </w:pPr>
            <w:hyperlink r:id="rId19">
              <w:r>
                <w:rPr>
                  <w:rFonts w:ascii="Times New Roman" w:cs="Times New Roman" w:eastAsia="Times New Roman" w:hAnsi="Times New Roman"/>
                  <w:sz w:val="18"/>
                  <w:szCs w:val="18"/>
                  <w:color w:val="0000FF"/>
                </w:rPr>
                <w:t>Form S-1 (File No. 333-260297), filed on November 1, 2021 with the SEC).</w:t>
              </w:r>
            </w:hyperlink>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gridSpan w:val="4"/>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4320" w:type="dxa"/>
            <w:vAlign w:val="bottom"/>
            <w:gridSpan w:val="6"/>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60" w:type="dxa"/>
            <w:vAlign w:val="bottom"/>
            <w:gridSpan w:val="3"/>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99.2</w:t>
            </w: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40" w:type="dxa"/>
            <w:vAlign w:val="bottom"/>
            <w:gridSpan w:val="20"/>
          </w:tcPr>
          <w:p>
            <w:pPr>
              <w:spacing w:after="0"/>
              <w:rPr>
                <w:rFonts w:ascii="Times New Roman" w:cs="Times New Roman" w:eastAsia="Times New Roman" w:hAnsi="Times New Roman"/>
                <w:sz w:val="18"/>
                <w:szCs w:val="18"/>
                <w:color w:val="0000FF"/>
              </w:rPr>
            </w:pPr>
            <w:hyperlink r:id="rId20">
              <w:r>
                <w:rPr>
                  <w:rFonts w:ascii="Times New Roman" w:cs="Times New Roman" w:eastAsia="Times New Roman" w:hAnsi="Times New Roman"/>
                  <w:sz w:val="18"/>
                  <w:szCs w:val="18"/>
                  <w:color w:val="0000FF"/>
                </w:rPr>
                <w:t>Expensify, Inc. 2021 Incentive Award Plan – Form of RSU Agreement (incorporated by reference to Exhibit 10.20 to the Company’s</w:t>
              </w:r>
            </w:hyperlink>
          </w:p>
        </w:tc>
        <w:tc>
          <w:tcPr>
            <w:tcW w:w="0" w:type="dxa"/>
            <w:vAlign w:val="bottom"/>
          </w:tcPr>
          <w:p>
            <w:pPr>
              <w:spacing w:after="0"/>
              <w:rPr>
                <w:sz w:val="1"/>
                <w:szCs w:val="1"/>
                <w:color w:val="auto"/>
              </w:rPr>
            </w:pPr>
          </w:p>
        </w:tc>
      </w:tr>
      <w:tr>
        <w:trPr>
          <w:trHeight w:val="156"/>
        </w:trPr>
        <w:tc>
          <w:tcPr>
            <w:tcW w:w="10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20" w:type="dxa"/>
            <w:vAlign w:val="bottom"/>
            <w:tcBorders>
              <w:top w:val="single" w:sz="8" w:color="0000FF"/>
              <w:bottom w:val="single" w:sz="8" w:color="0000FF"/>
            </w:tcBorders>
            <w:gridSpan w:val="11"/>
          </w:tcPr>
          <w:p>
            <w:pPr>
              <w:spacing w:after="0" w:line="156" w:lineRule="exact"/>
              <w:rPr>
                <w:rFonts w:ascii="Times New Roman" w:cs="Times New Roman" w:eastAsia="Times New Roman" w:hAnsi="Times New Roman"/>
                <w:sz w:val="18"/>
                <w:szCs w:val="18"/>
                <w:color w:val="0000FF"/>
                <w:w w:val="99"/>
              </w:rPr>
            </w:pPr>
            <w:hyperlink r:id="rId20">
              <w:r>
                <w:rPr>
                  <w:rFonts w:ascii="Times New Roman" w:cs="Times New Roman" w:eastAsia="Times New Roman" w:hAnsi="Times New Roman"/>
                  <w:sz w:val="18"/>
                  <w:szCs w:val="18"/>
                  <w:color w:val="0000FF"/>
                  <w:w w:val="99"/>
                </w:rPr>
                <w:t>Registration Statement on Form S-1 (File No. 333-260297), filed on November 1, 2021 with the SEC).</w:t>
              </w:r>
            </w:hyperlink>
          </w:p>
        </w:tc>
        <w:tc>
          <w:tcPr>
            <w:tcW w:w="2140" w:type="dxa"/>
            <w:vAlign w:val="bottom"/>
            <w:tcBorders>
              <w:top w:val="single" w:sz="8" w:color="0000FF"/>
            </w:tcBorders>
            <w:gridSpan w:val="3"/>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99.3</w:t>
            </w: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40" w:type="dxa"/>
            <w:vAlign w:val="bottom"/>
            <w:gridSpan w:val="20"/>
          </w:tcPr>
          <w:p>
            <w:pPr>
              <w:spacing w:after="0"/>
              <w:rPr>
                <w:rFonts w:ascii="Times New Roman" w:cs="Times New Roman" w:eastAsia="Times New Roman" w:hAnsi="Times New Roman"/>
                <w:sz w:val="18"/>
                <w:szCs w:val="18"/>
                <w:color w:val="0000FF"/>
              </w:rPr>
            </w:pPr>
            <w:hyperlink r:id="rId21">
              <w:r>
                <w:rPr>
                  <w:rFonts w:ascii="Times New Roman" w:cs="Times New Roman" w:eastAsia="Times New Roman" w:hAnsi="Times New Roman"/>
                  <w:sz w:val="18"/>
                  <w:szCs w:val="18"/>
                  <w:color w:val="0000FF"/>
                </w:rPr>
                <w:t>Expensify, Inc. 2021 Incentive Award Plan – Form of Option Agreement (incorporated by reference to Exhibit 10.21 to the Company’s</w:t>
              </w:r>
            </w:hyperlink>
          </w:p>
        </w:tc>
        <w:tc>
          <w:tcPr>
            <w:tcW w:w="0" w:type="dxa"/>
            <w:vAlign w:val="bottom"/>
          </w:tcPr>
          <w:p>
            <w:pPr>
              <w:spacing w:after="0"/>
              <w:rPr>
                <w:sz w:val="1"/>
                <w:szCs w:val="1"/>
                <w:color w:val="auto"/>
              </w:rPr>
            </w:pPr>
          </w:p>
        </w:tc>
      </w:tr>
      <w:tr>
        <w:trPr>
          <w:trHeight w:val="156"/>
        </w:trPr>
        <w:tc>
          <w:tcPr>
            <w:tcW w:w="10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20" w:type="dxa"/>
            <w:vAlign w:val="bottom"/>
            <w:tcBorders>
              <w:top w:val="single" w:sz="8" w:color="0000FF"/>
              <w:bottom w:val="single" w:sz="8" w:color="0000FF"/>
            </w:tcBorders>
            <w:gridSpan w:val="11"/>
          </w:tcPr>
          <w:p>
            <w:pPr>
              <w:spacing w:after="0" w:line="156" w:lineRule="exact"/>
              <w:rPr>
                <w:rFonts w:ascii="Times New Roman" w:cs="Times New Roman" w:eastAsia="Times New Roman" w:hAnsi="Times New Roman"/>
                <w:sz w:val="18"/>
                <w:szCs w:val="18"/>
                <w:color w:val="0000FF"/>
                <w:w w:val="99"/>
              </w:rPr>
            </w:pPr>
            <w:hyperlink r:id="rId21">
              <w:r>
                <w:rPr>
                  <w:rFonts w:ascii="Times New Roman" w:cs="Times New Roman" w:eastAsia="Times New Roman" w:hAnsi="Times New Roman"/>
                  <w:sz w:val="18"/>
                  <w:szCs w:val="18"/>
                  <w:color w:val="0000FF"/>
                  <w:w w:val="99"/>
                </w:rPr>
                <w:t>Registration Statement on Form S-1 (File No. 333-260297), filed on November 1, 2021 with the SEC).</w:t>
              </w:r>
            </w:hyperlink>
          </w:p>
        </w:tc>
        <w:tc>
          <w:tcPr>
            <w:tcW w:w="2300" w:type="dxa"/>
            <w:vAlign w:val="bottom"/>
            <w:tcBorders>
              <w:top w:val="single" w:sz="8" w:color="0000FF"/>
            </w:tcBorders>
            <w:gridSpan w:val="5"/>
          </w:tcPr>
          <w:p>
            <w:pPr>
              <w:spacing w:after="0"/>
              <w:rPr>
                <w:sz w:val="13"/>
                <w:szCs w:val="13"/>
                <w:color w:val="auto"/>
              </w:rPr>
            </w:pPr>
          </w:p>
        </w:tc>
        <w:tc>
          <w:tcPr>
            <w:tcW w:w="12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290"/>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99.4</w:t>
            </w: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40" w:type="dxa"/>
            <w:vAlign w:val="bottom"/>
            <w:gridSpan w:val="20"/>
          </w:tcPr>
          <w:p>
            <w:pPr>
              <w:spacing w:after="0"/>
              <w:rPr>
                <w:rFonts w:ascii="Times New Roman" w:cs="Times New Roman" w:eastAsia="Times New Roman" w:hAnsi="Times New Roman"/>
                <w:sz w:val="18"/>
                <w:szCs w:val="18"/>
                <w:color w:val="0000FF"/>
              </w:rPr>
            </w:pPr>
            <w:hyperlink r:id="rId22">
              <w:r>
                <w:rPr>
                  <w:rFonts w:ascii="Times New Roman" w:cs="Times New Roman" w:eastAsia="Times New Roman" w:hAnsi="Times New Roman"/>
                  <w:sz w:val="18"/>
                  <w:szCs w:val="18"/>
                  <w:color w:val="0000FF"/>
                </w:rPr>
                <w:t>Expensify, Inc. 2021 Stock Purchase and Matching Plan (incorporated by reference to Exhibit 10.19 to the Company’s Annual Report</w:t>
              </w:r>
            </w:hyperlink>
          </w:p>
        </w:tc>
        <w:tc>
          <w:tcPr>
            <w:tcW w:w="0" w:type="dxa"/>
            <w:vAlign w:val="bottom"/>
          </w:tcPr>
          <w:p>
            <w:pPr>
              <w:spacing w:after="0"/>
              <w:rPr>
                <w:sz w:val="1"/>
                <w:szCs w:val="1"/>
                <w:color w:val="auto"/>
              </w:rPr>
            </w:pPr>
          </w:p>
        </w:tc>
      </w:tr>
      <w:tr>
        <w:trPr>
          <w:trHeight w:val="183"/>
        </w:trPr>
        <w:tc>
          <w:tcPr>
            <w:tcW w:w="10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560" w:type="dxa"/>
            <w:vAlign w:val="bottom"/>
            <w:tcBorders>
              <w:top w:val="single" w:sz="8" w:color="0000FF"/>
              <w:bottom w:val="single" w:sz="8" w:color="0000FF"/>
            </w:tcBorders>
            <w:gridSpan w:val="8"/>
          </w:tcPr>
          <w:p>
            <w:pPr>
              <w:spacing w:after="0" w:line="182" w:lineRule="exact"/>
              <w:rPr>
                <w:rFonts w:ascii="Times New Roman" w:cs="Times New Roman" w:eastAsia="Times New Roman" w:hAnsi="Times New Roman"/>
                <w:sz w:val="18"/>
                <w:szCs w:val="18"/>
                <w:color w:val="0000FF"/>
                <w:w w:val="99"/>
              </w:rPr>
            </w:pPr>
            <w:hyperlink r:id="rId22">
              <w:r>
                <w:rPr>
                  <w:rFonts w:ascii="Times New Roman" w:cs="Times New Roman" w:eastAsia="Times New Roman" w:hAnsi="Times New Roman"/>
                  <w:sz w:val="18"/>
                  <w:szCs w:val="18"/>
                  <w:color w:val="0000FF"/>
                  <w:w w:val="99"/>
                </w:rPr>
                <w:t>on Form 10-K (File No. 001-41043), filed on March 31, 2022 with the SEC).</w:t>
              </w:r>
            </w:hyperlink>
          </w:p>
        </w:tc>
        <w:tc>
          <w:tcPr>
            <w:tcW w:w="4060" w:type="dxa"/>
            <w:vAlign w:val="bottom"/>
            <w:tcBorders>
              <w:top w:val="single" w:sz="8" w:color="0000FF"/>
            </w:tcBorders>
            <w:gridSpan w:val="7"/>
          </w:tcPr>
          <w:p>
            <w:pPr>
              <w:spacing w:after="0"/>
              <w:rPr>
                <w:sz w:val="15"/>
                <w:szCs w:val="15"/>
                <w:color w:val="auto"/>
              </w:rPr>
            </w:pPr>
          </w:p>
        </w:tc>
        <w:tc>
          <w:tcPr>
            <w:tcW w:w="220" w:type="dxa"/>
            <w:vAlign w:val="bottom"/>
            <w:gridSpan w:val="5"/>
          </w:tcPr>
          <w:p>
            <w:pPr>
              <w:spacing w:after="0"/>
              <w:rPr>
                <w:sz w:val="15"/>
                <w:szCs w:val="15"/>
                <w:color w:val="auto"/>
              </w:rPr>
            </w:pPr>
          </w:p>
        </w:tc>
        <w:tc>
          <w:tcPr>
            <w:tcW w:w="0" w:type="dxa"/>
            <w:vAlign w:val="bottom"/>
          </w:tcPr>
          <w:p>
            <w:pPr>
              <w:spacing w:after="0"/>
              <w:rPr>
                <w:sz w:val="1"/>
                <w:szCs w:val="1"/>
                <w:color w:val="auto"/>
              </w:rPr>
            </w:pPr>
          </w:p>
        </w:tc>
      </w:tr>
      <w:tr>
        <w:trPr>
          <w:trHeight w:val="304"/>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99.5</w:t>
            </w: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40" w:type="dxa"/>
            <w:vAlign w:val="bottom"/>
            <w:gridSpan w:val="20"/>
          </w:tcPr>
          <w:p>
            <w:pPr>
              <w:spacing w:after="0"/>
              <w:rPr>
                <w:rFonts w:ascii="Times New Roman" w:cs="Times New Roman" w:eastAsia="Times New Roman" w:hAnsi="Times New Roman"/>
                <w:sz w:val="18"/>
                <w:szCs w:val="18"/>
                <w:color w:val="0000FF"/>
              </w:rPr>
            </w:pPr>
            <w:hyperlink r:id="rId23">
              <w:r>
                <w:rPr>
                  <w:rFonts w:ascii="Times New Roman" w:cs="Times New Roman" w:eastAsia="Times New Roman" w:hAnsi="Times New Roman"/>
                  <w:sz w:val="18"/>
                  <w:szCs w:val="18"/>
                  <w:color w:val="0000FF"/>
                </w:rPr>
                <w:t>Expensify, Inc. Non-Employee Director Compensation Program (incorporated by reference to Exhibit 10.22 to the Company’s</w:t>
              </w:r>
            </w:hyperlink>
          </w:p>
        </w:tc>
        <w:tc>
          <w:tcPr>
            <w:tcW w:w="0" w:type="dxa"/>
            <w:vAlign w:val="bottom"/>
          </w:tcPr>
          <w:p>
            <w:pPr>
              <w:spacing w:after="0"/>
              <w:rPr>
                <w:sz w:val="1"/>
                <w:szCs w:val="1"/>
                <w:color w:val="auto"/>
              </w:rPr>
            </w:pPr>
          </w:p>
        </w:tc>
      </w:tr>
      <w:tr>
        <w:trPr>
          <w:trHeight w:val="183"/>
        </w:trPr>
        <w:tc>
          <w:tcPr>
            <w:tcW w:w="10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20" w:type="dxa"/>
            <w:vAlign w:val="bottom"/>
            <w:tcBorders>
              <w:top w:val="single" w:sz="8" w:color="0000FF"/>
              <w:bottom w:val="single" w:sz="8" w:color="0000FF"/>
            </w:tcBorders>
            <w:gridSpan w:val="11"/>
          </w:tcPr>
          <w:p>
            <w:pPr>
              <w:spacing w:after="0" w:line="182" w:lineRule="exact"/>
              <w:rPr>
                <w:rFonts w:ascii="Times New Roman" w:cs="Times New Roman" w:eastAsia="Times New Roman" w:hAnsi="Times New Roman"/>
                <w:sz w:val="18"/>
                <w:szCs w:val="18"/>
                <w:color w:val="0000FF"/>
                <w:w w:val="99"/>
              </w:rPr>
            </w:pPr>
            <w:hyperlink r:id="rId23">
              <w:r>
                <w:rPr>
                  <w:rFonts w:ascii="Times New Roman" w:cs="Times New Roman" w:eastAsia="Times New Roman" w:hAnsi="Times New Roman"/>
                  <w:sz w:val="18"/>
                  <w:szCs w:val="18"/>
                  <w:color w:val="0000FF"/>
                  <w:w w:val="99"/>
                </w:rPr>
                <w:t>Registration Statement on Form S-1 (File No. 333-260297), filed on November 1, 2021 with the SEC).</w:t>
              </w:r>
            </w:hyperlink>
          </w:p>
        </w:tc>
        <w:tc>
          <w:tcPr>
            <w:tcW w:w="1680" w:type="dxa"/>
            <w:vAlign w:val="bottom"/>
            <w:tcBorders>
              <w:top w:val="single" w:sz="8" w:color="0000FF"/>
            </w:tcBorders>
          </w:tcPr>
          <w:p>
            <w:pPr>
              <w:spacing w:after="0"/>
              <w:rPr>
                <w:sz w:val="15"/>
                <w:szCs w:val="15"/>
                <w:color w:val="auto"/>
              </w:rPr>
            </w:pPr>
          </w:p>
        </w:tc>
        <w:tc>
          <w:tcPr>
            <w:tcW w:w="740" w:type="dxa"/>
            <w:vAlign w:val="bottom"/>
            <w:gridSpan w:val="8"/>
          </w:tcPr>
          <w:p>
            <w:pPr>
              <w:spacing w:after="0"/>
              <w:rPr>
                <w:sz w:val="15"/>
                <w:szCs w:val="15"/>
                <w:color w:val="auto"/>
              </w:rPr>
            </w:pPr>
          </w:p>
        </w:tc>
        <w:tc>
          <w:tcPr>
            <w:tcW w:w="0" w:type="dxa"/>
            <w:vAlign w:val="bottom"/>
          </w:tcPr>
          <w:p>
            <w:pPr>
              <w:spacing w:after="0"/>
              <w:rPr>
                <w:sz w:val="1"/>
                <w:szCs w:val="1"/>
                <w:color w:val="auto"/>
              </w:rPr>
            </w:pPr>
          </w:p>
        </w:tc>
      </w:tr>
      <w:tr>
        <w:trPr>
          <w:trHeight w:val="304"/>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107.1*</w:t>
            </w: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7"/>
              </w:rPr>
              <w:t>Filing Fee Table</w:t>
            </w:r>
          </w:p>
        </w:tc>
        <w:tc>
          <w:tcPr>
            <w:tcW w:w="8660" w:type="dxa"/>
            <w:vAlign w:val="bottom"/>
            <w:gridSpan w:val="19"/>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ind w:left="360" w:hanging="352"/>
        <w:spacing w:after="0"/>
        <w:tabs>
          <w:tab w:leader="none" w:pos="3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ectPr>
          <w:pgSz w:w="11900" w:h="16838" w:orient="portrait"/>
          <w:cols w:equalWidth="0" w:num="1">
            <w:col w:w="11240"/>
          </w:cols>
          <w:pgMar w:left="320" w:top="1413" w:right="339" w:bottom="1440" w:gutter="0" w:footer="0" w:header="0"/>
        </w:sectPr>
      </w:pPr>
    </w:p>
    <w:bookmarkStart w:id="3" w:name="page4"/>
    <w:bookmarkEnd w:id="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16" w:lineRule="exact"/>
        <w:rPr>
          <w:sz w:val="20"/>
          <w:szCs w:val="20"/>
          <w:color w:val="auto"/>
        </w:rPr>
      </w:pPr>
    </w:p>
    <w:p>
      <w:pPr>
        <w:jc w:val="both"/>
        <w:ind w:right="720"/>
        <w:spacing w:after="0" w:line="258"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Portland, State of Oregon, on March 8, 2023.</w:t>
      </w:r>
    </w:p>
    <w:p>
      <w:pPr>
        <w:spacing w:after="0" w:line="206"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8"/>
          <w:szCs w:val="18"/>
          <w:b w:val="1"/>
          <w:bCs w:val="1"/>
          <w:color w:val="auto"/>
        </w:rPr>
        <w:t>EXPENSIFY, INC.</w:t>
      </w:r>
    </w:p>
    <w:p>
      <w:pPr>
        <w:spacing w:after="0" w:line="243"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By /s/ David Barrett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3382645</wp:posOffset>
            </wp:positionH>
            <wp:positionV relativeFrom="paragraph">
              <wp:posOffset>17145</wp:posOffset>
            </wp:positionV>
            <wp:extent cx="140589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5">
                      <a:extLst>
                        <a:ext uri="{28A0092B-C50C-407E-A947-70E740481C1C}"/>
                      </a:extLst>
                    </a:blip>
                    <a:srcRect/>
                    <a:stretch>
                      <a:fillRect/>
                    </a:stretch>
                  </pic:blipFill>
                  <pic:spPr bwMode="auto">
                    <a:xfrm>
                      <a:off x="0" y="0"/>
                      <a:ext cx="1405890" cy="8255"/>
                    </a:xfrm>
                    <a:prstGeom prst="rect">
                      <a:avLst/>
                    </a:prstGeom>
                    <a:noFill/>
                  </pic:spPr>
                </pic:pic>
              </a:graphicData>
            </a:graphic>
          </wp:anchor>
        </w:drawing>
      </w:r>
    </w:p>
    <w:p>
      <w:pPr>
        <w:spacing w:after="0" w:line="16"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David Barrett</w:t>
      </w:r>
    </w:p>
    <w:p>
      <w:pPr>
        <w:spacing w:after="0" w:line="27"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3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39"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8"/>
          <w:szCs w:val="18"/>
          <w:b w:val="1"/>
          <w:bCs w:val="1"/>
          <w:color w:val="auto"/>
        </w:rPr>
        <w:t>KNOW ALL PERSONS BY THESE PRESENTS</w:t>
      </w:r>
      <w:r>
        <w:rPr>
          <w:rFonts w:ascii="Times New Roman" w:cs="Times New Roman" w:eastAsia="Times New Roman" w:hAnsi="Times New Roman"/>
          <w:sz w:val="18"/>
          <w:szCs w:val="18"/>
          <w:color w:val="auto"/>
        </w:rPr>
        <w:t>, that each person whose signature appears below constitutes and appoints David Barrett and Ryan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Schaffer, and each of them, as his or her true and lawful attorneys-in-fact and agents, each with the full power of substitution and resubstitution, for him or her and in their name, place or stead, in any and all capacities, to sign any and all amendments to this Registration Statement (including post-effective amendments), and to sign any registration statement for the same offering covered by this Registration Statement that is to be effective upon filing pursuant to Rule 462(b) promulgated under the Securities Act, and all post-effective amendments thereto,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any of them, or his, her or their substitute or substitutes, may lawfully do or cause to be done by virtue hereof.</w:t>
      </w:r>
    </w:p>
    <w:p>
      <w:pPr>
        <w:spacing w:after="0" w:line="181"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and on the dates indicated.</w:t>
      </w:r>
    </w:p>
    <w:p>
      <w:pPr>
        <w:sectPr>
          <w:pgSz w:w="11900" w:h="16838" w:orient="portrait"/>
          <w:cols w:equalWidth="0" w:num="1">
            <w:col w:w="11200"/>
          </w:cols>
          <w:pgMar w:left="320" w:top="1413" w:right="379" w:bottom="1440" w:gutter="0" w:footer="0" w:header="0"/>
        </w:sectPr>
      </w:pPr>
    </w:p>
    <w:bookmarkStart w:id="4" w:name="page5"/>
    <w:bookmarkEnd w:id="4"/>
    <w:p>
      <w:pPr>
        <w:spacing w:after="0" w:line="12"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-476885</wp:posOffset>
            </wp:positionH>
            <wp:positionV relativeFrom="paragraph">
              <wp:posOffset>33655</wp:posOffset>
            </wp:positionV>
            <wp:extent cx="21945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6">
                      <a:extLst>
                        <a:ext uri="{28A0092B-C50C-407E-A947-70E740481C1C}"/>
                      </a:extLst>
                    </a:blip>
                    <a:srcRect/>
                    <a:stretch>
                      <a:fillRect/>
                    </a:stretch>
                  </pic:blipFill>
                  <pic:spPr bwMode="auto">
                    <a:xfrm>
                      <a:off x="0" y="0"/>
                      <a:ext cx="2194560" cy="8255"/>
                    </a:xfrm>
                    <a:prstGeom prst="rect">
                      <a:avLst/>
                    </a:prstGeom>
                    <a:noFill/>
                  </pic:spPr>
                </pic:pic>
              </a:graphicData>
            </a:graphic>
          </wp:anchor>
        </w:drawing>
      </w:r>
    </w:p>
    <w:p>
      <w:pPr>
        <w:spacing w:after="0" w:line="298"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8"/>
          <w:szCs w:val="18"/>
          <w:color w:val="auto"/>
        </w:rPr>
        <w:t>/s/ David Barrett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-476885</wp:posOffset>
            </wp:positionH>
            <wp:positionV relativeFrom="paragraph">
              <wp:posOffset>17145</wp:posOffset>
            </wp:positionV>
            <wp:extent cx="21945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7">
                      <a:extLst>
                        <a:ext uri="{28A0092B-C50C-407E-A947-70E740481C1C}"/>
                      </a:extLst>
                    </a:blip>
                    <a:srcRect/>
                    <a:stretch>
                      <a:fillRect/>
                    </a:stretch>
                  </pic:blipFill>
                  <pic:spPr bwMode="auto">
                    <a:xfrm>
                      <a:off x="0" y="0"/>
                      <a:ext cx="2194560" cy="8255"/>
                    </a:xfrm>
                    <a:prstGeom prst="rect">
                      <a:avLst/>
                    </a:prstGeom>
                    <a:noFill/>
                  </pic:spPr>
                </pic:pic>
              </a:graphicData>
            </a:graphic>
          </wp:anchor>
        </w:drawing>
      </w:r>
    </w:p>
    <w:p>
      <w:pPr>
        <w:spacing w:after="0" w:line="16"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8"/>
          <w:szCs w:val="18"/>
          <w:color w:val="auto"/>
        </w:rPr>
        <w:t>David Barrett</w:t>
      </w:r>
    </w:p>
    <w:p>
      <w:pPr>
        <w:spacing w:after="0" w:line="252"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8"/>
          <w:szCs w:val="18"/>
          <w:color w:val="auto"/>
        </w:rPr>
        <w:t>/s/ Ryan Schaffer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-476885</wp:posOffset>
            </wp:positionH>
            <wp:positionV relativeFrom="paragraph">
              <wp:posOffset>17145</wp:posOffset>
            </wp:positionV>
            <wp:extent cx="21945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8">
                      <a:extLst>
                        <a:ext uri="{28A0092B-C50C-407E-A947-70E740481C1C}"/>
                      </a:extLst>
                    </a:blip>
                    <a:srcRect/>
                    <a:stretch>
                      <a:fillRect/>
                    </a:stretch>
                  </pic:blipFill>
                  <pic:spPr bwMode="auto">
                    <a:xfrm>
                      <a:off x="0" y="0"/>
                      <a:ext cx="2194560" cy="8255"/>
                    </a:xfrm>
                    <a:prstGeom prst="rect">
                      <a:avLst/>
                    </a:prstGeom>
                    <a:noFill/>
                  </pic:spPr>
                </pic:pic>
              </a:graphicData>
            </a:graphic>
          </wp:anchor>
        </w:drawing>
      </w:r>
    </w:p>
    <w:p>
      <w:pPr>
        <w:spacing w:after="0" w:line="16"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8"/>
          <w:szCs w:val="18"/>
          <w:color w:val="auto"/>
        </w:rPr>
        <w:t>Ryan Schaffer</w:t>
      </w:r>
    </w:p>
    <w:p>
      <w:pPr>
        <w:spacing w:after="0" w:line="239"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8"/>
          <w:szCs w:val="18"/>
          <w:color w:val="auto"/>
        </w:rPr>
        <w:t>/s/ Anuradha Muralidharan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-476885</wp:posOffset>
            </wp:positionH>
            <wp:positionV relativeFrom="paragraph">
              <wp:posOffset>17145</wp:posOffset>
            </wp:positionV>
            <wp:extent cx="219456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9">
                      <a:extLst>
                        <a:ext uri="{28A0092B-C50C-407E-A947-70E740481C1C}"/>
                      </a:extLst>
                    </a:blip>
                    <a:srcRect/>
                    <a:stretch>
                      <a:fillRect/>
                    </a:stretch>
                  </pic:blipFill>
                  <pic:spPr bwMode="auto">
                    <a:xfrm>
                      <a:off x="0" y="0"/>
                      <a:ext cx="2194560" cy="8255"/>
                    </a:xfrm>
                    <a:prstGeom prst="rect">
                      <a:avLst/>
                    </a:prstGeom>
                    <a:noFill/>
                  </pic:spPr>
                </pic:pic>
              </a:graphicData>
            </a:graphic>
          </wp:anchor>
        </w:drawing>
      </w:r>
    </w:p>
    <w:p>
      <w:pPr>
        <w:spacing w:after="0" w:line="16"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8"/>
          <w:szCs w:val="18"/>
          <w:color w:val="auto"/>
        </w:rPr>
        <w:t>Anuradha Muralidharan</w:t>
      </w:r>
    </w:p>
    <w:p>
      <w:pPr>
        <w:spacing w:after="0" w:line="171"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8"/>
          <w:szCs w:val="18"/>
          <w:color w:val="auto"/>
        </w:rPr>
        <w:t>/s/ Daniel Vidal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-476885</wp:posOffset>
            </wp:positionH>
            <wp:positionV relativeFrom="paragraph">
              <wp:posOffset>17145</wp:posOffset>
            </wp:positionV>
            <wp:extent cx="219456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0">
                      <a:extLst>
                        <a:ext uri="{28A0092B-C50C-407E-A947-70E740481C1C}"/>
                      </a:extLst>
                    </a:blip>
                    <a:srcRect/>
                    <a:stretch>
                      <a:fillRect/>
                    </a:stretch>
                  </pic:blipFill>
                  <pic:spPr bwMode="auto">
                    <a:xfrm>
                      <a:off x="0" y="0"/>
                      <a:ext cx="2194560" cy="8255"/>
                    </a:xfrm>
                    <a:prstGeom prst="rect">
                      <a:avLst/>
                    </a:prstGeom>
                    <a:noFill/>
                  </pic:spPr>
                </pic:pic>
              </a:graphicData>
            </a:graphic>
          </wp:anchor>
        </w:drawing>
      </w:r>
    </w:p>
    <w:p>
      <w:pPr>
        <w:spacing w:after="0" w:line="16"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8"/>
          <w:szCs w:val="18"/>
          <w:color w:val="auto"/>
        </w:rPr>
        <w:t>Daniel Vidal</w:t>
      </w:r>
    </w:p>
    <w:p>
      <w:pPr>
        <w:spacing w:after="0" w:line="198"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8"/>
          <w:szCs w:val="18"/>
          <w:color w:val="auto"/>
        </w:rPr>
        <w:t>/s/ Jason Mills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-476885</wp:posOffset>
            </wp:positionH>
            <wp:positionV relativeFrom="paragraph">
              <wp:posOffset>17145</wp:posOffset>
            </wp:positionV>
            <wp:extent cx="219456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1">
                      <a:extLst>
                        <a:ext uri="{28A0092B-C50C-407E-A947-70E740481C1C}"/>
                      </a:extLst>
                    </a:blip>
                    <a:srcRect/>
                    <a:stretch>
                      <a:fillRect/>
                    </a:stretch>
                  </pic:blipFill>
                  <pic:spPr bwMode="auto">
                    <a:xfrm>
                      <a:off x="0" y="0"/>
                      <a:ext cx="2194560" cy="8890"/>
                    </a:xfrm>
                    <a:prstGeom prst="rect">
                      <a:avLst/>
                    </a:prstGeom>
                    <a:noFill/>
                  </pic:spPr>
                </pic:pic>
              </a:graphicData>
            </a:graphic>
          </wp:anchor>
        </w:drawing>
      </w:r>
    </w:p>
    <w:p>
      <w:pPr>
        <w:spacing w:after="0" w:line="16"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8"/>
          <w:szCs w:val="18"/>
          <w:color w:val="auto"/>
        </w:rPr>
        <w:t>Jason Mills</w:t>
      </w:r>
    </w:p>
    <w:p>
      <w:pPr>
        <w:spacing w:after="0" w:line="212"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8"/>
          <w:szCs w:val="18"/>
          <w:color w:val="auto"/>
        </w:rPr>
        <w:t>/s/ Tim Christen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-476885</wp:posOffset>
            </wp:positionH>
            <wp:positionV relativeFrom="paragraph">
              <wp:posOffset>17145</wp:posOffset>
            </wp:positionV>
            <wp:extent cx="219456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2">
                      <a:extLst>
                        <a:ext uri="{28A0092B-C50C-407E-A947-70E740481C1C}"/>
                      </a:extLst>
                    </a:blip>
                    <a:srcRect/>
                    <a:stretch>
                      <a:fillRect/>
                    </a:stretch>
                  </pic:blipFill>
                  <pic:spPr bwMode="auto">
                    <a:xfrm>
                      <a:off x="0" y="0"/>
                      <a:ext cx="2194560" cy="8255"/>
                    </a:xfrm>
                    <a:prstGeom prst="rect">
                      <a:avLst/>
                    </a:prstGeom>
                    <a:noFill/>
                  </pic:spPr>
                </pic:pic>
              </a:graphicData>
            </a:graphic>
          </wp:anchor>
        </w:drawing>
      </w:r>
    </w:p>
    <w:p>
      <w:pPr>
        <w:spacing w:after="0" w:line="16"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8"/>
          <w:szCs w:val="18"/>
          <w:color w:val="auto"/>
        </w:rPr>
        <w:t>Tim Christen</w:t>
      </w:r>
    </w:p>
    <w:p>
      <w:pPr>
        <w:spacing w:after="0" w:line="212"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8"/>
          <w:szCs w:val="18"/>
          <w:color w:val="auto"/>
        </w:rPr>
        <w:t>/s/ Ellen Pao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-476885</wp:posOffset>
            </wp:positionH>
            <wp:positionV relativeFrom="paragraph">
              <wp:posOffset>17145</wp:posOffset>
            </wp:positionV>
            <wp:extent cx="219456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3">
                      <a:extLst>
                        <a:ext uri="{28A0092B-C50C-407E-A947-70E740481C1C}"/>
                      </a:extLst>
                    </a:blip>
                    <a:srcRect/>
                    <a:stretch>
                      <a:fillRect/>
                    </a:stretch>
                  </pic:blipFill>
                  <pic:spPr bwMode="auto">
                    <a:xfrm>
                      <a:off x="0" y="0"/>
                      <a:ext cx="2194560" cy="8255"/>
                    </a:xfrm>
                    <a:prstGeom prst="rect">
                      <a:avLst/>
                    </a:prstGeom>
                    <a:noFill/>
                  </pic:spPr>
                </pic:pic>
              </a:graphicData>
            </a:graphic>
          </wp:anchor>
        </w:drawing>
      </w:r>
    </w:p>
    <w:p>
      <w:pPr>
        <w:spacing w:after="0" w:line="16"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8"/>
          <w:szCs w:val="18"/>
          <w:color w:val="auto"/>
        </w:rPr>
        <w:t>Ellen Pao</w:t>
      </w:r>
    </w:p>
    <w:p>
      <w:pPr>
        <w:spacing w:after="0" w:line="212"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8"/>
          <w:szCs w:val="18"/>
          <w:color w:val="auto"/>
        </w:rPr>
        <w:t>/s/ Ying (Vivian) Liu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-476885</wp:posOffset>
            </wp:positionH>
            <wp:positionV relativeFrom="paragraph">
              <wp:posOffset>17145</wp:posOffset>
            </wp:positionV>
            <wp:extent cx="219456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4">
                      <a:extLst>
                        <a:ext uri="{28A0092B-C50C-407E-A947-70E740481C1C}"/>
                      </a:extLst>
                    </a:blip>
                    <a:srcRect/>
                    <a:stretch>
                      <a:fillRect/>
                    </a:stretch>
                  </pic:blipFill>
                  <pic:spPr bwMode="auto">
                    <a:xfrm>
                      <a:off x="0" y="0"/>
                      <a:ext cx="2194560" cy="8890"/>
                    </a:xfrm>
                    <a:prstGeom prst="rect">
                      <a:avLst/>
                    </a:prstGeom>
                    <a:noFill/>
                  </pic:spPr>
                </pic:pic>
              </a:graphicData>
            </a:graphic>
          </wp:anchor>
        </w:drawing>
      </w:r>
    </w:p>
    <w:p>
      <w:pPr>
        <w:spacing w:after="0" w:line="16"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8"/>
          <w:szCs w:val="18"/>
          <w:color w:val="auto"/>
        </w:rPr>
        <w:t>Ying (Vivian) Liu</w:t>
      </w:r>
    </w:p>
    <w:p>
      <w:pPr>
        <w:spacing w:after="0" w:line="20" w:lineRule="exact"/>
        <w:rPr>
          <w:sz w:val="20"/>
          <w:szCs w:val="20"/>
          <w:color w:val="auto"/>
        </w:rPr>
      </w:pPr>
      <w:r>
        <w:rPr>
          <w:sz w:val="20"/>
          <w:szCs w:val="20"/>
          <w:color w:val="auto"/>
        </w:rPr>
        <w:br w:type="column"/>
      </w:r>
    </w:p>
    <w:p>
      <w:pPr>
        <w:ind w:left="2280"/>
        <w:spacing w:after="0"/>
        <w:tabs>
          <w:tab w:leader="none" w:pos="6140" w:val="left"/>
        </w:tabs>
        <w:rPr>
          <w:sz w:val="20"/>
          <w:szCs w:val="20"/>
          <w:color w:val="auto"/>
        </w:rPr>
      </w:pPr>
      <w:r>
        <w:rPr>
          <w:rFonts w:ascii="Times New Roman" w:cs="Times New Roman" w:eastAsia="Times New Roman" w:hAnsi="Times New Roman"/>
          <w:sz w:val="14"/>
          <w:szCs w:val="14"/>
          <w:b w:val="1"/>
          <w:bCs w:val="1"/>
          <w:color w:val="auto"/>
        </w:rPr>
        <w:t>Title</w:t>
      </w:r>
      <w:r>
        <w:rPr>
          <w:sz w:val="20"/>
          <w:szCs w:val="20"/>
          <w:color w:val="auto"/>
        </w:rPr>
        <w:tab/>
      </w:r>
      <w:r>
        <w:rPr>
          <w:rFonts w:ascii="Times New Roman" w:cs="Times New Roman" w:eastAsia="Times New Roman" w:hAnsi="Times New Roman"/>
          <w:sz w:val="14"/>
          <w:szCs w:val="14"/>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-76835</wp:posOffset>
            </wp:positionH>
            <wp:positionV relativeFrom="paragraph">
              <wp:posOffset>33655</wp:posOffset>
            </wp:positionV>
            <wp:extent cx="487743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5">
                      <a:extLst>
                        <a:ext uri="{28A0092B-C50C-407E-A947-70E740481C1C}"/>
                      </a:extLst>
                    </a:blip>
                    <a:srcRect/>
                    <a:stretch>
                      <a:fillRect/>
                    </a:stretch>
                  </pic:blipFill>
                  <pic:spPr bwMode="auto">
                    <a:xfrm>
                      <a:off x="0" y="0"/>
                      <a:ext cx="4877435" cy="8255"/>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0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9"/>
              </w:rPr>
              <w:t>Chief Executive Officer and Director (Principal Executive Officer)</w:t>
            </w:r>
          </w:p>
        </w:tc>
        <w:tc>
          <w:tcPr>
            <w:tcW w:w="1540" w:type="dxa"/>
            <w:vAlign w:val="bottom"/>
          </w:tcPr>
          <w:p>
            <w:pPr>
              <w:ind w:left="480"/>
              <w:spacing w:after="0"/>
              <w:rPr>
                <w:sz w:val="20"/>
                <w:szCs w:val="20"/>
                <w:color w:val="auto"/>
              </w:rPr>
            </w:pPr>
            <w:r>
              <w:rPr>
                <w:rFonts w:ascii="Times New Roman" w:cs="Times New Roman" w:eastAsia="Times New Roman" w:hAnsi="Times New Roman"/>
                <w:sz w:val="18"/>
                <w:szCs w:val="18"/>
                <w:color w:val="auto"/>
                <w:w w:val="98"/>
              </w:rPr>
              <w:t>March 8, 2023</w:t>
            </w:r>
          </w:p>
        </w:tc>
        <w:tc>
          <w:tcPr>
            <w:tcW w:w="0" w:type="dxa"/>
            <w:vAlign w:val="bottom"/>
          </w:tcPr>
          <w:p>
            <w:pPr>
              <w:spacing w:after="0"/>
              <w:rPr>
                <w:sz w:val="1"/>
                <w:szCs w:val="1"/>
                <w:color w:val="auto"/>
              </w:rPr>
            </w:pPr>
          </w:p>
        </w:tc>
      </w:tr>
      <w:tr>
        <w:trPr>
          <w:trHeight w:val="540"/>
        </w:trPr>
        <w:tc>
          <w:tcPr>
            <w:tcW w:w="5300" w:type="dxa"/>
            <w:vAlign w:val="bottom"/>
          </w:tcPr>
          <w:p>
            <w:pPr>
              <w:jc w:val="center"/>
              <w:ind w:right="370"/>
              <w:spacing w:after="0"/>
              <w:rPr>
                <w:sz w:val="20"/>
                <w:szCs w:val="20"/>
                <w:color w:val="auto"/>
              </w:rPr>
            </w:pPr>
            <w:r>
              <w:rPr>
                <w:rFonts w:ascii="Times New Roman" w:cs="Times New Roman" w:eastAsia="Times New Roman" w:hAnsi="Times New Roman"/>
                <w:sz w:val="18"/>
                <w:szCs w:val="18"/>
                <w:color w:val="auto"/>
                <w:w w:val="99"/>
              </w:rPr>
              <w:t>Chief Financial Officer and Director (Principal Financial and</w:t>
            </w:r>
          </w:p>
        </w:tc>
        <w:tc>
          <w:tcPr>
            <w:tcW w:w="1540" w:type="dxa"/>
            <w:vAlign w:val="bottom"/>
            <w:vMerge w:val="restart"/>
          </w:tcPr>
          <w:p>
            <w:pPr>
              <w:ind w:left="480"/>
              <w:spacing w:after="0"/>
              <w:rPr>
                <w:sz w:val="20"/>
                <w:szCs w:val="20"/>
                <w:color w:val="auto"/>
              </w:rPr>
            </w:pPr>
            <w:r>
              <w:rPr>
                <w:rFonts w:ascii="Times New Roman" w:cs="Times New Roman" w:eastAsia="Times New Roman" w:hAnsi="Times New Roman"/>
                <w:sz w:val="18"/>
                <w:szCs w:val="18"/>
                <w:color w:val="auto"/>
                <w:w w:val="98"/>
              </w:rPr>
              <w:t>March 8, 2023</w:t>
            </w:r>
          </w:p>
        </w:tc>
        <w:tc>
          <w:tcPr>
            <w:tcW w:w="0" w:type="dxa"/>
            <w:vAlign w:val="bottom"/>
          </w:tcPr>
          <w:p>
            <w:pPr>
              <w:spacing w:after="0"/>
              <w:rPr>
                <w:sz w:val="1"/>
                <w:szCs w:val="1"/>
                <w:color w:val="auto"/>
              </w:rPr>
            </w:pPr>
          </w:p>
        </w:tc>
      </w:tr>
      <w:tr>
        <w:trPr>
          <w:trHeight w:val="148"/>
        </w:trPr>
        <w:tc>
          <w:tcPr>
            <w:tcW w:w="5300" w:type="dxa"/>
            <w:vAlign w:val="bottom"/>
            <w:vMerge w:val="restart"/>
          </w:tcPr>
          <w:p>
            <w:pPr>
              <w:jc w:val="center"/>
              <w:ind w:right="390"/>
              <w:spacing w:after="0"/>
              <w:rPr>
                <w:sz w:val="20"/>
                <w:szCs w:val="20"/>
                <w:color w:val="auto"/>
              </w:rPr>
            </w:pPr>
            <w:r>
              <w:rPr>
                <w:rFonts w:ascii="Times New Roman" w:cs="Times New Roman" w:eastAsia="Times New Roman" w:hAnsi="Times New Roman"/>
                <w:sz w:val="18"/>
                <w:szCs w:val="18"/>
                <w:color w:val="auto"/>
                <w:w w:val="99"/>
              </w:rPr>
              <w:t>Accounting Officer)</w:t>
            </w:r>
          </w:p>
        </w:tc>
        <w:tc>
          <w:tcPr>
            <w:tcW w:w="15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6"/>
        </w:trPr>
        <w:tc>
          <w:tcPr>
            <w:tcW w:w="5300" w:type="dxa"/>
            <w:vAlign w:val="bottom"/>
            <w:vMerge w:val="continue"/>
          </w:tcPr>
          <w:p>
            <w:pPr>
              <w:spacing w:after="0"/>
              <w:rPr>
                <w:sz w:val="7"/>
                <w:szCs w:val="7"/>
                <w:color w:val="auto"/>
              </w:rPr>
            </w:pPr>
          </w:p>
        </w:tc>
        <w:tc>
          <w:tcPr>
            <w:tcW w:w="15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6"/>
        </w:trPr>
        <w:tc>
          <w:tcPr>
            <w:tcW w:w="5300" w:type="dxa"/>
            <w:vAlign w:val="bottom"/>
          </w:tcPr>
          <w:p>
            <w:pPr>
              <w:jc w:val="center"/>
              <w:ind w:right="370"/>
              <w:spacing w:after="0"/>
              <w:rPr>
                <w:sz w:val="20"/>
                <w:szCs w:val="20"/>
                <w:color w:val="auto"/>
              </w:rPr>
            </w:pPr>
            <w:r>
              <w:rPr>
                <w:rFonts w:ascii="Times New Roman" w:cs="Times New Roman" w:eastAsia="Times New Roman" w:hAnsi="Times New Roman"/>
                <w:sz w:val="18"/>
                <w:szCs w:val="18"/>
                <w:color w:val="auto"/>
                <w:w w:val="99"/>
              </w:rPr>
              <w:t>Director</w:t>
            </w:r>
          </w:p>
        </w:tc>
        <w:tc>
          <w:tcPr>
            <w:tcW w:w="1540" w:type="dxa"/>
            <w:vAlign w:val="bottom"/>
          </w:tcPr>
          <w:p>
            <w:pPr>
              <w:ind w:left="480"/>
              <w:spacing w:after="0"/>
              <w:rPr>
                <w:sz w:val="20"/>
                <w:szCs w:val="20"/>
                <w:color w:val="auto"/>
              </w:rPr>
            </w:pPr>
            <w:r>
              <w:rPr>
                <w:rFonts w:ascii="Times New Roman" w:cs="Times New Roman" w:eastAsia="Times New Roman" w:hAnsi="Times New Roman"/>
                <w:sz w:val="18"/>
                <w:szCs w:val="18"/>
                <w:color w:val="auto"/>
                <w:w w:val="98"/>
              </w:rPr>
              <w:t>March 8, 2023</w:t>
            </w:r>
          </w:p>
        </w:tc>
        <w:tc>
          <w:tcPr>
            <w:tcW w:w="0" w:type="dxa"/>
            <w:vAlign w:val="bottom"/>
          </w:tcPr>
          <w:p>
            <w:pPr>
              <w:spacing w:after="0"/>
              <w:rPr>
                <w:sz w:val="1"/>
                <w:szCs w:val="1"/>
                <w:color w:val="auto"/>
              </w:rPr>
            </w:pPr>
          </w:p>
        </w:tc>
      </w:tr>
      <w:tr>
        <w:trPr>
          <w:trHeight w:val="621"/>
        </w:trPr>
        <w:tc>
          <w:tcPr>
            <w:tcW w:w="5300" w:type="dxa"/>
            <w:vAlign w:val="bottom"/>
          </w:tcPr>
          <w:p>
            <w:pPr>
              <w:jc w:val="center"/>
              <w:ind w:right="370"/>
              <w:spacing w:after="0"/>
              <w:rPr>
                <w:sz w:val="20"/>
                <w:szCs w:val="20"/>
                <w:color w:val="auto"/>
              </w:rPr>
            </w:pPr>
            <w:r>
              <w:rPr>
                <w:rFonts w:ascii="Times New Roman" w:cs="Times New Roman" w:eastAsia="Times New Roman" w:hAnsi="Times New Roman"/>
                <w:sz w:val="18"/>
                <w:szCs w:val="18"/>
                <w:color w:val="auto"/>
                <w:w w:val="99"/>
              </w:rPr>
              <w:t>Director</w:t>
            </w:r>
          </w:p>
        </w:tc>
        <w:tc>
          <w:tcPr>
            <w:tcW w:w="1540" w:type="dxa"/>
            <w:vAlign w:val="bottom"/>
          </w:tcPr>
          <w:p>
            <w:pPr>
              <w:ind w:left="480"/>
              <w:spacing w:after="0"/>
              <w:rPr>
                <w:sz w:val="20"/>
                <w:szCs w:val="20"/>
                <w:color w:val="auto"/>
              </w:rPr>
            </w:pPr>
            <w:r>
              <w:rPr>
                <w:rFonts w:ascii="Times New Roman" w:cs="Times New Roman" w:eastAsia="Times New Roman" w:hAnsi="Times New Roman"/>
                <w:sz w:val="18"/>
                <w:szCs w:val="18"/>
                <w:color w:val="auto"/>
                <w:w w:val="98"/>
              </w:rPr>
              <w:t>March 8, 2023</w:t>
            </w:r>
          </w:p>
        </w:tc>
        <w:tc>
          <w:tcPr>
            <w:tcW w:w="0" w:type="dxa"/>
            <w:vAlign w:val="bottom"/>
          </w:tcPr>
          <w:p>
            <w:pPr>
              <w:spacing w:after="0"/>
              <w:rPr>
                <w:sz w:val="1"/>
                <w:szCs w:val="1"/>
                <w:color w:val="auto"/>
              </w:rPr>
            </w:pPr>
          </w:p>
        </w:tc>
      </w:tr>
      <w:tr>
        <w:trPr>
          <w:trHeight w:val="634"/>
        </w:trPr>
        <w:tc>
          <w:tcPr>
            <w:tcW w:w="5300" w:type="dxa"/>
            <w:vAlign w:val="bottom"/>
          </w:tcPr>
          <w:p>
            <w:pPr>
              <w:jc w:val="center"/>
              <w:ind w:right="370"/>
              <w:spacing w:after="0"/>
              <w:rPr>
                <w:sz w:val="20"/>
                <w:szCs w:val="20"/>
                <w:color w:val="auto"/>
              </w:rPr>
            </w:pPr>
            <w:r>
              <w:rPr>
                <w:rFonts w:ascii="Times New Roman" w:cs="Times New Roman" w:eastAsia="Times New Roman" w:hAnsi="Times New Roman"/>
                <w:sz w:val="18"/>
                <w:szCs w:val="18"/>
                <w:color w:val="auto"/>
                <w:w w:val="99"/>
              </w:rPr>
              <w:t>Director</w:t>
            </w:r>
          </w:p>
        </w:tc>
        <w:tc>
          <w:tcPr>
            <w:tcW w:w="1540" w:type="dxa"/>
            <w:vAlign w:val="bottom"/>
          </w:tcPr>
          <w:p>
            <w:pPr>
              <w:ind w:left="480"/>
              <w:spacing w:after="0"/>
              <w:rPr>
                <w:sz w:val="20"/>
                <w:szCs w:val="20"/>
                <w:color w:val="auto"/>
              </w:rPr>
            </w:pPr>
            <w:r>
              <w:rPr>
                <w:rFonts w:ascii="Times New Roman" w:cs="Times New Roman" w:eastAsia="Times New Roman" w:hAnsi="Times New Roman"/>
                <w:sz w:val="18"/>
                <w:szCs w:val="18"/>
                <w:color w:val="auto"/>
                <w:w w:val="98"/>
              </w:rPr>
              <w:t>March 8, 2023</w:t>
            </w:r>
          </w:p>
        </w:tc>
        <w:tc>
          <w:tcPr>
            <w:tcW w:w="0" w:type="dxa"/>
            <w:vAlign w:val="bottom"/>
          </w:tcPr>
          <w:p>
            <w:pPr>
              <w:spacing w:after="0"/>
              <w:rPr>
                <w:sz w:val="1"/>
                <w:szCs w:val="1"/>
                <w:color w:val="auto"/>
              </w:rPr>
            </w:pPr>
          </w:p>
        </w:tc>
      </w:tr>
      <w:tr>
        <w:trPr>
          <w:trHeight w:val="662"/>
        </w:trPr>
        <w:tc>
          <w:tcPr>
            <w:tcW w:w="5300" w:type="dxa"/>
            <w:vAlign w:val="bottom"/>
          </w:tcPr>
          <w:p>
            <w:pPr>
              <w:jc w:val="center"/>
              <w:ind w:right="370"/>
              <w:spacing w:after="0"/>
              <w:rPr>
                <w:sz w:val="20"/>
                <w:szCs w:val="20"/>
                <w:color w:val="auto"/>
              </w:rPr>
            </w:pPr>
            <w:r>
              <w:rPr>
                <w:rFonts w:ascii="Times New Roman" w:cs="Times New Roman" w:eastAsia="Times New Roman" w:hAnsi="Times New Roman"/>
                <w:sz w:val="18"/>
                <w:szCs w:val="18"/>
                <w:color w:val="auto"/>
                <w:w w:val="99"/>
              </w:rPr>
              <w:t>Director</w:t>
            </w:r>
          </w:p>
        </w:tc>
        <w:tc>
          <w:tcPr>
            <w:tcW w:w="1540" w:type="dxa"/>
            <w:vAlign w:val="bottom"/>
          </w:tcPr>
          <w:p>
            <w:pPr>
              <w:ind w:left="480"/>
              <w:spacing w:after="0"/>
              <w:rPr>
                <w:sz w:val="20"/>
                <w:szCs w:val="20"/>
                <w:color w:val="auto"/>
              </w:rPr>
            </w:pPr>
            <w:r>
              <w:rPr>
                <w:rFonts w:ascii="Times New Roman" w:cs="Times New Roman" w:eastAsia="Times New Roman" w:hAnsi="Times New Roman"/>
                <w:sz w:val="18"/>
                <w:szCs w:val="18"/>
                <w:color w:val="auto"/>
                <w:w w:val="98"/>
              </w:rPr>
              <w:t>March 8, 2023</w:t>
            </w:r>
          </w:p>
        </w:tc>
        <w:tc>
          <w:tcPr>
            <w:tcW w:w="0" w:type="dxa"/>
            <w:vAlign w:val="bottom"/>
          </w:tcPr>
          <w:p>
            <w:pPr>
              <w:spacing w:after="0"/>
              <w:rPr>
                <w:sz w:val="1"/>
                <w:szCs w:val="1"/>
                <w:color w:val="auto"/>
              </w:rPr>
            </w:pPr>
          </w:p>
        </w:tc>
      </w:tr>
      <w:tr>
        <w:trPr>
          <w:trHeight w:val="662"/>
        </w:trPr>
        <w:tc>
          <w:tcPr>
            <w:tcW w:w="5300" w:type="dxa"/>
            <w:vAlign w:val="bottom"/>
          </w:tcPr>
          <w:p>
            <w:pPr>
              <w:jc w:val="center"/>
              <w:ind w:right="370"/>
              <w:spacing w:after="0"/>
              <w:rPr>
                <w:sz w:val="20"/>
                <w:szCs w:val="20"/>
                <w:color w:val="auto"/>
              </w:rPr>
            </w:pPr>
            <w:r>
              <w:rPr>
                <w:rFonts w:ascii="Times New Roman" w:cs="Times New Roman" w:eastAsia="Times New Roman" w:hAnsi="Times New Roman"/>
                <w:sz w:val="18"/>
                <w:szCs w:val="18"/>
                <w:color w:val="auto"/>
                <w:w w:val="99"/>
              </w:rPr>
              <w:t>Director</w:t>
            </w:r>
          </w:p>
        </w:tc>
        <w:tc>
          <w:tcPr>
            <w:tcW w:w="1540" w:type="dxa"/>
            <w:vAlign w:val="bottom"/>
          </w:tcPr>
          <w:p>
            <w:pPr>
              <w:ind w:left="480"/>
              <w:spacing w:after="0"/>
              <w:rPr>
                <w:sz w:val="20"/>
                <w:szCs w:val="20"/>
                <w:color w:val="auto"/>
              </w:rPr>
            </w:pPr>
            <w:r>
              <w:rPr>
                <w:rFonts w:ascii="Times New Roman" w:cs="Times New Roman" w:eastAsia="Times New Roman" w:hAnsi="Times New Roman"/>
                <w:sz w:val="18"/>
                <w:szCs w:val="18"/>
                <w:color w:val="auto"/>
                <w:w w:val="98"/>
              </w:rPr>
              <w:t>March 8, 2023</w:t>
            </w:r>
          </w:p>
        </w:tc>
        <w:tc>
          <w:tcPr>
            <w:tcW w:w="0" w:type="dxa"/>
            <w:vAlign w:val="bottom"/>
          </w:tcPr>
          <w:p>
            <w:pPr>
              <w:spacing w:after="0"/>
              <w:rPr>
                <w:sz w:val="1"/>
                <w:szCs w:val="1"/>
                <w:color w:val="auto"/>
              </w:rPr>
            </w:pPr>
          </w:p>
        </w:tc>
      </w:tr>
      <w:tr>
        <w:trPr>
          <w:trHeight w:val="661"/>
        </w:trPr>
        <w:tc>
          <w:tcPr>
            <w:tcW w:w="5300" w:type="dxa"/>
            <w:vAlign w:val="bottom"/>
          </w:tcPr>
          <w:p>
            <w:pPr>
              <w:jc w:val="center"/>
              <w:ind w:right="370"/>
              <w:spacing w:after="0"/>
              <w:rPr>
                <w:sz w:val="20"/>
                <w:szCs w:val="20"/>
                <w:color w:val="auto"/>
              </w:rPr>
            </w:pPr>
            <w:r>
              <w:rPr>
                <w:rFonts w:ascii="Times New Roman" w:cs="Times New Roman" w:eastAsia="Times New Roman" w:hAnsi="Times New Roman"/>
                <w:sz w:val="18"/>
                <w:szCs w:val="18"/>
                <w:color w:val="auto"/>
                <w:w w:val="99"/>
              </w:rPr>
              <w:t>Director</w:t>
            </w:r>
          </w:p>
        </w:tc>
        <w:tc>
          <w:tcPr>
            <w:tcW w:w="1540" w:type="dxa"/>
            <w:vAlign w:val="bottom"/>
          </w:tcPr>
          <w:p>
            <w:pPr>
              <w:ind w:left="480"/>
              <w:spacing w:after="0"/>
              <w:rPr>
                <w:sz w:val="20"/>
                <w:szCs w:val="20"/>
                <w:color w:val="auto"/>
              </w:rPr>
            </w:pPr>
            <w:r>
              <w:rPr>
                <w:rFonts w:ascii="Times New Roman" w:cs="Times New Roman" w:eastAsia="Times New Roman" w:hAnsi="Times New Roman"/>
                <w:sz w:val="18"/>
                <w:szCs w:val="18"/>
                <w:color w:val="auto"/>
                <w:w w:val="98"/>
              </w:rPr>
              <w:t>March 8, 2023</w:t>
            </w:r>
          </w:p>
        </w:tc>
        <w:tc>
          <w:tcPr>
            <w:tcW w:w="0" w:type="dxa"/>
            <w:vAlign w:val="bottom"/>
          </w:tcPr>
          <w:p>
            <w:pPr>
              <w:spacing w:after="0"/>
              <w:rPr>
                <w:sz w:val="1"/>
                <w:szCs w:val="1"/>
                <w:color w:val="auto"/>
              </w:rPr>
            </w:pPr>
          </w:p>
        </w:tc>
      </w:tr>
    </w:tbl>
    <w:p>
      <w:pPr>
        <w:sectPr>
          <w:pgSz w:w="11900" w:h="16838" w:orient="portrait"/>
          <w:cols w:equalWidth="0" w:num="2">
            <w:col w:w="2200" w:space="720"/>
            <w:col w:w="6840"/>
          </w:cols>
          <w:pgMar w:left="1080" w:top="1440" w:right="1059" w:bottom="1440" w:gutter="0" w:footer="0" w:header="0"/>
        </w:sectPr>
      </w:pPr>
    </w:p>
    <w:bookmarkStart w:id="5" w:name="page6"/>
    <w:bookmarkEnd w:id="5"/>
    <w:p>
      <w:pPr>
        <w:ind w:left="10220"/>
        <w:spacing w:after="0"/>
        <w:rPr>
          <w:sz w:val="20"/>
          <w:szCs w:val="20"/>
          <w:color w:val="auto"/>
        </w:rPr>
      </w:pPr>
      <w:r>
        <w:rPr>
          <w:rFonts w:ascii="Times New Roman" w:cs="Times New Roman" w:eastAsia="Times New Roman" w:hAnsi="Times New Roman"/>
          <w:sz w:val="18"/>
          <w:szCs w:val="18"/>
          <w:b w:val="1"/>
          <w:bCs w:val="1"/>
          <w:color w:val="auto"/>
        </w:rPr>
        <w:t>Exhibit 107.1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Calculation of Filing Fee Tables</w:t>
      </w:r>
    </w:p>
    <w:p>
      <w:pPr>
        <w:spacing w:after="0" w:line="21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Form S-8</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(Form Type)</w:t>
      </w:r>
    </w:p>
    <w:p>
      <w:pPr>
        <w:spacing w:after="0" w:line="28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Expensify,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7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rPr>
        <w:t>Table 1: Newly Registered Securities</w:t>
      </w:r>
    </w:p>
    <w:p>
      <w:pPr>
        <w:spacing w:after="0" w:line="183" w:lineRule="exact"/>
        <w:rPr>
          <w:sz w:val="20"/>
          <w:szCs w:val="20"/>
          <w:color w:val="auto"/>
        </w:rPr>
      </w:pPr>
    </w:p>
    <w:tbl>
      <w:tblPr>
        <w:tblLayout w:type="fixed"/>
        <w:tblInd w:w="10" w:type="dxa"/>
        <w:tblCellMar>
          <w:top w:w="0" w:type="dxa"/>
          <w:left w:w="0" w:type="dxa"/>
          <w:bottom w:w="0" w:type="dxa"/>
          <w:right w:w="0" w:type="dxa"/>
        </w:tblCellMar>
      </w:tblPr>
      <w:tr>
        <w:trPr>
          <w:trHeight w:val="178"/>
        </w:trPr>
        <w:tc>
          <w:tcPr>
            <w:tcW w:w="1160" w:type="dxa"/>
            <w:vAlign w:val="bottom"/>
            <w:tcBorders>
              <w:top w:val="single" w:sz="8" w:color="auto"/>
              <w:left w:val="single" w:sz="8" w:color="auto"/>
              <w:right w:val="single" w:sz="8" w:color="auto"/>
            </w:tcBorders>
          </w:tcPr>
          <w:p>
            <w:pPr>
              <w:spacing w:after="0"/>
              <w:rPr>
                <w:sz w:val="15"/>
                <w:szCs w:val="15"/>
                <w:color w:val="auto"/>
              </w:rPr>
            </w:pPr>
          </w:p>
        </w:tc>
        <w:tc>
          <w:tcPr>
            <w:tcW w:w="1920" w:type="dxa"/>
            <w:vAlign w:val="bottom"/>
            <w:tcBorders>
              <w:top w:val="single" w:sz="8" w:color="auto"/>
              <w:right w:val="single" w:sz="8" w:color="auto"/>
            </w:tcBorders>
          </w:tcPr>
          <w:p>
            <w:pPr>
              <w:spacing w:after="0"/>
              <w:rPr>
                <w:sz w:val="15"/>
                <w:szCs w:val="15"/>
                <w:color w:val="auto"/>
              </w:rPr>
            </w:pPr>
          </w:p>
        </w:tc>
        <w:tc>
          <w:tcPr>
            <w:tcW w:w="1180" w:type="dxa"/>
            <w:vAlign w:val="bottom"/>
            <w:tcBorders>
              <w:top w:val="single" w:sz="8" w:color="auto"/>
              <w:right w:val="single" w:sz="8" w:color="auto"/>
            </w:tcBorders>
          </w:tcPr>
          <w:p>
            <w:pPr>
              <w:spacing w:after="0"/>
              <w:rPr>
                <w:sz w:val="15"/>
                <w:szCs w:val="15"/>
                <w:color w:val="auto"/>
              </w:rPr>
            </w:pPr>
          </w:p>
        </w:tc>
        <w:tc>
          <w:tcPr>
            <w:tcW w:w="1160" w:type="dxa"/>
            <w:vAlign w:val="bottom"/>
            <w:tcBorders>
              <w:top w:val="single" w:sz="8" w:color="auto"/>
              <w:right w:val="single" w:sz="8" w:color="auto"/>
            </w:tcBorders>
          </w:tcPr>
          <w:p>
            <w:pPr>
              <w:spacing w:after="0"/>
              <w:rPr>
                <w:sz w:val="15"/>
                <w:szCs w:val="15"/>
                <w:color w:val="auto"/>
              </w:rPr>
            </w:pPr>
          </w:p>
        </w:tc>
        <w:tc>
          <w:tcPr>
            <w:tcW w:w="11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Proposed</w:t>
            </w:r>
          </w:p>
        </w:tc>
        <w:tc>
          <w:tcPr>
            <w:tcW w:w="1560" w:type="dxa"/>
            <w:vAlign w:val="bottom"/>
            <w:tcBorders>
              <w:top w:val="single" w:sz="8" w:color="auto"/>
              <w:right w:val="single" w:sz="8" w:color="auto"/>
            </w:tcBorders>
          </w:tcPr>
          <w:p>
            <w:pPr>
              <w:spacing w:after="0"/>
              <w:rPr>
                <w:sz w:val="15"/>
                <w:szCs w:val="15"/>
                <w:color w:val="auto"/>
              </w:rPr>
            </w:pPr>
          </w:p>
        </w:tc>
        <w:tc>
          <w:tcPr>
            <w:tcW w:w="1560" w:type="dxa"/>
            <w:vAlign w:val="bottom"/>
            <w:tcBorders>
              <w:top w:val="single" w:sz="8" w:color="auto"/>
              <w:right w:val="single" w:sz="8" w:color="auto"/>
            </w:tcBorders>
          </w:tcPr>
          <w:p>
            <w:pPr>
              <w:spacing w:after="0"/>
              <w:rPr>
                <w:sz w:val="15"/>
                <w:szCs w:val="15"/>
                <w:color w:val="auto"/>
              </w:rPr>
            </w:pPr>
          </w:p>
        </w:tc>
        <w:tc>
          <w:tcPr>
            <w:tcW w:w="1560" w:type="dxa"/>
            <w:vAlign w:val="bottom"/>
            <w:tcBorders>
              <w:top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160" w:type="dxa"/>
            <w:vAlign w:val="bottom"/>
            <w:tcBorders>
              <w:left w:val="single" w:sz="8" w:color="auto"/>
              <w:right w:val="single" w:sz="8" w:color="auto"/>
            </w:tcBorders>
          </w:tcPr>
          <w:p>
            <w:pPr>
              <w:spacing w:after="0"/>
              <w:rPr>
                <w:sz w:val="14"/>
                <w:szCs w:val="14"/>
                <w:color w:val="auto"/>
              </w:rPr>
            </w:pPr>
          </w:p>
        </w:tc>
        <w:tc>
          <w:tcPr>
            <w:tcW w:w="1920" w:type="dxa"/>
            <w:vAlign w:val="bottom"/>
            <w:tcBorders>
              <w:right w:val="single" w:sz="8" w:color="auto"/>
            </w:tcBorders>
          </w:tcPr>
          <w:p>
            <w:pPr>
              <w:spacing w:after="0"/>
              <w:rPr>
                <w:sz w:val="14"/>
                <w:szCs w:val="14"/>
                <w:color w:val="auto"/>
              </w:rPr>
            </w:pPr>
          </w:p>
        </w:tc>
        <w:tc>
          <w:tcPr>
            <w:tcW w:w="1180" w:type="dxa"/>
            <w:vAlign w:val="bottom"/>
            <w:tcBorders>
              <w:right w:val="single" w:sz="8" w:color="auto"/>
            </w:tcBorders>
          </w:tcPr>
          <w:p>
            <w:pPr>
              <w:spacing w:after="0"/>
              <w:rPr>
                <w:sz w:val="14"/>
                <w:szCs w:val="14"/>
                <w:color w:val="auto"/>
              </w:rPr>
            </w:pPr>
          </w:p>
        </w:tc>
        <w:tc>
          <w:tcPr>
            <w:tcW w:w="1160" w:type="dxa"/>
            <w:vAlign w:val="bottom"/>
            <w:tcBorders>
              <w:right w:val="single" w:sz="8" w:color="auto"/>
            </w:tcBorders>
          </w:tcPr>
          <w:p>
            <w:pPr>
              <w:spacing w:after="0"/>
              <w:rPr>
                <w:sz w:val="14"/>
                <w:szCs w:val="14"/>
                <w:color w:val="auto"/>
              </w:rPr>
            </w:pPr>
          </w:p>
        </w:tc>
        <w:tc>
          <w:tcPr>
            <w:tcW w:w="1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Maximum</w:t>
            </w:r>
          </w:p>
        </w:tc>
        <w:tc>
          <w:tcPr>
            <w:tcW w:w="1560" w:type="dxa"/>
            <w:vAlign w:val="bottom"/>
            <w:tcBorders>
              <w:right w:val="single" w:sz="8" w:color="auto"/>
            </w:tcBorders>
          </w:tcPr>
          <w:p>
            <w:pPr>
              <w:spacing w:after="0"/>
              <w:rPr>
                <w:sz w:val="14"/>
                <w:szCs w:val="14"/>
                <w:color w:val="auto"/>
              </w:rPr>
            </w:pPr>
          </w:p>
        </w:tc>
        <w:tc>
          <w:tcPr>
            <w:tcW w:w="1560" w:type="dxa"/>
            <w:vAlign w:val="bottom"/>
            <w:tcBorders>
              <w:right w:val="single" w:sz="8" w:color="auto"/>
            </w:tcBorders>
          </w:tcPr>
          <w:p>
            <w:pPr>
              <w:spacing w:after="0"/>
              <w:rPr>
                <w:sz w:val="14"/>
                <w:szCs w:val="14"/>
                <w:color w:val="auto"/>
              </w:rPr>
            </w:pPr>
          </w:p>
        </w:tc>
        <w:tc>
          <w:tcPr>
            <w:tcW w:w="15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1160" w:type="dxa"/>
            <w:vAlign w:val="bottom"/>
            <w:tcBorders>
              <w:left w:val="single" w:sz="8" w:color="auto"/>
              <w:right w:val="single" w:sz="8" w:color="auto"/>
            </w:tcBorders>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Security Type</w:t>
            </w:r>
          </w:p>
        </w:tc>
        <w:tc>
          <w:tcPr>
            <w:tcW w:w="1920" w:type="dxa"/>
            <w:vAlign w:val="bottom"/>
            <w:tcBorders>
              <w:right w:val="single" w:sz="8" w:color="auto"/>
            </w:tcBorders>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rPr>
              <w:t>Security Class Title</w:t>
            </w:r>
          </w:p>
        </w:tc>
        <w:tc>
          <w:tcPr>
            <w:tcW w:w="1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Fee Calculation</w:t>
            </w:r>
          </w:p>
        </w:tc>
        <w:tc>
          <w:tcPr>
            <w:tcW w:w="1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Amount to be</w:t>
            </w:r>
          </w:p>
        </w:tc>
        <w:tc>
          <w:tcPr>
            <w:tcW w:w="1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Offering Price</w:t>
            </w:r>
          </w:p>
        </w:tc>
        <w:tc>
          <w:tcPr>
            <w:tcW w:w="15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Maximum Aggregate</w:t>
            </w:r>
          </w:p>
        </w:tc>
        <w:tc>
          <w:tcPr>
            <w:tcW w:w="15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Fee Rate</w:t>
            </w:r>
          </w:p>
        </w:tc>
        <w:tc>
          <w:tcPr>
            <w:tcW w:w="15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Amount of</w:t>
            </w:r>
          </w:p>
        </w:tc>
        <w:tc>
          <w:tcPr>
            <w:tcW w:w="0" w:type="dxa"/>
            <w:vAlign w:val="bottom"/>
          </w:tcPr>
          <w:p>
            <w:pPr>
              <w:spacing w:after="0"/>
              <w:rPr>
                <w:sz w:val="1"/>
                <w:szCs w:val="1"/>
                <w:color w:val="auto"/>
              </w:rPr>
            </w:pPr>
          </w:p>
        </w:tc>
      </w:tr>
      <w:tr>
        <w:trPr>
          <w:trHeight w:val="203"/>
        </w:trPr>
        <w:tc>
          <w:tcPr>
            <w:tcW w:w="1160" w:type="dxa"/>
            <w:vAlign w:val="bottom"/>
            <w:tcBorders>
              <w:left w:val="single" w:sz="8" w:color="auto"/>
              <w:bottom w:val="single" w:sz="8" w:color="auto"/>
              <w:right w:val="single" w:sz="8" w:color="auto"/>
            </w:tcBorders>
            <w:vMerge w:val="continue"/>
          </w:tcPr>
          <w:p>
            <w:pPr>
              <w:spacing w:after="0"/>
              <w:rPr>
                <w:sz w:val="17"/>
                <w:szCs w:val="17"/>
                <w:color w:val="auto"/>
              </w:rPr>
            </w:pPr>
          </w:p>
        </w:tc>
        <w:tc>
          <w:tcPr>
            <w:tcW w:w="1920" w:type="dxa"/>
            <w:vAlign w:val="bottom"/>
            <w:tcBorders>
              <w:bottom w:val="single" w:sz="8" w:color="auto"/>
              <w:right w:val="single" w:sz="8" w:color="auto"/>
            </w:tcBorders>
            <w:vMerge w:val="continue"/>
          </w:tcPr>
          <w:p>
            <w:pPr>
              <w:spacing w:after="0"/>
              <w:rPr>
                <w:sz w:val="17"/>
                <w:szCs w:val="17"/>
                <w:color w:val="auto"/>
              </w:rPr>
            </w:pPr>
          </w:p>
        </w:tc>
        <w:tc>
          <w:tcPr>
            <w:tcW w:w="11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Rule</w:t>
            </w:r>
          </w:p>
        </w:tc>
        <w:tc>
          <w:tcPr>
            <w:tcW w:w="1160" w:type="dxa"/>
            <w:vAlign w:val="bottom"/>
            <w:tcBorders>
              <w:bottom w:val="single" w:sz="8" w:color="auto"/>
              <w:right w:val="single" w:sz="8" w:color="auto"/>
            </w:tcBorders>
          </w:tcPr>
          <w:p>
            <w:pPr>
              <w:jc w:val="center"/>
              <w:spacing w:after="0" w:line="202" w:lineRule="exact"/>
              <w:rPr>
                <w:sz w:val="20"/>
                <w:szCs w:val="20"/>
                <w:color w:val="auto"/>
              </w:rPr>
            </w:pPr>
            <w:r>
              <w:rPr>
                <w:rFonts w:ascii="Times New Roman" w:cs="Times New Roman" w:eastAsia="Times New Roman" w:hAnsi="Times New Roman"/>
                <w:sz w:val="14"/>
                <w:szCs w:val="14"/>
                <w:b w:val="1"/>
                <w:bCs w:val="1"/>
                <w:color w:val="auto"/>
                <w:w w:val="97"/>
              </w:rPr>
              <w:t>Registered</w:t>
            </w:r>
            <w:r>
              <w:rPr>
                <w:rFonts w:ascii="Times New Roman" w:cs="Times New Roman" w:eastAsia="Times New Roman" w:hAnsi="Times New Roman"/>
                <w:sz w:val="18"/>
                <w:szCs w:val="18"/>
                <w:b w:val="1"/>
                <w:bCs w:val="1"/>
                <w:color w:val="auto"/>
                <w:w w:val="97"/>
                <w:vertAlign w:val="superscript"/>
              </w:rPr>
              <w:t>(1)</w:t>
            </w:r>
          </w:p>
        </w:tc>
        <w:tc>
          <w:tcPr>
            <w:tcW w:w="1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Per Unit</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Offering Price</w:t>
            </w:r>
          </w:p>
        </w:tc>
        <w:tc>
          <w:tcPr>
            <w:tcW w:w="1560" w:type="dxa"/>
            <w:vAlign w:val="bottom"/>
            <w:tcBorders>
              <w:bottom w:val="single" w:sz="8" w:color="auto"/>
              <w:right w:val="single" w:sz="8" w:color="auto"/>
            </w:tcBorders>
            <w:vMerge w:val="continue"/>
          </w:tcPr>
          <w:p>
            <w:pPr>
              <w:spacing w:after="0"/>
              <w:rPr>
                <w:sz w:val="17"/>
                <w:szCs w:val="17"/>
                <w:color w:val="auto"/>
              </w:rPr>
            </w:pP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Registration Fee</w:t>
            </w:r>
          </w:p>
        </w:tc>
        <w:tc>
          <w:tcPr>
            <w:tcW w:w="0" w:type="dxa"/>
            <w:vAlign w:val="bottom"/>
          </w:tcPr>
          <w:p>
            <w:pPr>
              <w:spacing w:after="0"/>
              <w:rPr>
                <w:sz w:val="1"/>
                <w:szCs w:val="1"/>
                <w:color w:val="auto"/>
              </w:rPr>
            </w:pPr>
          </w:p>
        </w:tc>
      </w:tr>
      <w:tr>
        <w:trPr>
          <w:trHeight w:val="183"/>
        </w:trPr>
        <w:tc>
          <w:tcPr>
            <w:tcW w:w="116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4"/>
                <w:szCs w:val="14"/>
                <w:color w:val="auto"/>
              </w:rPr>
              <w:t>Equity</w:t>
            </w:r>
          </w:p>
        </w:tc>
        <w:tc>
          <w:tcPr>
            <w:tcW w:w="19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Class A common stock,</w:t>
            </w:r>
          </w:p>
        </w:tc>
        <w:tc>
          <w:tcPr>
            <w:tcW w:w="11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Rule 457(c) and</w:t>
            </w:r>
          </w:p>
        </w:tc>
        <w:tc>
          <w:tcPr>
            <w:tcW w:w="11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97"/>
              </w:rPr>
              <w:t>9,829,203</w:t>
            </w:r>
            <w:r>
              <w:rPr>
                <w:rFonts w:ascii="Times New Roman" w:cs="Times New Roman" w:eastAsia="Times New Roman" w:hAnsi="Times New Roman"/>
                <w:sz w:val="18"/>
                <w:szCs w:val="18"/>
                <w:color w:val="auto"/>
                <w:w w:val="97"/>
                <w:vertAlign w:val="superscript"/>
              </w:rPr>
              <w:t>(2)</w:t>
            </w:r>
          </w:p>
        </w:tc>
        <w:tc>
          <w:tcPr>
            <w:tcW w:w="11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96"/>
              </w:rPr>
              <w:t>$8.42</w:t>
            </w:r>
            <w:r>
              <w:rPr>
                <w:rFonts w:ascii="Times New Roman" w:cs="Times New Roman" w:eastAsia="Times New Roman" w:hAnsi="Times New Roman"/>
                <w:sz w:val="18"/>
                <w:szCs w:val="18"/>
                <w:color w:val="auto"/>
                <w:w w:val="96"/>
                <w:vertAlign w:val="superscript"/>
              </w:rPr>
              <w:t>(3)</w:t>
            </w:r>
          </w:p>
        </w:tc>
        <w:tc>
          <w:tcPr>
            <w:tcW w:w="15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$82,761,889</w:t>
            </w:r>
          </w:p>
        </w:tc>
        <w:tc>
          <w:tcPr>
            <w:tcW w:w="15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$110.20 per $1,000,000</w:t>
            </w:r>
          </w:p>
        </w:tc>
        <w:tc>
          <w:tcPr>
            <w:tcW w:w="15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98"/>
              </w:rPr>
              <w:t>$9,120</w:t>
            </w:r>
          </w:p>
        </w:tc>
        <w:tc>
          <w:tcPr>
            <w:tcW w:w="0" w:type="dxa"/>
            <w:vAlign w:val="bottom"/>
          </w:tcPr>
          <w:p>
            <w:pPr>
              <w:spacing w:after="0"/>
              <w:rPr>
                <w:sz w:val="1"/>
                <w:szCs w:val="1"/>
                <w:color w:val="auto"/>
              </w:rPr>
            </w:pPr>
          </w:p>
        </w:tc>
      </w:tr>
      <w:tr>
        <w:trPr>
          <w:trHeight w:val="202"/>
        </w:trPr>
        <w:tc>
          <w:tcPr>
            <w:tcW w:w="1160" w:type="dxa"/>
            <w:vAlign w:val="bottom"/>
            <w:tcBorders>
              <w:left w:val="single" w:sz="8" w:color="auto"/>
              <w:bottom w:val="single" w:sz="8" w:color="auto"/>
              <w:right w:val="single" w:sz="8" w:color="auto"/>
            </w:tcBorders>
            <w:vMerge w:val="continue"/>
          </w:tcPr>
          <w:p>
            <w:pPr>
              <w:spacing w:after="0"/>
              <w:rPr>
                <w:sz w:val="17"/>
                <w:szCs w:val="17"/>
                <w:color w:val="auto"/>
              </w:rPr>
            </w:pPr>
          </w:p>
        </w:tc>
        <w:tc>
          <w:tcPr>
            <w:tcW w:w="1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$0.0001 par value per share</w:t>
            </w:r>
          </w:p>
        </w:tc>
        <w:tc>
          <w:tcPr>
            <w:tcW w:w="11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Rule 457(h)</w:t>
            </w:r>
          </w:p>
        </w:tc>
        <w:tc>
          <w:tcPr>
            <w:tcW w:w="1160" w:type="dxa"/>
            <w:vAlign w:val="bottom"/>
            <w:tcBorders>
              <w:bottom w:val="single" w:sz="8" w:color="auto"/>
              <w:right w:val="single" w:sz="8" w:color="auto"/>
            </w:tcBorders>
            <w:vMerge w:val="continue"/>
          </w:tcPr>
          <w:p>
            <w:pPr>
              <w:spacing w:after="0"/>
              <w:rPr>
                <w:sz w:val="17"/>
                <w:szCs w:val="17"/>
                <w:color w:val="auto"/>
              </w:rPr>
            </w:pPr>
          </w:p>
        </w:tc>
        <w:tc>
          <w:tcPr>
            <w:tcW w:w="1160" w:type="dxa"/>
            <w:vAlign w:val="bottom"/>
            <w:tcBorders>
              <w:bottom w:val="single" w:sz="8" w:color="auto"/>
              <w:right w:val="single" w:sz="8" w:color="auto"/>
            </w:tcBorders>
            <w:vMerge w:val="continue"/>
          </w:tcPr>
          <w:p>
            <w:pPr>
              <w:spacing w:after="0"/>
              <w:rPr>
                <w:sz w:val="17"/>
                <w:szCs w:val="17"/>
                <w:color w:val="auto"/>
              </w:rPr>
            </w:pPr>
          </w:p>
        </w:tc>
        <w:tc>
          <w:tcPr>
            <w:tcW w:w="1560" w:type="dxa"/>
            <w:vAlign w:val="bottom"/>
            <w:tcBorders>
              <w:bottom w:val="single" w:sz="8" w:color="auto"/>
              <w:right w:val="single" w:sz="8" w:color="auto"/>
            </w:tcBorders>
            <w:vMerge w:val="continue"/>
          </w:tcPr>
          <w:p>
            <w:pPr>
              <w:spacing w:after="0"/>
              <w:rPr>
                <w:sz w:val="17"/>
                <w:szCs w:val="17"/>
                <w:color w:val="auto"/>
              </w:rPr>
            </w:pPr>
          </w:p>
        </w:tc>
        <w:tc>
          <w:tcPr>
            <w:tcW w:w="1560" w:type="dxa"/>
            <w:vAlign w:val="bottom"/>
            <w:tcBorders>
              <w:bottom w:val="single" w:sz="8" w:color="auto"/>
              <w:right w:val="single" w:sz="8" w:color="auto"/>
            </w:tcBorders>
            <w:vMerge w:val="continue"/>
          </w:tcPr>
          <w:p>
            <w:pPr>
              <w:spacing w:after="0"/>
              <w:rPr>
                <w:sz w:val="17"/>
                <w:szCs w:val="17"/>
                <w:color w:val="auto"/>
              </w:rPr>
            </w:pPr>
          </w:p>
        </w:tc>
        <w:tc>
          <w:tcPr>
            <w:tcW w:w="1560" w:type="dxa"/>
            <w:vAlign w:val="bottom"/>
            <w:tcBorders>
              <w:bottom w:val="single" w:sz="8" w:color="auto"/>
              <w:right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3080" w:type="dxa"/>
            <w:vAlign w:val="bottom"/>
            <w:tcBorders>
              <w:left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Total Offering Amounts</w:t>
            </w:r>
          </w:p>
        </w:tc>
        <w:tc>
          <w:tcPr>
            <w:tcW w:w="1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60" w:type="dxa"/>
            <w:vAlign w:val="bottom"/>
            <w:tcBorders>
              <w:right w:val="single" w:sz="8" w:color="auto"/>
            </w:tcBorders>
          </w:tcPr>
          <w:p>
            <w:pPr>
              <w:spacing w:after="0"/>
              <w:rPr>
                <w:sz w:val="17"/>
                <w:szCs w:val="17"/>
                <w:color w:val="auto"/>
              </w:rPr>
            </w:pPr>
          </w:p>
        </w:tc>
        <w:tc>
          <w:tcPr>
            <w:tcW w:w="15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$82,761,889</w:t>
            </w:r>
          </w:p>
        </w:tc>
        <w:tc>
          <w:tcPr>
            <w:tcW w:w="1560" w:type="dxa"/>
            <w:vAlign w:val="bottom"/>
            <w:tcBorders>
              <w:right w:val="single" w:sz="8" w:color="auto"/>
            </w:tcBorders>
          </w:tcPr>
          <w:p>
            <w:pPr>
              <w:spacing w:after="0"/>
              <w:rPr>
                <w:sz w:val="17"/>
                <w:szCs w:val="17"/>
                <w:color w:val="auto"/>
              </w:rPr>
            </w:pPr>
          </w:p>
        </w:tc>
        <w:tc>
          <w:tcPr>
            <w:tcW w:w="15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8"/>
              </w:rPr>
              <w:t>$9,120</w:t>
            </w:r>
          </w:p>
        </w:tc>
        <w:tc>
          <w:tcPr>
            <w:tcW w:w="0" w:type="dxa"/>
            <w:vAlign w:val="bottom"/>
          </w:tcPr>
          <w:p>
            <w:pPr>
              <w:spacing w:after="0"/>
              <w:rPr>
                <w:sz w:val="1"/>
                <w:szCs w:val="1"/>
                <w:color w:val="auto"/>
              </w:rPr>
            </w:pPr>
          </w:p>
        </w:tc>
      </w:tr>
      <w:tr>
        <w:trPr>
          <w:trHeight w:val="23"/>
        </w:trPr>
        <w:tc>
          <w:tcPr>
            <w:tcW w:w="1160" w:type="dxa"/>
            <w:vAlign w:val="bottom"/>
            <w:tcBorders>
              <w:left w:val="single" w:sz="8" w:color="auto"/>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1560" w:type="dxa"/>
            <w:vAlign w:val="bottom"/>
            <w:tcBorders>
              <w:bottom w:val="single" w:sz="8" w:color="auto"/>
              <w:right w:val="single" w:sz="8" w:color="auto"/>
            </w:tcBorders>
          </w:tcPr>
          <w:p>
            <w:pPr>
              <w:spacing w:after="0"/>
              <w:rPr>
                <w:sz w:val="2"/>
                <w:szCs w:val="2"/>
                <w:color w:val="auto"/>
              </w:rPr>
            </w:pPr>
          </w:p>
        </w:tc>
        <w:tc>
          <w:tcPr>
            <w:tcW w:w="1560" w:type="dxa"/>
            <w:vAlign w:val="bottom"/>
            <w:tcBorders>
              <w:bottom w:val="single" w:sz="8" w:color="auto"/>
              <w:right w:val="single" w:sz="8" w:color="auto"/>
            </w:tcBorders>
          </w:tcPr>
          <w:p>
            <w:pPr>
              <w:spacing w:after="0"/>
              <w:rPr>
                <w:sz w:val="2"/>
                <w:szCs w:val="2"/>
                <w:color w:val="auto"/>
              </w:rPr>
            </w:pPr>
          </w:p>
        </w:tc>
        <w:tc>
          <w:tcPr>
            <w:tcW w:w="15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3080" w:type="dxa"/>
            <w:vAlign w:val="bottom"/>
            <w:tcBorders>
              <w:left w:val="single" w:sz="8" w:color="auto"/>
              <w:bottom w:val="single" w:sz="8" w:color="auto"/>
            </w:tcBorders>
            <w:gridSpan w:val="2"/>
          </w:tcPr>
          <w:p>
            <w:pPr>
              <w:ind w:left="40"/>
              <w:spacing w:after="0" w:line="196" w:lineRule="exact"/>
              <w:rPr>
                <w:sz w:val="20"/>
                <w:szCs w:val="20"/>
                <w:color w:val="auto"/>
              </w:rPr>
            </w:pPr>
            <w:r>
              <w:rPr>
                <w:rFonts w:ascii="Times New Roman" w:cs="Times New Roman" w:eastAsia="Times New Roman" w:hAnsi="Times New Roman"/>
                <w:sz w:val="14"/>
                <w:szCs w:val="14"/>
                <w:b w:val="1"/>
                <w:bCs w:val="1"/>
                <w:color w:val="auto"/>
              </w:rPr>
              <w:t>Total Fee Offsets</w:t>
            </w:r>
            <w:r>
              <w:rPr>
                <w:rFonts w:ascii="Times New Roman" w:cs="Times New Roman" w:eastAsia="Times New Roman" w:hAnsi="Times New Roman"/>
                <w:sz w:val="18"/>
                <w:szCs w:val="18"/>
                <w:b w:val="1"/>
                <w:bCs w:val="1"/>
                <w:color w:val="auto"/>
                <w:vertAlign w:val="superscript"/>
              </w:rPr>
              <w:t>(4)</w:t>
            </w:r>
          </w:p>
        </w:tc>
        <w:tc>
          <w:tcPr>
            <w:tcW w:w="11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1160" w:type="dxa"/>
            <w:vAlign w:val="bottom"/>
            <w:tcBorders>
              <w:bottom w:val="single" w:sz="8" w:color="auto"/>
              <w:right w:val="single" w:sz="8" w:color="auto"/>
            </w:tcBorders>
          </w:tcPr>
          <w:p>
            <w:pPr>
              <w:spacing w:after="0"/>
              <w:rPr>
                <w:sz w:val="17"/>
                <w:szCs w:val="17"/>
                <w:color w:val="auto"/>
              </w:rPr>
            </w:pPr>
          </w:p>
        </w:tc>
        <w:tc>
          <w:tcPr>
            <w:tcW w:w="1560" w:type="dxa"/>
            <w:vAlign w:val="bottom"/>
            <w:tcBorders>
              <w:bottom w:val="single" w:sz="8" w:color="auto"/>
              <w:right w:val="single" w:sz="8" w:color="auto"/>
            </w:tcBorders>
          </w:tcPr>
          <w:p>
            <w:pPr>
              <w:spacing w:after="0"/>
              <w:rPr>
                <w:sz w:val="17"/>
                <w:szCs w:val="17"/>
                <w:color w:val="auto"/>
              </w:rPr>
            </w:pPr>
          </w:p>
        </w:tc>
        <w:tc>
          <w:tcPr>
            <w:tcW w:w="1560" w:type="dxa"/>
            <w:vAlign w:val="bottom"/>
            <w:tcBorders>
              <w:bottom w:val="single" w:sz="8" w:color="auto"/>
              <w:right w:val="single" w:sz="8" w:color="auto"/>
            </w:tcBorders>
          </w:tcPr>
          <w:p>
            <w:pPr>
              <w:spacing w:after="0"/>
              <w:rPr>
                <w:sz w:val="17"/>
                <w:szCs w:val="17"/>
                <w:color w:val="auto"/>
              </w:rPr>
            </w:pP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0"/>
        </w:trPr>
        <w:tc>
          <w:tcPr>
            <w:tcW w:w="116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Net Fee Due</w:t>
            </w:r>
          </w:p>
        </w:tc>
        <w:tc>
          <w:tcPr>
            <w:tcW w:w="19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160" w:type="dxa"/>
            <w:vAlign w:val="bottom"/>
            <w:tcBorders>
              <w:bottom w:val="single" w:sz="8" w:color="auto"/>
              <w:right w:val="single" w:sz="8" w:color="auto"/>
            </w:tcBorders>
          </w:tcPr>
          <w:p>
            <w:pPr>
              <w:spacing w:after="0"/>
              <w:rPr>
                <w:sz w:val="16"/>
                <w:szCs w:val="16"/>
                <w:color w:val="auto"/>
              </w:rPr>
            </w:pPr>
          </w:p>
        </w:tc>
        <w:tc>
          <w:tcPr>
            <w:tcW w:w="1560" w:type="dxa"/>
            <w:vAlign w:val="bottom"/>
            <w:tcBorders>
              <w:bottom w:val="single" w:sz="8" w:color="auto"/>
              <w:right w:val="single" w:sz="8" w:color="auto"/>
            </w:tcBorders>
          </w:tcPr>
          <w:p>
            <w:pPr>
              <w:spacing w:after="0"/>
              <w:rPr>
                <w:sz w:val="16"/>
                <w:szCs w:val="16"/>
                <w:color w:val="auto"/>
              </w:rPr>
            </w:pPr>
          </w:p>
        </w:tc>
        <w:tc>
          <w:tcPr>
            <w:tcW w:w="1560" w:type="dxa"/>
            <w:vAlign w:val="bottom"/>
            <w:tcBorders>
              <w:bottom w:val="single" w:sz="8" w:color="auto"/>
              <w:right w:val="single" w:sz="8" w:color="auto"/>
            </w:tcBorders>
          </w:tcPr>
          <w:p>
            <w:pPr>
              <w:spacing w:after="0"/>
              <w:rPr>
                <w:sz w:val="16"/>
                <w:szCs w:val="16"/>
                <w:color w:val="auto"/>
              </w:rPr>
            </w:pP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8"/>
              </w:rPr>
              <w:t>$9,120</w:t>
            </w:r>
          </w:p>
        </w:tc>
        <w:tc>
          <w:tcPr>
            <w:tcW w:w="0" w:type="dxa"/>
            <w:vAlign w:val="bottom"/>
          </w:tcPr>
          <w:p>
            <w:pPr>
              <w:spacing w:after="0"/>
              <w:rPr>
                <w:sz w:val="1"/>
                <w:szCs w:val="1"/>
                <w:color w:val="auto"/>
              </w:rPr>
            </w:pPr>
          </w:p>
        </w:tc>
      </w:tr>
    </w:tbl>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27" w:lineRule="exact"/>
        <w:rPr>
          <w:sz w:val="20"/>
          <w:szCs w:val="20"/>
          <w:color w:val="auto"/>
        </w:rPr>
      </w:pPr>
    </w:p>
    <w:p>
      <w:pPr>
        <w:ind w:left="340" w:right="420" w:hanging="332"/>
        <w:spacing w:after="0" w:line="261" w:lineRule="auto"/>
        <w:tabs>
          <w:tab w:leader="none" w:pos="332"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accordance with Rule 416 under the Securities Act of 1933, as amended, this registration statement shall be deemed to cover any additional securities that may from time to time be offered or issued to prevent dilution resulting from stock splits, stock dividends or similar transactions.</w:t>
      </w:r>
    </w:p>
    <w:p>
      <w:pPr>
        <w:jc w:val="both"/>
        <w:ind w:left="340" w:right="400" w:hanging="332"/>
        <w:spacing w:after="0" w:line="254" w:lineRule="auto"/>
        <w:tabs>
          <w:tab w:leader="none" w:pos="332"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additional 4,883,441 and 4,945,762 shares of Class A common stock issuable under the Expensify, Inc. 2021 Incentive Award Plan (the “2021 Incentive Plan”) and the Expensify, Inc. 2021 Stock Purchase and Matching Plan (together with the 2021 Incentive Plan, the “2021 Plans”) resulting from the automatic annual share increases that occurred on January 1, 2022 and January 1, 2023, respectively, pursuant to the terms of the 2021 Plans, which use a combined share reserve.</w:t>
      </w:r>
    </w:p>
    <w:p>
      <w:pPr>
        <w:spacing w:after="0" w:line="1" w:lineRule="exact"/>
        <w:rPr>
          <w:rFonts w:ascii="Times New Roman" w:cs="Times New Roman" w:eastAsia="Times New Roman" w:hAnsi="Times New Roman"/>
          <w:sz w:val="14"/>
          <w:szCs w:val="14"/>
          <w:color w:val="auto"/>
        </w:rPr>
      </w:pPr>
    </w:p>
    <w:p>
      <w:pPr>
        <w:ind w:left="340" w:right="260" w:hanging="332"/>
        <w:spacing w:after="0" w:line="243" w:lineRule="auto"/>
        <w:tabs>
          <w:tab w:leader="none" w:pos="332"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Estimated solely for the purpose of calculating the registration fee pursuant to Rules 457(c) and 457(h) of the Securities Act of 1933, as amended, and based upon the average of the high and low prices of Expensify, Inc.’s (the “Registrant”) Class A common stock as reported on The Nasdaq Stock Market LLC on March 1, 2023.</w:t>
      </w:r>
    </w:p>
    <w:p>
      <w:pPr>
        <w:spacing w:after="0" w:line="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 does not have any fee offsets.</w:t>
      </w:r>
    </w:p>
    <w:p>
      <w:pPr>
        <w:sectPr>
          <w:pgSz w:w="11900" w:h="16838" w:orient="portrait"/>
          <w:cols w:equalWidth="0" w:num="1">
            <w:col w:w="11260"/>
          </w:cols>
          <w:pgMar w:left="320" w:top="117" w:right="31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121" w:lineRule="exact"/>
        <w:rPr>
          <w:sz w:val="20"/>
          <w:szCs w:val="20"/>
          <w:color w:val="auto"/>
        </w:rPr>
      </w:pPr>
    </w:p>
    <w:p>
      <w:pPr>
        <w:ind w:left="6700"/>
        <w:spacing w:after="0"/>
        <w:rPr>
          <w:sz w:val="20"/>
          <w:szCs w:val="20"/>
          <w:color w:val="auto"/>
        </w:rPr>
      </w:pPr>
      <w:r>
        <w:rPr>
          <w:rFonts w:ascii="Arial" w:cs="Arial" w:eastAsia="Arial" w:hAnsi="Arial"/>
          <w:sz w:val="13"/>
          <w:szCs w:val="13"/>
          <w:color w:val="auto"/>
        </w:rPr>
        <w:t>140 Scott Drive</w:t>
      </w:r>
    </w:p>
    <w:p>
      <w:pPr>
        <w:spacing w:after="0" w:line="53" w:lineRule="exact"/>
        <w:rPr>
          <w:sz w:val="20"/>
          <w:szCs w:val="20"/>
          <w:color w:val="auto"/>
        </w:rPr>
      </w:pPr>
    </w:p>
    <w:p>
      <w:pPr>
        <w:ind w:left="6700"/>
        <w:spacing w:after="0"/>
        <w:rPr>
          <w:sz w:val="20"/>
          <w:szCs w:val="20"/>
          <w:color w:val="auto"/>
        </w:rPr>
      </w:pPr>
      <w:r>
        <w:rPr>
          <w:rFonts w:ascii="Arial" w:cs="Arial" w:eastAsia="Arial" w:hAnsi="Arial"/>
          <w:sz w:val="13"/>
          <w:szCs w:val="13"/>
          <w:color w:val="auto"/>
        </w:rPr>
        <w:t>Menlo Park, California 94025</w:t>
      </w:r>
    </w:p>
    <w:p>
      <w:pPr>
        <w:spacing w:after="0" w:line="53" w:lineRule="exact"/>
        <w:rPr>
          <w:sz w:val="20"/>
          <w:szCs w:val="20"/>
          <w:color w:val="auto"/>
        </w:rPr>
      </w:pPr>
    </w:p>
    <w:p>
      <w:pPr>
        <w:ind w:left="6700"/>
        <w:spacing w:after="0"/>
        <w:rPr>
          <w:sz w:val="20"/>
          <w:szCs w:val="20"/>
          <w:color w:val="auto"/>
        </w:rPr>
      </w:pPr>
      <w:r>
        <w:rPr>
          <w:rFonts w:ascii="Arial" w:cs="Arial" w:eastAsia="Arial" w:hAnsi="Arial"/>
          <w:sz w:val="13"/>
          <w:szCs w:val="13"/>
          <w:color w:val="auto"/>
        </w:rPr>
        <w:t>Tel: +1.650.238.4600</w:t>
      </w:r>
    </w:p>
    <w:p>
      <w:pPr>
        <w:spacing w:after="0" w:line="53" w:lineRule="exact"/>
        <w:rPr>
          <w:sz w:val="20"/>
          <w:szCs w:val="20"/>
          <w:color w:val="auto"/>
        </w:rPr>
      </w:pPr>
    </w:p>
    <w:p>
      <w:pPr>
        <w:ind w:left="6700"/>
        <w:spacing w:after="0"/>
        <w:rPr>
          <w:sz w:val="20"/>
          <w:szCs w:val="20"/>
          <w:color w:val="auto"/>
        </w:rPr>
      </w:pPr>
      <w:r>
        <w:rPr>
          <w:rFonts w:ascii="Arial" w:cs="Arial" w:eastAsia="Arial" w:hAnsi="Arial"/>
          <w:sz w:val="13"/>
          <w:szCs w:val="13"/>
          <w:color w:val="auto"/>
        </w:rPr>
        <w:t>www.lw.com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53340</wp:posOffset>
            </wp:positionV>
            <wp:extent cx="264033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6">
                      <a:extLst>
                        <a:ext uri="{28A0092B-C50C-407E-A947-70E740481C1C}"/>
                      </a:extLst>
                    </a:blip>
                    <a:srcRect/>
                    <a:stretch>
                      <a:fillRect/>
                    </a:stretch>
                  </pic:blipFill>
                  <pic:spPr bwMode="auto">
                    <a:xfrm>
                      <a:off x="0" y="0"/>
                      <a:ext cx="2640330" cy="171450"/>
                    </a:xfrm>
                    <a:prstGeom prst="rect">
                      <a:avLst/>
                    </a:prstGeom>
                    <a:noFill/>
                  </pic:spPr>
                </pic:pic>
              </a:graphicData>
            </a:graphic>
          </wp:anchor>
        </w:drawing>
      </w:r>
    </w:p>
    <w:p>
      <w:pPr>
        <w:spacing w:after="0" w:line="303" w:lineRule="exact"/>
        <w:rPr>
          <w:sz w:val="20"/>
          <w:szCs w:val="20"/>
          <w:color w:val="auto"/>
        </w:rPr>
      </w:pPr>
    </w:p>
    <w:p>
      <w:pPr>
        <w:ind w:left="6700"/>
        <w:spacing w:after="0"/>
        <w:rPr>
          <w:sz w:val="20"/>
          <w:szCs w:val="20"/>
          <w:color w:val="auto"/>
        </w:rPr>
      </w:pPr>
      <w:r>
        <w:rPr>
          <w:rFonts w:ascii="Arial" w:cs="Arial" w:eastAsia="Arial" w:hAnsi="Arial"/>
          <w:sz w:val="13"/>
          <w:szCs w:val="13"/>
          <w:color w:val="auto"/>
        </w:rPr>
        <w:t>FIRM / AFFILIATE OFFICES</w:t>
      </w:r>
    </w:p>
    <w:p>
      <w:pPr>
        <w:sectPr>
          <w:pgSz w:w="11900" w:h="16838" w:orient="portrait"/>
          <w:cols w:equalWidth="0" w:num="1">
            <w:col w:w="11240"/>
          </w:cols>
          <w:pgMar w:left="320" w:top="144" w:right="339" w:bottom="1440" w:gutter="0" w:footer="0" w:header="0"/>
        </w:sectPr>
      </w:pPr>
    </w:p>
    <w:p>
      <w:pPr>
        <w:spacing w:after="0" w:line="53"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12"/>
          <w:szCs w:val="12"/>
          <w:color w:val="auto"/>
        </w:rPr>
        <w:t>Austin</w:t>
      </w:r>
    </w:p>
    <w:p>
      <w:pPr>
        <w:spacing w:after="0" w:line="20" w:lineRule="exact"/>
        <w:rPr>
          <w:sz w:val="20"/>
          <w:szCs w:val="20"/>
          <w:color w:val="auto"/>
        </w:rPr>
      </w:pPr>
      <w:r>
        <w:rPr>
          <w:sz w:val="20"/>
          <w:szCs w:val="20"/>
          <w:color w:val="auto"/>
        </w:rPr>
        <w:br w:type="column"/>
      </w:r>
    </w:p>
    <w:p>
      <w:pPr>
        <w:spacing w:after="0" w:line="33" w:lineRule="exact"/>
        <w:rPr>
          <w:sz w:val="20"/>
          <w:szCs w:val="20"/>
          <w:color w:val="auto"/>
        </w:rPr>
      </w:pPr>
    </w:p>
    <w:p>
      <w:pPr>
        <w:spacing w:after="0"/>
        <w:rPr>
          <w:sz w:val="20"/>
          <w:szCs w:val="20"/>
          <w:color w:val="auto"/>
        </w:rPr>
      </w:pPr>
      <w:r>
        <w:rPr>
          <w:rFonts w:ascii="Arial" w:cs="Arial" w:eastAsia="Arial" w:hAnsi="Arial"/>
          <w:sz w:val="12"/>
          <w:szCs w:val="12"/>
          <w:color w:val="auto"/>
        </w:rPr>
        <w:t>Milan</w:t>
      </w:r>
    </w:p>
    <w:p>
      <w:pPr>
        <w:spacing w:after="0" w:line="65" w:lineRule="exact"/>
        <w:rPr>
          <w:sz w:val="20"/>
          <w:szCs w:val="20"/>
          <w:color w:val="auto"/>
        </w:rPr>
      </w:pPr>
    </w:p>
    <w:p>
      <w:pPr>
        <w:sectPr>
          <w:pgSz w:w="11900" w:h="16838" w:orient="portrait"/>
          <w:cols w:equalWidth="0" w:num="2">
            <w:col w:w="7700" w:space="720"/>
            <w:col w:w="2820"/>
          </w:cols>
          <w:pgMar w:left="320" w:top="144" w:right="339" w:bottom="1440" w:gutter="0" w:footer="0" w:header="0"/>
          <w:type w:val="continuous"/>
        </w:sectPr>
      </w:pPr>
    </w:p>
    <w:p>
      <w:pPr>
        <w:ind w:left="6700"/>
        <w:spacing w:after="0"/>
        <w:rPr>
          <w:sz w:val="20"/>
          <w:szCs w:val="20"/>
          <w:color w:val="auto"/>
        </w:rPr>
      </w:pPr>
      <w:r>
        <w:rPr>
          <w:rFonts w:ascii="Arial" w:cs="Arial" w:eastAsia="Arial" w:hAnsi="Arial"/>
          <w:sz w:val="12"/>
          <w:szCs w:val="12"/>
          <w:color w:val="auto"/>
        </w:rPr>
        <w:t>Beijing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Munich</w:t>
      </w:r>
    </w:p>
    <w:p>
      <w:pPr>
        <w:spacing w:after="0" w:line="65" w:lineRule="exact"/>
        <w:rPr>
          <w:sz w:val="20"/>
          <w:szCs w:val="20"/>
          <w:color w:val="auto"/>
        </w:rPr>
      </w:pPr>
    </w:p>
    <w:p>
      <w:pPr>
        <w:sectPr>
          <w:pgSz w:w="11900" w:h="16838" w:orient="portrait"/>
          <w:cols w:equalWidth="0" w:num="2">
            <w:col w:w="7700" w:space="720"/>
            <w:col w:w="2820"/>
          </w:cols>
          <w:pgMar w:left="320" w:top="144" w:right="339" w:bottom="1440" w:gutter="0" w:footer="0" w:header="0"/>
          <w:type w:val="continuous"/>
        </w:sectPr>
      </w:pPr>
    </w:p>
    <w:p>
      <w:pPr>
        <w:ind w:left="6700"/>
        <w:spacing w:after="0"/>
        <w:rPr>
          <w:sz w:val="20"/>
          <w:szCs w:val="20"/>
          <w:color w:val="auto"/>
        </w:rPr>
      </w:pPr>
      <w:r>
        <w:rPr>
          <w:rFonts w:ascii="Arial" w:cs="Arial" w:eastAsia="Arial" w:hAnsi="Arial"/>
          <w:sz w:val="12"/>
          <w:szCs w:val="12"/>
          <w:color w:val="auto"/>
        </w:rPr>
        <w:t>Boston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New York</w:t>
      </w:r>
    </w:p>
    <w:p>
      <w:pPr>
        <w:spacing w:after="0" w:line="65" w:lineRule="exact"/>
        <w:rPr>
          <w:sz w:val="20"/>
          <w:szCs w:val="20"/>
          <w:color w:val="auto"/>
        </w:rPr>
      </w:pPr>
    </w:p>
    <w:p>
      <w:pPr>
        <w:sectPr>
          <w:pgSz w:w="11900" w:h="16838" w:orient="portrait"/>
          <w:cols w:equalWidth="0" w:num="2">
            <w:col w:w="7700" w:space="720"/>
            <w:col w:w="2820"/>
          </w:cols>
          <w:pgMar w:left="320" w:top="144" w:right="339" w:bottom="1440" w:gutter="0" w:footer="0" w:header="0"/>
          <w:type w:val="continuous"/>
        </w:sectPr>
      </w:pPr>
    </w:p>
    <w:p>
      <w:pPr>
        <w:ind w:left="6700"/>
        <w:spacing w:after="0"/>
        <w:rPr>
          <w:sz w:val="20"/>
          <w:szCs w:val="20"/>
          <w:color w:val="auto"/>
        </w:rPr>
      </w:pPr>
      <w:r>
        <w:rPr>
          <w:rFonts w:ascii="Arial" w:cs="Arial" w:eastAsia="Arial" w:hAnsi="Arial"/>
          <w:sz w:val="13"/>
          <w:szCs w:val="13"/>
          <w:color w:val="auto"/>
        </w:rPr>
        <w:t>Brussels</w:t>
      </w:r>
    </w:p>
    <w:p>
      <w:pPr>
        <w:spacing w:after="0" w:line="26" w:lineRule="exact"/>
        <w:rPr>
          <w:sz w:val="20"/>
          <w:szCs w:val="20"/>
          <w:color w:val="auto"/>
        </w:rPr>
      </w:pPr>
    </w:p>
    <w:p>
      <w:pPr>
        <w:ind w:left="6700"/>
        <w:spacing w:after="0"/>
        <w:rPr>
          <w:sz w:val="20"/>
          <w:szCs w:val="20"/>
          <w:color w:val="auto"/>
        </w:rPr>
      </w:pPr>
      <w:r>
        <w:rPr>
          <w:rFonts w:ascii="Arial" w:cs="Arial" w:eastAsia="Arial" w:hAnsi="Arial"/>
          <w:sz w:val="12"/>
          <w:szCs w:val="12"/>
          <w:color w:val="auto"/>
        </w:rPr>
        <w:t>Century City</w:t>
      </w:r>
    </w:p>
    <w:p>
      <w:pPr>
        <w:spacing w:after="0" w:line="38" w:lineRule="exact"/>
        <w:rPr>
          <w:sz w:val="20"/>
          <w:szCs w:val="20"/>
          <w:color w:val="auto"/>
        </w:rPr>
      </w:pPr>
    </w:p>
    <w:p>
      <w:pPr>
        <w:ind w:left="6700"/>
        <w:spacing w:after="0"/>
        <w:rPr>
          <w:sz w:val="20"/>
          <w:szCs w:val="20"/>
          <w:color w:val="auto"/>
        </w:rPr>
      </w:pPr>
      <w:r>
        <w:rPr>
          <w:rFonts w:ascii="Arial" w:cs="Arial" w:eastAsia="Arial" w:hAnsi="Arial"/>
          <w:sz w:val="13"/>
          <w:szCs w:val="13"/>
          <w:color w:val="auto"/>
        </w:rPr>
        <w:t>Chicago</w:t>
      </w:r>
    </w:p>
    <w:p>
      <w:pPr>
        <w:spacing w:after="0" w:line="26" w:lineRule="exact"/>
        <w:rPr>
          <w:sz w:val="20"/>
          <w:szCs w:val="20"/>
          <w:color w:val="auto"/>
        </w:rPr>
      </w:pPr>
    </w:p>
    <w:p>
      <w:pPr>
        <w:ind w:left="6700"/>
        <w:spacing w:after="0"/>
        <w:rPr>
          <w:sz w:val="20"/>
          <w:szCs w:val="20"/>
          <w:color w:val="auto"/>
        </w:rPr>
      </w:pPr>
      <w:r>
        <w:rPr>
          <w:rFonts w:ascii="Arial" w:cs="Arial" w:eastAsia="Arial" w:hAnsi="Arial"/>
          <w:sz w:val="13"/>
          <w:szCs w:val="13"/>
          <w:color w:val="auto"/>
        </w:rPr>
        <w:t>Dubai</w:t>
      </w:r>
    </w:p>
    <w:p>
      <w:pPr>
        <w:spacing w:after="0" w:line="16" w:lineRule="exact"/>
        <w:rPr>
          <w:sz w:val="20"/>
          <w:szCs w:val="20"/>
          <w:color w:val="auto"/>
        </w:rPr>
      </w:pPr>
    </w:p>
    <w:p>
      <w:pPr>
        <w:ind w:left="6700"/>
        <w:spacing w:after="0" w:line="150" w:lineRule="exact"/>
        <w:rPr>
          <w:sz w:val="20"/>
          <w:szCs w:val="20"/>
          <w:color w:val="auto"/>
        </w:rPr>
      </w:pPr>
      <w:r>
        <w:rPr>
          <w:rFonts w:ascii="Arial" w:cs="Arial" w:eastAsia="Arial" w:hAnsi="Arial"/>
          <w:sz w:val="13"/>
          <w:szCs w:val="13"/>
          <w:color w:val="auto"/>
        </w:rPr>
        <w:t>D</w:t>
      </w:r>
      <w:r>
        <w:rPr>
          <w:rFonts w:ascii="MS PGothic" w:cs="MS PGothic" w:eastAsia="MS PGothic" w:hAnsi="MS PGothic"/>
          <w:sz w:val="13"/>
          <w:szCs w:val="13"/>
          <w:color w:val="auto"/>
        </w:rPr>
        <w:t>✔</w:t>
      </w:r>
      <w:r>
        <w:rPr>
          <w:rFonts w:ascii="Arial" w:cs="Arial" w:eastAsia="Arial" w:hAnsi="Arial"/>
          <w:sz w:val="13"/>
          <w:szCs w:val="13"/>
          <w:color w:val="auto"/>
        </w:rPr>
        <w:t>sseldorf</w:t>
      </w:r>
    </w:p>
    <w:p>
      <w:pPr>
        <w:spacing w:after="0" w:line="38" w:lineRule="exact"/>
        <w:rPr>
          <w:sz w:val="20"/>
          <w:szCs w:val="20"/>
          <w:color w:val="auto"/>
        </w:rPr>
      </w:pPr>
    </w:p>
    <w:p>
      <w:pPr>
        <w:ind w:left="6700"/>
        <w:spacing w:after="0"/>
        <w:rPr>
          <w:sz w:val="20"/>
          <w:szCs w:val="20"/>
          <w:color w:val="auto"/>
        </w:rPr>
      </w:pPr>
      <w:r>
        <w:rPr>
          <w:rFonts w:ascii="Arial" w:cs="Arial" w:eastAsia="Arial" w:hAnsi="Arial"/>
          <w:sz w:val="13"/>
          <w:szCs w:val="13"/>
          <w:color w:val="auto"/>
        </w:rPr>
        <w:t>Frankfurt</w:t>
      </w:r>
    </w:p>
    <w:p>
      <w:pPr>
        <w:spacing w:after="0" w:line="24" w:lineRule="exact"/>
        <w:rPr>
          <w:sz w:val="20"/>
          <w:szCs w:val="20"/>
          <w:color w:val="auto"/>
        </w:rPr>
      </w:pPr>
    </w:p>
    <w:p>
      <w:pPr>
        <w:ind w:left="6700"/>
        <w:spacing w:after="0"/>
        <w:rPr>
          <w:sz w:val="20"/>
          <w:szCs w:val="20"/>
          <w:color w:val="auto"/>
        </w:rPr>
      </w:pPr>
      <w:r>
        <w:rPr>
          <w:rFonts w:ascii="Arial" w:cs="Arial" w:eastAsia="Arial" w:hAnsi="Arial"/>
          <w:sz w:val="13"/>
          <w:szCs w:val="13"/>
          <w:color w:val="auto"/>
        </w:rPr>
        <w:t>Hamburg</w:t>
      </w:r>
    </w:p>
    <w:p>
      <w:pPr>
        <w:spacing w:after="0" w:line="26" w:lineRule="exact"/>
        <w:rPr>
          <w:sz w:val="20"/>
          <w:szCs w:val="20"/>
          <w:color w:val="auto"/>
        </w:rPr>
      </w:pPr>
    </w:p>
    <w:p>
      <w:pPr>
        <w:ind w:left="6700"/>
        <w:spacing w:after="0"/>
        <w:rPr>
          <w:sz w:val="20"/>
          <w:szCs w:val="20"/>
          <w:color w:val="auto"/>
        </w:rPr>
      </w:pPr>
      <w:r>
        <w:rPr>
          <w:rFonts w:ascii="Arial" w:cs="Arial" w:eastAsia="Arial" w:hAnsi="Arial"/>
          <w:sz w:val="13"/>
          <w:szCs w:val="13"/>
          <w:color w:val="auto"/>
        </w:rPr>
        <w:t>Hong Kong</w:t>
      </w:r>
    </w:p>
    <w:p>
      <w:pPr>
        <w:spacing w:after="0" w:line="26" w:lineRule="exact"/>
        <w:rPr>
          <w:sz w:val="20"/>
          <w:szCs w:val="20"/>
          <w:color w:val="auto"/>
        </w:rPr>
      </w:pPr>
    </w:p>
    <w:p>
      <w:pPr>
        <w:ind w:left="6700"/>
        <w:spacing w:after="0"/>
        <w:rPr>
          <w:sz w:val="20"/>
          <w:szCs w:val="20"/>
          <w:color w:val="auto"/>
        </w:rPr>
      </w:pPr>
      <w:r>
        <w:rPr>
          <w:rFonts w:ascii="Arial" w:cs="Arial" w:eastAsia="Arial" w:hAnsi="Arial"/>
          <w:sz w:val="13"/>
          <w:szCs w:val="13"/>
          <w:color w:val="auto"/>
        </w:rPr>
        <w:t>Houston</w:t>
      </w:r>
    </w:p>
    <w:p>
      <w:pPr>
        <w:spacing w:after="0" w:line="26" w:lineRule="exact"/>
        <w:rPr>
          <w:sz w:val="20"/>
          <w:szCs w:val="20"/>
          <w:color w:val="auto"/>
        </w:rPr>
      </w:pPr>
    </w:p>
    <w:p>
      <w:pPr>
        <w:ind w:left="6700"/>
        <w:spacing w:after="0"/>
        <w:rPr>
          <w:sz w:val="20"/>
          <w:szCs w:val="20"/>
          <w:color w:val="auto"/>
        </w:rPr>
      </w:pPr>
      <w:r>
        <w:rPr>
          <w:rFonts w:ascii="Arial" w:cs="Arial" w:eastAsia="Arial" w:hAnsi="Arial"/>
          <w:sz w:val="13"/>
          <w:szCs w:val="13"/>
          <w:color w:val="auto"/>
        </w:rPr>
        <w:t>London</w:t>
      </w:r>
    </w:p>
    <w:p>
      <w:pPr>
        <w:spacing w:after="0" w:line="26" w:lineRule="exact"/>
        <w:rPr>
          <w:sz w:val="20"/>
          <w:szCs w:val="20"/>
          <w:color w:val="auto"/>
        </w:rPr>
      </w:pPr>
    </w:p>
    <w:p>
      <w:pPr>
        <w:ind w:left="6700"/>
        <w:spacing w:after="0"/>
        <w:rPr>
          <w:sz w:val="20"/>
          <w:szCs w:val="20"/>
          <w:color w:val="auto"/>
        </w:rPr>
      </w:pPr>
      <w:r>
        <w:rPr>
          <w:rFonts w:ascii="Arial" w:cs="Arial" w:eastAsia="Arial" w:hAnsi="Arial"/>
          <w:sz w:val="12"/>
          <w:szCs w:val="12"/>
          <w:color w:val="auto"/>
        </w:rPr>
        <w:t>Los Angeles</w:t>
      </w:r>
    </w:p>
    <w:p>
      <w:pPr>
        <w:spacing w:after="0" w:line="38" w:lineRule="exact"/>
        <w:rPr>
          <w:sz w:val="20"/>
          <w:szCs w:val="20"/>
          <w:color w:val="auto"/>
        </w:rPr>
      </w:pPr>
    </w:p>
    <w:p>
      <w:pPr>
        <w:ind w:left="6700"/>
        <w:spacing w:after="0"/>
        <w:rPr>
          <w:sz w:val="20"/>
          <w:szCs w:val="20"/>
          <w:color w:val="auto"/>
        </w:rPr>
      </w:pPr>
      <w:r>
        <w:rPr>
          <w:rFonts w:ascii="Arial" w:cs="Arial" w:eastAsia="Arial" w:hAnsi="Arial"/>
          <w:sz w:val="13"/>
          <w:szCs w:val="13"/>
          <w:color w:val="auto"/>
        </w:rPr>
        <w:t>Madrid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Orange County</w:t>
      </w:r>
    </w:p>
    <w:p>
      <w:pPr>
        <w:spacing w:after="0" w:line="26" w:lineRule="exact"/>
        <w:rPr>
          <w:sz w:val="20"/>
          <w:szCs w:val="20"/>
          <w:color w:val="auto"/>
        </w:rPr>
      </w:pPr>
    </w:p>
    <w:p>
      <w:pPr>
        <w:spacing w:after="0"/>
        <w:rPr>
          <w:sz w:val="20"/>
          <w:szCs w:val="20"/>
          <w:color w:val="auto"/>
        </w:rPr>
      </w:pPr>
      <w:r>
        <w:rPr>
          <w:rFonts w:ascii="Arial" w:cs="Arial" w:eastAsia="Arial" w:hAnsi="Arial"/>
          <w:sz w:val="13"/>
          <w:szCs w:val="13"/>
          <w:color w:val="auto"/>
        </w:rPr>
        <w:t>Paris</w:t>
      </w:r>
    </w:p>
    <w:p>
      <w:pPr>
        <w:spacing w:after="0" w:line="26" w:lineRule="exact"/>
        <w:rPr>
          <w:sz w:val="20"/>
          <w:szCs w:val="20"/>
          <w:color w:val="auto"/>
        </w:rPr>
      </w:pPr>
    </w:p>
    <w:p>
      <w:pPr>
        <w:spacing w:after="0"/>
        <w:rPr>
          <w:sz w:val="20"/>
          <w:szCs w:val="20"/>
          <w:color w:val="auto"/>
        </w:rPr>
      </w:pPr>
      <w:r>
        <w:rPr>
          <w:rFonts w:ascii="Arial" w:cs="Arial" w:eastAsia="Arial" w:hAnsi="Arial"/>
          <w:sz w:val="13"/>
          <w:szCs w:val="13"/>
          <w:color w:val="auto"/>
        </w:rPr>
        <w:t>Riyadh</w:t>
      </w:r>
    </w:p>
    <w:p>
      <w:pPr>
        <w:spacing w:after="0" w:line="26" w:lineRule="exact"/>
        <w:rPr>
          <w:sz w:val="20"/>
          <w:szCs w:val="20"/>
          <w:color w:val="auto"/>
        </w:rPr>
      </w:pPr>
    </w:p>
    <w:p>
      <w:pPr>
        <w:spacing w:after="0"/>
        <w:rPr>
          <w:sz w:val="20"/>
          <w:szCs w:val="20"/>
          <w:color w:val="auto"/>
        </w:rPr>
      </w:pPr>
      <w:r>
        <w:rPr>
          <w:rFonts w:ascii="Arial" w:cs="Arial" w:eastAsia="Arial" w:hAnsi="Arial"/>
          <w:sz w:val="13"/>
          <w:szCs w:val="13"/>
          <w:color w:val="auto"/>
        </w:rPr>
        <w:t>San Diego</w:t>
      </w:r>
    </w:p>
    <w:p>
      <w:pPr>
        <w:spacing w:after="0" w:line="26" w:lineRule="exact"/>
        <w:rPr>
          <w:sz w:val="20"/>
          <w:szCs w:val="20"/>
          <w:color w:val="auto"/>
        </w:rPr>
      </w:pPr>
    </w:p>
    <w:p>
      <w:pPr>
        <w:spacing w:after="0"/>
        <w:rPr>
          <w:sz w:val="20"/>
          <w:szCs w:val="20"/>
          <w:color w:val="auto"/>
        </w:rPr>
      </w:pPr>
      <w:r>
        <w:rPr>
          <w:rFonts w:ascii="Arial" w:cs="Arial" w:eastAsia="Arial" w:hAnsi="Arial"/>
          <w:sz w:val="13"/>
          <w:szCs w:val="13"/>
          <w:color w:val="auto"/>
        </w:rPr>
        <w:t>San Francisco</w:t>
      </w:r>
    </w:p>
    <w:p>
      <w:pPr>
        <w:spacing w:after="0" w:line="26" w:lineRule="exact"/>
        <w:rPr>
          <w:sz w:val="20"/>
          <w:szCs w:val="20"/>
          <w:color w:val="auto"/>
        </w:rPr>
      </w:pPr>
    </w:p>
    <w:p>
      <w:pPr>
        <w:spacing w:after="0"/>
        <w:rPr>
          <w:sz w:val="20"/>
          <w:szCs w:val="20"/>
          <w:color w:val="auto"/>
        </w:rPr>
      </w:pPr>
      <w:r>
        <w:rPr>
          <w:rFonts w:ascii="Arial" w:cs="Arial" w:eastAsia="Arial" w:hAnsi="Arial"/>
          <w:sz w:val="13"/>
          <w:szCs w:val="13"/>
          <w:color w:val="auto"/>
        </w:rPr>
        <w:t>Seoul</w:t>
      </w:r>
    </w:p>
    <w:p>
      <w:pPr>
        <w:spacing w:after="0" w:line="26" w:lineRule="exact"/>
        <w:rPr>
          <w:sz w:val="20"/>
          <w:szCs w:val="20"/>
          <w:color w:val="auto"/>
        </w:rPr>
      </w:pPr>
    </w:p>
    <w:p>
      <w:pPr>
        <w:spacing w:after="0"/>
        <w:rPr>
          <w:sz w:val="20"/>
          <w:szCs w:val="20"/>
          <w:color w:val="auto"/>
        </w:rPr>
      </w:pPr>
      <w:r>
        <w:rPr>
          <w:rFonts w:ascii="Arial" w:cs="Arial" w:eastAsia="Arial" w:hAnsi="Arial"/>
          <w:sz w:val="13"/>
          <w:szCs w:val="13"/>
          <w:color w:val="auto"/>
        </w:rPr>
        <w:t>Shanghai</w:t>
      </w:r>
    </w:p>
    <w:p>
      <w:pPr>
        <w:spacing w:after="0" w:line="26" w:lineRule="exact"/>
        <w:rPr>
          <w:sz w:val="20"/>
          <w:szCs w:val="20"/>
          <w:color w:val="auto"/>
        </w:rPr>
      </w:pPr>
    </w:p>
    <w:p>
      <w:pPr>
        <w:spacing w:after="0"/>
        <w:rPr>
          <w:sz w:val="20"/>
          <w:szCs w:val="20"/>
          <w:color w:val="auto"/>
        </w:rPr>
      </w:pPr>
      <w:r>
        <w:rPr>
          <w:rFonts w:ascii="Arial" w:cs="Arial" w:eastAsia="Arial" w:hAnsi="Arial"/>
          <w:sz w:val="13"/>
          <w:szCs w:val="13"/>
          <w:color w:val="auto"/>
        </w:rPr>
        <w:t>Silicon Valley</w:t>
      </w:r>
    </w:p>
    <w:p>
      <w:pPr>
        <w:spacing w:after="0" w:line="26" w:lineRule="exact"/>
        <w:rPr>
          <w:sz w:val="20"/>
          <w:szCs w:val="20"/>
          <w:color w:val="auto"/>
        </w:rPr>
      </w:pPr>
    </w:p>
    <w:p>
      <w:pPr>
        <w:spacing w:after="0"/>
        <w:rPr>
          <w:sz w:val="20"/>
          <w:szCs w:val="20"/>
          <w:color w:val="auto"/>
        </w:rPr>
      </w:pPr>
      <w:r>
        <w:rPr>
          <w:rFonts w:ascii="Arial" w:cs="Arial" w:eastAsia="Arial" w:hAnsi="Arial"/>
          <w:sz w:val="13"/>
          <w:szCs w:val="13"/>
          <w:color w:val="auto"/>
        </w:rPr>
        <w:t>Singapore</w:t>
      </w:r>
    </w:p>
    <w:p>
      <w:pPr>
        <w:spacing w:after="0" w:line="26" w:lineRule="exact"/>
        <w:rPr>
          <w:sz w:val="20"/>
          <w:szCs w:val="20"/>
          <w:color w:val="auto"/>
        </w:rPr>
      </w:pPr>
    </w:p>
    <w:p>
      <w:pPr>
        <w:spacing w:after="0"/>
        <w:rPr>
          <w:sz w:val="20"/>
          <w:szCs w:val="20"/>
          <w:color w:val="auto"/>
        </w:rPr>
      </w:pPr>
      <w:r>
        <w:rPr>
          <w:rFonts w:ascii="Arial" w:cs="Arial" w:eastAsia="Arial" w:hAnsi="Arial"/>
          <w:sz w:val="13"/>
          <w:szCs w:val="13"/>
          <w:color w:val="auto"/>
        </w:rPr>
        <w:t>Tel Aviv</w:t>
      </w:r>
    </w:p>
    <w:p>
      <w:pPr>
        <w:spacing w:after="0" w:line="26" w:lineRule="exact"/>
        <w:rPr>
          <w:sz w:val="20"/>
          <w:szCs w:val="20"/>
          <w:color w:val="auto"/>
        </w:rPr>
      </w:pPr>
    </w:p>
    <w:p>
      <w:pPr>
        <w:spacing w:after="0"/>
        <w:rPr>
          <w:sz w:val="20"/>
          <w:szCs w:val="20"/>
          <w:color w:val="auto"/>
        </w:rPr>
      </w:pPr>
      <w:r>
        <w:rPr>
          <w:rFonts w:ascii="Arial" w:cs="Arial" w:eastAsia="Arial" w:hAnsi="Arial"/>
          <w:sz w:val="13"/>
          <w:szCs w:val="13"/>
          <w:color w:val="auto"/>
        </w:rPr>
        <w:t>Tokyo</w:t>
      </w:r>
    </w:p>
    <w:p>
      <w:pPr>
        <w:spacing w:after="0" w:line="26" w:lineRule="exact"/>
        <w:rPr>
          <w:sz w:val="20"/>
          <w:szCs w:val="20"/>
          <w:color w:val="auto"/>
        </w:rPr>
      </w:pPr>
    </w:p>
    <w:p>
      <w:pPr>
        <w:spacing w:after="0"/>
        <w:rPr>
          <w:sz w:val="20"/>
          <w:szCs w:val="20"/>
          <w:color w:val="auto"/>
        </w:rPr>
      </w:pPr>
      <w:r>
        <w:rPr>
          <w:rFonts w:ascii="Arial" w:cs="Arial" w:eastAsia="Arial" w:hAnsi="Arial"/>
          <w:sz w:val="12"/>
          <w:szCs w:val="12"/>
          <w:color w:val="auto"/>
        </w:rPr>
        <w:t>Washington, D.C.</w:t>
      </w:r>
    </w:p>
    <w:p>
      <w:pPr>
        <w:spacing w:after="0" w:line="211" w:lineRule="exact"/>
        <w:rPr>
          <w:sz w:val="20"/>
          <w:szCs w:val="20"/>
          <w:color w:val="auto"/>
        </w:rPr>
      </w:pPr>
    </w:p>
    <w:p>
      <w:pPr>
        <w:sectPr>
          <w:pgSz w:w="11900" w:h="16838" w:orient="portrait"/>
          <w:cols w:equalWidth="0" w:num="2">
            <w:col w:w="7700" w:space="720"/>
            <w:col w:w="2820"/>
          </w:cols>
          <w:pgMar w:left="320" w:top="144" w:right="339" w:bottom="1440" w:gutter="0" w:footer="0" w:header="0"/>
          <w:type w:val="continuous"/>
        </w:sect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March 8, 2023</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Expensify, Inc.</w:t>
      </w:r>
    </w:p>
    <w:p>
      <w:pPr>
        <w:spacing w:after="0" w:line="221" w:lineRule="auto"/>
        <w:rPr>
          <w:sz w:val="20"/>
          <w:szCs w:val="20"/>
          <w:color w:val="auto"/>
        </w:rPr>
      </w:pPr>
      <w:r>
        <w:rPr>
          <w:rFonts w:ascii="Times New Roman" w:cs="Times New Roman" w:eastAsia="Times New Roman" w:hAnsi="Times New Roman"/>
          <w:sz w:val="22"/>
          <w:szCs w:val="22"/>
          <w:color w:val="auto"/>
        </w:rPr>
        <w:t>401 SW 5</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Ave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Portland, Oregon 97204</w:t>
      </w:r>
    </w:p>
    <w:p>
      <w:pPr>
        <w:spacing w:after="0" w:line="182" w:lineRule="exact"/>
        <w:rPr>
          <w:sz w:val="20"/>
          <w:szCs w:val="20"/>
          <w:color w:val="auto"/>
        </w:rPr>
      </w:pPr>
    </w:p>
    <w:p>
      <w:pPr>
        <w:ind w:left="1180" w:right="600" w:hanging="647"/>
        <w:spacing w:after="0" w:line="258" w:lineRule="auto"/>
        <w:tabs>
          <w:tab w:leader="none" w:pos="1160" w:val="left"/>
        </w:tabs>
        <w:rPr>
          <w:sz w:val="20"/>
          <w:szCs w:val="20"/>
          <w:color w:val="auto"/>
        </w:rPr>
      </w:pPr>
      <w:r>
        <w:rPr>
          <w:rFonts w:ascii="Times New Roman" w:cs="Times New Roman" w:eastAsia="Times New Roman" w:hAnsi="Times New Roman"/>
          <w:sz w:val="22"/>
          <w:szCs w:val="22"/>
          <w:color w:val="auto"/>
        </w:rPr>
        <w:t>Re:</w:t>
      </w:r>
      <w:r>
        <w:rPr>
          <w:sz w:val="20"/>
          <w:szCs w:val="20"/>
          <w:color w:val="auto"/>
        </w:rPr>
        <w:tab/>
      </w:r>
      <w:r>
        <w:rPr>
          <w:rFonts w:ascii="Times New Roman" w:cs="Times New Roman" w:eastAsia="Times New Roman" w:hAnsi="Times New Roman"/>
          <w:sz w:val="22"/>
          <w:szCs w:val="22"/>
          <w:u w:val="single" w:color="auto"/>
          <w:color w:val="auto"/>
        </w:rPr>
        <w:t>Registration Statement on Form S-8; 9,829,203 shares of Class A common stock of Expensify, Inc., par value $0.0001 per share</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To the addressees set forth above:</w:t>
      </w:r>
    </w:p>
    <w:p>
      <w:pPr>
        <w:spacing w:after="0" w:line="22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We have acted as special counsel to Expensify, Inc., a Delaware corporation (the “</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 in connection with the preparation and filing by the Company on the date hereof with the Securities and Exchange Commission (the “</w:t>
      </w:r>
      <w:r>
        <w:rPr>
          <w:rFonts w:ascii="Times New Roman" w:cs="Times New Roman" w:eastAsia="Times New Roman" w:hAnsi="Times New Roman"/>
          <w:sz w:val="22"/>
          <w:szCs w:val="22"/>
          <w:b w:val="1"/>
          <w:bCs w:val="1"/>
          <w:i w:val="1"/>
          <w:iCs w:val="1"/>
          <w:color w:val="auto"/>
        </w:rPr>
        <w:t>Commission</w:t>
      </w:r>
      <w:r>
        <w:rPr>
          <w:rFonts w:ascii="Times New Roman" w:cs="Times New Roman" w:eastAsia="Times New Roman" w:hAnsi="Times New Roman"/>
          <w:sz w:val="22"/>
          <w:szCs w:val="22"/>
          <w:color w:val="auto"/>
        </w:rPr>
        <w:t>”) of a Registration Statement on Form S-8 (the “</w:t>
      </w:r>
      <w:r>
        <w:rPr>
          <w:rFonts w:ascii="Times New Roman" w:cs="Times New Roman" w:eastAsia="Times New Roman" w:hAnsi="Times New Roman"/>
          <w:sz w:val="22"/>
          <w:szCs w:val="22"/>
          <w:b w:val="1"/>
          <w:bCs w:val="1"/>
          <w:i w:val="1"/>
          <w:iCs w:val="1"/>
          <w:color w:val="auto"/>
        </w:rPr>
        <w:t>Registration Statement</w:t>
      </w:r>
      <w:r>
        <w:rPr>
          <w:rFonts w:ascii="Times New Roman" w:cs="Times New Roman" w:eastAsia="Times New Roman" w:hAnsi="Times New Roman"/>
          <w:sz w:val="22"/>
          <w:szCs w:val="22"/>
          <w:color w:val="auto"/>
        </w:rPr>
        <w:t>”) under the Securities Act of 1933, as amended (the “</w:t>
      </w:r>
      <w:r>
        <w:rPr>
          <w:rFonts w:ascii="Times New Roman" w:cs="Times New Roman" w:eastAsia="Times New Roman" w:hAnsi="Times New Roman"/>
          <w:sz w:val="22"/>
          <w:szCs w:val="22"/>
          <w:b w:val="1"/>
          <w:bCs w:val="1"/>
          <w:i w:val="1"/>
          <w:iCs w:val="1"/>
          <w:color w:val="auto"/>
        </w:rPr>
        <w:t>Act</w:t>
      </w:r>
      <w:r>
        <w:rPr>
          <w:rFonts w:ascii="Times New Roman" w:cs="Times New Roman" w:eastAsia="Times New Roman" w:hAnsi="Times New Roman"/>
          <w:sz w:val="22"/>
          <w:szCs w:val="22"/>
          <w:color w:val="auto"/>
        </w:rPr>
        <w:t>”), relating to the issuance of up to 9,829,203 shares (the “</w:t>
      </w:r>
      <w:r>
        <w:rPr>
          <w:rFonts w:ascii="Times New Roman" w:cs="Times New Roman" w:eastAsia="Times New Roman" w:hAnsi="Times New Roman"/>
          <w:sz w:val="22"/>
          <w:szCs w:val="22"/>
          <w:b w:val="1"/>
          <w:bCs w:val="1"/>
          <w:i w:val="1"/>
          <w:iCs w:val="1"/>
          <w:color w:val="auto"/>
        </w:rPr>
        <w:t>Shares</w:t>
      </w:r>
      <w:r>
        <w:rPr>
          <w:rFonts w:ascii="Times New Roman" w:cs="Times New Roman" w:eastAsia="Times New Roman" w:hAnsi="Times New Roman"/>
          <w:sz w:val="22"/>
          <w:szCs w:val="22"/>
          <w:color w:val="auto"/>
        </w:rPr>
        <w:t>”) of Class A common stock of the Company, $0.0001 par value per share, which may be issued pursuant to the Company’s 2021 Incentive Award Plan (the “</w:t>
      </w:r>
      <w:r>
        <w:rPr>
          <w:rFonts w:ascii="Times New Roman" w:cs="Times New Roman" w:eastAsia="Times New Roman" w:hAnsi="Times New Roman"/>
          <w:sz w:val="22"/>
          <w:szCs w:val="22"/>
          <w:b w:val="1"/>
          <w:bCs w:val="1"/>
          <w:i w:val="1"/>
          <w:iCs w:val="1"/>
          <w:color w:val="auto"/>
        </w:rPr>
        <w:t>2021 Incentive Plan</w:t>
      </w:r>
      <w:r>
        <w:rPr>
          <w:rFonts w:ascii="Times New Roman" w:cs="Times New Roman" w:eastAsia="Times New Roman" w:hAnsi="Times New Roman"/>
          <w:sz w:val="22"/>
          <w:szCs w:val="22"/>
          <w:color w:val="auto"/>
        </w:rPr>
        <w:t>”) and the Company’s 2021 Stock Purchase and Matching Plan (together with the 2021 Incentive Plan, the “</w:t>
      </w:r>
      <w:r>
        <w:rPr>
          <w:rFonts w:ascii="Times New Roman" w:cs="Times New Roman" w:eastAsia="Times New Roman" w:hAnsi="Times New Roman"/>
          <w:sz w:val="22"/>
          <w:szCs w:val="22"/>
          <w:b w:val="1"/>
          <w:bCs w:val="1"/>
          <w:i w:val="1"/>
          <w:iCs w:val="1"/>
          <w:color w:val="auto"/>
        </w:rPr>
        <w:t>Plans</w:t>
      </w:r>
      <w:r>
        <w:rPr>
          <w:rFonts w:ascii="Times New Roman" w:cs="Times New Roman" w:eastAsia="Times New Roman" w:hAnsi="Times New Roman"/>
          <w:sz w:val="22"/>
          <w:szCs w:val="22"/>
          <w:color w:val="auto"/>
        </w:rPr>
        <w:t>”).</w:t>
      </w:r>
    </w:p>
    <w:p>
      <w:pPr>
        <w:spacing w:after="0" w:line="181"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This opinion is being furnished in connection with the requirements of Item 601(b)(5) of Regulation S-K under the Act, and no opinion is expressed herein as to any matter pertaining to the contents of the Registration Statement or related prospectus, other than as expressly stated herein with respect to the issuance of the Shares.</w:t>
      </w:r>
    </w:p>
    <w:p>
      <w:pPr>
        <w:spacing w:after="0" w:line="17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As such counsel, we have examined such matters of fact and questions of law as we have considered appropriate for purposes of this letter. With your consent, we have relied upon certificates and other assurances of officers of the Company and others as to factual matters without having independently verified such factual matters. We are opining herein as to the General Corporation Law of the State of Delaware (the “</w:t>
      </w:r>
      <w:r>
        <w:rPr>
          <w:rFonts w:ascii="Times New Roman" w:cs="Times New Roman" w:eastAsia="Times New Roman" w:hAnsi="Times New Roman"/>
          <w:sz w:val="22"/>
          <w:szCs w:val="22"/>
          <w:b w:val="1"/>
          <w:bCs w:val="1"/>
          <w:i w:val="1"/>
          <w:iCs w:val="1"/>
          <w:color w:val="auto"/>
        </w:rPr>
        <w:t>DGCL</w:t>
      </w:r>
      <w:r>
        <w:rPr>
          <w:rFonts w:ascii="Times New Roman" w:cs="Times New Roman" w:eastAsia="Times New Roman" w:hAnsi="Times New Roman"/>
          <w:sz w:val="22"/>
          <w:szCs w:val="22"/>
          <w:color w:val="auto"/>
        </w:rPr>
        <w:t>”), and we express no opinion with respect to any other laws.</w:t>
      </w:r>
    </w:p>
    <w:p>
      <w:pPr>
        <w:sectPr>
          <w:pgSz w:w="11900" w:h="16838" w:orient="portrait"/>
          <w:cols w:equalWidth="0" w:num="1">
            <w:col w:w="11240"/>
          </w:cols>
          <w:pgMar w:left="320" w:top="144" w:right="339" w:bottom="1440" w:gutter="0" w:footer="0" w:header="0"/>
          <w:type w:val="continuous"/>
        </w:sectPr>
      </w:pPr>
    </w:p>
    <w:bookmarkStart w:id="7" w:name="page8"/>
    <w:bookmarkEnd w:id="7"/>
    <w:p>
      <w:pPr>
        <w:ind w:left="660"/>
        <w:spacing w:after="0"/>
        <w:rPr>
          <w:sz w:val="20"/>
          <w:szCs w:val="20"/>
          <w:color w:val="auto"/>
        </w:rPr>
      </w:pPr>
      <w:r>
        <w:rPr>
          <w:rFonts w:ascii="Arial" w:cs="Arial" w:eastAsia="Arial" w:hAnsi="Arial"/>
          <w:sz w:val="13"/>
          <w:szCs w:val="13"/>
          <w:b w:val="1"/>
          <w:bCs w:val="1"/>
          <w:color w:val="auto"/>
        </w:rPr>
        <w:t>March 8, 2023</w:t>
      </w:r>
    </w:p>
    <w:p>
      <w:pPr>
        <w:spacing w:after="0" w:line="11" w:lineRule="exact"/>
        <w:rPr>
          <w:sz w:val="20"/>
          <w:szCs w:val="20"/>
          <w:color w:val="auto"/>
        </w:rPr>
      </w:pPr>
    </w:p>
    <w:p>
      <w:pPr>
        <w:ind w:left="660"/>
        <w:spacing w:after="0"/>
        <w:rPr>
          <w:sz w:val="20"/>
          <w:szCs w:val="20"/>
          <w:color w:val="auto"/>
        </w:rPr>
      </w:pPr>
      <w:r>
        <w:rPr>
          <w:rFonts w:ascii="Arial" w:cs="Arial" w:eastAsia="Arial" w:hAnsi="Arial"/>
          <w:sz w:val="13"/>
          <w:szCs w:val="13"/>
          <w:b w:val="1"/>
          <w:bCs w:val="1"/>
          <w:color w:val="auto"/>
        </w:rPr>
        <w:t>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277495</wp:posOffset>
            </wp:positionV>
            <wp:extent cx="1388745" cy="939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7">
                      <a:extLst>
                        <a:ext uri="{28A0092B-C50C-407E-A947-70E740481C1C}"/>
                      </a:extLst>
                    </a:blip>
                    <a:srcRect/>
                    <a:stretch>
                      <a:fillRect/>
                    </a:stretch>
                  </pic:blipFill>
                  <pic:spPr bwMode="auto">
                    <a:xfrm>
                      <a:off x="0" y="0"/>
                      <a:ext cx="1388745" cy="93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1"/>
          <w:szCs w:val="21"/>
          <w:color w:val="auto"/>
        </w:rPr>
        <w:t>Subject to the foregoing and the other matters set forth herein, it is our opinion that, as of the date hereof, when the Shares shall have been duly registered on the books of the transfer agent and registrar therefor in the name or on behalf of the purchasers, and have been issued by the Company for legal consideration of not less than par value in the circumstances contemplated by the Plans, as applicable, assuming in each case that the individual issuances, grants or awards under the Plans, as applicable, are duly authorized by all necessary corporate action and duly issued, granted or awarded and exercised in accordance with the requirements of law and the Plans, as applicable (and the agreements duly adopted thereunder and in accordance therewith), the issuance and sale of the Shares will have been duly authorized by all necessary corporate action of the Company, and the Shares will be validly issued, fully paid and non-assessable. In rendering the foregoing opinion, we have assumed that the Company will comply with all applicable notice requirements regarding uncertificated shares provided in the DGCL.</w:t>
      </w:r>
    </w:p>
    <w:p>
      <w:pPr>
        <w:spacing w:after="0" w:line="19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This opinion is for your benefit in connection with the Registration Statement and may be relied upon by you and by persons entitled to rely upon it pursuant to the applicable provisions of the Act. We consent to your filing this opinion as an exhibit to the Registration Statement. In giving such consent, we do not thereby admit that we are in the category of persons whose consent is required under Section 7 of the Act or the rules and regulations of the Commission thereunder.</w:t>
      </w:r>
    </w:p>
    <w:p>
      <w:pPr>
        <w:spacing w:after="0" w:line="203"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22"/>
          <w:szCs w:val="22"/>
          <w:color w:val="auto"/>
        </w:rPr>
        <w:t>Sincerely,</w:t>
      </w:r>
    </w:p>
    <w:p>
      <w:pPr>
        <w:spacing w:after="0" w:line="287"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22"/>
          <w:szCs w:val="22"/>
          <w:color w:val="auto"/>
        </w:rPr>
        <w:t>/s/ Latham &amp; Watkins LLP</w:t>
      </w:r>
    </w:p>
    <w:p>
      <w:pPr>
        <w:sectPr>
          <w:pgSz w:w="11900" w:h="16838" w:orient="portrait"/>
          <w:cols w:equalWidth="0" w:num="1">
            <w:col w:w="11240"/>
          </w:cols>
          <w:pgMar w:left="320" w:top="121" w:right="339"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16" w:lineRule="exact"/>
        <w:rPr>
          <w:sz w:val="20"/>
          <w:szCs w:val="20"/>
          <w:color w:val="auto"/>
        </w:rPr>
      </w:pPr>
    </w:p>
    <w:p>
      <w:pPr>
        <w:ind w:right="40"/>
        <w:spacing w:after="0" w:line="245" w:lineRule="auto"/>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 (Form S-8) pertaining to the Expensify, Inc. 2021 Incentive Award Plan, and the Expensify, Inc. 2021 Stock Purchase and Matching Plan of our reports dated March 8, 2023, with respect to the consolidated financial statements of Expensify, Inc., and the effectiveness of internal control over financial reporting of Expensify, Inc., included in its Annual Report (Form 10-K) for the year ended December 31, 2022, filed with the Securities and Exchange Commission.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Francisco, California</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8, 2023</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24" Type="http://schemas.openxmlformats.org/officeDocument/2006/relationships/image" Target="media/image8.png"/><Relationship Id="rId25" Type="http://schemas.openxmlformats.org/officeDocument/2006/relationships/image" Target="media/image9.png"/><Relationship Id="rId26" Type="http://schemas.openxmlformats.org/officeDocument/2006/relationships/image" Target="media/image10.png"/><Relationship Id="rId27" Type="http://schemas.openxmlformats.org/officeDocument/2006/relationships/image" Target="media/image11.png"/><Relationship Id="rId28" Type="http://schemas.openxmlformats.org/officeDocument/2006/relationships/image" Target="media/image12.png"/><Relationship Id="rId29" Type="http://schemas.openxmlformats.org/officeDocument/2006/relationships/image" Target="media/image13.png"/><Relationship Id="rId30" Type="http://schemas.openxmlformats.org/officeDocument/2006/relationships/image" Target="media/image14.png"/><Relationship Id="rId31" Type="http://schemas.openxmlformats.org/officeDocument/2006/relationships/image" Target="media/image15.png"/><Relationship Id="rId32" Type="http://schemas.openxmlformats.org/officeDocument/2006/relationships/image" Target="media/image16.png"/><Relationship Id="rId33" Type="http://schemas.openxmlformats.org/officeDocument/2006/relationships/image" Target="media/image17.png"/><Relationship Id="rId34" Type="http://schemas.openxmlformats.org/officeDocument/2006/relationships/image" Target="media/image18.png"/><Relationship Id="rId35" Type="http://schemas.openxmlformats.org/officeDocument/2006/relationships/image" Target="media/image19.png"/><Relationship Id="rId36" Type="http://schemas.openxmlformats.org/officeDocument/2006/relationships/image" Target="media/image20.jpeg"/><Relationship Id="rId37" Type="http://schemas.openxmlformats.org/officeDocument/2006/relationships/image" Target="media/image21.jpeg"/><Relationship Id="rId15" Type="http://schemas.openxmlformats.org/officeDocument/2006/relationships/hyperlink" Target="https://www.sec.gov/Archives/edgar/data/1476840/000162828021022663/s-8primary.htm" TargetMode="External"/><Relationship Id="rId16" Type="http://schemas.openxmlformats.org/officeDocument/2006/relationships/hyperlink" Target="https://www.sec.gov/Archives/edgar/data/0001476840/000147684023000032/exhibit31-10xk2022.htm" TargetMode="External"/><Relationship Id="rId17" Type="http://schemas.openxmlformats.org/officeDocument/2006/relationships/hyperlink" Target="https://www.sec.gov/Archives/edgar/data/1476840/000162828021023404/exhibit32-8xkclosing.htm" TargetMode="External"/><Relationship Id="rId18" Type="http://schemas.openxmlformats.org/officeDocument/2006/relationships/hyperlink" Target="https://www.sec.gov/Archives/edgar/data/1476840/000162828021020900/exhibit41-sx1a2.htm" TargetMode="External"/><Relationship Id="rId19" Type="http://schemas.openxmlformats.org/officeDocument/2006/relationships/hyperlink" Target="https://www.sec.gov/Archives/edgar/data/1476840/000162828021020900/exhibit1018-sx1a2.htm" TargetMode="External"/><Relationship Id="rId20" Type="http://schemas.openxmlformats.org/officeDocument/2006/relationships/hyperlink" Target="https://www.sec.gov/Archives/edgar/data/1476840/000162828021020900/exhibit1020-sx1a2.htm" TargetMode="External"/><Relationship Id="rId21" Type="http://schemas.openxmlformats.org/officeDocument/2006/relationships/hyperlink" Target="https://www.sec.gov/Archives/edgar/data/1476840/000162828021020900/exhibit1021-sx1a2.htm" TargetMode="External"/><Relationship Id="rId22" Type="http://schemas.openxmlformats.org/officeDocument/2006/relationships/hyperlink" Target="https://www.sec.gov/Archives/edgar/data/1476840/000147684022000016/exhibit1019-10xk.htm" TargetMode="External"/><Relationship Id="rId23" Type="http://schemas.openxmlformats.org/officeDocument/2006/relationships/hyperlink" Target="https://www.sec.gov/Archives/edgar/data/1476840/000162828021020900/exhibit1022-sx1a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2023-03-08T16:51:31Z</dcterms:created>
  <dcterms:modified xsi:type="dcterms:W3CDTF">2023-03-08T16:51:31Z</dcterms:modified>
</cp:coreProperties>
</file>