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065" cy="943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3038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OpenView Management, LLC</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303 CONGRESS STREET,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Expensify,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EXFY</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11/15/2021</w:t>
      </w:r>
    </w:p>
    <w:p>
      <w:pPr>
        <w:spacing w:after="0" w:line="20" w:lineRule="exact"/>
        <w:rPr>
          <w:sz w:val="24"/>
          <w:szCs w:val="24"/>
          <w:color w:val="auto"/>
        </w:rPr>
      </w:pPr>
      <w:r>
        <w:rPr>
          <w:sz w:val="24"/>
          <w:szCs w:val="24"/>
          <w:color w:val="auto"/>
        </w:rPr>
        <w:br w:type="column"/>
      </w:r>
    </w:p>
    <w:p>
      <w:pPr>
        <w:ind w:left="-10" w:right="700" w:firstLine="10"/>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0"/>
        <w:spacing w:after="0"/>
        <w:tabs>
          <w:tab w:leader="none" w:pos="1750" w:val="left"/>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0" w:lineRule="exact"/>
        <w:rPr>
          <w:sz w:val="24"/>
          <w:szCs w:val="24"/>
          <w:color w:val="auto"/>
        </w:rPr>
      </w:pPr>
    </w:p>
    <w:p>
      <w:pPr>
        <w:sectPr>
          <w:pgSz w:w="11900" w:h="16838" w:orient="portrait"/>
          <w:cols w:equalWidth="0" w:num="3">
            <w:col w:w="3180" w:space="720"/>
            <w:col w:w="3110" w:space="720"/>
            <w:col w:w="3350"/>
          </w:cols>
          <w:pgMar w:left="460" w:top="219" w:right="359" w:bottom="0" w:gutter="0" w:footer="0" w:header="0"/>
          <w:type w:val="continuous"/>
        </w:sectPr>
      </w:pP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BOSTON</w:t>
            </w:r>
          </w:p>
        </w:tc>
        <w:tc>
          <w:tcPr>
            <w:tcW w:w="1100" w:type="dxa"/>
            <w:vAlign w:val="bottom"/>
          </w:tcPr>
          <w:p>
            <w:pPr>
              <w:ind w:left="30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02210</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80" w:hanging="3826"/>
        <w:spacing w:after="0" w:line="230"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2">
            <w:col w:w="7000" w:space="720"/>
            <w:col w:w="33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right"/>
              <w:ind w:right="331"/>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right"/>
              <w:ind w:right="71"/>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40"/>
              <w:spacing w:after="0" w:line="126"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spacing w:after="0" w:line="126"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5"/>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5"/>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6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0000FF"/>
                <w:w w:val="96"/>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OpenView</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tcPr>
          <w:p>
            <w:pPr>
              <w:ind w:left="840"/>
              <w:spacing w:after="0"/>
              <w:rPr>
                <w:sz w:val="20"/>
                <w:szCs w:val="20"/>
                <w:color w:val="auto"/>
              </w:rPr>
            </w:pPr>
            <w:r>
              <w:rPr>
                <w:rFonts w:ascii="Arial" w:cs="Arial" w:eastAsia="Arial" w:hAnsi="Arial"/>
                <w:sz w:val="16"/>
                <w:szCs w:val="16"/>
                <w:color w:val="0000FF"/>
              </w:rPr>
              <w:t>11/15/2021</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right="224"/>
              <w:spacing w:after="0"/>
              <w:rPr>
                <w:sz w:val="20"/>
                <w:szCs w:val="20"/>
                <w:color w:val="auto"/>
              </w:rPr>
            </w:pPr>
            <w:r>
              <w:rPr>
                <w:rFonts w:ascii="Arial" w:cs="Arial" w:eastAsia="Arial" w:hAnsi="Arial"/>
                <w:sz w:val="13"/>
                <w:szCs w:val="13"/>
                <w:color w:val="0000FF"/>
                <w:w w:val="84"/>
              </w:rPr>
              <w:t>C</w:t>
            </w:r>
          </w:p>
        </w:tc>
        <w:tc>
          <w:tcPr>
            <w:tcW w:w="1080" w:type="dxa"/>
            <w:vAlign w:val="bottom"/>
            <w:gridSpan w:val="2"/>
          </w:tcPr>
          <w:p>
            <w:pPr>
              <w:jc w:val="center"/>
              <w:ind w:right="79"/>
              <w:spacing w:after="0"/>
              <w:rPr>
                <w:sz w:val="20"/>
                <w:szCs w:val="20"/>
                <w:color w:val="auto"/>
              </w:rPr>
            </w:pPr>
            <w:r>
              <w:rPr>
                <w:rFonts w:ascii="Arial" w:cs="Arial" w:eastAsia="Arial" w:hAnsi="Arial"/>
                <w:sz w:val="16"/>
                <w:szCs w:val="16"/>
                <w:color w:val="0000FF"/>
                <w:w w:val="92"/>
              </w:rPr>
              <w:t>12,481,460</w:t>
            </w:r>
          </w:p>
        </w:tc>
        <w:tc>
          <w:tcPr>
            <w:tcW w:w="200" w:type="dxa"/>
            <w:vAlign w:val="bottom"/>
          </w:tcPr>
          <w:p>
            <w:pPr>
              <w:spacing w:after="0"/>
              <w:rPr>
                <w:sz w:val="20"/>
                <w:szCs w:val="20"/>
                <w:color w:val="auto"/>
              </w:rPr>
            </w:pPr>
            <w:r>
              <w:rPr>
                <w:rFonts w:ascii="Arial" w:cs="Arial" w:eastAsia="Arial" w:hAnsi="Arial"/>
                <w:sz w:val="16"/>
                <w:szCs w:val="16"/>
                <w:color w:val="0000FF"/>
              </w:rPr>
              <w:t>A</w:t>
            </w:r>
          </w:p>
        </w:tc>
        <w:tc>
          <w:tcPr>
            <w:tcW w:w="740" w:type="dxa"/>
            <w:vAlign w:val="bottom"/>
          </w:tcPr>
          <w:p>
            <w:pPr>
              <w:jc w:val="center"/>
              <w:ind w:left="31"/>
              <w:spacing w:after="0"/>
              <w:rPr>
                <w:sz w:val="20"/>
                <w:szCs w:val="20"/>
                <w:color w:val="auto"/>
              </w:rPr>
            </w:pPr>
            <w:r>
              <w:rPr>
                <w:rFonts w:ascii="Arial" w:cs="Arial" w:eastAsia="Arial" w:hAnsi="Arial"/>
                <w:sz w:val="10"/>
                <w:szCs w:val="10"/>
                <w:color w:val="008000"/>
                <w:w w:val="97"/>
              </w:rPr>
              <w:t>(1)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12,511,960</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Venture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IV,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6"/>
              </w:rPr>
              <w:t>By</w:t>
            </w: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OpenView</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tcPr>
          <w:p>
            <w:pPr>
              <w:ind w:left="840"/>
              <w:spacing w:after="0"/>
              <w:rPr>
                <w:sz w:val="20"/>
                <w:szCs w:val="20"/>
                <w:color w:val="auto"/>
              </w:rPr>
            </w:pPr>
            <w:r>
              <w:rPr>
                <w:rFonts w:ascii="Arial" w:cs="Arial" w:eastAsia="Arial" w:hAnsi="Arial"/>
                <w:sz w:val="16"/>
                <w:szCs w:val="16"/>
                <w:color w:val="0000FF"/>
              </w:rPr>
              <w:t>11/15/2021</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right="224"/>
              <w:spacing w:after="0"/>
              <w:rPr>
                <w:sz w:val="20"/>
                <w:szCs w:val="20"/>
                <w:color w:val="auto"/>
              </w:rPr>
            </w:pPr>
            <w:r>
              <w:rPr>
                <w:rFonts w:ascii="Arial" w:cs="Arial" w:eastAsia="Arial" w:hAnsi="Arial"/>
                <w:sz w:val="13"/>
                <w:szCs w:val="13"/>
                <w:color w:val="0000FF"/>
                <w:w w:val="84"/>
              </w:rPr>
              <w:t>C</w:t>
            </w:r>
          </w:p>
        </w:tc>
        <w:tc>
          <w:tcPr>
            <w:tcW w:w="1080" w:type="dxa"/>
            <w:vAlign w:val="bottom"/>
            <w:gridSpan w:val="2"/>
          </w:tcPr>
          <w:p>
            <w:pPr>
              <w:jc w:val="center"/>
              <w:ind w:right="79"/>
              <w:spacing w:after="0"/>
              <w:rPr>
                <w:sz w:val="20"/>
                <w:szCs w:val="20"/>
                <w:color w:val="auto"/>
              </w:rPr>
            </w:pPr>
            <w:r>
              <w:rPr>
                <w:rFonts w:ascii="Arial" w:cs="Arial" w:eastAsia="Arial" w:hAnsi="Arial"/>
                <w:sz w:val="16"/>
                <w:szCs w:val="16"/>
                <w:color w:val="0000FF"/>
                <w:w w:val="93"/>
              </w:rPr>
              <w:t>408,030</w:t>
            </w:r>
          </w:p>
        </w:tc>
        <w:tc>
          <w:tcPr>
            <w:tcW w:w="200" w:type="dxa"/>
            <w:vAlign w:val="bottom"/>
          </w:tcPr>
          <w:p>
            <w:pPr>
              <w:spacing w:after="0"/>
              <w:rPr>
                <w:sz w:val="20"/>
                <w:szCs w:val="20"/>
                <w:color w:val="auto"/>
              </w:rPr>
            </w:pPr>
            <w:r>
              <w:rPr>
                <w:rFonts w:ascii="Arial" w:cs="Arial" w:eastAsia="Arial" w:hAnsi="Arial"/>
                <w:sz w:val="16"/>
                <w:szCs w:val="16"/>
                <w:color w:val="0000FF"/>
              </w:rPr>
              <w:t>A</w:t>
            </w:r>
          </w:p>
        </w:tc>
        <w:tc>
          <w:tcPr>
            <w:tcW w:w="740" w:type="dxa"/>
            <w:vAlign w:val="bottom"/>
          </w:tcPr>
          <w:p>
            <w:pPr>
              <w:jc w:val="center"/>
              <w:ind w:left="31"/>
              <w:spacing w:after="0"/>
              <w:rPr>
                <w:sz w:val="20"/>
                <w:szCs w:val="20"/>
                <w:color w:val="auto"/>
              </w:rPr>
            </w:pPr>
            <w:r>
              <w:rPr>
                <w:rFonts w:ascii="Arial" w:cs="Arial" w:eastAsia="Arial" w:hAnsi="Arial"/>
                <w:sz w:val="10"/>
                <w:szCs w:val="10"/>
                <w:color w:val="008000"/>
                <w:w w:val="97"/>
              </w:rPr>
              <w:t>(1)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409,030</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Affiliates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6"/>
              </w:rPr>
              <w:t>By</w:t>
            </w: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OpenView</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tcPr>
          <w:p>
            <w:pPr>
              <w:ind w:left="840"/>
              <w:spacing w:after="0"/>
              <w:rPr>
                <w:sz w:val="20"/>
                <w:szCs w:val="20"/>
                <w:color w:val="auto"/>
              </w:rPr>
            </w:pPr>
            <w:r>
              <w:rPr>
                <w:rFonts w:ascii="Arial" w:cs="Arial" w:eastAsia="Arial" w:hAnsi="Arial"/>
                <w:sz w:val="16"/>
                <w:szCs w:val="16"/>
                <w:color w:val="0000FF"/>
              </w:rPr>
              <w:t>11/15/2021</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right="244"/>
              <w:spacing w:after="0" w:line="201" w:lineRule="exact"/>
              <w:rPr>
                <w:sz w:val="20"/>
                <w:szCs w:val="20"/>
                <w:color w:val="auto"/>
              </w:rPr>
            </w:pPr>
            <w:r>
              <w:rPr>
                <w:rFonts w:ascii="Arial" w:cs="Arial" w:eastAsia="Arial" w:hAnsi="Arial"/>
                <w:sz w:val="23"/>
                <w:szCs w:val="23"/>
                <w:color w:val="0000FF"/>
                <w:w w:val="79"/>
                <w:vertAlign w:val="subscript"/>
              </w:rPr>
              <w:t>S</w:t>
            </w:r>
            <w:r>
              <w:rPr>
                <w:rFonts w:ascii="Arial" w:cs="Arial" w:eastAsia="Arial" w:hAnsi="Arial"/>
                <w:sz w:val="10"/>
                <w:szCs w:val="10"/>
                <w:color w:val="008000"/>
                <w:w w:val="79"/>
              </w:rPr>
              <w:t>(4)</w:t>
            </w:r>
          </w:p>
        </w:tc>
        <w:tc>
          <w:tcPr>
            <w:tcW w:w="1080" w:type="dxa"/>
            <w:vAlign w:val="bottom"/>
            <w:gridSpan w:val="2"/>
          </w:tcPr>
          <w:p>
            <w:pPr>
              <w:jc w:val="center"/>
              <w:ind w:right="79"/>
              <w:spacing w:after="0"/>
              <w:rPr>
                <w:sz w:val="20"/>
                <w:szCs w:val="20"/>
                <w:color w:val="auto"/>
              </w:rPr>
            </w:pPr>
            <w:r>
              <w:rPr>
                <w:rFonts w:ascii="Arial" w:cs="Arial" w:eastAsia="Arial" w:hAnsi="Arial"/>
                <w:sz w:val="16"/>
                <w:szCs w:val="16"/>
                <w:color w:val="0000FF"/>
                <w:w w:val="92"/>
              </w:rPr>
              <w:t>2,785,670</w:t>
            </w:r>
          </w:p>
        </w:tc>
        <w:tc>
          <w:tcPr>
            <w:tcW w:w="200" w:type="dxa"/>
            <w:vAlign w:val="bottom"/>
          </w:tcPr>
          <w:p>
            <w:pPr>
              <w:spacing w:after="0"/>
              <w:rPr>
                <w:sz w:val="20"/>
                <w:szCs w:val="20"/>
                <w:color w:val="auto"/>
              </w:rPr>
            </w:pPr>
            <w:r>
              <w:rPr>
                <w:rFonts w:ascii="Arial" w:cs="Arial" w:eastAsia="Arial" w:hAnsi="Arial"/>
                <w:sz w:val="16"/>
                <w:szCs w:val="16"/>
                <w:color w:val="0000FF"/>
              </w:rPr>
              <w:t>D</w:t>
            </w:r>
          </w:p>
        </w:tc>
        <w:tc>
          <w:tcPr>
            <w:tcW w:w="740" w:type="dxa"/>
            <w:vAlign w:val="bottom"/>
          </w:tcPr>
          <w:p>
            <w:pPr>
              <w:jc w:val="center"/>
              <w:ind w:left="51"/>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25.11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9,726,290</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Venture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IV,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96"/>
              </w:rPr>
              <w:t>By</w:t>
            </w: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OpenView</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tcPr>
          <w:p>
            <w:pPr>
              <w:ind w:left="840"/>
              <w:spacing w:after="0"/>
              <w:rPr>
                <w:sz w:val="20"/>
                <w:szCs w:val="20"/>
                <w:color w:val="auto"/>
              </w:rPr>
            </w:pPr>
            <w:r>
              <w:rPr>
                <w:rFonts w:ascii="Arial" w:cs="Arial" w:eastAsia="Arial" w:hAnsi="Arial"/>
                <w:sz w:val="16"/>
                <w:szCs w:val="16"/>
                <w:color w:val="0000FF"/>
              </w:rPr>
              <w:t>11/15/2021</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right="244"/>
              <w:spacing w:after="0" w:line="201" w:lineRule="exact"/>
              <w:rPr>
                <w:sz w:val="20"/>
                <w:szCs w:val="20"/>
                <w:color w:val="auto"/>
              </w:rPr>
            </w:pPr>
            <w:r>
              <w:rPr>
                <w:rFonts w:ascii="Arial" w:cs="Arial" w:eastAsia="Arial" w:hAnsi="Arial"/>
                <w:sz w:val="23"/>
                <w:szCs w:val="23"/>
                <w:color w:val="0000FF"/>
                <w:w w:val="79"/>
                <w:vertAlign w:val="subscript"/>
              </w:rPr>
              <w:t>S</w:t>
            </w:r>
            <w:r>
              <w:rPr>
                <w:rFonts w:ascii="Arial" w:cs="Arial" w:eastAsia="Arial" w:hAnsi="Arial"/>
                <w:sz w:val="10"/>
                <w:szCs w:val="10"/>
                <w:color w:val="008000"/>
                <w:w w:val="79"/>
              </w:rPr>
              <w:t>(4)</w:t>
            </w:r>
          </w:p>
        </w:tc>
        <w:tc>
          <w:tcPr>
            <w:tcW w:w="700" w:type="dxa"/>
            <w:vAlign w:val="bottom"/>
          </w:tcPr>
          <w:p>
            <w:pPr>
              <w:jc w:val="center"/>
              <w:ind w:left="178"/>
              <w:spacing w:after="0"/>
              <w:rPr>
                <w:sz w:val="20"/>
                <w:szCs w:val="20"/>
                <w:color w:val="auto"/>
              </w:rPr>
            </w:pPr>
            <w:r>
              <w:rPr>
                <w:rFonts w:ascii="Arial" w:cs="Arial" w:eastAsia="Arial" w:hAnsi="Arial"/>
                <w:sz w:val="16"/>
                <w:szCs w:val="16"/>
                <w:color w:val="0000FF"/>
                <w:w w:val="93"/>
              </w:rPr>
              <w:t>91,070</w:t>
            </w:r>
          </w:p>
        </w:tc>
        <w:tc>
          <w:tcPr>
            <w:tcW w:w="3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0000FF"/>
              </w:rPr>
              <w:t>D</w:t>
            </w:r>
          </w:p>
        </w:tc>
        <w:tc>
          <w:tcPr>
            <w:tcW w:w="740" w:type="dxa"/>
            <w:vAlign w:val="bottom"/>
          </w:tcPr>
          <w:p>
            <w:pPr>
              <w:jc w:val="center"/>
              <w:ind w:left="51"/>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25.11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317,960</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Affiliates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680" w:type="dxa"/>
            <w:vAlign w:val="bottom"/>
            <w:gridSpan w:val="4"/>
          </w:tcPr>
          <w:p>
            <w:pPr>
              <w:ind w:left="2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140"/>
              <w:spacing w:after="0" w:line="126"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71"/>
              <w:spacing w:after="0" w:line="126"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91"/>
              <w:spacing w:after="0" w:line="126"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40" w:type="dxa"/>
            <w:vAlign w:val="bottom"/>
          </w:tcPr>
          <w:p>
            <w:pPr>
              <w:jc w:val="right"/>
              <w:ind w:right="271"/>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7"/>
              </w:rPr>
              <w:t>Convertible</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2"/>
              </w:rPr>
              <w:t>3,590,720</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11/15/2021</w:t>
            </w:r>
          </w:p>
        </w:tc>
        <w:tc>
          <w:tcPr>
            <w:tcW w:w="1060" w:type="dxa"/>
            <w:vAlign w:val="bottom"/>
          </w:tcPr>
          <w:p>
            <w:pPr>
              <w:spacing w:after="0"/>
              <w:rPr>
                <w:sz w:val="6"/>
                <w:szCs w:val="6"/>
                <w:color w:val="auto"/>
              </w:rPr>
            </w:pPr>
          </w:p>
        </w:tc>
        <w:tc>
          <w:tcPr>
            <w:tcW w:w="72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62"/>
              <w:spacing w:after="0" w:line="138" w:lineRule="exact"/>
              <w:rPr>
                <w:sz w:val="20"/>
                <w:szCs w:val="20"/>
                <w:color w:val="auto"/>
              </w:rPr>
            </w:pPr>
            <w:r>
              <w:rPr>
                <w:rFonts w:ascii="Arial" w:cs="Arial" w:eastAsia="Arial" w:hAnsi="Arial"/>
                <w:sz w:val="13"/>
                <w:szCs w:val="13"/>
                <w:color w:val="0000FF"/>
                <w:w w:val="89"/>
              </w:rPr>
              <w:t>359,072</w:t>
            </w:r>
          </w:p>
        </w:tc>
        <w:tc>
          <w:tcPr>
            <w:tcW w:w="780" w:type="dxa"/>
            <w:vAlign w:val="bottom"/>
            <w:gridSpan w:val="2"/>
            <w:vMerge w:val="restart"/>
          </w:tcPr>
          <w:p>
            <w:pPr>
              <w:jc w:val="right"/>
              <w:ind w:right="324"/>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58"/>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vMerge w:val="restart"/>
          </w:tcPr>
          <w:p>
            <w:pPr>
              <w:jc w:val="center"/>
              <w:ind w:left="39"/>
              <w:spacing w:after="0" w:line="134"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3"/>
            <w:vMerge w:val="restart"/>
          </w:tcPr>
          <w:p>
            <w:pPr>
              <w:ind w:left="20"/>
              <w:spacing w:after="0" w:line="226" w:lineRule="exact"/>
              <w:rPr>
                <w:sz w:val="20"/>
                <w:szCs w:val="20"/>
                <w:color w:val="auto"/>
              </w:rPr>
            </w:pPr>
            <w:r>
              <w:rPr>
                <w:rFonts w:ascii="Arial" w:cs="Arial" w:eastAsia="Arial" w:hAnsi="Arial"/>
                <w:sz w:val="13"/>
                <w:szCs w:val="13"/>
                <w:color w:val="0000FF"/>
              </w:rPr>
              <w:t>IV, L.P.</w:t>
            </w:r>
            <w:r>
              <w:rPr>
                <w:rFonts w:ascii="Arial" w:cs="Arial" w:eastAsia="Arial" w:hAnsi="Arial"/>
                <w:sz w:val="20"/>
                <w:szCs w:val="20"/>
                <w:color w:val="008000"/>
                <w:vertAlign w:val="superscript"/>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7"/>
              </w:rPr>
              <w:t>Convertible</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117,390</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11/15/2021</w:t>
            </w:r>
          </w:p>
        </w:tc>
        <w:tc>
          <w:tcPr>
            <w:tcW w:w="1060" w:type="dxa"/>
            <w:vAlign w:val="bottom"/>
          </w:tcPr>
          <w:p>
            <w:pPr>
              <w:spacing w:after="0"/>
              <w:rPr>
                <w:sz w:val="6"/>
                <w:szCs w:val="6"/>
                <w:color w:val="auto"/>
              </w:rPr>
            </w:pPr>
          </w:p>
        </w:tc>
        <w:tc>
          <w:tcPr>
            <w:tcW w:w="72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62"/>
              <w:spacing w:after="0" w:line="138" w:lineRule="exact"/>
              <w:rPr>
                <w:sz w:val="20"/>
                <w:szCs w:val="20"/>
                <w:color w:val="auto"/>
              </w:rPr>
            </w:pPr>
            <w:r>
              <w:rPr>
                <w:rFonts w:ascii="Arial" w:cs="Arial" w:eastAsia="Arial" w:hAnsi="Arial"/>
                <w:sz w:val="13"/>
                <w:szCs w:val="13"/>
                <w:color w:val="0000FF"/>
                <w:w w:val="85"/>
              </w:rPr>
              <w:t>11,739</w:t>
            </w:r>
          </w:p>
        </w:tc>
        <w:tc>
          <w:tcPr>
            <w:tcW w:w="780" w:type="dxa"/>
            <w:vAlign w:val="bottom"/>
            <w:gridSpan w:val="2"/>
            <w:vMerge w:val="restart"/>
          </w:tcPr>
          <w:p>
            <w:pPr>
              <w:jc w:val="right"/>
              <w:ind w:right="324"/>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58"/>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Affiliates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vMerge w:val="restart"/>
          </w:tcPr>
          <w:p>
            <w:pPr>
              <w:jc w:val="center"/>
              <w:ind w:left="39"/>
              <w:spacing w:after="0" w:line="134"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4"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3"/>
            <w:vMerge w:val="restart"/>
          </w:tcPr>
          <w:p>
            <w:pPr>
              <w:ind w:left="20"/>
              <w:spacing w:after="0" w:line="226"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Series B-1</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7"/>
              </w:rPr>
              <w:t>Convertible</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3"/>
              </w:rPr>
              <w:t>222,460</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11/15/2021</w:t>
            </w:r>
          </w:p>
        </w:tc>
        <w:tc>
          <w:tcPr>
            <w:tcW w:w="1060" w:type="dxa"/>
            <w:vAlign w:val="bottom"/>
          </w:tcPr>
          <w:p>
            <w:pPr>
              <w:spacing w:after="0"/>
              <w:rPr>
                <w:sz w:val="6"/>
                <w:szCs w:val="6"/>
                <w:color w:val="auto"/>
              </w:rPr>
            </w:pPr>
          </w:p>
        </w:tc>
        <w:tc>
          <w:tcPr>
            <w:tcW w:w="72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62"/>
              <w:spacing w:after="0" w:line="138" w:lineRule="exact"/>
              <w:rPr>
                <w:sz w:val="20"/>
                <w:szCs w:val="20"/>
                <w:color w:val="auto"/>
              </w:rPr>
            </w:pPr>
            <w:r>
              <w:rPr>
                <w:rFonts w:ascii="Arial" w:cs="Arial" w:eastAsia="Arial" w:hAnsi="Arial"/>
                <w:sz w:val="13"/>
                <w:szCs w:val="13"/>
                <w:color w:val="0000FF"/>
                <w:w w:val="85"/>
              </w:rPr>
              <w:t>22,246</w:t>
            </w:r>
          </w:p>
        </w:tc>
        <w:tc>
          <w:tcPr>
            <w:tcW w:w="780" w:type="dxa"/>
            <w:vAlign w:val="bottom"/>
            <w:gridSpan w:val="2"/>
            <w:vMerge w:val="restart"/>
          </w:tcPr>
          <w:p>
            <w:pPr>
              <w:jc w:val="right"/>
              <w:ind w:right="324"/>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58"/>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vMerge w:val="restart"/>
          </w:tcPr>
          <w:p>
            <w:pPr>
              <w:jc w:val="center"/>
              <w:ind w:left="39"/>
              <w:spacing w:after="0" w:line="134"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3"/>
            <w:vMerge w:val="restart"/>
          </w:tcPr>
          <w:p>
            <w:pPr>
              <w:ind w:left="20"/>
              <w:spacing w:after="0" w:line="226" w:lineRule="exact"/>
              <w:rPr>
                <w:sz w:val="20"/>
                <w:szCs w:val="20"/>
                <w:color w:val="auto"/>
              </w:rPr>
            </w:pPr>
            <w:r>
              <w:rPr>
                <w:rFonts w:ascii="Arial" w:cs="Arial" w:eastAsia="Arial" w:hAnsi="Arial"/>
                <w:sz w:val="13"/>
                <w:szCs w:val="13"/>
                <w:color w:val="0000FF"/>
              </w:rPr>
              <w:t>IV, L.P.</w:t>
            </w:r>
            <w:r>
              <w:rPr>
                <w:rFonts w:ascii="Arial" w:cs="Arial" w:eastAsia="Arial" w:hAnsi="Arial"/>
                <w:sz w:val="20"/>
                <w:szCs w:val="20"/>
                <w:color w:val="008000"/>
                <w:vertAlign w:val="superscript"/>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Series B-1</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7"/>
              </w:rPr>
              <w:t>Convertible</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4"/>
              </w:rPr>
              <w:t>7,270</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11/15/2021</w:t>
            </w:r>
          </w:p>
        </w:tc>
        <w:tc>
          <w:tcPr>
            <w:tcW w:w="1060" w:type="dxa"/>
            <w:vAlign w:val="bottom"/>
          </w:tcPr>
          <w:p>
            <w:pPr>
              <w:spacing w:after="0"/>
              <w:rPr>
                <w:sz w:val="6"/>
                <w:szCs w:val="6"/>
                <w:color w:val="auto"/>
              </w:rPr>
            </w:pPr>
          </w:p>
        </w:tc>
        <w:tc>
          <w:tcPr>
            <w:tcW w:w="72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62"/>
              <w:spacing w:after="0" w:line="138" w:lineRule="exact"/>
              <w:rPr>
                <w:sz w:val="20"/>
                <w:szCs w:val="20"/>
                <w:color w:val="auto"/>
              </w:rPr>
            </w:pPr>
            <w:r>
              <w:rPr>
                <w:rFonts w:ascii="Arial" w:cs="Arial" w:eastAsia="Arial" w:hAnsi="Arial"/>
                <w:sz w:val="13"/>
                <w:szCs w:val="13"/>
                <w:color w:val="0000FF"/>
                <w:w w:val="82"/>
              </w:rPr>
              <w:t>727</w:t>
            </w:r>
          </w:p>
        </w:tc>
        <w:tc>
          <w:tcPr>
            <w:tcW w:w="780" w:type="dxa"/>
            <w:vAlign w:val="bottom"/>
            <w:gridSpan w:val="2"/>
            <w:vMerge w:val="restart"/>
          </w:tcPr>
          <w:p>
            <w:pPr>
              <w:jc w:val="right"/>
              <w:ind w:right="324"/>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58"/>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Affiliates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vMerge w:val="restart"/>
          </w:tcPr>
          <w:p>
            <w:pPr>
              <w:jc w:val="center"/>
              <w:ind w:left="39"/>
              <w:spacing w:after="0" w:line="134"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4"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3"/>
            <w:vMerge w:val="restart"/>
          </w:tcPr>
          <w:p>
            <w:pPr>
              <w:ind w:left="20"/>
              <w:spacing w:after="0" w:line="226"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7"/>
              </w:rPr>
              <w:t>Convertible</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2"/>
              </w:rPr>
              <w:t>8,668,280</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11/15/2021</w:t>
            </w:r>
          </w:p>
        </w:tc>
        <w:tc>
          <w:tcPr>
            <w:tcW w:w="1060" w:type="dxa"/>
            <w:vAlign w:val="bottom"/>
          </w:tcPr>
          <w:p>
            <w:pPr>
              <w:spacing w:after="0"/>
              <w:rPr>
                <w:sz w:val="6"/>
                <w:szCs w:val="6"/>
                <w:color w:val="auto"/>
              </w:rPr>
            </w:pPr>
          </w:p>
        </w:tc>
        <w:tc>
          <w:tcPr>
            <w:tcW w:w="72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62"/>
              <w:spacing w:after="0" w:line="138" w:lineRule="exact"/>
              <w:rPr>
                <w:sz w:val="20"/>
                <w:szCs w:val="20"/>
                <w:color w:val="auto"/>
              </w:rPr>
            </w:pPr>
            <w:r>
              <w:rPr>
                <w:rFonts w:ascii="Arial" w:cs="Arial" w:eastAsia="Arial" w:hAnsi="Arial"/>
                <w:sz w:val="13"/>
                <w:szCs w:val="13"/>
                <w:color w:val="0000FF"/>
                <w:w w:val="89"/>
              </w:rPr>
              <w:t>866,828</w:t>
            </w:r>
          </w:p>
        </w:tc>
        <w:tc>
          <w:tcPr>
            <w:tcW w:w="780" w:type="dxa"/>
            <w:vAlign w:val="bottom"/>
            <w:gridSpan w:val="2"/>
            <w:vMerge w:val="restart"/>
          </w:tcPr>
          <w:p>
            <w:pPr>
              <w:jc w:val="right"/>
              <w:ind w:right="324"/>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right="58"/>
              <w:spacing w:after="0"/>
              <w:rPr>
                <w:sz w:val="20"/>
                <w:szCs w:val="20"/>
                <w:color w:val="auto"/>
              </w:rPr>
            </w:pPr>
            <w:r>
              <w:rPr>
                <w:rFonts w:ascii="Arial" w:cs="Arial" w:eastAsia="Arial" w:hAnsi="Arial"/>
                <w:sz w:val="10"/>
                <w:szCs w:val="10"/>
                <w:color w:val="008000"/>
              </w:rPr>
              <w:t>(1)</w:t>
            </w:r>
          </w:p>
        </w:tc>
        <w:tc>
          <w:tcPr>
            <w:tcW w:w="580" w:type="dxa"/>
            <w:vAlign w:val="bottom"/>
            <w:gridSpan w:val="2"/>
            <w:vMerge w:val="restart"/>
          </w:tcPr>
          <w:p>
            <w:pPr>
              <w:jc w:val="center"/>
              <w:ind w:right="18"/>
              <w:spacing w:after="0" w:line="13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6"/>
                <w:szCs w:val="6"/>
                <w:color w:val="auto"/>
              </w:rPr>
            </w:pPr>
          </w:p>
        </w:tc>
        <w:tc>
          <w:tcPr>
            <w:tcW w:w="5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vMerge w:val="restart"/>
          </w:tcPr>
          <w:p>
            <w:pPr>
              <w:jc w:val="center"/>
              <w:ind w:left="39"/>
              <w:spacing w:after="0" w:line="134"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vMerge w:val="restart"/>
          </w:tcPr>
          <w:p>
            <w:pPr>
              <w:ind w:left="2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3"/>
            <w:vMerge w:val="restart"/>
          </w:tcPr>
          <w:p>
            <w:pPr>
              <w:ind w:left="20"/>
              <w:spacing w:after="0" w:line="226" w:lineRule="exact"/>
              <w:rPr>
                <w:sz w:val="20"/>
                <w:szCs w:val="20"/>
                <w:color w:val="auto"/>
              </w:rPr>
            </w:pPr>
            <w:r>
              <w:rPr>
                <w:rFonts w:ascii="Arial" w:cs="Arial" w:eastAsia="Arial" w:hAnsi="Arial"/>
                <w:sz w:val="13"/>
                <w:szCs w:val="13"/>
                <w:color w:val="0000FF"/>
              </w:rPr>
              <w:t>IV, L.P.</w:t>
            </w:r>
            <w:r>
              <w:rPr>
                <w:rFonts w:ascii="Arial" w:cs="Arial" w:eastAsia="Arial" w:hAnsi="Arial"/>
                <w:sz w:val="20"/>
                <w:szCs w:val="20"/>
                <w:color w:val="008000"/>
                <w:vertAlign w:val="superscript"/>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-3964305</wp:posOffset>
            </wp:positionV>
            <wp:extent cx="28575" cy="414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402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8060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806005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4"/>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4"/>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ind w:left="120"/>
              <w:spacing w:after="0" w:line="138" w:lineRule="exact"/>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80"/>
              <w:spacing w:after="0" w:line="138" w:lineRule="exact"/>
              <w:rPr>
                <w:sz w:val="20"/>
                <w:szCs w:val="20"/>
                <w:color w:val="auto"/>
              </w:rPr>
            </w:pPr>
            <w:r>
              <w:rPr>
                <w:rFonts w:ascii="Arial" w:cs="Arial" w:eastAsia="Arial" w:hAnsi="Arial"/>
                <w:sz w:val="13"/>
                <w:szCs w:val="13"/>
                <w:color w:val="0000FF"/>
              </w:rPr>
              <w:t>OpenView</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Convertible</w:t>
            </w: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6"/>
                <w:szCs w:val="16"/>
                <w:color w:val="0000FF"/>
              </w:rPr>
              <w:t>283,370</w:t>
            </w: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1060" w:type="dxa"/>
            <w:vAlign w:val="bottom"/>
            <w:vMerge w:val="restart"/>
          </w:tcPr>
          <w:p>
            <w:pPr>
              <w:ind w:left="260"/>
              <w:spacing w:after="0" w:line="138" w:lineRule="exact"/>
              <w:rPr>
                <w:sz w:val="20"/>
                <w:szCs w:val="20"/>
                <w:color w:val="auto"/>
              </w:rPr>
            </w:pPr>
            <w:r>
              <w:rPr>
                <w:rFonts w:ascii="Arial" w:cs="Arial" w:eastAsia="Arial" w:hAnsi="Arial"/>
                <w:sz w:val="13"/>
                <w:szCs w:val="13"/>
                <w:color w:val="0000FF"/>
              </w:rPr>
              <w:t>11/15/2021</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gridSpan w:val="3"/>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82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28,337</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205"/>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8"/>
              </w:rPr>
              <w:t>Common</w:t>
            </w:r>
          </w:p>
        </w:tc>
        <w:tc>
          <w:tcPr>
            <w:tcW w:w="780" w:type="dxa"/>
            <w:vAlign w:val="bottom"/>
            <w:vMerge w:val="continue"/>
          </w:tcPr>
          <w:p>
            <w:pPr>
              <w:spacing w:after="0"/>
              <w:rPr>
                <w:sz w:val="6"/>
                <w:szCs w:val="6"/>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ind w:left="440"/>
              <w:spacing w:after="0" w:line="138" w:lineRule="exact"/>
              <w:rPr>
                <w:sz w:val="20"/>
                <w:szCs w:val="20"/>
                <w:color w:val="auto"/>
              </w:rPr>
            </w:pPr>
            <w:r>
              <w:rPr>
                <w:rFonts w:ascii="Arial" w:cs="Arial" w:eastAsia="Arial" w:hAnsi="Arial"/>
                <w:sz w:val="13"/>
                <w:szCs w:val="13"/>
                <w:color w:val="0000FF"/>
              </w:rPr>
              <w:t>0</w:t>
            </w:r>
          </w:p>
        </w:tc>
        <w:tc>
          <w:tcPr>
            <w:tcW w:w="70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740" w:type="dxa"/>
            <w:vAlign w:val="bottom"/>
            <w:gridSpan w:val="2"/>
            <w:vMerge w:val="restart"/>
          </w:tcPr>
          <w:p>
            <w:pPr>
              <w:ind w:left="80"/>
              <w:spacing w:after="0" w:line="138" w:lineRule="exact"/>
              <w:rPr>
                <w:sz w:val="20"/>
                <w:szCs w:val="20"/>
                <w:color w:val="auto"/>
              </w:rPr>
            </w:pPr>
            <w:r>
              <w:rPr>
                <w:rFonts w:ascii="Arial" w:cs="Arial" w:eastAsia="Arial" w:hAnsi="Arial"/>
                <w:sz w:val="13"/>
                <w:szCs w:val="13"/>
                <w:color w:val="0000FF"/>
              </w:rPr>
              <w:t>Affiliates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ind w:left="180"/>
              <w:spacing w:after="0" w:line="134"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80"/>
              <w:spacing w:after="0" w:line="134"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gridSpan w:val="2"/>
            <w:vMerge w:val="restart"/>
          </w:tcPr>
          <w:p>
            <w:pPr>
              <w:ind w:left="80"/>
              <w:spacing w:after="0" w:line="226"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72"/>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60" w:type="dxa"/>
            <w:vAlign w:val="bottom"/>
            <w:tcBorders>
              <w:top w:val="single" w:sz="8" w:color="2C2C2C"/>
            </w:tcBorders>
            <w:gridSpan w:val="6"/>
          </w:tcPr>
          <w:p>
            <w:pPr>
              <w:ind w:left="60"/>
              <w:spacing w:after="0" w:line="228"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0"/>
                <w:szCs w:val="20"/>
                <w:color w:val="auto"/>
                <w:w w:val="99"/>
                <w:vertAlign w:val="superscript"/>
              </w:rPr>
              <w:t>*</w:t>
            </w: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4"/>
          </w:tcPr>
          <w:p>
            <w:pPr>
              <w:spacing w:after="0" w:line="209" w:lineRule="exact"/>
              <w:rPr>
                <w:rFonts w:ascii="Arial" w:cs="Arial" w:eastAsia="Arial" w:hAnsi="Arial"/>
                <w:sz w:val="20"/>
                <w:szCs w:val="20"/>
                <w:color w:val="0000EE"/>
                <w:w w:val="92"/>
              </w:rPr>
            </w:pPr>
            <w:hyperlink r:id="rId12">
              <w:r>
                <w:rPr>
                  <w:rFonts w:ascii="Arial" w:cs="Arial" w:eastAsia="Arial" w:hAnsi="Arial"/>
                  <w:sz w:val="20"/>
                  <w:szCs w:val="20"/>
                  <w:color w:val="0000EE"/>
                  <w:w w:val="92"/>
                </w:rPr>
                <w:t>OpenView Management, LLC</w:t>
              </w:r>
            </w:hyperlink>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303 CONGRESS STREET, 7TH FLOOR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w w:val="94"/>
              </w:rPr>
              <w:t>BOSTON</w:t>
            </w:r>
          </w:p>
        </w:tc>
        <w:tc>
          <w:tcPr>
            <w:tcW w:w="70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gridSpan w:val="4"/>
          </w:tcPr>
          <w:p>
            <w:pPr>
              <w:ind w:left="340"/>
              <w:spacing w:after="0"/>
              <w:rPr>
                <w:sz w:val="20"/>
                <w:szCs w:val="20"/>
                <w:color w:val="auto"/>
              </w:rPr>
            </w:pPr>
            <w:r>
              <w:rPr>
                <w:rFonts w:ascii="Arial" w:cs="Arial" w:eastAsia="Arial" w:hAnsi="Arial"/>
                <w:sz w:val="16"/>
                <w:szCs w:val="16"/>
                <w:color w:val="0000FF"/>
              </w:rPr>
              <w:t>02210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0"/>
                <w:szCs w:val="20"/>
                <w:color w:val="auto"/>
                <w:w w:val="99"/>
                <w:vertAlign w:val="superscript"/>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8"/>
          </w:tcPr>
          <w:p>
            <w:pPr>
              <w:spacing w:after="0" w:line="209" w:lineRule="exact"/>
              <w:rPr>
                <w:rFonts w:ascii="Arial" w:cs="Arial" w:eastAsia="Arial" w:hAnsi="Arial"/>
                <w:sz w:val="20"/>
                <w:szCs w:val="20"/>
                <w:color w:val="0000EE"/>
              </w:rPr>
            </w:pPr>
            <w:hyperlink r:id="rId16">
              <w:r>
                <w:rPr>
                  <w:rFonts w:ascii="Arial" w:cs="Arial" w:eastAsia="Arial" w:hAnsi="Arial"/>
                  <w:sz w:val="20"/>
                  <w:szCs w:val="20"/>
                  <w:color w:val="0000EE"/>
                </w:rPr>
                <w:t>OpenView General Partner IV, L.P.</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303 CONGRESS STREET, 7TH FLOOR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w w:val="94"/>
              </w:rPr>
              <w:t>BOSTON</w:t>
            </w:r>
          </w:p>
        </w:tc>
        <w:tc>
          <w:tcPr>
            <w:tcW w:w="70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gridSpan w:val="4"/>
          </w:tcPr>
          <w:p>
            <w:pPr>
              <w:ind w:left="340"/>
              <w:spacing w:after="0"/>
              <w:rPr>
                <w:sz w:val="20"/>
                <w:szCs w:val="20"/>
                <w:color w:val="auto"/>
              </w:rPr>
            </w:pPr>
            <w:r>
              <w:rPr>
                <w:rFonts w:ascii="Arial" w:cs="Arial" w:eastAsia="Arial" w:hAnsi="Arial"/>
                <w:sz w:val="16"/>
                <w:szCs w:val="16"/>
                <w:color w:val="0000FF"/>
              </w:rPr>
              <w:t>02210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0"/>
                <w:szCs w:val="20"/>
                <w:color w:val="auto"/>
                <w:w w:val="99"/>
                <w:vertAlign w:val="superscript"/>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8"/>
          </w:tcPr>
          <w:p>
            <w:pPr>
              <w:spacing w:after="0" w:line="209" w:lineRule="exact"/>
              <w:rPr>
                <w:rFonts w:ascii="Arial" w:cs="Arial" w:eastAsia="Arial" w:hAnsi="Arial"/>
                <w:sz w:val="20"/>
                <w:szCs w:val="20"/>
                <w:color w:val="0000EE"/>
              </w:rPr>
            </w:pPr>
            <w:hyperlink r:id="rId17">
              <w:r>
                <w:rPr>
                  <w:rFonts w:ascii="Arial" w:cs="Arial" w:eastAsia="Arial" w:hAnsi="Arial"/>
                  <w:sz w:val="20"/>
                  <w:szCs w:val="20"/>
                  <w:color w:val="0000EE"/>
                </w:rPr>
                <w:t>OpenView Venture Partners IV, L.P.</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303 CONGRESS STREET, 7TH FLOOR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w w:val="94"/>
              </w:rPr>
              <w:t>BOSTON</w:t>
            </w:r>
          </w:p>
        </w:tc>
        <w:tc>
          <w:tcPr>
            <w:tcW w:w="70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gridSpan w:val="4"/>
          </w:tcPr>
          <w:p>
            <w:pPr>
              <w:ind w:left="340"/>
              <w:spacing w:after="0"/>
              <w:rPr>
                <w:sz w:val="20"/>
                <w:szCs w:val="20"/>
                <w:color w:val="auto"/>
              </w:rPr>
            </w:pPr>
            <w:r>
              <w:rPr>
                <w:rFonts w:ascii="Arial" w:cs="Arial" w:eastAsia="Arial" w:hAnsi="Arial"/>
                <w:sz w:val="16"/>
                <w:szCs w:val="16"/>
                <w:color w:val="0000FF"/>
              </w:rPr>
              <w:t>02210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0"/>
                <w:szCs w:val="20"/>
                <w:color w:val="auto"/>
                <w:w w:val="99"/>
                <w:vertAlign w:val="superscript"/>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8"/>
          </w:tcPr>
          <w:p>
            <w:pPr>
              <w:spacing w:after="0" w:line="209" w:lineRule="exact"/>
              <w:rPr>
                <w:rFonts w:ascii="Arial" w:cs="Arial" w:eastAsia="Arial" w:hAnsi="Arial"/>
                <w:sz w:val="20"/>
                <w:szCs w:val="20"/>
                <w:color w:val="0000EE"/>
              </w:rPr>
            </w:pPr>
            <w:hyperlink r:id="rId18">
              <w:r>
                <w:rPr>
                  <w:rFonts w:ascii="Arial" w:cs="Arial" w:eastAsia="Arial" w:hAnsi="Arial"/>
                  <w:sz w:val="20"/>
                  <w:szCs w:val="20"/>
                  <w:color w:val="0000EE"/>
                </w:rPr>
                <w:t>OpenView Affiliates Fund IV, L.P.</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8"/>
          </w:tcPr>
          <w:p>
            <w:pPr>
              <w:spacing w:after="0"/>
              <w:rPr>
                <w:sz w:val="20"/>
                <w:szCs w:val="20"/>
                <w:color w:val="auto"/>
              </w:rPr>
            </w:pPr>
            <w:r>
              <w:rPr>
                <w:rFonts w:ascii="Arial" w:cs="Arial" w:eastAsia="Arial" w:hAnsi="Arial"/>
                <w:sz w:val="16"/>
                <w:szCs w:val="16"/>
                <w:color w:val="0000FF"/>
              </w:rPr>
              <w:t>303 CONGRESS STREET, 7TH FLOOR</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w w:val="94"/>
              </w:rPr>
              <w:t>BOSTON</w:t>
            </w:r>
          </w:p>
        </w:tc>
        <w:tc>
          <w:tcPr>
            <w:tcW w:w="70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gridSpan w:val="4"/>
          </w:tcPr>
          <w:p>
            <w:pPr>
              <w:ind w:left="340"/>
              <w:spacing w:after="0"/>
              <w:rPr>
                <w:sz w:val="20"/>
                <w:szCs w:val="20"/>
                <w:color w:val="auto"/>
              </w:rPr>
            </w:pPr>
            <w:r>
              <w:rPr>
                <w:rFonts w:ascii="Arial" w:cs="Arial" w:eastAsia="Arial" w:hAnsi="Arial"/>
                <w:sz w:val="16"/>
                <w:szCs w:val="16"/>
                <w:color w:val="0000FF"/>
              </w:rPr>
              <w:t>02210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40" w:hanging="2"/>
        <w:spacing w:after="0" w:line="257"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Convertible Preferred Stock was initially convertible on a one-for-one basis into the Issuer's Class A Common Stock at any time at the holder's election and had no expiration date. The number of underlying shares of common stock reported in Column 7 gives effect to a 10-for-1 forward stock split effective as of October 27, 2021, pursuant to which each share of Convertible Preferred Stock became convertible into 10 shares of Class A Common Stock. The Convertible Preferred Stock converted automatically upon closing of the Issuer's initial public offering.</w:t>
      </w:r>
    </w:p>
    <w:p>
      <w:pPr>
        <w:spacing w:after="0" w:line="20" w:lineRule="exact"/>
        <w:rPr>
          <w:rFonts w:ascii="Arial" w:cs="Arial" w:eastAsia="Arial" w:hAnsi="Arial"/>
          <w:sz w:val="12"/>
          <w:szCs w:val="12"/>
          <w:color w:val="008000"/>
        </w:rPr>
      </w:pPr>
    </w:p>
    <w:p>
      <w:pPr>
        <w:jc w:val="both"/>
        <w:ind w:left="40" w:right="300" w:hanging="2"/>
        <w:spacing w:after="0" w:line="257"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held by OpenView Venture Partners IV, L.P. ("OVP IV LP"). OpenView Management, LLC ("OVM LLC") is the general partner of OpenView General Partner IV, L.P. ("OGP IV LP"), which is the general partner of OVP IV LP. Each of OVM LLC and OGP IV LP disclaims beneficial ownership of all the shares held by OVP IV LP except to the extent, if any, of its pecuniary interest therein and this report shall not be deemed an admission that it is a beneficial owner of such securities for the purpose of Section 16 of the Exchange Act, or for any other purpose.</w:t>
      </w:r>
    </w:p>
    <w:p>
      <w:pPr>
        <w:spacing w:after="0" w:line="20" w:lineRule="exact"/>
        <w:rPr>
          <w:rFonts w:ascii="Arial" w:cs="Arial" w:eastAsia="Arial" w:hAnsi="Arial"/>
          <w:sz w:val="12"/>
          <w:szCs w:val="12"/>
          <w:color w:val="008000"/>
        </w:rPr>
      </w:pPr>
    </w:p>
    <w:p>
      <w:pPr>
        <w:ind w:left="40" w:right="280" w:hanging="2"/>
        <w:spacing w:after="0" w:line="232"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held by OpenView Affiliates Fund IV, L.P. ("OAF IV LP"). OGP IV LP is the general partner of OAF IV LP. Each of OVM LLC and OGP IV LP disclaims beneficial ownership of all the shares held by OAF IV LP except to the extent, if any, of its pecuniary interest therein and this report shall not be deemed an admission that it is a beneficial owner of such securities for the purpose of Section 16 of the Exchange Act, or for any other purpose.</w:t>
      </w:r>
    </w:p>
    <w:p>
      <w:pPr>
        <w:spacing w:after="0" w:line="30" w:lineRule="exact"/>
        <w:rPr>
          <w:rFonts w:ascii="Arial" w:cs="Arial" w:eastAsia="Arial" w:hAnsi="Arial"/>
          <w:sz w:val="13"/>
          <w:szCs w:val="13"/>
          <w:color w:val="008000"/>
        </w:rPr>
      </w:pPr>
    </w:p>
    <w:p>
      <w:pPr>
        <w:ind w:left="40" w:right="200" w:hanging="2"/>
        <w:spacing w:after="0" w:line="232"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sold in connection with the Issuer's initial public offering pursuant to the prospectus (including pursusant to the underwriters' exercise of their over-allotment option under such prospectus) dated November 12, 2021, and accompanying registration statement on Form S-1 (File No. 333-260297). The shares were sold at a price per share equal to the initial public offering price, net of underwriting discount and commissions.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5"/>
          </w:tcPr>
          <w:p>
            <w:pPr>
              <w:spacing w:after="0"/>
              <w:rPr>
                <w:sz w:val="20"/>
                <w:szCs w:val="20"/>
                <w:color w:val="auto"/>
              </w:rPr>
            </w:pPr>
            <w:r>
              <w:rPr>
                <w:rFonts w:ascii="Arial" w:cs="Arial" w:eastAsia="Arial" w:hAnsi="Arial"/>
                <w:sz w:val="16"/>
                <w:szCs w:val="16"/>
                <w:color w:val="0000FF"/>
              </w:rPr>
              <w:t>/s/ Rufus King, Chief Legal</w:t>
            </w:r>
          </w:p>
        </w:tc>
        <w:tc>
          <w:tcPr>
            <w:tcW w:w="740" w:type="dxa"/>
            <w:vAlign w:val="bottom"/>
          </w:tcPr>
          <w:p>
            <w:pPr>
              <w:spacing w:after="0"/>
              <w:rPr>
                <w:sz w:val="15"/>
                <w:szCs w:val="15"/>
                <w:color w:val="auto"/>
              </w:rPr>
            </w:pPr>
          </w:p>
        </w:tc>
      </w:tr>
      <w:tr>
        <w:trPr>
          <w:trHeight w:val="181"/>
        </w:trPr>
        <w:tc>
          <w:tcPr>
            <w:tcW w:w="1800" w:type="dxa"/>
            <w:vAlign w:val="bottom"/>
            <w:tcBorders>
              <w:top w:val="single" w:sz="8" w:color="auto"/>
            </w:tcBorders>
            <w:gridSpan w:val="3"/>
          </w:tcPr>
          <w:p>
            <w:pPr>
              <w:spacing w:after="0" w:line="181" w:lineRule="exact"/>
              <w:rPr>
                <w:sz w:val="20"/>
                <w:szCs w:val="20"/>
                <w:color w:val="auto"/>
              </w:rPr>
            </w:pPr>
            <w:r>
              <w:rPr>
                <w:rFonts w:ascii="Arial" w:cs="Arial" w:eastAsia="Arial" w:hAnsi="Arial"/>
                <w:sz w:val="16"/>
                <w:szCs w:val="16"/>
                <w:color w:val="0000FF"/>
              </w:rPr>
              <w:t>Officer of OpenView</w:t>
            </w:r>
          </w:p>
        </w:tc>
        <w:tc>
          <w:tcPr>
            <w:tcW w:w="400" w:type="dxa"/>
            <w:vAlign w:val="bottom"/>
            <w:gridSpan w:val="2"/>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0000FF"/>
                <w:w w:val="89"/>
              </w:rPr>
              <w:t>11/17/2021</w:t>
            </w:r>
          </w:p>
        </w:tc>
      </w:tr>
      <w:tr>
        <w:trPr>
          <w:trHeight w:val="181"/>
        </w:trPr>
        <w:tc>
          <w:tcPr>
            <w:tcW w:w="138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0000FF"/>
              </w:rPr>
              <w:t>Management, LLC</w:t>
            </w:r>
          </w:p>
        </w:tc>
        <w:tc>
          <w:tcPr>
            <w:tcW w:w="820" w:type="dxa"/>
            <w:vAlign w:val="bottom"/>
            <w:gridSpan w:val="3"/>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1"/>
        </w:trPr>
        <w:tc>
          <w:tcPr>
            <w:tcW w:w="2200" w:type="dxa"/>
            <w:vAlign w:val="bottom"/>
            <w:gridSpan w:val="5"/>
          </w:tcPr>
          <w:p>
            <w:pPr>
              <w:spacing w:after="0"/>
              <w:rPr>
                <w:sz w:val="20"/>
                <w:szCs w:val="20"/>
                <w:color w:val="auto"/>
              </w:rPr>
            </w:pPr>
            <w:r>
              <w:rPr>
                <w:rFonts w:ascii="Arial" w:cs="Arial" w:eastAsia="Arial" w:hAnsi="Arial"/>
                <w:sz w:val="16"/>
                <w:szCs w:val="16"/>
                <w:color w:val="0000FF"/>
              </w:rPr>
              <w:t>/s/ Rufus King, Chief Legal</w:t>
            </w:r>
          </w:p>
        </w:tc>
        <w:tc>
          <w:tcPr>
            <w:tcW w:w="740" w:type="dxa"/>
            <w:vAlign w:val="bottom"/>
          </w:tcPr>
          <w:p>
            <w:pPr>
              <w:jc w:val="right"/>
              <w:spacing w:after="0"/>
              <w:rPr>
                <w:sz w:val="20"/>
                <w:szCs w:val="20"/>
                <w:color w:val="auto"/>
              </w:rPr>
            </w:pPr>
            <w:r>
              <w:rPr>
                <w:rFonts w:ascii="Arial" w:cs="Arial" w:eastAsia="Arial" w:hAnsi="Arial"/>
                <w:sz w:val="16"/>
                <w:szCs w:val="16"/>
                <w:color w:val="0000FF"/>
                <w:w w:val="89"/>
              </w:rPr>
              <w:t>11/17/2021</w:t>
            </w:r>
          </w:p>
        </w:tc>
      </w:tr>
      <w:tr>
        <w:trPr>
          <w:trHeight w:val="181"/>
        </w:trPr>
        <w:tc>
          <w:tcPr>
            <w:tcW w:w="1800" w:type="dxa"/>
            <w:vAlign w:val="bottom"/>
            <w:tcBorders>
              <w:top w:val="single" w:sz="8" w:color="auto"/>
            </w:tcBorders>
            <w:gridSpan w:val="3"/>
          </w:tcPr>
          <w:p>
            <w:pPr>
              <w:spacing w:after="0" w:line="181" w:lineRule="exact"/>
              <w:rPr>
                <w:sz w:val="20"/>
                <w:szCs w:val="20"/>
                <w:color w:val="auto"/>
              </w:rPr>
            </w:pPr>
            <w:r>
              <w:rPr>
                <w:rFonts w:ascii="Arial" w:cs="Arial" w:eastAsia="Arial" w:hAnsi="Arial"/>
                <w:sz w:val="16"/>
                <w:szCs w:val="16"/>
                <w:color w:val="0000FF"/>
              </w:rPr>
              <w:t>Officer of OpenView</w:t>
            </w:r>
          </w:p>
        </w:tc>
        <w:tc>
          <w:tcPr>
            <w:tcW w:w="400" w:type="dxa"/>
            <w:vAlign w:val="bottom"/>
            <w:gridSpan w:val="2"/>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1"/>
        </w:trPr>
        <w:tc>
          <w:tcPr>
            <w:tcW w:w="2200" w:type="dxa"/>
            <w:vAlign w:val="bottom"/>
            <w:gridSpan w:val="5"/>
          </w:tcPr>
          <w:p>
            <w:pPr>
              <w:spacing w:after="0" w:line="181" w:lineRule="exact"/>
              <w:rPr>
                <w:sz w:val="20"/>
                <w:szCs w:val="20"/>
                <w:color w:val="auto"/>
              </w:rPr>
            </w:pPr>
            <w:r>
              <w:rPr>
                <w:rFonts w:ascii="Arial" w:cs="Arial" w:eastAsia="Arial" w:hAnsi="Arial"/>
                <w:sz w:val="16"/>
                <w:szCs w:val="16"/>
                <w:color w:val="0000FF"/>
                <w:w w:val="98"/>
              </w:rPr>
              <w:t>Management, LLC, the general</w:t>
            </w:r>
          </w:p>
        </w:tc>
        <w:tc>
          <w:tcPr>
            <w:tcW w:w="740" w:type="dxa"/>
            <w:vAlign w:val="bottom"/>
          </w:tcPr>
          <w:p>
            <w:pPr>
              <w:spacing w:after="0"/>
              <w:rPr>
                <w:sz w:val="15"/>
                <w:szCs w:val="15"/>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ectPr>
          <w:pgSz w:w="11900" w:h="16838" w:orient="portrait"/>
          <w:cols w:equalWidth="0" w:num="1">
            <w:col w:w="11080"/>
          </w:cols>
          <w:pgMar w:left="460" w:top="185" w:right="359" w:bottom="0" w:gutter="0" w:footer="0" w:header="0"/>
        </w:sectPr>
      </w:pPr>
    </w:p>
    <w:bookmarkStart w:id="2" w:name="page3"/>
    <w:bookmarkEnd w:id="2"/>
    <w:p>
      <w:pPr>
        <w:ind w:left="6562"/>
        <w:spacing w:after="0"/>
        <w:rPr>
          <w:sz w:val="20"/>
          <w:szCs w:val="20"/>
          <w:color w:val="auto"/>
        </w:rPr>
      </w:pPr>
      <w:r>
        <w:rPr>
          <w:rFonts w:ascii="Arial" w:cs="Arial" w:eastAsia="Arial" w:hAnsi="Arial"/>
          <w:sz w:val="16"/>
          <w:szCs w:val="16"/>
          <w:color w:val="0000FF"/>
        </w:rPr>
        <w:t>partner 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-6985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Partner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619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1976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-6985</wp:posOffset>
            </wp:positionV>
            <wp:extent cx="1148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877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9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62"/>
        <w:spacing w:after="0"/>
        <w:tabs>
          <w:tab w:leader="none" w:pos="8742" w:val="left"/>
        </w:tabs>
        <w:rPr>
          <w:sz w:val="20"/>
          <w:szCs w:val="20"/>
          <w:color w:val="auto"/>
        </w:rPr>
      </w:pPr>
      <w:r>
        <w:rPr>
          <w:rFonts w:ascii="Arial" w:cs="Arial" w:eastAsia="Arial" w:hAnsi="Arial"/>
          <w:sz w:val="16"/>
          <w:szCs w:val="16"/>
          <w:color w:val="0000FF"/>
        </w:rPr>
        <w:t>partner of OpenView General</w:t>
      </w:r>
      <w:r>
        <w:rPr>
          <w:sz w:val="20"/>
          <w:szCs w:val="20"/>
          <w:color w:val="auto"/>
        </w:rPr>
        <w:tab/>
      </w:r>
      <w:r>
        <w:rPr>
          <w:rFonts w:ascii="Arial" w:cs="Arial" w:eastAsia="Arial" w:hAnsi="Arial"/>
          <w:sz w:val="14"/>
          <w:szCs w:val="14"/>
          <w:color w:val="0000FF"/>
        </w:rPr>
        <w:t>11/17/2021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862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8624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IV,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43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of OpenView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89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5480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-6985</wp:posOffset>
            </wp:positionV>
            <wp:extent cx="1148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877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97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62"/>
        <w:spacing w:after="0"/>
        <w:tabs>
          <w:tab w:leader="none" w:pos="8742" w:val="left"/>
        </w:tabs>
        <w:rPr>
          <w:sz w:val="20"/>
          <w:szCs w:val="20"/>
          <w:color w:val="auto"/>
        </w:rPr>
      </w:pPr>
      <w:r>
        <w:rPr>
          <w:rFonts w:ascii="Arial" w:cs="Arial" w:eastAsia="Arial" w:hAnsi="Arial"/>
          <w:sz w:val="16"/>
          <w:szCs w:val="16"/>
          <w:color w:val="0000FF"/>
        </w:rPr>
        <w:t>partner of OpenView General</w:t>
      </w:r>
      <w:r>
        <w:rPr>
          <w:sz w:val="20"/>
          <w:szCs w:val="20"/>
          <w:color w:val="auto"/>
        </w:rPr>
        <w:tab/>
      </w:r>
      <w:r>
        <w:rPr>
          <w:rFonts w:ascii="Arial" w:cs="Arial" w:eastAsia="Arial" w:hAnsi="Arial"/>
          <w:sz w:val="14"/>
          <w:szCs w:val="14"/>
          <w:color w:val="0000FF"/>
        </w:rPr>
        <w:t>11/17/2021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862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8624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IV,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43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of OpenView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1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674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49"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2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658115" TargetMode="External"/><Relationship Id="rId13" Type="http://schemas.openxmlformats.org/officeDocument/2006/relationships/hyperlink" Target="http://www.sec.gov/cgi-bin/browse-edgar?action=getcompany&amp;CIK=0001476840" TargetMode="External"/><Relationship Id="rId16" Type="http://schemas.openxmlformats.org/officeDocument/2006/relationships/hyperlink" Target="http://www.sec.gov/cgi-bin/browse-edgar?action=getcompany&amp;CIK=0001658111" TargetMode="External"/><Relationship Id="rId17" Type="http://schemas.openxmlformats.org/officeDocument/2006/relationships/hyperlink" Target="http://www.sec.gov/cgi-bin/browse-edgar?action=getcompany&amp;CIK=0001616720" TargetMode="External"/><Relationship Id="rId18" Type="http://schemas.openxmlformats.org/officeDocument/2006/relationships/hyperlink" Target="http://www.sec.gov/cgi-bin/browse-edgar?action=getcompany&amp;CIK=0001618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2021-11-17T16:05:49Z</dcterms:created>
  <dcterms:modified xsi:type="dcterms:W3CDTF">2021-11-17T16:05:49Z</dcterms:modified>
</cp:coreProperties>
</file>