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6134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61347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44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Barrett David Michael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401 SW 5TH AVE</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PORTLAND</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OR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97204</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Expensify,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EXFY</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6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46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3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04/15/2024</w:t>
            </w:r>
          </w:p>
        </w:tc>
        <w:tc>
          <w:tcPr>
            <w:tcW w:w="2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360" w:type="dxa"/>
            <w:vAlign w:val="bottom"/>
            <w:gridSpan w:val="3"/>
            <w:vMerge w:val="continue"/>
          </w:tcPr>
          <w:p>
            <w:pPr>
              <w:spacing w:after="0"/>
              <w:rPr>
                <w:sz w:val="11"/>
                <w:szCs w:val="11"/>
                <w:color w:val="auto"/>
              </w:rPr>
            </w:pPr>
          </w:p>
        </w:tc>
        <w:tc>
          <w:tcPr>
            <w:tcW w:w="2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6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8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240"/>
          </w:cols>
          <w:pgMar w:left="460" w:top="219" w:right="359" w:bottom="446" w:gutter="0" w:footer="0" w:header="0"/>
          <w:type w:val="continuous"/>
        </w:sectPr>
      </w:pPr>
    </w:p>
    <w:p>
      <w:pPr>
        <w:spacing w:after="0" w:line="1"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04/15/2024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17,190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1.44</w:t>
            </w:r>
            <w:r>
              <w:rPr>
                <w:rFonts w:ascii="Times New Roman" w:cs="Times New Roman" w:eastAsia="Times New Roman" w:hAnsi="Times New Roman"/>
                <w:sz w:val="22"/>
                <w:szCs w:val="22"/>
                <w:color w:val="008000"/>
                <w:vertAlign w:val="superscript"/>
              </w:rPr>
              <w:t>(2)</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1,165,774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04/16/2024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16,950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1.45</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1,148,824</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04/17/2024</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16,575</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1.49</w:t>
            </w:r>
            <w:r>
              <w:rPr>
                <w:rFonts w:ascii="Times New Roman" w:cs="Times New Roman" w:eastAsia="Times New Roman" w:hAnsi="Times New Roman"/>
                <w:sz w:val="22"/>
                <w:szCs w:val="22"/>
                <w:color w:val="008000"/>
                <w:vertAlign w:val="superscript"/>
              </w:rPr>
              <w:t>(5)</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1,132,249</w:t>
            </w:r>
          </w:p>
        </w:tc>
        <w:tc>
          <w:tcPr>
            <w:tcW w:w="92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3"/>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tcBorders>
              <w:top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8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44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200" w:type="dxa"/>
            <w:vAlign w:val="bottom"/>
            <w:tcBorders>
              <w:top w:val="single" w:sz="8" w:color="2C2C2C"/>
            </w:tcBorders>
          </w:tcPr>
          <w:p>
            <w:pPr>
              <w:spacing w:after="0"/>
              <w:rPr>
                <w:sz w:val="23"/>
                <w:szCs w:val="23"/>
                <w:color w:val="auto"/>
              </w:rPr>
            </w:pPr>
          </w:p>
        </w:tc>
        <w:tc>
          <w:tcPr>
            <w:tcW w:w="1200" w:type="dxa"/>
            <w:vAlign w:val="bottom"/>
            <w:tcBorders>
              <w:top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133,668</w:t>
            </w:r>
          </w:p>
        </w:tc>
        <w:tc>
          <w:tcPr>
            <w:tcW w:w="920" w:type="dxa"/>
            <w:vAlign w:val="bottom"/>
            <w:tcBorders>
              <w:top w:val="single" w:sz="8" w:color="2C2C2C"/>
            </w:tcBorders>
          </w:tcPr>
          <w:p>
            <w:pPr>
              <w:jc w:val="center"/>
              <w:ind w:right="5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on this Form 4 were effected pursuant to a Rule 10b5-1 trading plan adopted by the reporting person on December 15, 2023.</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$1.42 to $1.44,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5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By Barrett Trust LLC, a manager-managed limited liability company. The investment and voting decisions of Barrett Trust LLC are made by its manager, the Reporting Person, and its controlling member is the Barrett Family Trust, for which the Reporting Person serves as trustee.</w:t>
      </w:r>
    </w:p>
    <w:p>
      <w:pPr>
        <w:spacing w:after="0" w:line="7"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$1.43 to $1.47,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$1.46 to $1.51, inclusive. The reporting person undertakes to provide to Expensify, Inc., any security holder of Expensify, Inc., or the staff of the Securities and Exchange Commission, upon request, full information regarding the number of shares sold at each separate price within the ranges set forth in this footnote.</w:t>
      </w:r>
    </w:p>
    <w:p>
      <w:pPr>
        <w:sectPr>
          <w:pgSz w:w="11900" w:h="16838" w:orient="portrait"/>
          <w:cols w:equalWidth="0" w:num="1">
            <w:col w:w="11080"/>
          </w:cols>
          <w:pgMar w:left="460" w:top="219" w:right="359" w:bottom="446" w:gutter="0" w:footer="0" w:header="0"/>
          <w:type w:val="continuous"/>
        </w:sectPr>
      </w:pP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Ryan Schaffer,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04/17/2024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446"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44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92682" TargetMode="External"/><Relationship Id="rId13"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2024-04-17T18:45:09Z</dcterms:created>
  <dcterms:modified xsi:type="dcterms:W3CDTF">2024-04-17T18:45:09Z</dcterms:modified>
</cp:coreProperties>
</file>