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8"/>
          <w:szCs w:val="28"/>
          <w:b w:val="1"/>
          <w:bCs w:val="1"/>
          <w:color w:val="auto"/>
        </w:rPr>
        <w:t>UNITED STATES</w:t>
      </w:r>
    </w:p>
    <w:p>
      <w:pPr>
        <w:spacing w:after="0" w:line="47" w:lineRule="exact"/>
        <w:rPr>
          <w:sz w:val="24"/>
          <w:szCs w:val="24"/>
          <w:color w:val="auto"/>
        </w:rPr>
      </w:pPr>
    </w:p>
    <w:p>
      <w:pPr>
        <w:jc w:val="center"/>
        <w:spacing w:after="0"/>
        <w:rPr>
          <w:sz w:val="20"/>
          <w:szCs w:val="20"/>
          <w:color w:val="auto"/>
        </w:rPr>
      </w:pPr>
      <w:r>
        <w:rPr>
          <w:rFonts w:ascii="Arial" w:cs="Arial" w:eastAsia="Arial" w:hAnsi="Arial"/>
          <w:sz w:val="28"/>
          <w:szCs w:val="28"/>
          <w:b w:val="1"/>
          <w:bCs w:val="1"/>
          <w:color w:val="auto"/>
        </w:rPr>
        <w:t>SECURITIES AND EXCHANGE COMMISSION</w:t>
      </w:r>
    </w:p>
    <w:p>
      <w:pPr>
        <w:spacing w:after="0" w:line="21"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Washington, D.C. 20549</w:t>
      </w:r>
    </w:p>
    <w:p>
      <w:pPr>
        <w:spacing w:after="0" w:line="74" w:lineRule="exact"/>
        <w:rPr>
          <w:sz w:val="24"/>
          <w:szCs w:val="24"/>
          <w:color w:val="auto"/>
        </w:rPr>
      </w:pPr>
    </w:p>
    <w:p>
      <w:pPr>
        <w:jc w:val="center"/>
        <w:spacing w:after="0"/>
        <w:rPr>
          <w:sz w:val="20"/>
          <w:szCs w:val="20"/>
          <w:color w:val="auto"/>
        </w:rPr>
      </w:pPr>
      <w:r>
        <w:rPr>
          <w:rFonts w:ascii="Arial" w:cs="Arial" w:eastAsia="Arial" w:hAnsi="Arial"/>
          <w:sz w:val="28"/>
          <w:szCs w:val="28"/>
          <w:b w:val="1"/>
          <w:bCs w:val="1"/>
          <w:color w:val="auto"/>
        </w:rPr>
        <w:t>FORM 8-K</w:t>
      </w:r>
    </w:p>
    <w:p>
      <w:pPr>
        <w:spacing w:after="0" w:line="112"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CURRENT REPORT</w:t>
      </w:r>
    </w:p>
    <w:p>
      <w:pPr>
        <w:spacing w:after="0" w:line="20"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PURSUANT TO SECTION 13 OR 15(d)</w:t>
      </w:r>
    </w:p>
    <w:p>
      <w:pPr>
        <w:spacing w:after="0" w:line="5"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OF THE SECURITIES EXCHANGE ACT OF 1934</w:t>
      </w:r>
    </w:p>
    <w:p>
      <w:pPr>
        <w:spacing w:after="0" w:line="85"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Date of report (Date of earliest event reported): August 11, 2022</w:t>
      </w:r>
    </w:p>
    <w:p>
      <w:pPr>
        <w:spacing w:after="0" w:line="90" w:lineRule="exact"/>
        <w:rPr>
          <w:sz w:val="24"/>
          <w:szCs w:val="24"/>
          <w:color w:val="auto"/>
        </w:rPr>
      </w:pPr>
    </w:p>
    <w:p>
      <w:pPr>
        <w:jc w:val="center"/>
        <w:spacing w:after="0"/>
        <w:rPr>
          <w:sz w:val="20"/>
          <w:szCs w:val="20"/>
          <w:color w:val="auto"/>
        </w:rPr>
      </w:pPr>
      <w:r>
        <w:rPr>
          <w:rFonts w:ascii="Arial" w:cs="Arial" w:eastAsia="Arial" w:hAnsi="Arial"/>
          <w:sz w:val="38"/>
          <w:szCs w:val="38"/>
          <w:b w:val="1"/>
          <w:bCs w:val="1"/>
          <w:color w:val="auto"/>
        </w:rPr>
        <w:t>Expensify, Inc.</w:t>
      </w:r>
    </w:p>
    <w:p>
      <w:pPr>
        <w:spacing w:after="0" w:line="52" w:lineRule="exact"/>
        <w:rPr>
          <w:sz w:val="24"/>
          <w:szCs w:val="24"/>
          <w:color w:val="auto"/>
        </w:rPr>
      </w:pPr>
    </w:p>
    <w:tbl>
      <w:tblPr>
        <w:tblLayout w:type="fixed"/>
        <w:tblInd w:w="1140" w:type="dxa"/>
        <w:tblCellMar>
          <w:top w:w="0" w:type="dxa"/>
          <w:left w:w="0" w:type="dxa"/>
          <w:bottom w:w="0" w:type="dxa"/>
          <w:right w:w="0" w:type="dxa"/>
        </w:tblCellMar>
      </w:tblPr>
      <w:tr>
        <w:trPr>
          <w:trHeight w:val="204"/>
        </w:trPr>
        <w:tc>
          <w:tcPr>
            <w:tcW w:w="2080" w:type="dxa"/>
            <w:vAlign w:val="bottom"/>
          </w:tcPr>
          <w:p>
            <w:pPr>
              <w:spacing w:after="0"/>
              <w:rPr>
                <w:sz w:val="17"/>
                <w:szCs w:val="17"/>
                <w:color w:val="auto"/>
              </w:rPr>
            </w:pPr>
          </w:p>
        </w:tc>
        <w:tc>
          <w:tcPr>
            <w:tcW w:w="4920" w:type="dxa"/>
            <w:vAlign w:val="bottom"/>
          </w:tcPr>
          <w:p>
            <w:pPr>
              <w:jc w:val="center"/>
              <w:ind w:right="28"/>
              <w:spacing w:after="0"/>
              <w:rPr>
                <w:sz w:val="20"/>
                <w:szCs w:val="20"/>
                <w:color w:val="auto"/>
              </w:rPr>
            </w:pPr>
            <w:r>
              <w:rPr>
                <w:rFonts w:ascii="Arial" w:cs="Arial" w:eastAsia="Arial" w:hAnsi="Arial"/>
                <w:sz w:val="16"/>
                <w:szCs w:val="16"/>
                <w:b w:val="1"/>
                <w:bCs w:val="1"/>
                <w:color w:val="auto"/>
                <w:w w:val="89"/>
              </w:rPr>
              <w:t>(Exact Name of Registrant as Specified in its Charter)</w:t>
            </w:r>
          </w:p>
        </w:tc>
        <w:tc>
          <w:tcPr>
            <w:tcW w:w="1700" w:type="dxa"/>
            <w:vAlign w:val="bottom"/>
          </w:tcPr>
          <w:p>
            <w:pPr>
              <w:spacing w:after="0"/>
              <w:rPr>
                <w:sz w:val="17"/>
                <w:szCs w:val="17"/>
                <w:color w:val="auto"/>
              </w:rPr>
            </w:pPr>
          </w:p>
        </w:tc>
      </w:tr>
      <w:tr>
        <w:trPr>
          <w:trHeight w:val="219"/>
        </w:trPr>
        <w:tc>
          <w:tcPr>
            <w:tcW w:w="2080" w:type="dxa"/>
            <w:vAlign w:val="bottom"/>
          </w:tcPr>
          <w:p>
            <w:pPr>
              <w:jc w:val="center"/>
              <w:ind w:right="532"/>
              <w:spacing w:after="0"/>
              <w:rPr>
                <w:sz w:val="20"/>
                <w:szCs w:val="20"/>
                <w:color w:val="auto"/>
              </w:rPr>
            </w:pPr>
            <w:r>
              <w:rPr>
                <w:rFonts w:ascii="Arial" w:cs="Arial" w:eastAsia="Arial" w:hAnsi="Arial"/>
                <w:sz w:val="16"/>
                <w:szCs w:val="16"/>
                <w:b w:val="1"/>
                <w:bCs w:val="1"/>
                <w:color w:val="auto"/>
                <w:w w:val="91"/>
              </w:rPr>
              <w:t>Delaware</w:t>
            </w:r>
          </w:p>
        </w:tc>
        <w:tc>
          <w:tcPr>
            <w:tcW w:w="4920" w:type="dxa"/>
            <w:vAlign w:val="bottom"/>
          </w:tcPr>
          <w:p>
            <w:pPr>
              <w:jc w:val="center"/>
              <w:ind w:right="48"/>
              <w:spacing w:after="0"/>
              <w:rPr>
                <w:sz w:val="20"/>
                <w:szCs w:val="20"/>
                <w:color w:val="auto"/>
              </w:rPr>
            </w:pPr>
            <w:r>
              <w:rPr>
                <w:rFonts w:ascii="Arial" w:cs="Arial" w:eastAsia="Arial" w:hAnsi="Arial"/>
                <w:sz w:val="16"/>
                <w:szCs w:val="16"/>
                <w:b w:val="1"/>
                <w:bCs w:val="1"/>
                <w:color w:val="auto"/>
                <w:w w:val="88"/>
              </w:rPr>
              <w:t>001-41043</w:t>
            </w:r>
          </w:p>
        </w:tc>
        <w:tc>
          <w:tcPr>
            <w:tcW w:w="1700" w:type="dxa"/>
            <w:vAlign w:val="bottom"/>
          </w:tcPr>
          <w:p>
            <w:pPr>
              <w:jc w:val="center"/>
              <w:ind w:left="672"/>
              <w:spacing w:after="0"/>
              <w:rPr>
                <w:sz w:val="20"/>
                <w:szCs w:val="20"/>
                <w:color w:val="auto"/>
              </w:rPr>
            </w:pPr>
            <w:r>
              <w:rPr>
                <w:rFonts w:ascii="Arial" w:cs="Arial" w:eastAsia="Arial" w:hAnsi="Arial"/>
                <w:sz w:val="16"/>
                <w:szCs w:val="16"/>
                <w:b w:val="1"/>
                <w:bCs w:val="1"/>
                <w:color w:val="auto"/>
                <w:w w:val="88"/>
              </w:rPr>
              <w:t>27-0239450</w:t>
            </w:r>
          </w:p>
        </w:tc>
      </w:tr>
      <w:tr>
        <w:trPr>
          <w:trHeight w:val="159"/>
        </w:trPr>
        <w:tc>
          <w:tcPr>
            <w:tcW w:w="2080" w:type="dxa"/>
            <w:vAlign w:val="bottom"/>
          </w:tcPr>
          <w:p>
            <w:pPr>
              <w:jc w:val="center"/>
              <w:ind w:right="532"/>
              <w:spacing w:after="0"/>
              <w:rPr>
                <w:sz w:val="20"/>
                <w:szCs w:val="20"/>
                <w:color w:val="auto"/>
              </w:rPr>
            </w:pPr>
            <w:r>
              <w:rPr>
                <w:rFonts w:ascii="Arial" w:cs="Arial" w:eastAsia="Arial" w:hAnsi="Arial"/>
                <w:sz w:val="13"/>
                <w:szCs w:val="13"/>
                <w:b w:val="1"/>
                <w:bCs w:val="1"/>
                <w:color w:val="auto"/>
                <w:w w:val="87"/>
              </w:rPr>
              <w:t>(State or Other Jurisdiction</w:t>
            </w:r>
          </w:p>
        </w:tc>
        <w:tc>
          <w:tcPr>
            <w:tcW w:w="4920" w:type="dxa"/>
            <w:vAlign w:val="bottom"/>
          </w:tcPr>
          <w:p>
            <w:pPr>
              <w:jc w:val="center"/>
              <w:ind w:right="68"/>
              <w:spacing w:after="0"/>
              <w:rPr>
                <w:sz w:val="20"/>
                <w:szCs w:val="20"/>
                <w:color w:val="auto"/>
              </w:rPr>
            </w:pPr>
            <w:r>
              <w:rPr>
                <w:rFonts w:ascii="Arial" w:cs="Arial" w:eastAsia="Arial" w:hAnsi="Arial"/>
                <w:sz w:val="13"/>
                <w:szCs w:val="13"/>
                <w:b w:val="1"/>
                <w:bCs w:val="1"/>
                <w:color w:val="auto"/>
                <w:w w:val="84"/>
              </w:rPr>
              <w:t>(Commission</w:t>
            </w:r>
          </w:p>
        </w:tc>
        <w:tc>
          <w:tcPr>
            <w:tcW w:w="1700" w:type="dxa"/>
            <w:vAlign w:val="bottom"/>
          </w:tcPr>
          <w:p>
            <w:pPr>
              <w:jc w:val="center"/>
              <w:ind w:left="652"/>
              <w:spacing w:after="0"/>
              <w:rPr>
                <w:sz w:val="20"/>
                <w:szCs w:val="20"/>
                <w:color w:val="auto"/>
              </w:rPr>
            </w:pPr>
            <w:r>
              <w:rPr>
                <w:rFonts w:ascii="Arial" w:cs="Arial" w:eastAsia="Arial" w:hAnsi="Arial"/>
                <w:sz w:val="13"/>
                <w:szCs w:val="13"/>
                <w:b w:val="1"/>
                <w:bCs w:val="1"/>
                <w:color w:val="auto"/>
                <w:w w:val="92"/>
              </w:rPr>
              <w:t>(IRS Employer</w:t>
            </w:r>
          </w:p>
        </w:tc>
      </w:tr>
      <w:tr>
        <w:trPr>
          <w:trHeight w:val="164"/>
        </w:trPr>
        <w:tc>
          <w:tcPr>
            <w:tcW w:w="2080" w:type="dxa"/>
            <w:vAlign w:val="bottom"/>
          </w:tcPr>
          <w:p>
            <w:pPr>
              <w:jc w:val="center"/>
              <w:ind w:right="532"/>
              <w:spacing w:after="0"/>
              <w:rPr>
                <w:sz w:val="20"/>
                <w:szCs w:val="20"/>
                <w:color w:val="auto"/>
              </w:rPr>
            </w:pPr>
            <w:r>
              <w:rPr>
                <w:rFonts w:ascii="Arial" w:cs="Arial" w:eastAsia="Arial" w:hAnsi="Arial"/>
                <w:sz w:val="13"/>
                <w:szCs w:val="13"/>
                <w:b w:val="1"/>
                <w:bCs w:val="1"/>
                <w:color w:val="auto"/>
                <w:w w:val="88"/>
              </w:rPr>
              <w:t>of Incorporation)</w:t>
            </w:r>
          </w:p>
        </w:tc>
        <w:tc>
          <w:tcPr>
            <w:tcW w:w="4920" w:type="dxa"/>
            <w:vAlign w:val="bottom"/>
          </w:tcPr>
          <w:p>
            <w:pPr>
              <w:jc w:val="center"/>
              <w:ind w:right="48"/>
              <w:spacing w:after="0"/>
              <w:rPr>
                <w:sz w:val="20"/>
                <w:szCs w:val="20"/>
                <w:color w:val="auto"/>
              </w:rPr>
            </w:pPr>
            <w:r>
              <w:rPr>
                <w:rFonts w:ascii="Arial" w:cs="Arial" w:eastAsia="Arial" w:hAnsi="Arial"/>
                <w:sz w:val="13"/>
                <w:szCs w:val="13"/>
                <w:b w:val="1"/>
                <w:bCs w:val="1"/>
                <w:color w:val="auto"/>
                <w:w w:val="90"/>
              </w:rPr>
              <w:t>File Number)</w:t>
            </w:r>
          </w:p>
        </w:tc>
        <w:tc>
          <w:tcPr>
            <w:tcW w:w="1700" w:type="dxa"/>
            <w:vAlign w:val="bottom"/>
          </w:tcPr>
          <w:p>
            <w:pPr>
              <w:jc w:val="center"/>
              <w:ind w:left="652"/>
              <w:spacing w:after="0"/>
              <w:rPr>
                <w:sz w:val="20"/>
                <w:szCs w:val="20"/>
                <w:color w:val="auto"/>
              </w:rPr>
            </w:pPr>
            <w:r>
              <w:rPr>
                <w:rFonts w:ascii="Arial" w:cs="Arial" w:eastAsia="Arial" w:hAnsi="Arial"/>
                <w:sz w:val="13"/>
                <w:szCs w:val="13"/>
                <w:b w:val="1"/>
                <w:bCs w:val="1"/>
                <w:color w:val="auto"/>
                <w:w w:val="89"/>
              </w:rPr>
              <w:t>Identification No.)</w:t>
            </w:r>
          </w:p>
        </w:tc>
      </w:tr>
      <w:tr>
        <w:trPr>
          <w:trHeight w:val="383"/>
        </w:trPr>
        <w:tc>
          <w:tcPr>
            <w:tcW w:w="2080" w:type="dxa"/>
            <w:vAlign w:val="bottom"/>
          </w:tcPr>
          <w:p>
            <w:pPr>
              <w:spacing w:after="0"/>
              <w:rPr>
                <w:sz w:val="24"/>
                <w:szCs w:val="24"/>
                <w:color w:val="auto"/>
              </w:rPr>
            </w:pPr>
          </w:p>
        </w:tc>
        <w:tc>
          <w:tcPr>
            <w:tcW w:w="4920" w:type="dxa"/>
            <w:vAlign w:val="bottom"/>
          </w:tcPr>
          <w:p>
            <w:pPr>
              <w:jc w:val="center"/>
              <w:ind w:right="28"/>
              <w:spacing w:after="0"/>
              <w:rPr>
                <w:sz w:val="20"/>
                <w:szCs w:val="20"/>
                <w:color w:val="auto"/>
              </w:rPr>
            </w:pPr>
            <w:r>
              <w:rPr>
                <w:rFonts w:ascii="Arial" w:cs="Arial" w:eastAsia="Arial" w:hAnsi="Arial"/>
                <w:sz w:val="16"/>
                <w:szCs w:val="16"/>
                <w:b w:val="1"/>
                <w:bCs w:val="1"/>
                <w:color w:val="auto"/>
                <w:w w:val="87"/>
              </w:rPr>
              <w:t>401 SW 5</w:t>
            </w:r>
            <w:r>
              <w:rPr>
                <w:rFonts w:ascii="Arial" w:cs="Arial" w:eastAsia="Arial" w:hAnsi="Arial"/>
                <w:sz w:val="20"/>
                <w:szCs w:val="20"/>
                <w:b w:val="1"/>
                <w:bCs w:val="1"/>
                <w:color w:val="auto"/>
                <w:w w:val="87"/>
                <w:vertAlign w:val="superscript"/>
              </w:rPr>
              <w:t>th</w:t>
            </w:r>
            <w:r>
              <w:rPr>
                <w:rFonts w:ascii="Arial" w:cs="Arial" w:eastAsia="Arial" w:hAnsi="Arial"/>
                <w:sz w:val="16"/>
                <w:szCs w:val="16"/>
                <w:b w:val="1"/>
                <w:bCs w:val="1"/>
                <w:color w:val="auto"/>
                <w:w w:val="87"/>
              </w:rPr>
              <w:t xml:space="preserve"> Ave</w:t>
            </w:r>
          </w:p>
        </w:tc>
        <w:tc>
          <w:tcPr>
            <w:tcW w:w="1700" w:type="dxa"/>
            <w:vAlign w:val="bottom"/>
          </w:tcPr>
          <w:p>
            <w:pPr>
              <w:spacing w:after="0"/>
              <w:rPr>
                <w:sz w:val="24"/>
                <w:szCs w:val="24"/>
                <w:color w:val="auto"/>
              </w:rPr>
            </w:pPr>
          </w:p>
        </w:tc>
      </w:tr>
      <w:tr>
        <w:trPr>
          <w:trHeight w:val="186"/>
        </w:trPr>
        <w:tc>
          <w:tcPr>
            <w:tcW w:w="2080" w:type="dxa"/>
            <w:vAlign w:val="bottom"/>
          </w:tcPr>
          <w:p>
            <w:pPr>
              <w:spacing w:after="0"/>
              <w:rPr>
                <w:sz w:val="16"/>
                <w:szCs w:val="16"/>
                <w:color w:val="auto"/>
              </w:rPr>
            </w:pPr>
          </w:p>
        </w:tc>
        <w:tc>
          <w:tcPr>
            <w:tcW w:w="4920" w:type="dxa"/>
            <w:vAlign w:val="bottom"/>
          </w:tcPr>
          <w:p>
            <w:pPr>
              <w:jc w:val="center"/>
              <w:ind w:right="28"/>
              <w:spacing w:after="0"/>
              <w:rPr>
                <w:sz w:val="20"/>
                <w:szCs w:val="20"/>
                <w:color w:val="auto"/>
              </w:rPr>
            </w:pPr>
            <w:r>
              <w:rPr>
                <w:rFonts w:ascii="Arial" w:cs="Arial" w:eastAsia="Arial" w:hAnsi="Arial"/>
                <w:sz w:val="16"/>
                <w:szCs w:val="16"/>
                <w:b w:val="1"/>
                <w:bCs w:val="1"/>
                <w:color w:val="auto"/>
                <w:w w:val="90"/>
              </w:rPr>
              <w:t>Portland, Oregon 97204</w:t>
            </w:r>
          </w:p>
        </w:tc>
        <w:tc>
          <w:tcPr>
            <w:tcW w:w="1700" w:type="dxa"/>
            <w:vAlign w:val="bottom"/>
          </w:tcPr>
          <w:p>
            <w:pPr>
              <w:spacing w:after="0"/>
              <w:rPr>
                <w:sz w:val="16"/>
                <w:szCs w:val="16"/>
                <w:color w:val="auto"/>
              </w:rPr>
            </w:pPr>
          </w:p>
        </w:tc>
      </w:tr>
      <w:tr>
        <w:trPr>
          <w:trHeight w:val="164"/>
        </w:trPr>
        <w:tc>
          <w:tcPr>
            <w:tcW w:w="2080" w:type="dxa"/>
            <w:vAlign w:val="bottom"/>
          </w:tcPr>
          <w:p>
            <w:pPr>
              <w:spacing w:after="0"/>
              <w:rPr>
                <w:sz w:val="14"/>
                <w:szCs w:val="14"/>
                <w:color w:val="auto"/>
              </w:rPr>
            </w:pPr>
          </w:p>
        </w:tc>
        <w:tc>
          <w:tcPr>
            <w:tcW w:w="4920" w:type="dxa"/>
            <w:vAlign w:val="bottom"/>
          </w:tcPr>
          <w:p>
            <w:pPr>
              <w:jc w:val="center"/>
              <w:ind w:right="48"/>
              <w:spacing w:after="0"/>
              <w:rPr>
                <w:sz w:val="20"/>
                <w:szCs w:val="20"/>
                <w:color w:val="auto"/>
              </w:rPr>
            </w:pPr>
            <w:r>
              <w:rPr>
                <w:rFonts w:ascii="Arial" w:cs="Arial" w:eastAsia="Arial" w:hAnsi="Arial"/>
                <w:sz w:val="13"/>
                <w:szCs w:val="13"/>
                <w:b w:val="1"/>
                <w:bCs w:val="1"/>
                <w:color w:val="auto"/>
                <w:w w:val="87"/>
              </w:rPr>
              <w:t>(Address of Principal Executive Offices) (Zip Code)</w:t>
            </w:r>
          </w:p>
        </w:tc>
        <w:tc>
          <w:tcPr>
            <w:tcW w:w="1700" w:type="dxa"/>
            <w:vAlign w:val="bottom"/>
          </w:tcPr>
          <w:p>
            <w:pPr>
              <w:spacing w:after="0"/>
              <w:rPr>
                <w:sz w:val="14"/>
                <w:szCs w:val="14"/>
                <w:color w:val="auto"/>
              </w:rPr>
            </w:pPr>
          </w:p>
        </w:tc>
      </w:tr>
      <w:tr>
        <w:trPr>
          <w:trHeight w:val="273"/>
        </w:trPr>
        <w:tc>
          <w:tcPr>
            <w:tcW w:w="2080" w:type="dxa"/>
            <w:vAlign w:val="bottom"/>
          </w:tcPr>
          <w:p>
            <w:pPr>
              <w:spacing w:after="0"/>
              <w:rPr>
                <w:sz w:val="23"/>
                <w:szCs w:val="23"/>
                <w:color w:val="auto"/>
              </w:rPr>
            </w:pPr>
          </w:p>
        </w:tc>
        <w:tc>
          <w:tcPr>
            <w:tcW w:w="4920" w:type="dxa"/>
            <w:vAlign w:val="bottom"/>
          </w:tcPr>
          <w:p>
            <w:pPr>
              <w:jc w:val="center"/>
              <w:ind w:right="28"/>
              <w:spacing w:after="0"/>
              <w:rPr>
                <w:sz w:val="20"/>
                <w:szCs w:val="20"/>
                <w:color w:val="auto"/>
              </w:rPr>
            </w:pPr>
            <w:r>
              <w:rPr>
                <w:rFonts w:ascii="Arial" w:cs="Arial" w:eastAsia="Arial" w:hAnsi="Arial"/>
                <w:sz w:val="16"/>
                <w:szCs w:val="16"/>
                <w:b w:val="1"/>
                <w:bCs w:val="1"/>
                <w:color w:val="auto"/>
                <w:w w:val="89"/>
              </w:rPr>
              <w:t>(971) 365-3939</w:t>
            </w:r>
          </w:p>
        </w:tc>
        <w:tc>
          <w:tcPr>
            <w:tcW w:w="1700" w:type="dxa"/>
            <w:vAlign w:val="bottom"/>
          </w:tcPr>
          <w:p>
            <w:pPr>
              <w:spacing w:after="0"/>
              <w:rPr>
                <w:sz w:val="23"/>
                <w:szCs w:val="23"/>
                <w:color w:val="auto"/>
              </w:rPr>
            </w:pPr>
          </w:p>
        </w:tc>
      </w:tr>
      <w:tr>
        <w:trPr>
          <w:trHeight w:val="164"/>
        </w:trPr>
        <w:tc>
          <w:tcPr>
            <w:tcW w:w="2080" w:type="dxa"/>
            <w:vAlign w:val="bottom"/>
          </w:tcPr>
          <w:p>
            <w:pPr>
              <w:spacing w:after="0"/>
              <w:rPr>
                <w:sz w:val="14"/>
                <w:szCs w:val="14"/>
                <w:color w:val="auto"/>
              </w:rPr>
            </w:pPr>
          </w:p>
        </w:tc>
        <w:tc>
          <w:tcPr>
            <w:tcW w:w="4920" w:type="dxa"/>
            <w:vAlign w:val="bottom"/>
          </w:tcPr>
          <w:p>
            <w:pPr>
              <w:jc w:val="center"/>
              <w:ind w:right="48"/>
              <w:spacing w:after="0"/>
              <w:rPr>
                <w:sz w:val="20"/>
                <w:szCs w:val="20"/>
                <w:color w:val="auto"/>
              </w:rPr>
            </w:pPr>
            <w:r>
              <w:rPr>
                <w:rFonts w:ascii="Arial" w:cs="Arial" w:eastAsia="Arial" w:hAnsi="Arial"/>
                <w:sz w:val="13"/>
                <w:szCs w:val="13"/>
                <w:b w:val="1"/>
                <w:bCs w:val="1"/>
                <w:color w:val="auto"/>
                <w:w w:val="86"/>
              </w:rPr>
              <w:t>(Registrant’s telephone number, including area code)</w:t>
            </w:r>
          </w:p>
        </w:tc>
        <w:tc>
          <w:tcPr>
            <w:tcW w:w="1700" w:type="dxa"/>
            <w:vAlign w:val="bottom"/>
          </w:tcPr>
          <w:p>
            <w:pPr>
              <w:spacing w:after="0"/>
              <w:rPr>
                <w:sz w:val="14"/>
                <w:szCs w:val="14"/>
                <w:color w:val="auto"/>
              </w:rPr>
            </w:pPr>
          </w:p>
        </w:tc>
      </w:tr>
      <w:tr>
        <w:trPr>
          <w:trHeight w:val="273"/>
        </w:trPr>
        <w:tc>
          <w:tcPr>
            <w:tcW w:w="2080" w:type="dxa"/>
            <w:vAlign w:val="bottom"/>
          </w:tcPr>
          <w:p>
            <w:pPr>
              <w:spacing w:after="0"/>
              <w:rPr>
                <w:sz w:val="23"/>
                <w:szCs w:val="23"/>
                <w:color w:val="auto"/>
              </w:rPr>
            </w:pPr>
          </w:p>
        </w:tc>
        <w:tc>
          <w:tcPr>
            <w:tcW w:w="4920" w:type="dxa"/>
            <w:vAlign w:val="bottom"/>
          </w:tcPr>
          <w:p>
            <w:pPr>
              <w:jc w:val="center"/>
              <w:ind w:right="28"/>
              <w:spacing w:after="0"/>
              <w:rPr>
                <w:sz w:val="20"/>
                <w:szCs w:val="20"/>
                <w:color w:val="auto"/>
              </w:rPr>
            </w:pPr>
            <w:r>
              <w:rPr>
                <w:rFonts w:ascii="Arial" w:cs="Arial" w:eastAsia="Arial" w:hAnsi="Arial"/>
                <w:sz w:val="16"/>
                <w:szCs w:val="16"/>
                <w:b w:val="1"/>
                <w:bCs w:val="1"/>
                <w:color w:val="auto"/>
                <w:w w:val="89"/>
              </w:rPr>
              <w:t>Not applicable</w:t>
            </w:r>
          </w:p>
        </w:tc>
        <w:tc>
          <w:tcPr>
            <w:tcW w:w="1700" w:type="dxa"/>
            <w:vAlign w:val="bottom"/>
          </w:tcPr>
          <w:p>
            <w:pPr>
              <w:spacing w:after="0"/>
              <w:rPr>
                <w:sz w:val="23"/>
                <w:szCs w:val="23"/>
                <w:color w:val="auto"/>
              </w:rPr>
            </w:pPr>
          </w:p>
        </w:tc>
      </w:tr>
      <w:tr>
        <w:trPr>
          <w:trHeight w:val="164"/>
        </w:trPr>
        <w:tc>
          <w:tcPr>
            <w:tcW w:w="2080" w:type="dxa"/>
            <w:vAlign w:val="bottom"/>
          </w:tcPr>
          <w:p>
            <w:pPr>
              <w:spacing w:after="0"/>
              <w:rPr>
                <w:sz w:val="14"/>
                <w:szCs w:val="14"/>
                <w:color w:val="auto"/>
              </w:rPr>
            </w:pPr>
          </w:p>
        </w:tc>
        <w:tc>
          <w:tcPr>
            <w:tcW w:w="4920" w:type="dxa"/>
            <w:vAlign w:val="bottom"/>
          </w:tcPr>
          <w:p>
            <w:pPr>
              <w:jc w:val="center"/>
              <w:ind w:right="48"/>
              <w:spacing w:after="0"/>
              <w:rPr>
                <w:sz w:val="20"/>
                <w:szCs w:val="20"/>
                <w:color w:val="auto"/>
              </w:rPr>
            </w:pPr>
            <w:r>
              <w:rPr>
                <w:rFonts w:ascii="Arial" w:cs="Arial" w:eastAsia="Arial" w:hAnsi="Arial"/>
                <w:sz w:val="13"/>
                <w:szCs w:val="13"/>
                <w:b w:val="1"/>
                <w:bCs w:val="1"/>
                <w:color w:val="auto"/>
                <w:w w:val="88"/>
              </w:rPr>
              <w:t>(Former Name or Former Address, if Changed Since Last Report)</w:t>
            </w:r>
          </w:p>
        </w:tc>
        <w:tc>
          <w:tcPr>
            <w:tcW w:w="1700" w:type="dxa"/>
            <w:vAlign w:val="bottom"/>
          </w:tcPr>
          <w:p>
            <w:pPr>
              <w:spacing w:after="0"/>
              <w:rPr>
                <w:sz w:val="14"/>
                <w:szCs w:val="14"/>
                <w:color w:val="auto"/>
              </w:rPr>
            </w:pPr>
          </w:p>
        </w:tc>
      </w:tr>
    </w:tbl>
    <w:p>
      <w:pPr>
        <w:spacing w:after="0" w:line="91" w:lineRule="exact"/>
        <w:rPr>
          <w:sz w:val="24"/>
          <w:szCs w:val="24"/>
          <w:color w:val="auto"/>
        </w:rPr>
      </w:pPr>
    </w:p>
    <w:p>
      <w:pPr>
        <w:spacing w:after="0"/>
        <w:rPr>
          <w:sz w:val="20"/>
          <w:szCs w:val="20"/>
          <w:color w:val="auto"/>
        </w:rPr>
      </w:pPr>
      <w:r>
        <w:rPr>
          <w:rFonts w:ascii="Arial" w:cs="Arial" w:eastAsia="Arial" w:hAnsi="Arial"/>
          <w:sz w:val="15"/>
          <w:szCs w:val="15"/>
          <w:color w:val="auto"/>
        </w:rPr>
        <w:t>Check the appropriate box below if the Form 8-K filing is intended to simultaneously satisfy the filing obligation of the registrant under any of the following provisions:</w:t>
      </w:r>
    </w:p>
    <w:p>
      <w:pPr>
        <w:spacing w:after="0" w:line="64" w:lineRule="exact"/>
        <w:rPr>
          <w:sz w:val="24"/>
          <w:szCs w:val="24"/>
          <w:color w:val="auto"/>
        </w:rPr>
      </w:pPr>
    </w:p>
    <w:p>
      <w:pPr>
        <w:ind w:left="400" w:hanging="390"/>
        <w:spacing w:after="0"/>
        <w:tabs>
          <w:tab w:leader="none" w:pos="400" w:val="left"/>
        </w:tabs>
        <w:numPr>
          <w:ilvl w:val="0"/>
          <w:numId w:val="1"/>
        </w:numPr>
        <w:rPr>
          <w:rFonts w:ascii="MS PGothic" w:cs="MS PGothic" w:eastAsia="MS PGothic" w:hAnsi="MS PGothic"/>
          <w:sz w:val="16"/>
          <w:szCs w:val="16"/>
          <w:color w:val="auto"/>
        </w:rPr>
      </w:pPr>
      <w:r>
        <w:rPr>
          <w:rFonts w:ascii="Arial" w:cs="Arial" w:eastAsia="Arial" w:hAnsi="Arial"/>
          <w:sz w:val="16"/>
          <w:szCs w:val="16"/>
          <w:color w:val="auto"/>
        </w:rPr>
        <w:t>Written communications pursuant to Rule 425 under the Securities Act (17 CFR 230.425).</w:t>
      </w:r>
    </w:p>
    <w:p>
      <w:pPr>
        <w:spacing w:after="0" w:line="123" w:lineRule="exact"/>
        <w:rPr>
          <w:rFonts w:ascii="MS PGothic" w:cs="MS PGothic" w:eastAsia="MS PGothic" w:hAnsi="MS PGothic"/>
          <w:sz w:val="16"/>
          <w:szCs w:val="16"/>
          <w:color w:val="auto"/>
        </w:rPr>
      </w:pPr>
    </w:p>
    <w:p>
      <w:pPr>
        <w:ind w:left="400" w:hanging="390"/>
        <w:spacing w:after="0"/>
        <w:tabs>
          <w:tab w:leader="none" w:pos="400" w:val="left"/>
        </w:tabs>
        <w:numPr>
          <w:ilvl w:val="0"/>
          <w:numId w:val="1"/>
        </w:numPr>
        <w:rPr>
          <w:rFonts w:ascii="MS PGothic" w:cs="MS PGothic" w:eastAsia="MS PGothic" w:hAnsi="MS PGothic"/>
          <w:sz w:val="16"/>
          <w:szCs w:val="16"/>
          <w:color w:val="auto"/>
        </w:rPr>
      </w:pPr>
      <w:r>
        <w:rPr>
          <w:rFonts w:ascii="Arial" w:cs="Arial" w:eastAsia="Arial" w:hAnsi="Arial"/>
          <w:sz w:val="16"/>
          <w:szCs w:val="16"/>
          <w:color w:val="auto"/>
        </w:rPr>
        <w:t>Soliciting material pursuant to Rule 14a-12 under the Exchange Act (17 CFR 240.14a-12).</w:t>
      </w:r>
    </w:p>
    <w:p>
      <w:pPr>
        <w:spacing w:after="0" w:line="123" w:lineRule="exact"/>
        <w:rPr>
          <w:rFonts w:ascii="MS PGothic" w:cs="MS PGothic" w:eastAsia="MS PGothic" w:hAnsi="MS PGothic"/>
          <w:sz w:val="16"/>
          <w:szCs w:val="16"/>
          <w:color w:val="auto"/>
        </w:rPr>
      </w:pPr>
    </w:p>
    <w:p>
      <w:pPr>
        <w:ind w:left="400" w:hanging="390"/>
        <w:spacing w:after="0"/>
        <w:tabs>
          <w:tab w:leader="none" w:pos="400" w:val="left"/>
        </w:tabs>
        <w:numPr>
          <w:ilvl w:val="0"/>
          <w:numId w:val="1"/>
        </w:numPr>
        <w:rPr>
          <w:rFonts w:ascii="MS PGothic" w:cs="MS PGothic" w:eastAsia="MS PGothic" w:hAnsi="MS PGothic"/>
          <w:sz w:val="16"/>
          <w:szCs w:val="16"/>
          <w:color w:val="auto"/>
        </w:rPr>
      </w:pPr>
      <w:r>
        <w:rPr>
          <w:rFonts w:ascii="Arial" w:cs="Arial" w:eastAsia="Arial" w:hAnsi="Arial"/>
          <w:sz w:val="16"/>
          <w:szCs w:val="16"/>
          <w:color w:val="auto"/>
        </w:rPr>
        <w:t>Pre-commencement communications pursuant to Rule 14d-2(b) under the Exchange Act (17 CFR 240.14d-2(b)).</w:t>
      </w:r>
    </w:p>
    <w:p>
      <w:pPr>
        <w:spacing w:after="0" w:line="123" w:lineRule="exact"/>
        <w:rPr>
          <w:rFonts w:ascii="MS PGothic" w:cs="MS PGothic" w:eastAsia="MS PGothic" w:hAnsi="MS PGothic"/>
          <w:sz w:val="16"/>
          <w:szCs w:val="16"/>
          <w:color w:val="auto"/>
        </w:rPr>
      </w:pPr>
    </w:p>
    <w:p>
      <w:pPr>
        <w:ind w:left="400" w:hanging="390"/>
        <w:spacing w:after="0"/>
        <w:tabs>
          <w:tab w:leader="none" w:pos="400" w:val="left"/>
        </w:tabs>
        <w:numPr>
          <w:ilvl w:val="0"/>
          <w:numId w:val="1"/>
        </w:numPr>
        <w:rPr>
          <w:rFonts w:ascii="MS PGothic" w:cs="MS PGothic" w:eastAsia="MS PGothic" w:hAnsi="MS PGothic"/>
          <w:sz w:val="16"/>
          <w:szCs w:val="16"/>
          <w:color w:val="auto"/>
        </w:rPr>
      </w:pPr>
      <w:r>
        <w:rPr>
          <w:rFonts w:ascii="Arial" w:cs="Arial" w:eastAsia="Arial" w:hAnsi="Arial"/>
          <w:sz w:val="16"/>
          <w:szCs w:val="16"/>
          <w:color w:val="auto"/>
        </w:rPr>
        <w:t>Pre-commencement communications pursuant to Rule 13e-4(c) under the Exchange Act (17 CFR 240.13e-4(c)).</w:t>
      </w:r>
    </w:p>
    <w:p>
      <w:pPr>
        <w:spacing w:after="0" w:line="183" w:lineRule="exact"/>
        <w:rPr>
          <w:sz w:val="24"/>
          <w:szCs w:val="24"/>
          <w:color w:val="auto"/>
        </w:rPr>
      </w:pPr>
    </w:p>
    <w:p>
      <w:pPr>
        <w:spacing w:after="0"/>
        <w:rPr>
          <w:sz w:val="20"/>
          <w:szCs w:val="20"/>
          <w:color w:val="auto"/>
        </w:rPr>
      </w:pPr>
      <w:r>
        <w:rPr>
          <w:rFonts w:ascii="Arial" w:cs="Arial" w:eastAsia="Arial" w:hAnsi="Arial"/>
          <w:sz w:val="16"/>
          <w:szCs w:val="16"/>
          <w:color w:val="auto"/>
        </w:rPr>
        <w:t>Securities registered pursuant to Section 12(b) of the Act:</w:t>
      </w:r>
    </w:p>
    <w:p>
      <w:pPr>
        <w:spacing w:after="0" w:line="45" w:lineRule="exact"/>
        <w:rPr>
          <w:sz w:val="24"/>
          <w:szCs w:val="24"/>
          <w:color w:val="auto"/>
        </w:rPr>
      </w:pPr>
    </w:p>
    <w:tbl>
      <w:tblPr>
        <w:tblLayout w:type="fixed"/>
        <w:tblInd w:w="0" w:type="dxa"/>
        <w:tblCellMar>
          <w:top w:w="0" w:type="dxa"/>
          <w:left w:w="0" w:type="dxa"/>
          <w:bottom w:w="0" w:type="dxa"/>
          <w:right w:w="0" w:type="dxa"/>
        </w:tblCellMar>
      </w:tblPr>
      <w:tr>
        <w:trPr>
          <w:trHeight w:val="154"/>
        </w:trPr>
        <w:tc>
          <w:tcPr>
            <w:tcW w:w="38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3680" w:type="dxa"/>
            <w:vAlign w:val="bottom"/>
            <w:gridSpan w:val="2"/>
          </w:tcPr>
          <w:p>
            <w:pPr>
              <w:jc w:val="center"/>
              <w:ind w:right="140"/>
              <w:spacing w:after="0"/>
              <w:rPr>
                <w:sz w:val="20"/>
                <w:szCs w:val="20"/>
                <w:color w:val="auto"/>
              </w:rPr>
            </w:pPr>
            <w:r>
              <w:rPr>
                <w:rFonts w:ascii="Arial" w:cs="Arial" w:eastAsia="Arial" w:hAnsi="Arial"/>
                <w:sz w:val="13"/>
                <w:szCs w:val="13"/>
                <w:b w:val="1"/>
                <w:bCs w:val="1"/>
                <w:color w:val="auto"/>
                <w:w w:val="88"/>
              </w:rPr>
              <w:t>Trading</w:t>
            </w:r>
          </w:p>
        </w:tc>
        <w:tc>
          <w:tcPr>
            <w:tcW w:w="3620" w:type="dxa"/>
            <w:vAlign w:val="bottom"/>
          </w:tcPr>
          <w:p>
            <w:pPr>
              <w:jc w:val="center"/>
              <w:spacing w:after="0"/>
              <w:rPr>
                <w:sz w:val="20"/>
                <w:szCs w:val="20"/>
                <w:color w:val="auto"/>
              </w:rPr>
            </w:pPr>
            <w:r>
              <w:rPr>
                <w:rFonts w:ascii="Arial" w:cs="Arial" w:eastAsia="Arial" w:hAnsi="Arial"/>
                <w:sz w:val="13"/>
                <w:szCs w:val="13"/>
                <w:b w:val="1"/>
                <w:bCs w:val="1"/>
                <w:color w:val="auto"/>
                <w:w w:val="85"/>
              </w:rPr>
              <w:t>Name of each exchange</w:t>
            </w:r>
          </w:p>
        </w:tc>
      </w:tr>
      <w:tr>
        <w:trPr>
          <w:trHeight w:val="176"/>
        </w:trPr>
        <w:tc>
          <w:tcPr>
            <w:tcW w:w="3960" w:type="dxa"/>
            <w:vAlign w:val="bottom"/>
            <w:gridSpan w:val="2"/>
          </w:tcPr>
          <w:p>
            <w:pPr>
              <w:jc w:val="center"/>
              <w:ind w:right="140"/>
              <w:spacing w:after="0"/>
              <w:rPr>
                <w:sz w:val="20"/>
                <w:szCs w:val="20"/>
                <w:color w:val="auto"/>
              </w:rPr>
            </w:pPr>
            <w:r>
              <w:rPr>
                <w:rFonts w:ascii="Arial" w:cs="Arial" w:eastAsia="Arial" w:hAnsi="Arial"/>
                <w:sz w:val="13"/>
                <w:szCs w:val="13"/>
                <w:b w:val="1"/>
                <w:bCs w:val="1"/>
                <w:color w:val="auto"/>
                <w:w w:val="83"/>
              </w:rPr>
              <w:t>Title of each class</w:t>
            </w:r>
          </w:p>
        </w:tc>
        <w:tc>
          <w:tcPr>
            <w:tcW w:w="3680" w:type="dxa"/>
            <w:vAlign w:val="bottom"/>
            <w:gridSpan w:val="2"/>
          </w:tcPr>
          <w:p>
            <w:pPr>
              <w:jc w:val="center"/>
              <w:ind w:right="140"/>
              <w:spacing w:after="0"/>
              <w:rPr>
                <w:sz w:val="20"/>
                <w:szCs w:val="20"/>
                <w:color w:val="auto"/>
              </w:rPr>
            </w:pPr>
            <w:r>
              <w:rPr>
                <w:rFonts w:ascii="Arial" w:cs="Arial" w:eastAsia="Arial" w:hAnsi="Arial"/>
                <w:sz w:val="13"/>
                <w:szCs w:val="13"/>
                <w:b w:val="1"/>
                <w:bCs w:val="1"/>
                <w:color w:val="auto"/>
                <w:w w:val="85"/>
              </w:rPr>
              <w:t>Symbol(s)</w:t>
            </w:r>
          </w:p>
        </w:tc>
        <w:tc>
          <w:tcPr>
            <w:tcW w:w="3620" w:type="dxa"/>
            <w:vAlign w:val="bottom"/>
          </w:tcPr>
          <w:p>
            <w:pPr>
              <w:jc w:val="center"/>
              <w:spacing w:after="0"/>
              <w:rPr>
                <w:sz w:val="20"/>
                <w:szCs w:val="20"/>
                <w:color w:val="auto"/>
              </w:rPr>
            </w:pPr>
            <w:r>
              <w:rPr>
                <w:rFonts w:ascii="Arial" w:cs="Arial" w:eastAsia="Arial" w:hAnsi="Arial"/>
                <w:sz w:val="13"/>
                <w:szCs w:val="13"/>
                <w:b w:val="1"/>
                <w:bCs w:val="1"/>
                <w:color w:val="auto"/>
                <w:w w:val="86"/>
              </w:rPr>
              <w:t>on which registered</w:t>
            </w:r>
          </w:p>
        </w:tc>
      </w:tr>
      <w:tr>
        <w:trPr>
          <w:trHeight w:val="21"/>
        </w:trPr>
        <w:tc>
          <w:tcPr>
            <w:tcW w:w="38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5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20" w:type="dxa"/>
            <w:vAlign w:val="bottom"/>
            <w:tcBorders>
              <w:bottom w:val="single" w:sz="8" w:color="auto"/>
            </w:tcBorders>
          </w:tcPr>
          <w:p>
            <w:pPr>
              <w:spacing w:after="0" w:line="20" w:lineRule="exact"/>
              <w:rPr>
                <w:sz w:val="1"/>
                <w:szCs w:val="1"/>
                <w:color w:val="auto"/>
              </w:rPr>
            </w:pPr>
          </w:p>
        </w:tc>
      </w:tr>
      <w:tr>
        <w:trPr>
          <w:trHeight w:val="203"/>
        </w:trPr>
        <w:tc>
          <w:tcPr>
            <w:tcW w:w="3960" w:type="dxa"/>
            <w:vAlign w:val="bottom"/>
            <w:gridSpan w:val="2"/>
          </w:tcPr>
          <w:p>
            <w:pPr>
              <w:jc w:val="center"/>
              <w:ind w:right="160"/>
              <w:spacing w:after="0"/>
              <w:rPr>
                <w:sz w:val="20"/>
                <w:szCs w:val="20"/>
                <w:color w:val="auto"/>
              </w:rPr>
            </w:pPr>
            <w:r>
              <w:rPr>
                <w:rFonts w:ascii="Arial" w:cs="Arial" w:eastAsia="Arial" w:hAnsi="Arial"/>
                <w:sz w:val="16"/>
                <w:szCs w:val="16"/>
                <w:b w:val="1"/>
                <w:bCs w:val="1"/>
                <w:color w:val="auto"/>
                <w:w w:val="88"/>
              </w:rPr>
              <w:t>Class A Common Stock, par value $0.0001 per share</w:t>
            </w:r>
          </w:p>
        </w:tc>
        <w:tc>
          <w:tcPr>
            <w:tcW w:w="3680" w:type="dxa"/>
            <w:vAlign w:val="bottom"/>
            <w:gridSpan w:val="2"/>
          </w:tcPr>
          <w:p>
            <w:pPr>
              <w:jc w:val="center"/>
              <w:ind w:right="140"/>
              <w:spacing w:after="0"/>
              <w:rPr>
                <w:sz w:val="20"/>
                <w:szCs w:val="20"/>
                <w:color w:val="auto"/>
              </w:rPr>
            </w:pPr>
            <w:r>
              <w:rPr>
                <w:rFonts w:ascii="Arial" w:cs="Arial" w:eastAsia="Arial" w:hAnsi="Arial"/>
                <w:sz w:val="16"/>
                <w:szCs w:val="16"/>
                <w:b w:val="1"/>
                <w:bCs w:val="1"/>
                <w:color w:val="auto"/>
              </w:rPr>
              <w:t>EXFY</w:t>
            </w:r>
          </w:p>
        </w:tc>
        <w:tc>
          <w:tcPr>
            <w:tcW w:w="3620" w:type="dxa"/>
            <w:vAlign w:val="bottom"/>
          </w:tcPr>
          <w:p>
            <w:pPr>
              <w:jc w:val="center"/>
              <w:spacing w:after="0"/>
              <w:rPr>
                <w:sz w:val="20"/>
                <w:szCs w:val="20"/>
                <w:color w:val="auto"/>
              </w:rPr>
            </w:pPr>
            <w:r>
              <w:rPr>
                <w:rFonts w:ascii="Arial" w:cs="Arial" w:eastAsia="Arial" w:hAnsi="Arial"/>
                <w:sz w:val="16"/>
                <w:szCs w:val="16"/>
                <w:b w:val="1"/>
                <w:bCs w:val="1"/>
                <w:color w:val="auto"/>
                <w:w w:val="92"/>
              </w:rPr>
              <w:t>The Nasdaq Stock Market LLC</w:t>
            </w:r>
          </w:p>
        </w:tc>
      </w:tr>
    </w:tbl>
    <w:p>
      <w:pPr>
        <w:spacing w:after="0" w:line="83" w:lineRule="exact"/>
        <w:rPr>
          <w:sz w:val="24"/>
          <w:szCs w:val="24"/>
          <w:color w:val="auto"/>
        </w:rPr>
      </w:pPr>
    </w:p>
    <w:p>
      <w:pPr>
        <w:ind w:right="240"/>
        <w:spacing w:after="0" w:line="268" w:lineRule="auto"/>
        <w:rPr>
          <w:sz w:val="20"/>
          <w:szCs w:val="20"/>
          <w:color w:val="auto"/>
        </w:rPr>
      </w:pPr>
      <w:r>
        <w:rPr>
          <w:rFonts w:ascii="Arial" w:cs="Arial" w:eastAsia="Arial" w:hAnsi="Arial"/>
          <w:sz w:val="16"/>
          <w:szCs w:val="16"/>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34"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Emerging growth company </w:t>
      </w:r>
      <w:r>
        <w:rPr>
          <w:rFonts w:ascii="MS PGothic" w:cs="MS PGothic" w:eastAsia="MS PGothic" w:hAnsi="MS PGothic"/>
          <w:sz w:val="16"/>
          <w:szCs w:val="16"/>
          <w:color w:val="auto"/>
        </w:rPr>
        <w:t>☒</w:t>
      </w:r>
    </w:p>
    <w:p>
      <w:pPr>
        <w:spacing w:after="0" w:line="128" w:lineRule="exact"/>
        <w:rPr>
          <w:sz w:val="24"/>
          <w:szCs w:val="24"/>
          <w:color w:val="auto"/>
        </w:rPr>
      </w:pPr>
    </w:p>
    <w:p>
      <w:pPr>
        <w:ind w:right="320"/>
        <w:spacing w:after="0" w:line="204" w:lineRule="exact"/>
        <w:rPr>
          <w:sz w:val="20"/>
          <w:szCs w:val="20"/>
          <w:color w:val="auto"/>
        </w:rPr>
      </w:pPr>
      <w:r>
        <w:rPr>
          <w:rFonts w:ascii="Arial" w:cs="Arial" w:eastAsia="Arial" w:hAnsi="Arial"/>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-15240</wp:posOffset>
            </wp:positionH>
            <wp:positionV relativeFrom="paragraph">
              <wp:posOffset>818515</wp:posOffset>
            </wp:positionV>
            <wp:extent cx="7174865" cy="4064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1260"/>
          </w:cols>
          <w:pgMar w:left="320" w:top="1345" w:right="319" w:bottom="1440" w:gutter="0" w:footer="0" w:header="0"/>
        </w:sectPr>
      </w:pPr>
    </w:p>
    <w:bookmarkStart w:id="1" w:name="page2"/>
    <w:bookmarkEnd w:id="1"/>
    <w:p>
      <w:pPr>
        <w:ind w:left="5"/>
        <w:spacing w:after="0"/>
        <w:rPr>
          <w:sz w:val="20"/>
          <w:szCs w:val="20"/>
          <w:color w:val="auto"/>
        </w:rPr>
      </w:pPr>
      <w:r>
        <w:rPr>
          <w:rFonts w:ascii="Arial" w:cs="Arial" w:eastAsia="Arial" w:hAnsi="Arial"/>
          <w:sz w:val="16"/>
          <w:szCs w:val="16"/>
          <w:b w:val="1"/>
          <w:bCs w:val="1"/>
          <w:color w:val="auto"/>
        </w:rPr>
        <w:t>Item 7.01 Regulation FD Disclosure.</w:t>
      </w:r>
    </w:p>
    <w:p>
      <w:pPr>
        <w:spacing w:after="0" w:line="128" w:lineRule="exact"/>
        <w:rPr>
          <w:sz w:val="20"/>
          <w:szCs w:val="20"/>
          <w:color w:val="auto"/>
        </w:rPr>
      </w:pPr>
    </w:p>
    <w:p>
      <w:pPr>
        <w:jc w:val="both"/>
        <w:ind w:left="5"/>
        <w:spacing w:after="0" w:line="249" w:lineRule="auto"/>
        <w:rPr>
          <w:sz w:val="20"/>
          <w:szCs w:val="20"/>
          <w:color w:val="auto"/>
        </w:rPr>
      </w:pPr>
      <w:r>
        <w:rPr>
          <w:rFonts w:ascii="Arial" w:cs="Arial" w:eastAsia="Arial" w:hAnsi="Arial"/>
          <w:sz w:val="16"/>
          <w:szCs w:val="16"/>
          <w:color w:val="auto"/>
        </w:rPr>
        <w:t>On August 11, 2022, Expensify, Inc. (“Expensify” or the “Company”) issued an updated press release and investor presentation containing an update to its financial results for the quarter ended June 30, 2022. A copy of this press release and investor presentation are furnished as Exhibits 99.1 and 99.2, respectively, to this current report on Form 8-K and is incorporated herein by reference.</w:t>
      </w:r>
    </w:p>
    <w:p>
      <w:pPr>
        <w:spacing w:after="0" w:line="184" w:lineRule="exact"/>
        <w:rPr>
          <w:sz w:val="20"/>
          <w:szCs w:val="20"/>
          <w:color w:val="auto"/>
        </w:rPr>
      </w:pPr>
    </w:p>
    <w:p>
      <w:pPr>
        <w:jc w:val="both"/>
        <w:ind w:left="5" w:right="100"/>
        <w:spacing w:after="0" w:line="302" w:lineRule="auto"/>
        <w:rPr>
          <w:sz w:val="20"/>
          <w:szCs w:val="20"/>
          <w:color w:val="auto"/>
        </w:rPr>
      </w:pPr>
      <w:r>
        <w:rPr>
          <w:rFonts w:ascii="Arial" w:cs="Arial" w:eastAsia="Arial" w:hAnsi="Arial"/>
          <w:sz w:val="14"/>
          <w:szCs w:val="14"/>
          <w:color w:val="auto"/>
        </w:rPr>
        <w:t>The information contained in this Item 7.01, including Exhibits 99.1 and 99.2, is being furnished and shall not be deemed “filed” for the purposed of Section 18 of the Securities and Exchange Act of 1934, as amended (the “Exchange Act”), or otherwise subject to the liabilities of that section, nor shall it be deemed incorporated by reference in any filing made by Expensify under the Securities Act of 1933, as amended, or the Exchange Act, except as expressly set forth by specific reference in such a filing.</w:t>
      </w:r>
    </w:p>
    <w:p>
      <w:pPr>
        <w:spacing w:after="0" w:line="216" w:lineRule="exact"/>
        <w:rPr>
          <w:sz w:val="20"/>
          <w:szCs w:val="20"/>
          <w:color w:val="auto"/>
        </w:rPr>
      </w:pPr>
    </w:p>
    <w:p>
      <w:pPr>
        <w:ind w:left="5"/>
        <w:spacing w:after="0"/>
        <w:rPr>
          <w:sz w:val="20"/>
          <w:szCs w:val="20"/>
          <w:color w:val="auto"/>
        </w:rPr>
      </w:pPr>
      <w:r>
        <w:rPr>
          <w:rFonts w:ascii="Arial" w:cs="Arial" w:eastAsia="Arial" w:hAnsi="Arial"/>
          <w:sz w:val="16"/>
          <w:szCs w:val="16"/>
          <w:b w:val="1"/>
          <w:bCs w:val="1"/>
          <w:color w:val="auto"/>
        </w:rPr>
        <w:t>Item 9.01 Financial Statements and Exhibits.</w:t>
      </w:r>
    </w:p>
    <w:p>
      <w:pPr>
        <w:spacing w:after="0" w:line="128" w:lineRule="exact"/>
        <w:rPr>
          <w:sz w:val="20"/>
          <w:szCs w:val="20"/>
          <w:color w:val="auto"/>
        </w:rPr>
      </w:pPr>
    </w:p>
    <w:p>
      <w:pPr>
        <w:ind w:left="225" w:hanging="225"/>
        <w:spacing w:after="0"/>
        <w:tabs>
          <w:tab w:leader="none" w:pos="225" w:val="left"/>
        </w:tabs>
        <w:numPr>
          <w:ilvl w:val="0"/>
          <w:numId w:val="2"/>
        </w:numPr>
        <w:rPr>
          <w:rFonts w:ascii="Arial" w:cs="Arial" w:eastAsia="Arial" w:hAnsi="Arial"/>
          <w:sz w:val="16"/>
          <w:szCs w:val="16"/>
          <w:color w:val="auto"/>
        </w:rPr>
      </w:pPr>
      <w:r>
        <w:rPr>
          <w:rFonts w:ascii="Arial" w:cs="Arial" w:eastAsia="Arial" w:hAnsi="Arial"/>
          <w:sz w:val="16"/>
          <w:szCs w:val="16"/>
          <w:u w:val="single" w:color="auto"/>
          <w:color w:val="auto"/>
        </w:rPr>
        <w:t>Exhibits</w:t>
      </w:r>
      <w:r>
        <w:rPr>
          <w:rFonts w:ascii="Arial" w:cs="Arial" w:eastAsia="Arial" w:hAnsi="Arial"/>
          <w:sz w:val="16"/>
          <w:szCs w:val="16"/>
          <w:color w:val="auto"/>
        </w:rPr>
        <w:t>.</w:t>
      </w:r>
    </w:p>
    <w:p>
      <w:pPr>
        <w:spacing w:after="0" w:line="163" w:lineRule="exact"/>
        <w:rPr>
          <w:sz w:val="20"/>
          <w:szCs w:val="20"/>
          <w:color w:val="auto"/>
        </w:rPr>
      </w:pPr>
    </w:p>
    <w:p>
      <w:pPr>
        <w:ind w:left="105"/>
        <w:spacing w:after="0"/>
        <w:tabs>
          <w:tab w:leader="none" w:pos="925" w:val="left"/>
        </w:tabs>
        <w:rPr>
          <w:sz w:val="20"/>
          <w:szCs w:val="20"/>
          <w:color w:val="auto"/>
        </w:rPr>
      </w:pPr>
      <w:r>
        <w:rPr>
          <w:rFonts w:ascii="Arial" w:cs="Arial" w:eastAsia="Arial" w:hAnsi="Arial"/>
          <w:sz w:val="13"/>
          <w:szCs w:val="13"/>
          <w:b w:val="1"/>
          <w:bCs w:val="1"/>
          <w:color w:val="auto"/>
        </w:rPr>
        <w:t>Exhibit No.</w:t>
      </w:r>
      <w:r>
        <w:rPr>
          <w:sz w:val="20"/>
          <w:szCs w:val="20"/>
          <w:color w:val="auto"/>
        </w:rPr>
        <w:tab/>
      </w:r>
      <w:r>
        <w:rPr>
          <w:rFonts w:ascii="Arial" w:cs="Arial" w:eastAsia="Arial" w:hAnsi="Arial"/>
          <w:sz w:val="11"/>
          <w:szCs w:val="11"/>
          <w:b w:val="1"/>
          <w:bCs w:val="1"/>
          <w:color w:val="auto"/>
        </w:rPr>
        <w:t>Description</w:t>
      </w:r>
    </w:p>
    <w:p>
      <w:pPr>
        <w:spacing w:after="0" w:line="94" w:lineRule="exact"/>
        <w:rPr>
          <w:sz w:val="20"/>
          <w:szCs w:val="20"/>
          <w:color w:val="auto"/>
        </w:rPr>
      </w:pPr>
    </w:p>
    <w:p>
      <w:pPr>
        <w:ind w:left="285"/>
        <w:spacing w:after="0"/>
        <w:tabs>
          <w:tab w:leader="none" w:pos="925" w:val="left"/>
        </w:tabs>
        <w:rPr>
          <w:sz w:val="20"/>
          <w:szCs w:val="20"/>
          <w:color w:val="auto"/>
        </w:rPr>
      </w:pPr>
      <w:r>
        <w:rPr>
          <w:rFonts w:ascii="Arial" w:cs="Arial" w:eastAsia="Arial" w:hAnsi="Arial"/>
          <w:sz w:val="16"/>
          <w:szCs w:val="16"/>
          <w:color w:val="auto"/>
        </w:rPr>
        <w:t>99.1</w:t>
      </w:r>
      <w:r>
        <w:rPr>
          <w:sz w:val="20"/>
          <w:szCs w:val="20"/>
          <w:color w:val="auto"/>
        </w:rPr>
        <w:tab/>
      </w:r>
      <w:r>
        <w:rPr>
          <w:rFonts w:ascii="Arial" w:cs="Arial" w:eastAsia="Arial" w:hAnsi="Arial"/>
          <w:sz w:val="14"/>
          <w:szCs w:val="14"/>
          <w:u w:val="single" w:color="auto"/>
          <w:color w:val="0000FF"/>
        </w:rPr>
        <w:t>Updated Press Release issued by Expensify, Inc., dated August 11, 2022.</w:t>
      </w:r>
    </w:p>
    <w:p>
      <w:pPr>
        <w:spacing w:after="0" w:line="88" w:lineRule="exact"/>
        <w:rPr>
          <w:sz w:val="20"/>
          <w:szCs w:val="20"/>
          <w:color w:val="auto"/>
        </w:rPr>
      </w:pPr>
    </w:p>
    <w:p>
      <w:pPr>
        <w:ind w:left="285"/>
        <w:spacing w:after="0"/>
        <w:tabs>
          <w:tab w:leader="none" w:pos="925" w:val="left"/>
        </w:tabs>
        <w:rPr>
          <w:sz w:val="20"/>
          <w:szCs w:val="20"/>
          <w:color w:val="auto"/>
        </w:rPr>
      </w:pPr>
      <w:r>
        <w:rPr>
          <w:rFonts w:ascii="Arial" w:cs="Arial" w:eastAsia="Arial" w:hAnsi="Arial"/>
          <w:sz w:val="16"/>
          <w:szCs w:val="16"/>
          <w:color w:val="auto"/>
        </w:rPr>
        <w:t>99.2</w:t>
      </w:r>
      <w:r>
        <w:rPr>
          <w:sz w:val="20"/>
          <w:szCs w:val="20"/>
          <w:color w:val="auto"/>
        </w:rPr>
        <w:tab/>
      </w:r>
      <w:r>
        <w:rPr>
          <w:rFonts w:ascii="Arial" w:cs="Arial" w:eastAsia="Arial" w:hAnsi="Arial"/>
          <w:sz w:val="14"/>
          <w:szCs w:val="14"/>
          <w:u w:val="single" w:color="auto"/>
          <w:color w:val="0000FF"/>
        </w:rPr>
        <w:t>Updated Investor Presentation, dated August, 11, 2022.</w:t>
      </w:r>
    </w:p>
    <w:p>
      <w:pPr>
        <w:spacing w:after="0" w:line="88" w:lineRule="exact"/>
        <w:rPr>
          <w:sz w:val="20"/>
          <w:szCs w:val="20"/>
          <w:color w:val="auto"/>
        </w:rPr>
      </w:pPr>
    </w:p>
    <w:p>
      <w:pPr>
        <w:ind w:left="305"/>
        <w:spacing w:after="0"/>
        <w:tabs>
          <w:tab w:leader="none" w:pos="925" w:val="left"/>
        </w:tabs>
        <w:rPr>
          <w:sz w:val="20"/>
          <w:szCs w:val="20"/>
          <w:color w:val="auto"/>
        </w:rPr>
      </w:pPr>
      <w:r>
        <w:rPr>
          <w:rFonts w:ascii="Arial" w:cs="Arial" w:eastAsia="Arial" w:hAnsi="Arial"/>
          <w:sz w:val="16"/>
          <w:szCs w:val="16"/>
          <w:color w:val="auto"/>
        </w:rPr>
        <w:t>104</w:t>
      </w:r>
      <w:r>
        <w:rPr>
          <w:sz w:val="20"/>
          <w:szCs w:val="20"/>
          <w:color w:val="auto"/>
        </w:rPr>
        <w:tab/>
      </w:r>
      <w:r>
        <w:rPr>
          <w:rFonts w:ascii="Arial" w:cs="Arial" w:eastAsia="Arial" w:hAnsi="Arial"/>
          <w:sz w:val="16"/>
          <w:szCs w:val="16"/>
          <w:color w:val="auto"/>
        </w:rPr>
        <w:t>Cover Page Interactive Data File (embedded within the Inline XBRL document).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839470</wp:posOffset>
            </wp:positionV>
            <wp:extent cx="7174865" cy="4064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1245"/>
          </w:cols>
          <w:pgMar w:left="315" w:top="1258" w:right="339" w:bottom="1440" w:gutter="0" w:footer="0" w:header="0"/>
        </w:sectPr>
      </w:pPr>
    </w:p>
    <w:bookmarkStart w:id="2" w:name="page3"/>
    <w:bookmarkEnd w:id="2"/>
    <w:p>
      <w:pPr>
        <w:ind w:left="5160"/>
        <w:spacing w:after="0"/>
        <w:rPr>
          <w:sz w:val="20"/>
          <w:szCs w:val="20"/>
          <w:color w:val="auto"/>
        </w:rPr>
      </w:pPr>
      <w:r>
        <w:rPr>
          <w:rFonts w:ascii="Arial" w:cs="Arial" w:eastAsia="Arial" w:hAnsi="Arial"/>
          <w:sz w:val="16"/>
          <w:szCs w:val="16"/>
          <w:b w:val="1"/>
          <w:bCs w:val="1"/>
          <w:u w:val="single" w:color="auto"/>
          <w:color w:val="auto"/>
        </w:rPr>
        <w:t>SIGNATURE</w:t>
      </w:r>
    </w:p>
    <w:p>
      <w:pPr>
        <w:spacing w:after="0" w:line="187" w:lineRule="exact"/>
        <w:rPr>
          <w:sz w:val="20"/>
          <w:szCs w:val="20"/>
          <w:color w:val="auto"/>
        </w:rPr>
      </w:pPr>
    </w:p>
    <w:p>
      <w:pPr>
        <w:spacing w:after="0" w:line="268" w:lineRule="auto"/>
        <w:rPr>
          <w:sz w:val="20"/>
          <w:szCs w:val="20"/>
          <w:color w:val="auto"/>
        </w:rPr>
      </w:pPr>
      <w:r>
        <w:rPr>
          <w:rFonts w:ascii="Arial" w:cs="Arial" w:eastAsia="Arial" w:hAnsi="Arial"/>
          <w:sz w:val="16"/>
          <w:szCs w:val="16"/>
          <w:color w:val="auto"/>
        </w:rPr>
        <w:t>Pursuant to the requirements of the Securities Exchange Act of 1934, the registrant has duly caused this report to be signed on its behalf by the undersigned hereunto duly authorized.</w:t>
      </w:r>
    </w:p>
    <w:p>
      <w:pPr>
        <w:spacing w:after="0" w:line="3" w:lineRule="exact"/>
        <w:rPr>
          <w:sz w:val="20"/>
          <w:szCs w:val="20"/>
          <w:color w:val="auto"/>
        </w:rPr>
      </w:pPr>
    </w:p>
    <w:p>
      <w:pPr>
        <w:ind w:left="8440"/>
        <w:spacing w:after="0"/>
        <w:rPr>
          <w:sz w:val="20"/>
          <w:szCs w:val="20"/>
          <w:color w:val="auto"/>
        </w:rPr>
      </w:pPr>
      <w:r>
        <w:rPr>
          <w:rFonts w:ascii="Arial" w:cs="Arial" w:eastAsia="Arial" w:hAnsi="Arial"/>
          <w:sz w:val="16"/>
          <w:szCs w:val="16"/>
          <w:color w:val="auto"/>
        </w:rPr>
        <w:t>Expensify, Inc.</w:t>
      </w:r>
    </w:p>
    <w:p>
      <w:pPr>
        <w:spacing w:after="0" w:line="230" w:lineRule="exact"/>
        <w:rPr>
          <w:sz w:val="20"/>
          <w:szCs w:val="20"/>
          <w:color w:val="auto"/>
        </w:rPr>
      </w:pPr>
    </w:p>
    <w:p>
      <w:pPr>
        <w:ind w:left="8440"/>
        <w:spacing w:after="0"/>
        <w:tabs>
          <w:tab w:leader="none" w:pos="8960" w:val="left"/>
        </w:tabs>
        <w:rPr>
          <w:sz w:val="20"/>
          <w:szCs w:val="20"/>
          <w:color w:val="auto"/>
        </w:rPr>
      </w:pPr>
      <w:r>
        <w:rPr>
          <w:rFonts w:ascii="Arial" w:cs="Arial" w:eastAsia="Arial" w:hAnsi="Arial"/>
          <w:sz w:val="16"/>
          <w:szCs w:val="16"/>
          <w:color w:val="auto"/>
        </w:rPr>
        <w:t>By:</w:t>
      </w:r>
      <w:r>
        <w:rPr>
          <w:sz w:val="20"/>
          <w:szCs w:val="20"/>
          <w:color w:val="auto"/>
        </w:rPr>
        <w:tab/>
      </w:r>
      <w:r>
        <w:rPr>
          <w:rFonts w:ascii="Arial" w:cs="Arial" w:eastAsia="Arial" w:hAnsi="Arial"/>
          <w:sz w:val="16"/>
          <w:szCs w:val="16"/>
          <w:color w:val="auto"/>
        </w:rPr>
        <w:t>/s/ Ryan Schaffer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5696585</wp:posOffset>
            </wp:positionH>
            <wp:positionV relativeFrom="paragraph">
              <wp:posOffset>19050</wp:posOffset>
            </wp:positionV>
            <wp:extent cx="1449705" cy="762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49705" cy="7620"/>
                    </a:xfrm>
                    <a:prstGeom prst="rect">
                      <a:avLst/>
                    </a:prstGeom>
                    <a:noFill/>
                  </pic:spPr>
                </pic:pic>
              </a:graphicData>
            </a:graphic>
          </wp:anchor>
        </w:drawing>
      </w:r>
    </w:p>
    <w:p>
      <w:pPr>
        <w:spacing w:after="0" w:line="21" w:lineRule="exact"/>
        <w:rPr>
          <w:sz w:val="20"/>
          <w:szCs w:val="20"/>
          <w:color w:val="auto"/>
        </w:rPr>
      </w:pPr>
    </w:p>
    <w:p>
      <w:pPr>
        <w:ind w:left="8440"/>
        <w:spacing w:after="0"/>
        <w:tabs>
          <w:tab w:leader="none" w:pos="8960" w:val="left"/>
        </w:tabs>
        <w:rPr>
          <w:sz w:val="20"/>
          <w:szCs w:val="20"/>
          <w:color w:val="auto"/>
        </w:rPr>
      </w:pPr>
      <w:r>
        <w:rPr>
          <w:rFonts w:ascii="Arial" w:cs="Arial" w:eastAsia="Arial" w:hAnsi="Arial"/>
          <w:sz w:val="16"/>
          <w:szCs w:val="16"/>
          <w:color w:val="auto"/>
        </w:rPr>
        <w:t>Name:</w:t>
      </w:r>
      <w:r>
        <w:rPr>
          <w:sz w:val="20"/>
          <w:szCs w:val="20"/>
          <w:color w:val="auto"/>
        </w:rPr>
        <w:tab/>
      </w:r>
      <w:r>
        <w:rPr>
          <w:rFonts w:ascii="Arial" w:cs="Arial" w:eastAsia="Arial" w:hAnsi="Arial"/>
          <w:sz w:val="14"/>
          <w:szCs w:val="14"/>
          <w:color w:val="auto"/>
        </w:rPr>
        <w:t>Ryan Schaffer</w:t>
      </w:r>
    </w:p>
    <w:p>
      <w:pPr>
        <w:spacing w:after="0" w:line="53" w:lineRule="exact"/>
        <w:rPr>
          <w:sz w:val="20"/>
          <w:szCs w:val="20"/>
          <w:color w:val="auto"/>
        </w:rPr>
      </w:pPr>
    </w:p>
    <w:p>
      <w:pPr>
        <w:ind w:left="8440"/>
        <w:spacing w:after="0"/>
        <w:tabs>
          <w:tab w:leader="none" w:pos="8960" w:val="left"/>
        </w:tabs>
        <w:rPr>
          <w:sz w:val="20"/>
          <w:szCs w:val="20"/>
          <w:color w:val="auto"/>
        </w:rPr>
      </w:pPr>
      <w:r>
        <w:rPr>
          <w:rFonts w:ascii="Arial" w:cs="Arial" w:eastAsia="Arial" w:hAnsi="Arial"/>
          <w:sz w:val="16"/>
          <w:szCs w:val="16"/>
          <w:color w:val="auto"/>
        </w:rPr>
        <w:t>Title:</w:t>
        <w:tab/>
        <w:t>Chief Financial Officer</w:t>
      </w:r>
    </w:p>
    <w:p>
      <w:pPr>
        <w:spacing w:after="0" w:line="289" w:lineRule="exact"/>
        <w:rPr>
          <w:sz w:val="20"/>
          <w:szCs w:val="20"/>
          <w:color w:val="auto"/>
        </w:rPr>
      </w:pPr>
    </w:p>
    <w:p>
      <w:pPr>
        <w:spacing w:after="0"/>
        <w:rPr>
          <w:sz w:val="20"/>
          <w:szCs w:val="20"/>
          <w:color w:val="auto"/>
        </w:rPr>
      </w:pPr>
      <w:r>
        <w:rPr>
          <w:rFonts w:ascii="Arial" w:cs="Arial" w:eastAsia="Arial" w:hAnsi="Arial"/>
          <w:sz w:val="16"/>
          <w:szCs w:val="16"/>
          <w:color w:val="auto"/>
        </w:rPr>
        <w:t>Date: August 11, 2022</w:t>
      </w:r>
    </w:p>
    <w:p>
      <w:pPr>
        <w:sectPr>
          <w:pgSz w:w="11900" w:h="16838" w:orient="portrait"/>
          <w:cols w:equalWidth="0" w:num="1">
            <w:col w:w="10720"/>
          </w:cols>
          <w:pgMar w:left="320" w:top="1258" w:right="859" w:bottom="1440" w:gutter="0" w:footer="0" w:header="0"/>
        </w:sectPr>
      </w:pPr>
    </w:p>
    <w:bookmarkStart w:id="3" w:name="page4"/>
    <w:bookmarkEnd w:id="3"/>
    <w:p>
      <w:pPr>
        <w:jc w:val="right"/>
        <w:spacing w:after="0"/>
        <w:rPr>
          <w:sz w:val="20"/>
          <w:szCs w:val="20"/>
          <w:color w:val="auto"/>
        </w:rPr>
      </w:pPr>
      <w:r>
        <w:rPr>
          <w:rFonts w:ascii="Arial" w:cs="Arial" w:eastAsia="Arial" w:hAnsi="Arial"/>
          <w:sz w:val="16"/>
          <w:szCs w:val="16"/>
          <w:b w:val="1"/>
          <w:bCs w:val="1"/>
          <w:color w:val="auto"/>
        </w:rPr>
        <w:t>Exhibit 99.1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ind w:left="2740"/>
        <w:spacing w:after="0"/>
        <w:rPr>
          <w:sz w:val="20"/>
          <w:szCs w:val="20"/>
          <w:color w:val="auto"/>
        </w:rPr>
      </w:pPr>
      <w:r>
        <w:rPr>
          <w:rFonts w:ascii="Arial" w:cs="Arial" w:eastAsia="Arial" w:hAnsi="Arial"/>
          <w:sz w:val="16"/>
          <w:szCs w:val="16"/>
          <w:b w:val="1"/>
          <w:bCs w:val="1"/>
          <w:color w:val="auto"/>
        </w:rPr>
        <w:t>CORRECTING AND REPLACING EXPENSIFY ANNOUNCES Q2 2022 RESULTS</w:t>
      </w:r>
    </w:p>
    <w:p>
      <w:pPr>
        <w:spacing w:after="0" w:line="139" w:lineRule="exact"/>
        <w:rPr>
          <w:sz w:val="20"/>
          <w:szCs w:val="20"/>
          <w:color w:val="auto"/>
        </w:rPr>
      </w:pPr>
    </w:p>
    <w:p>
      <w:pPr>
        <w:ind w:left="40"/>
        <w:spacing w:after="0"/>
        <w:rPr>
          <w:sz w:val="20"/>
          <w:szCs w:val="20"/>
          <w:color w:val="auto"/>
        </w:rPr>
      </w:pPr>
      <w:r>
        <w:rPr>
          <w:rFonts w:ascii="Arial" w:cs="Arial" w:eastAsia="Arial" w:hAnsi="Arial"/>
          <w:sz w:val="14"/>
          <w:szCs w:val="14"/>
          <w:i w:val="1"/>
          <w:iCs w:val="1"/>
          <w:color w:val="auto"/>
        </w:rPr>
        <w:t>The company experienced its strongest quarter for paid member growth to date, generated year-over-year interchange growth from the Expensify Card of 142% and saw positive</w:t>
      </w:r>
    </w:p>
    <w:p>
      <w:pPr>
        <w:spacing w:after="0" w:line="40" w:lineRule="exact"/>
        <w:rPr>
          <w:sz w:val="20"/>
          <w:szCs w:val="20"/>
          <w:color w:val="auto"/>
        </w:rPr>
      </w:pPr>
    </w:p>
    <w:p>
      <w:pPr>
        <w:jc w:val="center"/>
        <w:spacing w:after="0"/>
        <w:rPr>
          <w:sz w:val="20"/>
          <w:szCs w:val="20"/>
          <w:color w:val="auto"/>
        </w:rPr>
      </w:pPr>
      <w:r>
        <w:rPr>
          <w:rFonts w:ascii="Arial" w:cs="Arial" w:eastAsia="Arial" w:hAnsi="Arial"/>
          <w:sz w:val="16"/>
          <w:szCs w:val="16"/>
          <w:i w:val="1"/>
          <w:iCs w:val="1"/>
          <w:color w:val="auto"/>
        </w:rPr>
        <w:t>operating cash flow of $15.9 million for the quarter.</w:t>
      </w:r>
    </w:p>
    <w:p>
      <w:pPr>
        <w:spacing w:after="0" w:line="230" w:lineRule="exact"/>
        <w:rPr>
          <w:sz w:val="20"/>
          <w:szCs w:val="20"/>
          <w:color w:val="auto"/>
        </w:rPr>
      </w:pPr>
    </w:p>
    <w:p>
      <w:pPr>
        <w:spacing w:after="0"/>
        <w:rPr>
          <w:sz w:val="20"/>
          <w:szCs w:val="20"/>
          <w:color w:val="auto"/>
        </w:rPr>
      </w:pPr>
      <w:r>
        <w:rPr>
          <w:rFonts w:ascii="Arial" w:cs="Arial" w:eastAsia="Arial" w:hAnsi="Arial"/>
          <w:sz w:val="16"/>
          <w:szCs w:val="16"/>
          <w:color w:val="auto"/>
        </w:rPr>
        <w:t>CORRECTION...by Expensify, Inc.</w:t>
      </w:r>
    </w:p>
    <w:p>
      <w:pPr>
        <w:spacing w:after="0" w:line="230" w:lineRule="exact"/>
        <w:rPr>
          <w:sz w:val="20"/>
          <w:szCs w:val="20"/>
          <w:color w:val="auto"/>
        </w:rPr>
      </w:pPr>
    </w:p>
    <w:p>
      <w:pPr>
        <w:ind w:right="400"/>
        <w:spacing w:after="0" w:line="268" w:lineRule="auto"/>
        <w:rPr>
          <w:sz w:val="20"/>
          <w:szCs w:val="20"/>
          <w:color w:val="auto"/>
        </w:rPr>
      </w:pPr>
      <w:r>
        <w:rPr>
          <w:rFonts w:ascii="Arial" w:cs="Arial" w:eastAsia="Arial" w:hAnsi="Arial"/>
          <w:sz w:val="16"/>
          <w:szCs w:val="16"/>
          <w:color w:val="auto"/>
        </w:rPr>
        <w:t>PORTLAND, Ore.--(BUSINESS WIRE)-- In the subhead, Ryan Schaffer’s quote in the third paragraph, and the third bullet under Second Quarter 2022 Highlights, positive operating cash flow should be “$15.9 million” (instead of “$27.2 million”).</w:t>
      </w:r>
    </w:p>
    <w:p>
      <w:pPr>
        <w:spacing w:after="0" w:line="192" w:lineRule="exact"/>
        <w:rPr>
          <w:sz w:val="20"/>
          <w:szCs w:val="20"/>
          <w:color w:val="auto"/>
        </w:rPr>
      </w:pPr>
    </w:p>
    <w:p>
      <w:pPr>
        <w:jc w:val="center"/>
        <w:spacing w:after="0" w:line="283" w:lineRule="auto"/>
        <w:rPr>
          <w:sz w:val="20"/>
          <w:szCs w:val="20"/>
          <w:color w:val="auto"/>
        </w:rPr>
      </w:pPr>
      <w:r>
        <w:rPr>
          <w:rFonts w:ascii="Arial" w:cs="Arial" w:eastAsia="Arial" w:hAnsi="Arial"/>
          <w:sz w:val="16"/>
          <w:szCs w:val="16"/>
          <w:i w:val="1"/>
          <w:iCs w:val="1"/>
          <w:color w:val="auto"/>
        </w:rPr>
        <w:t>The company experienced its strongest quarter for paid member growth to date, generated year-over-year interchange growth from the Expensify Card of 142% and saw positive operating cash flow of $15.9 million for the quarter.</w:t>
      </w:r>
    </w:p>
    <w:p>
      <w:pPr>
        <w:spacing w:after="0" w:line="181" w:lineRule="exact"/>
        <w:rPr>
          <w:sz w:val="20"/>
          <w:szCs w:val="20"/>
          <w:color w:val="auto"/>
        </w:rPr>
      </w:pPr>
    </w:p>
    <w:p>
      <w:pPr>
        <w:ind w:right="460"/>
        <w:spacing w:after="0" w:line="302" w:lineRule="auto"/>
        <w:rPr>
          <w:sz w:val="20"/>
          <w:szCs w:val="20"/>
          <w:color w:val="auto"/>
        </w:rPr>
      </w:pPr>
      <w:r>
        <w:rPr>
          <w:rFonts w:ascii="Arial" w:cs="Arial" w:eastAsia="Arial" w:hAnsi="Arial"/>
          <w:sz w:val="15"/>
          <w:szCs w:val="15"/>
          <w:color w:val="auto"/>
        </w:rPr>
        <w:t>PORTLAND, Ore.--(BUSINESS WIRE)--August 11, 2022-- Expensify, Inc. (Nasdaq: EXFY), a payments superapp that helps individuals and businesses around the world simplify the way they manage money across expenses, corporate cards and bills, today announced results for its quarter ended June 30, 2022.</w:t>
      </w:r>
    </w:p>
    <w:p>
      <w:pPr>
        <w:spacing w:after="0" w:line="169" w:lineRule="exact"/>
        <w:rPr>
          <w:sz w:val="20"/>
          <w:szCs w:val="20"/>
          <w:color w:val="auto"/>
        </w:rPr>
      </w:pPr>
    </w:p>
    <w:p>
      <w:pPr>
        <w:spacing w:after="0" w:line="264" w:lineRule="auto"/>
        <w:rPr>
          <w:sz w:val="20"/>
          <w:szCs w:val="20"/>
          <w:color w:val="auto"/>
        </w:rPr>
      </w:pPr>
      <w:r>
        <w:rPr>
          <w:rFonts w:ascii="Arial" w:cs="Arial" w:eastAsia="Arial" w:hAnsi="Arial"/>
          <w:sz w:val="16"/>
          <w:szCs w:val="16"/>
          <w:color w:val="auto"/>
        </w:rPr>
        <w:t>“Our paid member count has fully rebounded and currently exceeds pre-pandemic levels, so there’s a lot to be excited about,” said David Barrett, Expensify’s founder and CEO. “We’re also doubling down on accounting partnerships – one of our most successful sales channels – by introducing dedicated partner managers and bringing back our invite-only accounting retreat, ExpensiCon, next May 2023. Not only has every ExpensiCon paid for itself many times over from the resulting subscription increases, it’s also a big cultural moment for the accounting industry and supercharges the activity we see in that channel.”</w:t>
      </w:r>
    </w:p>
    <w:p>
      <w:pPr>
        <w:spacing w:after="0" w:line="196" w:lineRule="exact"/>
        <w:rPr>
          <w:sz w:val="20"/>
          <w:szCs w:val="20"/>
          <w:color w:val="auto"/>
        </w:rPr>
      </w:pPr>
    </w:p>
    <w:p>
      <w:pPr>
        <w:ind w:right="60"/>
        <w:spacing w:after="0" w:line="290" w:lineRule="auto"/>
        <w:rPr>
          <w:sz w:val="20"/>
          <w:szCs w:val="20"/>
          <w:color w:val="auto"/>
        </w:rPr>
      </w:pPr>
      <w:r>
        <w:rPr>
          <w:rFonts w:ascii="Arial" w:cs="Arial" w:eastAsia="Arial" w:hAnsi="Arial"/>
          <w:sz w:val="15"/>
          <w:szCs w:val="15"/>
          <w:color w:val="auto"/>
        </w:rPr>
        <w:t>“We delivered great results this quarter anchored by an increase in subscription revenue and Expensify Card interchange.” says Ryan Schaffer, Expensify’s CFO. “The strength the business is experiencing right now can also be seen in our positive operating cash flow of $15.9 million. We’re excited by the momentum we’re seeing in the business despite the challenging climate as we continue to offer and improve upon the most effective solution to serve all small businesses.”</w:t>
      </w:r>
    </w:p>
    <w:p>
      <w:pPr>
        <w:spacing w:after="0" w:line="175" w:lineRule="exact"/>
        <w:rPr>
          <w:sz w:val="20"/>
          <w:szCs w:val="20"/>
          <w:color w:val="auto"/>
        </w:rPr>
      </w:pPr>
    </w:p>
    <w:p>
      <w:pPr>
        <w:spacing w:after="0"/>
        <w:rPr>
          <w:sz w:val="20"/>
          <w:szCs w:val="20"/>
          <w:color w:val="auto"/>
        </w:rPr>
      </w:pPr>
      <w:r>
        <w:rPr>
          <w:rFonts w:ascii="Arial" w:cs="Arial" w:eastAsia="Arial" w:hAnsi="Arial"/>
          <w:sz w:val="16"/>
          <w:szCs w:val="16"/>
          <w:b w:val="1"/>
          <w:bCs w:val="1"/>
          <w:u w:val="single" w:color="auto"/>
          <w:color w:val="auto"/>
        </w:rPr>
        <w:t>Second Quarter 2022 Highlights</w:t>
      </w:r>
    </w:p>
    <w:p>
      <w:pPr>
        <w:spacing w:after="0" w:line="14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Financial:</w:t>
      </w:r>
    </w:p>
    <w:p>
      <w:pPr>
        <w:spacing w:after="0" w:line="20" w:lineRule="exact"/>
        <w:rPr>
          <w:sz w:val="20"/>
          <w:szCs w:val="20"/>
          <w:color w:val="auto"/>
        </w:rPr>
      </w:pPr>
    </w:p>
    <w:p>
      <w:pPr>
        <w:ind w:left="560" w:hanging="282"/>
        <w:spacing w:after="0"/>
        <w:tabs>
          <w:tab w:leader="none" w:pos="560" w:val="left"/>
        </w:tabs>
        <w:numPr>
          <w:ilvl w:val="0"/>
          <w:numId w:val="3"/>
        </w:numPr>
        <w:rPr>
          <w:rFonts w:ascii="Arial" w:cs="Arial" w:eastAsia="Arial" w:hAnsi="Arial"/>
          <w:sz w:val="16"/>
          <w:szCs w:val="16"/>
          <w:color w:val="auto"/>
        </w:rPr>
      </w:pPr>
      <w:r>
        <w:rPr>
          <w:rFonts w:ascii="Arial" w:cs="Arial" w:eastAsia="Arial" w:hAnsi="Arial"/>
          <w:sz w:val="16"/>
          <w:szCs w:val="16"/>
          <w:color w:val="auto"/>
        </w:rPr>
        <w:t>Revenue was $43.2 million, an increase of 22% compared to the same period last year.</w:t>
      </w:r>
    </w:p>
    <w:p>
      <w:pPr>
        <w:spacing w:after="0" w:line="135" w:lineRule="exact"/>
        <w:rPr>
          <w:rFonts w:ascii="Arial" w:cs="Arial" w:eastAsia="Arial" w:hAnsi="Arial"/>
          <w:sz w:val="16"/>
          <w:szCs w:val="16"/>
          <w:color w:val="auto"/>
        </w:rPr>
      </w:pPr>
    </w:p>
    <w:p>
      <w:pPr>
        <w:ind w:left="560" w:hanging="282"/>
        <w:spacing w:after="0"/>
        <w:tabs>
          <w:tab w:leader="none" w:pos="560" w:val="left"/>
        </w:tabs>
        <w:numPr>
          <w:ilvl w:val="0"/>
          <w:numId w:val="3"/>
        </w:numPr>
        <w:rPr>
          <w:rFonts w:ascii="Arial" w:cs="Arial" w:eastAsia="Arial" w:hAnsi="Arial"/>
          <w:sz w:val="15"/>
          <w:szCs w:val="15"/>
          <w:color w:val="auto"/>
        </w:rPr>
      </w:pPr>
      <w:r>
        <w:rPr>
          <w:rFonts w:ascii="Arial" w:cs="Arial" w:eastAsia="Arial" w:hAnsi="Arial"/>
          <w:sz w:val="15"/>
          <w:szCs w:val="15"/>
          <w:color w:val="auto"/>
        </w:rPr>
        <w:t>Interchange derived from the Expensify Card saw sequential quarterly growth of 40%, resulting in a 142% increase compared to the same period last year.</w:t>
      </w:r>
    </w:p>
    <w:p>
      <w:pPr>
        <w:spacing w:after="0" w:line="146" w:lineRule="exact"/>
        <w:rPr>
          <w:rFonts w:ascii="Arial" w:cs="Arial" w:eastAsia="Arial" w:hAnsi="Arial"/>
          <w:sz w:val="15"/>
          <w:szCs w:val="15"/>
          <w:color w:val="auto"/>
        </w:rPr>
      </w:pPr>
    </w:p>
    <w:p>
      <w:pPr>
        <w:ind w:left="560" w:hanging="282"/>
        <w:spacing w:after="0"/>
        <w:tabs>
          <w:tab w:leader="none" w:pos="560" w:val="left"/>
        </w:tabs>
        <w:numPr>
          <w:ilvl w:val="0"/>
          <w:numId w:val="3"/>
        </w:numPr>
        <w:rPr>
          <w:rFonts w:ascii="Arial" w:cs="Arial" w:eastAsia="Arial" w:hAnsi="Arial"/>
          <w:sz w:val="16"/>
          <w:szCs w:val="16"/>
          <w:i w:val="1"/>
          <w:iCs w:val="1"/>
          <w:color w:val="auto"/>
        </w:rPr>
      </w:pPr>
      <w:r>
        <w:rPr>
          <w:rFonts w:ascii="Arial" w:cs="Arial" w:eastAsia="Arial" w:hAnsi="Arial"/>
          <w:sz w:val="16"/>
          <w:szCs w:val="16"/>
          <w:color w:val="auto"/>
        </w:rPr>
        <w:t>Positive operating cash flows of $15.9 million.</w:t>
      </w:r>
    </w:p>
    <w:p>
      <w:pPr>
        <w:spacing w:after="0" w:line="135" w:lineRule="exact"/>
        <w:rPr>
          <w:rFonts w:ascii="Arial" w:cs="Arial" w:eastAsia="Arial" w:hAnsi="Arial"/>
          <w:sz w:val="16"/>
          <w:szCs w:val="16"/>
          <w:i w:val="1"/>
          <w:iCs w:val="1"/>
          <w:color w:val="auto"/>
        </w:rPr>
      </w:pPr>
    </w:p>
    <w:p>
      <w:pPr>
        <w:ind w:left="560" w:right="220" w:hanging="282"/>
        <w:spacing w:after="0" w:line="283" w:lineRule="auto"/>
        <w:tabs>
          <w:tab w:leader="none" w:pos="556" w:val="left"/>
        </w:tabs>
        <w:numPr>
          <w:ilvl w:val="0"/>
          <w:numId w:val="3"/>
        </w:numPr>
        <w:rPr>
          <w:rFonts w:ascii="Arial" w:cs="Arial" w:eastAsia="Arial" w:hAnsi="Arial"/>
          <w:sz w:val="16"/>
          <w:szCs w:val="16"/>
          <w:color w:val="auto"/>
        </w:rPr>
      </w:pPr>
      <w:r>
        <w:rPr>
          <w:rFonts w:ascii="Arial" w:cs="Arial" w:eastAsia="Arial" w:hAnsi="Arial"/>
          <w:sz w:val="16"/>
          <w:szCs w:val="16"/>
          <w:color w:val="auto"/>
        </w:rPr>
        <w:t>Net (loss) income was $(8.0) million, compared to $6.6 million for the same period last year. This loss was primarily driven by stock-based compensation expenses of $14.0 million.</w:t>
      </w:r>
    </w:p>
    <w:p>
      <w:pPr>
        <w:spacing w:after="0" w:line="86" w:lineRule="exact"/>
        <w:rPr>
          <w:rFonts w:ascii="Arial" w:cs="Arial" w:eastAsia="Arial" w:hAnsi="Arial"/>
          <w:sz w:val="16"/>
          <w:szCs w:val="16"/>
          <w:color w:val="auto"/>
        </w:rPr>
      </w:pPr>
    </w:p>
    <w:p>
      <w:pPr>
        <w:ind w:left="1120" w:hanging="274"/>
        <w:spacing w:after="0"/>
        <w:tabs>
          <w:tab w:leader="none" w:pos="1120" w:val="left"/>
        </w:tabs>
        <w:numPr>
          <w:ilvl w:val="1"/>
          <w:numId w:val="3"/>
        </w:numPr>
        <w:rPr>
          <w:rFonts w:ascii="Arial" w:cs="Arial" w:eastAsia="Arial" w:hAnsi="Arial"/>
          <w:sz w:val="16"/>
          <w:szCs w:val="16"/>
          <w:color w:val="auto"/>
        </w:rPr>
      </w:pPr>
      <w:r>
        <w:rPr>
          <w:rFonts w:ascii="Arial" w:cs="Arial" w:eastAsia="Arial" w:hAnsi="Arial"/>
          <w:sz w:val="16"/>
          <w:szCs w:val="16"/>
          <w:color w:val="auto"/>
        </w:rPr>
        <w:t>Non-GAAP net income was $6.1 million.</w:t>
      </w:r>
    </w:p>
    <w:p>
      <w:pPr>
        <w:spacing w:after="0" w:line="147" w:lineRule="exact"/>
        <w:rPr>
          <w:rFonts w:ascii="Arial" w:cs="Arial" w:eastAsia="Arial" w:hAnsi="Arial"/>
          <w:sz w:val="16"/>
          <w:szCs w:val="16"/>
          <w:color w:val="auto"/>
        </w:rPr>
      </w:pPr>
    </w:p>
    <w:p>
      <w:pPr>
        <w:ind w:left="560" w:hanging="282"/>
        <w:spacing w:after="0"/>
        <w:tabs>
          <w:tab w:leader="none" w:pos="560" w:val="left"/>
        </w:tabs>
        <w:numPr>
          <w:ilvl w:val="0"/>
          <w:numId w:val="3"/>
        </w:numPr>
        <w:rPr>
          <w:rFonts w:ascii="Arial" w:cs="Arial" w:eastAsia="Arial" w:hAnsi="Arial"/>
          <w:sz w:val="16"/>
          <w:szCs w:val="16"/>
          <w:color w:val="auto"/>
        </w:rPr>
      </w:pPr>
      <w:r>
        <w:rPr>
          <w:rFonts w:ascii="Arial" w:cs="Arial" w:eastAsia="Arial" w:hAnsi="Arial"/>
          <w:sz w:val="16"/>
          <w:szCs w:val="16"/>
          <w:color w:val="auto"/>
        </w:rPr>
        <w:t>Adjusted EBITDA was $11.7 million, with an Adjusted EBITDA margin of 27%.</w:t>
      </w:r>
    </w:p>
    <w:p>
      <w:pPr>
        <w:spacing w:after="0" w:line="131" w:lineRule="exact"/>
        <w:rPr>
          <w:sz w:val="20"/>
          <w:szCs w:val="20"/>
          <w:color w:val="auto"/>
        </w:rPr>
      </w:pPr>
    </w:p>
    <w:p>
      <w:pPr>
        <w:spacing w:after="0"/>
        <w:rPr>
          <w:sz w:val="20"/>
          <w:szCs w:val="20"/>
          <w:color w:val="auto"/>
        </w:rPr>
      </w:pPr>
      <w:r>
        <w:rPr>
          <w:rFonts w:ascii="Arial" w:cs="Arial" w:eastAsia="Arial" w:hAnsi="Arial"/>
          <w:sz w:val="16"/>
          <w:szCs w:val="16"/>
          <w:b w:val="1"/>
          <w:bCs w:val="1"/>
          <w:u w:val="single" w:color="auto"/>
          <w:color w:val="auto"/>
        </w:rPr>
        <w:t>Business</w:t>
      </w:r>
    </w:p>
    <w:p>
      <w:pPr>
        <w:spacing w:after="0" w:line="135" w:lineRule="exact"/>
        <w:rPr>
          <w:sz w:val="20"/>
          <w:szCs w:val="20"/>
          <w:color w:val="auto"/>
        </w:rPr>
      </w:pPr>
    </w:p>
    <w:p>
      <w:pPr>
        <w:ind w:left="560" w:hanging="282"/>
        <w:spacing w:after="0"/>
        <w:tabs>
          <w:tab w:leader="none" w:pos="560" w:val="left"/>
        </w:tabs>
        <w:numPr>
          <w:ilvl w:val="0"/>
          <w:numId w:val="4"/>
        </w:numPr>
        <w:rPr>
          <w:rFonts w:ascii="Arial" w:cs="Arial" w:eastAsia="Arial" w:hAnsi="Arial"/>
          <w:sz w:val="16"/>
          <w:szCs w:val="16"/>
          <w:color w:val="auto"/>
        </w:rPr>
      </w:pPr>
      <w:r>
        <w:rPr>
          <w:rFonts w:ascii="Arial" w:cs="Arial" w:eastAsia="Arial" w:hAnsi="Arial"/>
          <w:sz w:val="16"/>
          <w:szCs w:val="16"/>
          <w:b w:val="1"/>
          <w:bCs w:val="1"/>
          <w:color w:val="auto"/>
        </w:rPr>
        <w:t xml:space="preserve">Paid members </w:t>
      </w:r>
      <w:r>
        <w:rPr>
          <w:rFonts w:ascii="Arial" w:cs="Arial" w:eastAsia="Arial" w:hAnsi="Arial"/>
          <w:sz w:val="16"/>
          <w:szCs w:val="16"/>
          <w:color w:val="auto"/>
        </w:rPr>
        <w:t>- a strong Q2 propelled quarterly paid members for the quarter to 754,000 compared to 706,000 in Q1.</w:t>
      </w:r>
    </w:p>
    <w:p>
      <w:pPr>
        <w:sectPr>
          <w:pgSz w:w="11900" w:h="16838" w:orient="portrait"/>
          <w:cols w:equalWidth="0" w:num="1">
            <w:col w:w="11260"/>
          </w:cols>
          <w:pgMar w:left="320" w:top="123" w:right="319" w:bottom="1440" w:gutter="0" w:footer="0" w:header="0"/>
        </w:sectPr>
      </w:pPr>
    </w:p>
    <w:bookmarkStart w:id="4" w:name="page5"/>
    <w:bookmarkEnd w:id="4"/>
    <w:p>
      <w:pPr>
        <w:jc w:val="right"/>
        <w:spacing w:after="0"/>
        <w:rPr>
          <w:sz w:val="20"/>
          <w:szCs w:val="20"/>
          <w:color w:val="auto"/>
        </w:rPr>
      </w:pPr>
      <w:r>
        <w:rPr>
          <w:rFonts w:ascii="Arial" w:cs="Arial" w:eastAsia="Arial" w:hAnsi="Arial"/>
          <w:sz w:val="16"/>
          <w:szCs w:val="16"/>
          <w:b w:val="1"/>
          <w:bCs w:val="1"/>
          <w:color w:val="auto"/>
        </w:rPr>
        <w:t>Exhibit 99.1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ind w:left="560" w:right="60" w:hanging="282"/>
        <w:spacing w:after="0" w:line="288" w:lineRule="auto"/>
        <w:tabs>
          <w:tab w:leader="none" w:pos="556" w:val="left"/>
        </w:tabs>
        <w:numPr>
          <w:ilvl w:val="0"/>
          <w:numId w:val="5"/>
        </w:numPr>
        <w:rPr>
          <w:rFonts w:ascii="Arial" w:cs="Arial" w:eastAsia="Arial" w:hAnsi="Arial"/>
          <w:sz w:val="16"/>
          <w:szCs w:val="16"/>
          <w:color w:val="auto"/>
        </w:rPr>
      </w:pPr>
      <w:r>
        <w:rPr>
          <w:rFonts w:ascii="Arial" w:cs="Arial" w:eastAsia="Arial" w:hAnsi="Arial"/>
          <w:sz w:val="16"/>
          <w:szCs w:val="16"/>
          <w:b w:val="1"/>
          <w:bCs w:val="1"/>
          <w:color w:val="auto"/>
        </w:rPr>
        <w:t xml:space="preserve">ExpensiCon </w:t>
      </w:r>
      <w:r>
        <w:rPr>
          <w:rFonts w:ascii="Arial" w:cs="Arial" w:eastAsia="Arial" w:hAnsi="Arial"/>
          <w:sz w:val="16"/>
          <w:szCs w:val="16"/>
          <w:color w:val="auto"/>
        </w:rPr>
        <w:t>- the third-ever, invite-only accounting retreat is returning May 2023, this time bringing industry thought-leaders to the legendary Borgo Egnazia in Puglia,</w:t>
      </w:r>
      <w:r>
        <w:rPr>
          <w:rFonts w:ascii="Arial" w:cs="Arial" w:eastAsia="Arial" w:hAnsi="Arial"/>
          <w:sz w:val="16"/>
          <w:szCs w:val="16"/>
          <w:b w:val="1"/>
          <w:bCs w:val="1"/>
          <w:color w:val="auto"/>
        </w:rPr>
        <w:t xml:space="preserve"> </w:t>
      </w:r>
      <w:r>
        <w:rPr>
          <w:rFonts w:ascii="Arial" w:cs="Arial" w:eastAsia="Arial" w:hAnsi="Arial"/>
          <w:sz w:val="16"/>
          <w:szCs w:val="16"/>
          <w:color w:val="auto"/>
        </w:rPr>
        <w:t>Italy.</w:t>
      </w:r>
    </w:p>
    <w:p>
      <w:pPr>
        <w:spacing w:after="0" w:line="78" w:lineRule="exact"/>
        <w:rPr>
          <w:rFonts w:ascii="Arial" w:cs="Arial" w:eastAsia="Arial" w:hAnsi="Arial"/>
          <w:sz w:val="16"/>
          <w:szCs w:val="16"/>
          <w:color w:val="auto"/>
        </w:rPr>
      </w:pPr>
    </w:p>
    <w:p>
      <w:pPr>
        <w:ind w:left="560" w:hanging="282"/>
        <w:spacing w:after="0"/>
        <w:tabs>
          <w:tab w:leader="none" w:pos="560" w:val="left"/>
        </w:tabs>
        <w:numPr>
          <w:ilvl w:val="0"/>
          <w:numId w:val="5"/>
        </w:numPr>
        <w:rPr>
          <w:rFonts w:ascii="Arial" w:cs="Arial" w:eastAsia="Arial" w:hAnsi="Arial"/>
          <w:sz w:val="16"/>
          <w:szCs w:val="16"/>
          <w:color w:val="auto"/>
        </w:rPr>
      </w:pPr>
      <w:r>
        <w:rPr>
          <w:rFonts w:ascii="Arial" w:cs="Arial" w:eastAsia="Arial" w:hAnsi="Arial"/>
          <w:sz w:val="16"/>
          <w:szCs w:val="16"/>
          <w:b w:val="1"/>
          <w:bCs w:val="1"/>
          <w:color w:val="auto"/>
        </w:rPr>
        <w:t>Awards</w:t>
      </w:r>
    </w:p>
    <w:p>
      <w:pPr>
        <w:spacing w:after="0" w:line="139" w:lineRule="exact"/>
        <w:rPr>
          <w:rFonts w:ascii="Arial" w:cs="Arial" w:eastAsia="Arial" w:hAnsi="Arial"/>
          <w:sz w:val="16"/>
          <w:szCs w:val="16"/>
          <w:color w:val="auto"/>
        </w:rPr>
      </w:pPr>
    </w:p>
    <w:p>
      <w:pPr>
        <w:ind w:left="1120" w:hanging="274"/>
        <w:spacing w:after="0"/>
        <w:tabs>
          <w:tab w:leader="none" w:pos="1120" w:val="left"/>
        </w:tabs>
        <w:numPr>
          <w:ilvl w:val="1"/>
          <w:numId w:val="5"/>
        </w:numPr>
        <w:rPr>
          <w:rFonts w:ascii="Arial" w:cs="Arial" w:eastAsia="Arial" w:hAnsi="Arial"/>
          <w:sz w:val="16"/>
          <w:szCs w:val="16"/>
          <w:color w:val="auto"/>
        </w:rPr>
      </w:pPr>
      <w:r>
        <w:rPr>
          <w:rFonts w:ascii="Arial" w:cs="Arial" w:eastAsia="Arial" w:hAnsi="Arial"/>
          <w:sz w:val="16"/>
          <w:szCs w:val="16"/>
          <w:color w:val="auto"/>
        </w:rPr>
        <w:t>Expensify’s employee-controlled compensation program earned two finalist spots as part of Fast Company’s World Changing Ideas Awards.</w:t>
      </w:r>
    </w:p>
    <w:p>
      <w:pPr>
        <w:spacing w:after="0" w:line="147" w:lineRule="exact"/>
        <w:rPr>
          <w:rFonts w:ascii="Arial" w:cs="Arial" w:eastAsia="Arial" w:hAnsi="Arial"/>
          <w:sz w:val="16"/>
          <w:szCs w:val="16"/>
          <w:color w:val="auto"/>
        </w:rPr>
      </w:pPr>
    </w:p>
    <w:p>
      <w:pPr>
        <w:ind w:left="1140" w:right="540" w:hanging="294"/>
        <w:spacing w:after="0" w:line="268" w:lineRule="auto"/>
        <w:tabs>
          <w:tab w:leader="none" w:pos="1137" w:val="left"/>
        </w:tabs>
        <w:numPr>
          <w:ilvl w:val="1"/>
          <w:numId w:val="5"/>
        </w:numPr>
        <w:rPr>
          <w:rFonts w:ascii="Arial" w:cs="Arial" w:eastAsia="Arial" w:hAnsi="Arial"/>
          <w:sz w:val="16"/>
          <w:szCs w:val="16"/>
          <w:color w:val="auto"/>
        </w:rPr>
      </w:pPr>
      <w:r>
        <w:rPr>
          <w:rFonts w:ascii="Arial" w:cs="Arial" w:eastAsia="Arial" w:hAnsi="Arial"/>
          <w:sz w:val="16"/>
          <w:szCs w:val="16"/>
          <w:color w:val="auto"/>
        </w:rPr>
        <w:t>Expensify also won multiple workplace awards for 2022, with Fortune designating the company one of the best small workplaces and the San Francisco Chronicle ranking it one of the top workplaces in the Bay Area.</w:t>
      </w:r>
    </w:p>
    <w:p>
      <w:pPr>
        <w:spacing w:after="0" w:line="105" w:lineRule="exact"/>
        <w:rPr>
          <w:sz w:val="20"/>
          <w:szCs w:val="20"/>
          <w:color w:val="auto"/>
        </w:rPr>
      </w:pPr>
    </w:p>
    <w:p>
      <w:pPr>
        <w:spacing w:after="0"/>
        <w:rPr>
          <w:sz w:val="20"/>
          <w:szCs w:val="20"/>
          <w:color w:val="auto"/>
        </w:rPr>
      </w:pPr>
      <w:r>
        <w:rPr>
          <w:rFonts w:ascii="Arial" w:cs="Arial" w:eastAsia="Arial" w:hAnsi="Arial"/>
          <w:sz w:val="16"/>
          <w:szCs w:val="16"/>
          <w:b w:val="1"/>
          <w:bCs w:val="1"/>
          <w:u w:val="single" w:color="auto"/>
          <w:color w:val="auto"/>
        </w:rPr>
        <w:t>Financial Outlook</w:t>
      </w:r>
    </w:p>
    <w:p>
      <w:pPr>
        <w:spacing w:after="0" w:line="128" w:lineRule="exact"/>
        <w:rPr>
          <w:sz w:val="20"/>
          <w:szCs w:val="20"/>
          <w:color w:val="auto"/>
        </w:rPr>
      </w:pPr>
    </w:p>
    <w:p>
      <w:pPr>
        <w:ind w:right="120"/>
        <w:spacing w:after="0" w:line="242" w:lineRule="auto"/>
        <w:rPr>
          <w:sz w:val="20"/>
          <w:szCs w:val="20"/>
          <w:color w:val="auto"/>
        </w:rPr>
      </w:pPr>
      <w:r>
        <w:rPr>
          <w:rFonts w:ascii="Arial" w:cs="Arial" w:eastAsia="Arial" w:hAnsi="Arial"/>
          <w:sz w:val="16"/>
          <w:szCs w:val="16"/>
          <w:color w:val="auto"/>
        </w:rPr>
        <w:t>Expensify's outlook statements are based on current estimates, expectations and assumptions and are not a guarantee of future performance. The following statements are forward-looking and actual results could differ materially depending on market conditions and the factors set forth under “Forward-Looking Statements” below. There can be no assurance that the Company will achieve the results expressed by this guidance.</w:t>
      </w:r>
    </w:p>
    <w:p>
      <w:pPr>
        <w:spacing w:after="0" w:line="200" w:lineRule="exact"/>
        <w:rPr>
          <w:sz w:val="20"/>
          <w:szCs w:val="20"/>
          <w:color w:val="auto"/>
        </w:rPr>
      </w:pPr>
    </w:p>
    <w:p>
      <w:pPr>
        <w:spacing w:after="0"/>
        <w:rPr>
          <w:sz w:val="20"/>
          <w:szCs w:val="20"/>
          <w:color w:val="auto"/>
        </w:rPr>
      </w:pPr>
      <w:r>
        <w:rPr>
          <w:rFonts w:ascii="Arial" w:cs="Arial" w:eastAsia="Arial" w:hAnsi="Arial"/>
          <w:sz w:val="16"/>
          <w:szCs w:val="16"/>
          <w:color w:val="auto"/>
        </w:rPr>
        <w:t>We reaffirm our long term guidance provided in connection with our fourth quarter 2021 results of 25-35% revenue growth over a multi-year period.</w:t>
      </w:r>
    </w:p>
    <w:p>
      <w:pPr>
        <w:spacing w:after="0" w:line="218" w:lineRule="exact"/>
        <w:rPr>
          <w:sz w:val="20"/>
          <w:szCs w:val="20"/>
          <w:color w:val="auto"/>
        </w:rPr>
      </w:pPr>
    </w:p>
    <w:p>
      <w:pPr>
        <w:ind w:right="180"/>
        <w:spacing w:after="0" w:line="285" w:lineRule="auto"/>
        <w:rPr>
          <w:sz w:val="20"/>
          <w:szCs w:val="20"/>
          <w:color w:val="auto"/>
        </w:rPr>
      </w:pPr>
      <w:r>
        <w:rPr>
          <w:rFonts w:ascii="Arial" w:cs="Arial" w:eastAsia="Arial" w:hAnsi="Arial"/>
          <w:sz w:val="15"/>
          <w:szCs w:val="15"/>
          <w:color w:val="auto"/>
        </w:rPr>
        <w:t>Expensify is also providing an estimate on what stock based compensation is expected to look like for the rest of the fiscal year. Driven primarily by the pre-IPO grant of RSUs issued to all employees (which vest over 8 years – 1/8 after one year and quarterly thereafter), stock based compensation is estimated as seen below:</w:t>
      </w:r>
    </w:p>
    <w:p>
      <w:pPr>
        <w:spacing w:after="0" w:line="16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Est. stock-based compensation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3203575</wp:posOffset>
            </wp:positionH>
            <wp:positionV relativeFrom="paragraph">
              <wp:posOffset>59055</wp:posOffset>
            </wp:positionV>
            <wp:extent cx="3942715" cy="762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942715" cy="7620"/>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28575</wp:posOffset>
            </wp:positionV>
            <wp:extent cx="7149465" cy="762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49465" cy="7620"/>
                    </a:xfrm>
                    <a:prstGeom prst="rect">
                      <a:avLst/>
                    </a:prstGeom>
                    <a:noFill/>
                  </pic:spPr>
                </pic:pic>
              </a:graphicData>
            </a:graphic>
          </wp:anchor>
        </w:drawing>
      </w:r>
    </w:p>
    <w:p>
      <w:pPr>
        <w:spacing w:after="0" w:line="99"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504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gridSpan w:val="3"/>
          </w:tcPr>
          <w:p>
            <w:pPr>
              <w:jc w:val="right"/>
              <w:spacing w:after="0"/>
              <w:rPr>
                <w:sz w:val="20"/>
                <w:szCs w:val="20"/>
                <w:color w:val="auto"/>
              </w:rPr>
            </w:pPr>
            <w:r>
              <w:rPr>
                <w:rFonts w:ascii="Arial" w:cs="Arial" w:eastAsia="Arial" w:hAnsi="Arial"/>
                <w:sz w:val="17"/>
                <w:szCs w:val="17"/>
                <w:b w:val="1"/>
                <w:bCs w:val="1"/>
                <w:color w:val="auto"/>
              </w:rPr>
              <w:t>Q3 2022</w:t>
            </w:r>
          </w:p>
        </w:tc>
        <w:tc>
          <w:tcPr>
            <w:tcW w:w="6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gridSpan w:val="3"/>
          </w:tcPr>
          <w:p>
            <w:pPr>
              <w:jc w:val="right"/>
              <w:spacing w:after="0"/>
              <w:rPr>
                <w:sz w:val="20"/>
                <w:szCs w:val="20"/>
                <w:color w:val="auto"/>
              </w:rPr>
            </w:pPr>
            <w:r>
              <w:rPr>
                <w:rFonts w:ascii="Arial" w:cs="Arial" w:eastAsia="Arial" w:hAnsi="Arial"/>
                <w:sz w:val="17"/>
                <w:szCs w:val="17"/>
                <w:b w:val="1"/>
                <w:bCs w:val="1"/>
                <w:color w:val="auto"/>
              </w:rPr>
              <w:t>Q4 2022</w:t>
            </w:r>
          </w:p>
        </w:tc>
        <w:tc>
          <w:tcPr>
            <w:tcW w:w="6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gridSpan w:val="3"/>
          </w:tcPr>
          <w:p>
            <w:pPr>
              <w:jc w:val="right"/>
              <w:spacing w:after="0"/>
              <w:rPr>
                <w:sz w:val="20"/>
                <w:szCs w:val="20"/>
                <w:color w:val="auto"/>
              </w:rPr>
            </w:pPr>
            <w:r>
              <w:rPr>
                <w:rFonts w:ascii="Arial" w:cs="Arial" w:eastAsia="Arial" w:hAnsi="Arial"/>
                <w:sz w:val="17"/>
                <w:szCs w:val="17"/>
                <w:b w:val="1"/>
                <w:bCs w:val="1"/>
                <w:color w:val="auto"/>
              </w:rPr>
              <w:t>Q1 2023</w:t>
            </w:r>
          </w:p>
        </w:tc>
        <w:tc>
          <w:tcPr>
            <w:tcW w:w="680" w:type="dxa"/>
            <w:vAlign w:val="bottom"/>
            <w:tcBorders>
              <w:bottom w:val="single" w:sz="8" w:color="auto"/>
            </w:tcBorders>
          </w:tcPr>
          <w:p>
            <w:pPr>
              <w:spacing w:after="0"/>
              <w:rPr>
                <w:sz w:val="20"/>
                <w:szCs w:val="20"/>
                <w:color w:val="auto"/>
              </w:rPr>
            </w:pPr>
          </w:p>
        </w:tc>
      </w:tr>
      <w:tr>
        <w:trPr>
          <w:trHeight w:val="252"/>
        </w:trPr>
        <w:tc>
          <w:tcPr>
            <w:tcW w:w="50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20" w:type="dxa"/>
            <w:vAlign w:val="bottom"/>
            <w:gridSpan w:val="2"/>
          </w:tcPr>
          <w:p>
            <w:pPr>
              <w:ind w:left="100"/>
              <w:spacing w:after="0"/>
              <w:rPr>
                <w:sz w:val="20"/>
                <w:szCs w:val="20"/>
                <w:color w:val="auto"/>
              </w:rPr>
            </w:pPr>
            <w:r>
              <w:rPr>
                <w:rFonts w:ascii="Arial" w:cs="Arial" w:eastAsia="Arial" w:hAnsi="Arial"/>
                <w:sz w:val="17"/>
                <w:szCs w:val="17"/>
                <w:b w:val="1"/>
                <w:bCs w:val="1"/>
                <w:color w:val="auto"/>
              </w:rPr>
              <w:t>Low</w:t>
            </w:r>
          </w:p>
        </w:tc>
        <w:tc>
          <w:tcPr>
            <w:tcW w:w="280" w:type="dxa"/>
            <w:vAlign w:val="bottom"/>
          </w:tcPr>
          <w:p>
            <w:pPr>
              <w:spacing w:after="0"/>
              <w:rPr>
                <w:sz w:val="21"/>
                <w:szCs w:val="21"/>
                <w:color w:val="auto"/>
              </w:rPr>
            </w:pPr>
          </w:p>
        </w:tc>
        <w:tc>
          <w:tcPr>
            <w:tcW w:w="780" w:type="dxa"/>
            <w:vAlign w:val="bottom"/>
            <w:gridSpan w:val="2"/>
          </w:tcPr>
          <w:p>
            <w:pPr>
              <w:ind w:left="20"/>
              <w:spacing w:after="0"/>
              <w:rPr>
                <w:sz w:val="20"/>
                <w:szCs w:val="20"/>
                <w:color w:val="auto"/>
              </w:rPr>
            </w:pPr>
            <w:r>
              <w:rPr>
                <w:rFonts w:ascii="Arial" w:cs="Arial" w:eastAsia="Arial" w:hAnsi="Arial"/>
                <w:sz w:val="17"/>
                <w:szCs w:val="17"/>
                <w:b w:val="1"/>
                <w:bCs w:val="1"/>
                <w:color w:val="auto"/>
              </w:rPr>
              <w:t>High</w:t>
            </w:r>
          </w:p>
        </w:tc>
        <w:tc>
          <w:tcPr>
            <w:tcW w:w="200" w:type="dxa"/>
            <w:vAlign w:val="bottom"/>
          </w:tcPr>
          <w:p>
            <w:pPr>
              <w:spacing w:after="0"/>
              <w:rPr>
                <w:sz w:val="21"/>
                <w:szCs w:val="21"/>
                <w:color w:val="auto"/>
              </w:rPr>
            </w:pPr>
          </w:p>
        </w:tc>
        <w:tc>
          <w:tcPr>
            <w:tcW w:w="860" w:type="dxa"/>
            <w:vAlign w:val="bottom"/>
            <w:gridSpan w:val="2"/>
          </w:tcPr>
          <w:p>
            <w:pPr>
              <w:ind w:left="120"/>
              <w:spacing w:after="0"/>
              <w:rPr>
                <w:sz w:val="20"/>
                <w:szCs w:val="20"/>
                <w:color w:val="auto"/>
              </w:rPr>
            </w:pPr>
            <w:r>
              <w:rPr>
                <w:rFonts w:ascii="Arial" w:cs="Arial" w:eastAsia="Arial" w:hAnsi="Arial"/>
                <w:sz w:val="17"/>
                <w:szCs w:val="17"/>
                <w:b w:val="1"/>
                <w:bCs w:val="1"/>
                <w:color w:val="auto"/>
              </w:rPr>
              <w:t>Low</w:t>
            </w:r>
          </w:p>
        </w:tc>
        <w:tc>
          <w:tcPr>
            <w:tcW w:w="260" w:type="dxa"/>
            <w:vAlign w:val="bottom"/>
          </w:tcPr>
          <w:p>
            <w:pPr>
              <w:spacing w:after="0"/>
              <w:rPr>
                <w:sz w:val="21"/>
                <w:szCs w:val="21"/>
                <w:color w:val="auto"/>
              </w:rPr>
            </w:pPr>
          </w:p>
        </w:tc>
        <w:tc>
          <w:tcPr>
            <w:tcW w:w="780" w:type="dxa"/>
            <w:vAlign w:val="bottom"/>
            <w:gridSpan w:val="2"/>
          </w:tcPr>
          <w:p>
            <w:pPr>
              <w:ind w:left="20"/>
              <w:spacing w:after="0"/>
              <w:rPr>
                <w:sz w:val="20"/>
                <w:szCs w:val="20"/>
                <w:color w:val="auto"/>
              </w:rPr>
            </w:pPr>
            <w:r>
              <w:rPr>
                <w:rFonts w:ascii="Arial" w:cs="Arial" w:eastAsia="Arial" w:hAnsi="Arial"/>
                <w:sz w:val="17"/>
                <w:szCs w:val="17"/>
                <w:b w:val="1"/>
                <w:bCs w:val="1"/>
                <w:color w:val="auto"/>
              </w:rPr>
              <w:t>High</w:t>
            </w:r>
          </w:p>
        </w:tc>
        <w:tc>
          <w:tcPr>
            <w:tcW w:w="220" w:type="dxa"/>
            <w:vAlign w:val="bottom"/>
          </w:tcPr>
          <w:p>
            <w:pPr>
              <w:spacing w:after="0"/>
              <w:rPr>
                <w:sz w:val="21"/>
                <w:szCs w:val="21"/>
                <w:color w:val="auto"/>
              </w:rPr>
            </w:pPr>
          </w:p>
        </w:tc>
        <w:tc>
          <w:tcPr>
            <w:tcW w:w="840" w:type="dxa"/>
            <w:vAlign w:val="bottom"/>
            <w:gridSpan w:val="2"/>
          </w:tcPr>
          <w:p>
            <w:pPr>
              <w:ind w:left="100"/>
              <w:spacing w:after="0"/>
              <w:rPr>
                <w:sz w:val="20"/>
                <w:szCs w:val="20"/>
                <w:color w:val="auto"/>
              </w:rPr>
            </w:pPr>
            <w:r>
              <w:rPr>
                <w:rFonts w:ascii="Arial" w:cs="Arial" w:eastAsia="Arial" w:hAnsi="Arial"/>
                <w:sz w:val="17"/>
                <w:szCs w:val="17"/>
                <w:b w:val="1"/>
                <w:bCs w:val="1"/>
                <w:color w:val="auto"/>
              </w:rPr>
              <w:t>Low</w:t>
            </w:r>
          </w:p>
        </w:tc>
        <w:tc>
          <w:tcPr>
            <w:tcW w:w="280" w:type="dxa"/>
            <w:vAlign w:val="bottom"/>
          </w:tcPr>
          <w:p>
            <w:pPr>
              <w:spacing w:after="0"/>
              <w:rPr>
                <w:sz w:val="21"/>
                <w:szCs w:val="21"/>
                <w:color w:val="auto"/>
              </w:rPr>
            </w:pPr>
          </w:p>
        </w:tc>
        <w:tc>
          <w:tcPr>
            <w:tcW w:w="680" w:type="dxa"/>
            <w:vAlign w:val="bottom"/>
          </w:tcPr>
          <w:p>
            <w:pPr>
              <w:jc w:val="right"/>
              <w:ind w:right="213"/>
              <w:spacing w:after="0"/>
              <w:rPr>
                <w:sz w:val="20"/>
                <w:szCs w:val="20"/>
                <w:color w:val="auto"/>
              </w:rPr>
            </w:pPr>
            <w:r>
              <w:rPr>
                <w:rFonts w:ascii="Arial" w:cs="Arial" w:eastAsia="Arial" w:hAnsi="Arial"/>
                <w:sz w:val="17"/>
                <w:szCs w:val="17"/>
                <w:b w:val="1"/>
                <w:bCs w:val="1"/>
                <w:color w:val="auto"/>
                <w:w w:val="95"/>
              </w:rPr>
              <w:t>High</w:t>
            </w:r>
          </w:p>
        </w:tc>
      </w:tr>
      <w:tr>
        <w:trPr>
          <w:trHeight w:val="260"/>
        </w:trPr>
        <w:tc>
          <w:tcPr>
            <w:tcW w:w="50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Cost of revenue, net</w:t>
            </w:r>
          </w:p>
        </w:tc>
        <w:tc>
          <w:tcPr>
            <w:tcW w:w="220" w:type="dxa"/>
            <w:vAlign w:val="bottom"/>
            <w:tcBorders>
              <w:top w:val="single" w:sz="8" w:color="auto"/>
            </w:tcBorders>
            <w:shd w:val="clear" w:color="auto" w:fill="CCEEFF"/>
          </w:tcPr>
          <w:p>
            <w:pPr>
              <w:jc w:val="right"/>
              <w:ind w:right="33"/>
              <w:spacing w:after="0"/>
              <w:rPr>
                <w:sz w:val="20"/>
                <w:szCs w:val="20"/>
                <w:color w:val="auto"/>
              </w:rPr>
            </w:pPr>
            <w:r>
              <w:rPr>
                <w:rFonts w:ascii="Arial" w:cs="Arial" w:eastAsia="Arial" w:hAnsi="Arial"/>
                <w:sz w:val="17"/>
                <w:szCs w:val="17"/>
                <w:color w:val="auto"/>
                <w:w w:val="84"/>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4.4</w:t>
            </w:r>
          </w:p>
        </w:tc>
        <w:tc>
          <w:tcPr>
            <w:tcW w:w="80" w:type="dxa"/>
            <w:vAlign w:val="bottom"/>
            <w:tcBorders>
              <w:top w:val="single" w:sz="8" w:color="CCEEFF"/>
            </w:tcBorders>
            <w:shd w:val="clear" w:color="auto" w:fill="CCEEFF"/>
          </w:tcPr>
          <w:p>
            <w:pPr>
              <w:spacing w:after="0"/>
              <w:rPr>
                <w:sz w:val="22"/>
                <w:szCs w:val="22"/>
                <w:color w:val="auto"/>
              </w:rPr>
            </w:pPr>
          </w:p>
        </w:tc>
        <w:tc>
          <w:tcPr>
            <w:tcW w:w="280" w:type="dxa"/>
            <w:vAlign w:val="bottom"/>
            <w:tcBorders>
              <w:top w:val="single" w:sz="8" w:color="auto"/>
            </w:tcBorders>
            <w:shd w:val="clear" w:color="auto" w:fill="CCEEFF"/>
          </w:tcPr>
          <w:p>
            <w:pPr>
              <w:jc w:val="right"/>
              <w:ind w:right="93"/>
              <w:spacing w:after="0"/>
              <w:rPr>
                <w:sz w:val="20"/>
                <w:szCs w:val="20"/>
                <w:color w:val="auto"/>
              </w:rPr>
            </w:pPr>
            <w:r>
              <w:rPr>
                <w:rFonts w:ascii="Arial" w:cs="Arial" w:eastAsia="Arial" w:hAnsi="Arial"/>
                <w:sz w:val="17"/>
                <w:szCs w:val="17"/>
                <w:color w:val="auto"/>
                <w:w w:val="84"/>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5.1</w:t>
            </w:r>
          </w:p>
        </w:tc>
        <w:tc>
          <w:tcPr>
            <w:tcW w:w="100" w:type="dxa"/>
            <w:vAlign w:val="bottom"/>
            <w:tcBorders>
              <w:top w:val="single" w:sz="8" w:color="CCEEFF"/>
            </w:tcBorders>
            <w:shd w:val="clear" w:color="auto" w:fill="CCEEFF"/>
          </w:tcPr>
          <w:p>
            <w:pPr>
              <w:spacing w:after="0"/>
              <w:rPr>
                <w:sz w:val="22"/>
                <w:szCs w:val="22"/>
                <w:color w:val="auto"/>
              </w:rPr>
            </w:pPr>
          </w:p>
        </w:tc>
        <w:tc>
          <w:tcPr>
            <w:tcW w:w="200" w:type="dxa"/>
            <w:vAlign w:val="bottom"/>
            <w:tcBorders>
              <w:top w:val="single" w:sz="8" w:color="auto"/>
            </w:tcBorders>
            <w:shd w:val="clear" w:color="auto" w:fill="CCEEFF"/>
          </w:tcPr>
          <w:p>
            <w:pPr>
              <w:jc w:val="right"/>
              <w:ind w:right="13"/>
              <w:spacing w:after="0"/>
              <w:rPr>
                <w:sz w:val="20"/>
                <w:szCs w:val="20"/>
                <w:color w:val="auto"/>
              </w:rPr>
            </w:pPr>
            <w:r>
              <w:rPr>
                <w:rFonts w:ascii="Arial" w:cs="Arial" w:eastAsia="Arial" w:hAnsi="Arial"/>
                <w:sz w:val="17"/>
                <w:szCs w:val="17"/>
                <w:color w:val="auto"/>
                <w:w w:val="84"/>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3.6</w:t>
            </w:r>
          </w:p>
        </w:tc>
        <w:tc>
          <w:tcPr>
            <w:tcW w:w="100" w:type="dxa"/>
            <w:vAlign w:val="bottom"/>
            <w:tcBorders>
              <w:top w:val="single" w:sz="8" w:color="CCEEFF"/>
            </w:tcBorders>
            <w:shd w:val="clear" w:color="auto" w:fill="CCEEFF"/>
          </w:tcPr>
          <w:p>
            <w:pPr>
              <w:spacing w:after="0"/>
              <w:rPr>
                <w:sz w:val="22"/>
                <w:szCs w:val="22"/>
                <w:color w:val="auto"/>
              </w:rPr>
            </w:pPr>
          </w:p>
        </w:tc>
        <w:tc>
          <w:tcPr>
            <w:tcW w:w="260" w:type="dxa"/>
            <w:vAlign w:val="bottom"/>
            <w:tcBorders>
              <w:top w:val="single" w:sz="8" w:color="auto"/>
            </w:tcBorders>
            <w:shd w:val="clear" w:color="auto" w:fill="CCEEFF"/>
          </w:tcPr>
          <w:p>
            <w:pPr>
              <w:jc w:val="right"/>
              <w:ind w:right="73"/>
              <w:spacing w:after="0"/>
              <w:rPr>
                <w:sz w:val="20"/>
                <w:szCs w:val="20"/>
                <w:color w:val="auto"/>
              </w:rPr>
            </w:pPr>
            <w:r>
              <w:rPr>
                <w:rFonts w:ascii="Arial" w:cs="Arial" w:eastAsia="Arial" w:hAnsi="Arial"/>
                <w:sz w:val="17"/>
                <w:szCs w:val="17"/>
                <w:color w:val="auto"/>
                <w:w w:val="84"/>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4.3</w:t>
            </w:r>
          </w:p>
        </w:tc>
        <w:tc>
          <w:tcPr>
            <w:tcW w:w="100" w:type="dxa"/>
            <w:vAlign w:val="bottom"/>
            <w:tcBorders>
              <w:top w:val="single" w:sz="8" w:color="CCEEFF"/>
            </w:tcBorders>
            <w:shd w:val="clear" w:color="auto" w:fill="CCEEFF"/>
          </w:tcPr>
          <w:p>
            <w:pPr>
              <w:spacing w:after="0"/>
              <w:rPr>
                <w:sz w:val="22"/>
                <w:szCs w:val="22"/>
                <w:color w:val="auto"/>
              </w:rPr>
            </w:pPr>
          </w:p>
        </w:tc>
        <w:tc>
          <w:tcPr>
            <w:tcW w:w="220" w:type="dxa"/>
            <w:vAlign w:val="bottom"/>
            <w:tcBorders>
              <w:top w:val="single" w:sz="8" w:color="auto"/>
            </w:tcBorders>
            <w:shd w:val="clear" w:color="auto" w:fill="CCEEFF"/>
          </w:tcPr>
          <w:p>
            <w:pPr>
              <w:jc w:val="right"/>
              <w:ind w:right="33"/>
              <w:spacing w:after="0"/>
              <w:rPr>
                <w:sz w:val="20"/>
                <w:szCs w:val="20"/>
                <w:color w:val="auto"/>
              </w:rPr>
            </w:pPr>
            <w:r>
              <w:rPr>
                <w:rFonts w:ascii="Arial" w:cs="Arial" w:eastAsia="Arial" w:hAnsi="Arial"/>
                <w:sz w:val="17"/>
                <w:szCs w:val="17"/>
                <w:color w:val="auto"/>
                <w:w w:val="84"/>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3.4</w:t>
            </w:r>
          </w:p>
        </w:tc>
        <w:tc>
          <w:tcPr>
            <w:tcW w:w="100" w:type="dxa"/>
            <w:vAlign w:val="bottom"/>
            <w:tcBorders>
              <w:top w:val="single" w:sz="8" w:color="CCEEFF"/>
            </w:tcBorders>
            <w:shd w:val="clear" w:color="auto" w:fill="CCEEFF"/>
          </w:tcPr>
          <w:p>
            <w:pPr>
              <w:spacing w:after="0"/>
              <w:rPr>
                <w:sz w:val="22"/>
                <w:szCs w:val="22"/>
                <w:color w:val="auto"/>
              </w:rPr>
            </w:pPr>
          </w:p>
        </w:tc>
        <w:tc>
          <w:tcPr>
            <w:tcW w:w="280" w:type="dxa"/>
            <w:vAlign w:val="bottom"/>
            <w:tcBorders>
              <w:top w:val="single" w:sz="8" w:color="auto"/>
            </w:tcBorders>
            <w:shd w:val="clear" w:color="auto" w:fill="CCEEFF"/>
          </w:tcPr>
          <w:p>
            <w:pPr>
              <w:jc w:val="right"/>
              <w:ind w:right="93"/>
              <w:spacing w:after="0"/>
              <w:rPr>
                <w:sz w:val="20"/>
                <w:szCs w:val="20"/>
                <w:color w:val="auto"/>
              </w:rPr>
            </w:pPr>
            <w:r>
              <w:rPr>
                <w:rFonts w:ascii="Arial" w:cs="Arial" w:eastAsia="Arial" w:hAnsi="Arial"/>
                <w:sz w:val="17"/>
                <w:szCs w:val="17"/>
                <w:color w:val="auto"/>
                <w:w w:val="84"/>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4.1</w:t>
            </w:r>
          </w:p>
        </w:tc>
      </w:tr>
      <w:tr>
        <w:trPr>
          <w:trHeight w:val="251"/>
        </w:trPr>
        <w:tc>
          <w:tcPr>
            <w:tcW w:w="5040" w:type="dxa"/>
            <w:vAlign w:val="bottom"/>
          </w:tcPr>
          <w:p>
            <w:pPr>
              <w:ind w:left="20"/>
              <w:spacing w:after="0"/>
              <w:rPr>
                <w:sz w:val="20"/>
                <w:szCs w:val="20"/>
                <w:color w:val="auto"/>
              </w:rPr>
            </w:pPr>
            <w:r>
              <w:rPr>
                <w:rFonts w:ascii="Arial" w:cs="Arial" w:eastAsia="Arial" w:hAnsi="Arial"/>
                <w:sz w:val="17"/>
                <w:szCs w:val="17"/>
                <w:color w:val="auto"/>
              </w:rPr>
              <w:t>Research and development</w:t>
            </w:r>
          </w:p>
        </w:tc>
        <w:tc>
          <w:tcPr>
            <w:tcW w:w="22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17"/>
                <w:szCs w:val="17"/>
                <w:color w:val="auto"/>
              </w:rPr>
              <w:t>1.8</w:t>
            </w:r>
          </w:p>
        </w:tc>
        <w:tc>
          <w:tcPr>
            <w:tcW w:w="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Arial" w:cs="Arial" w:eastAsia="Arial" w:hAnsi="Arial"/>
                <w:sz w:val="17"/>
                <w:szCs w:val="17"/>
                <w:color w:val="auto"/>
              </w:rPr>
              <w:t>2.0</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7"/>
                <w:szCs w:val="17"/>
                <w:color w:val="auto"/>
              </w:rPr>
              <w:t>1.4</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Arial" w:cs="Arial" w:eastAsia="Arial" w:hAnsi="Arial"/>
                <w:sz w:val="17"/>
                <w:szCs w:val="17"/>
                <w:color w:val="auto"/>
              </w:rPr>
              <w:t>1.7</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17"/>
                <w:szCs w:val="17"/>
                <w:color w:val="auto"/>
              </w:rPr>
              <w:t>1.4</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Arial" w:cs="Arial" w:eastAsia="Arial" w:hAnsi="Arial"/>
                <w:sz w:val="17"/>
                <w:szCs w:val="17"/>
                <w:color w:val="auto"/>
              </w:rPr>
              <w:t>1.6</w:t>
            </w:r>
          </w:p>
        </w:tc>
      </w:tr>
      <w:tr>
        <w:trPr>
          <w:trHeight w:val="270"/>
        </w:trPr>
        <w:tc>
          <w:tcPr>
            <w:tcW w:w="5040" w:type="dxa"/>
            <w:vAlign w:val="bottom"/>
            <w:shd w:val="clear" w:color="auto" w:fill="CCEEFF"/>
          </w:tcPr>
          <w:p>
            <w:pPr>
              <w:ind w:left="20"/>
              <w:spacing w:after="0"/>
              <w:rPr>
                <w:sz w:val="20"/>
                <w:szCs w:val="20"/>
                <w:color w:val="auto"/>
              </w:rPr>
            </w:pPr>
            <w:r>
              <w:rPr>
                <w:rFonts w:ascii="Arial" w:cs="Arial" w:eastAsia="Arial" w:hAnsi="Arial"/>
                <w:sz w:val="17"/>
                <w:szCs w:val="17"/>
                <w:color w:val="auto"/>
              </w:rPr>
              <w:t>General and administrative</w:t>
            </w:r>
          </w:p>
        </w:tc>
        <w:tc>
          <w:tcPr>
            <w:tcW w:w="220" w:type="dxa"/>
            <w:vAlign w:val="bottom"/>
            <w:shd w:val="clear" w:color="auto" w:fill="CCEEFF"/>
          </w:tcPr>
          <w:p>
            <w:pPr>
              <w:spacing w:after="0"/>
              <w:rPr>
                <w:sz w:val="23"/>
                <w:szCs w:val="23"/>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5.1</w:t>
            </w:r>
          </w:p>
        </w:tc>
        <w:tc>
          <w:tcPr>
            <w:tcW w:w="8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5.9</w:t>
            </w: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4.2</w:t>
            </w:r>
          </w:p>
        </w:tc>
        <w:tc>
          <w:tcPr>
            <w:tcW w:w="10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4.9</w:t>
            </w: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4.0</w:t>
            </w:r>
          </w:p>
        </w:tc>
        <w:tc>
          <w:tcPr>
            <w:tcW w:w="10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4.7</w:t>
            </w:r>
          </w:p>
        </w:tc>
      </w:tr>
      <w:tr>
        <w:trPr>
          <w:trHeight w:val="252"/>
        </w:trPr>
        <w:tc>
          <w:tcPr>
            <w:tcW w:w="504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Sales and marketing</w:t>
            </w:r>
          </w:p>
        </w:tc>
        <w:tc>
          <w:tcPr>
            <w:tcW w:w="220" w:type="dxa"/>
            <w:vAlign w:val="bottom"/>
            <w:tcBorders>
              <w:bottom w:val="single" w:sz="8" w:color="auto"/>
            </w:tcBorders>
          </w:tcPr>
          <w:p>
            <w:pPr>
              <w:spacing w:after="0"/>
              <w:rPr>
                <w:sz w:val="21"/>
                <w:szCs w:val="21"/>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1.9</w:t>
            </w:r>
          </w:p>
        </w:tc>
        <w:tc>
          <w:tcPr>
            <w:tcW w:w="80" w:type="dxa"/>
            <w:vAlign w:val="bottom"/>
            <w:tcBorders>
              <w:bottom w:val="single" w:sz="8" w:color="auto"/>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2.2</w:t>
            </w:r>
          </w:p>
        </w:tc>
        <w:tc>
          <w:tcPr>
            <w:tcW w:w="100" w:type="dxa"/>
            <w:vAlign w:val="bottom"/>
            <w:tcBorders>
              <w:bottom w:val="single" w:sz="8" w:color="CCEEFF"/>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1.5</w:t>
            </w:r>
          </w:p>
        </w:tc>
        <w:tc>
          <w:tcPr>
            <w:tcW w:w="100" w:type="dxa"/>
            <w:vAlign w:val="bottom"/>
            <w:tcBorders>
              <w:bottom w:val="single" w:sz="8" w:color="auto"/>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1.8</w:t>
            </w:r>
          </w:p>
        </w:tc>
        <w:tc>
          <w:tcPr>
            <w:tcW w:w="100" w:type="dxa"/>
            <w:vAlign w:val="bottom"/>
            <w:tcBorders>
              <w:bottom w:val="single" w:sz="8" w:color="CCEEFF"/>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1.5</w:t>
            </w:r>
          </w:p>
        </w:tc>
        <w:tc>
          <w:tcPr>
            <w:tcW w:w="100" w:type="dxa"/>
            <w:vAlign w:val="bottom"/>
            <w:tcBorders>
              <w:bottom w:val="single" w:sz="8" w:color="auto"/>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1.7</w:t>
            </w:r>
          </w:p>
        </w:tc>
      </w:tr>
      <w:tr>
        <w:trPr>
          <w:trHeight w:val="285"/>
        </w:trPr>
        <w:tc>
          <w:tcPr>
            <w:tcW w:w="50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Total</w:t>
            </w:r>
          </w:p>
        </w:tc>
        <w:tc>
          <w:tcPr>
            <w:tcW w:w="22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7"/>
                <w:szCs w:val="17"/>
                <w:color w:val="auto"/>
                <w:w w:val="84"/>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13.2</w:t>
            </w:r>
          </w:p>
        </w:tc>
        <w:tc>
          <w:tcPr>
            <w:tcW w:w="80" w:type="dxa"/>
            <w:vAlign w:val="bottom"/>
            <w:tcBorders>
              <w:bottom w:val="single" w:sz="8" w:color="CCEEFF"/>
            </w:tcBorders>
            <w:shd w:val="clear" w:color="auto" w:fill="CCEEFF"/>
          </w:tcPr>
          <w:p>
            <w:pPr>
              <w:spacing w:after="0"/>
              <w:rPr>
                <w:sz w:val="24"/>
                <w:szCs w:val="24"/>
                <w:color w:val="auto"/>
              </w:rPr>
            </w:pPr>
          </w:p>
        </w:tc>
        <w:tc>
          <w:tcPr>
            <w:tcW w:w="280" w:type="dxa"/>
            <w:vAlign w:val="bottom"/>
            <w:tcBorders>
              <w:bottom w:val="single" w:sz="8" w:color="auto"/>
            </w:tcBorders>
            <w:shd w:val="clear" w:color="auto" w:fill="CCEEFF"/>
          </w:tcPr>
          <w:p>
            <w:pPr>
              <w:jc w:val="right"/>
              <w:ind w:right="93"/>
              <w:spacing w:after="0"/>
              <w:rPr>
                <w:sz w:val="20"/>
                <w:szCs w:val="20"/>
                <w:color w:val="auto"/>
              </w:rPr>
            </w:pPr>
            <w:r>
              <w:rPr>
                <w:rFonts w:ascii="Arial" w:cs="Arial" w:eastAsia="Arial" w:hAnsi="Arial"/>
                <w:sz w:val="17"/>
                <w:szCs w:val="17"/>
                <w:color w:val="auto"/>
                <w:w w:val="84"/>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15.2</w:t>
            </w:r>
          </w:p>
        </w:tc>
        <w:tc>
          <w:tcPr>
            <w:tcW w:w="10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7"/>
                <w:szCs w:val="17"/>
                <w:color w:val="auto"/>
                <w:w w:val="84"/>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10.7</w:t>
            </w:r>
          </w:p>
        </w:tc>
        <w:tc>
          <w:tcPr>
            <w:tcW w:w="100" w:type="dxa"/>
            <w:vAlign w:val="bottom"/>
            <w:tcBorders>
              <w:bottom w:val="single" w:sz="8" w:color="CCEEFF"/>
            </w:tcBorders>
            <w:shd w:val="clear" w:color="auto" w:fill="CCEEFF"/>
          </w:tcPr>
          <w:p>
            <w:pPr>
              <w:spacing w:after="0"/>
              <w:rPr>
                <w:sz w:val="24"/>
                <w:szCs w:val="24"/>
                <w:color w:val="auto"/>
              </w:rPr>
            </w:pPr>
          </w:p>
        </w:tc>
        <w:tc>
          <w:tcPr>
            <w:tcW w:w="260" w:type="dxa"/>
            <w:vAlign w:val="bottom"/>
            <w:tcBorders>
              <w:bottom w:val="single" w:sz="8" w:color="auto"/>
            </w:tcBorders>
            <w:shd w:val="clear" w:color="auto" w:fill="CCEEFF"/>
          </w:tcPr>
          <w:p>
            <w:pPr>
              <w:jc w:val="right"/>
              <w:ind w:right="73"/>
              <w:spacing w:after="0"/>
              <w:rPr>
                <w:sz w:val="20"/>
                <w:szCs w:val="20"/>
                <w:color w:val="auto"/>
              </w:rPr>
            </w:pPr>
            <w:r>
              <w:rPr>
                <w:rFonts w:ascii="Arial" w:cs="Arial" w:eastAsia="Arial" w:hAnsi="Arial"/>
                <w:sz w:val="17"/>
                <w:szCs w:val="17"/>
                <w:color w:val="auto"/>
                <w:w w:val="84"/>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12.7</w:t>
            </w:r>
          </w:p>
        </w:tc>
        <w:tc>
          <w:tcPr>
            <w:tcW w:w="10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7"/>
                <w:szCs w:val="17"/>
                <w:color w:val="auto"/>
                <w:w w:val="84"/>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10.3</w:t>
            </w:r>
          </w:p>
        </w:tc>
        <w:tc>
          <w:tcPr>
            <w:tcW w:w="100" w:type="dxa"/>
            <w:vAlign w:val="bottom"/>
            <w:tcBorders>
              <w:bottom w:val="single" w:sz="8" w:color="CCEEFF"/>
            </w:tcBorders>
            <w:shd w:val="clear" w:color="auto" w:fill="CCEEFF"/>
          </w:tcPr>
          <w:p>
            <w:pPr>
              <w:spacing w:after="0"/>
              <w:rPr>
                <w:sz w:val="24"/>
                <w:szCs w:val="24"/>
                <w:color w:val="auto"/>
              </w:rPr>
            </w:pPr>
          </w:p>
        </w:tc>
        <w:tc>
          <w:tcPr>
            <w:tcW w:w="280" w:type="dxa"/>
            <w:vAlign w:val="bottom"/>
            <w:tcBorders>
              <w:bottom w:val="single" w:sz="8" w:color="auto"/>
            </w:tcBorders>
            <w:shd w:val="clear" w:color="auto" w:fill="CCEEFF"/>
          </w:tcPr>
          <w:p>
            <w:pPr>
              <w:jc w:val="right"/>
              <w:ind w:right="93"/>
              <w:spacing w:after="0"/>
              <w:rPr>
                <w:sz w:val="20"/>
                <w:szCs w:val="20"/>
                <w:color w:val="auto"/>
              </w:rPr>
            </w:pPr>
            <w:r>
              <w:rPr>
                <w:rFonts w:ascii="Arial" w:cs="Arial" w:eastAsia="Arial" w:hAnsi="Arial"/>
                <w:sz w:val="17"/>
                <w:szCs w:val="17"/>
                <w:color w:val="auto"/>
                <w:w w:val="84"/>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12.1</w:t>
            </w:r>
          </w:p>
        </w:tc>
      </w:tr>
      <w:tr>
        <w:trPr>
          <w:trHeight w:val="20"/>
        </w:trPr>
        <w:tc>
          <w:tcPr>
            <w:tcW w:w="50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r>
      <w:tr>
        <w:trPr>
          <w:trHeight w:val="20"/>
        </w:trPr>
        <w:tc>
          <w:tcPr>
            <w:tcW w:w="50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r>
    </w:tbl>
    <w:p>
      <w:pPr>
        <w:spacing w:after="0" w:line="279" w:lineRule="exact"/>
        <w:rPr>
          <w:sz w:val="20"/>
          <w:szCs w:val="20"/>
          <w:color w:val="auto"/>
        </w:rPr>
      </w:pPr>
    </w:p>
    <w:p>
      <w:pPr>
        <w:spacing w:after="0"/>
        <w:rPr>
          <w:sz w:val="20"/>
          <w:szCs w:val="20"/>
          <w:color w:val="auto"/>
        </w:rPr>
      </w:pPr>
      <w:r>
        <w:rPr>
          <w:rFonts w:ascii="Arial" w:cs="Arial" w:eastAsia="Arial" w:hAnsi="Arial"/>
          <w:sz w:val="16"/>
          <w:szCs w:val="16"/>
          <w:b w:val="1"/>
          <w:bCs w:val="1"/>
          <w:u w:val="single" w:color="auto"/>
          <w:color w:val="auto"/>
        </w:rPr>
        <w:t>Availability of Information on Expensify’s Website</w:t>
      </w:r>
    </w:p>
    <w:p>
      <w:pPr>
        <w:spacing w:after="0" w:line="151" w:lineRule="exact"/>
        <w:rPr>
          <w:sz w:val="20"/>
          <w:szCs w:val="20"/>
          <w:color w:val="auto"/>
        </w:rPr>
      </w:pPr>
    </w:p>
    <w:p>
      <w:pPr>
        <w:ind w:right="40"/>
        <w:spacing w:after="0" w:line="259" w:lineRule="auto"/>
        <w:rPr>
          <w:sz w:val="20"/>
          <w:szCs w:val="20"/>
          <w:color w:val="auto"/>
        </w:rPr>
      </w:pPr>
      <w:r>
        <w:rPr>
          <w:rFonts w:ascii="Arial" w:cs="Arial" w:eastAsia="Arial" w:hAnsi="Arial"/>
          <w:sz w:val="16"/>
          <w:szCs w:val="16"/>
          <w:color w:val="auto"/>
        </w:rPr>
        <w:t>Investors and others should note that Expensify routinely announces material information to investors and the marketplace using SEC filings, press releases, public conference calls, webcasts and the Expensify Investor Relations website at https://ir.expensify.com. While not all of the information that the Company posts to its Investor Relations website is of a material nature, some information could be deemed to be material. Accordingly, the Company encourages investors, the media and others interested in Expensify to review the information that it shares on its Investor Relations website.</w:t>
      </w:r>
    </w:p>
    <w:p>
      <w:pPr>
        <w:spacing w:after="0" w:line="195" w:lineRule="exact"/>
        <w:rPr>
          <w:sz w:val="20"/>
          <w:szCs w:val="20"/>
          <w:color w:val="auto"/>
        </w:rPr>
      </w:pPr>
    </w:p>
    <w:p>
      <w:pPr>
        <w:spacing w:after="0"/>
        <w:rPr>
          <w:sz w:val="20"/>
          <w:szCs w:val="20"/>
          <w:color w:val="auto"/>
        </w:rPr>
      </w:pPr>
      <w:r>
        <w:rPr>
          <w:rFonts w:ascii="Arial" w:cs="Arial" w:eastAsia="Arial" w:hAnsi="Arial"/>
          <w:sz w:val="16"/>
          <w:szCs w:val="16"/>
          <w:b w:val="1"/>
          <w:bCs w:val="1"/>
          <w:u w:val="single" w:color="auto"/>
          <w:color w:val="auto"/>
        </w:rPr>
        <w:t>Conference Call</w:t>
      </w:r>
    </w:p>
    <w:p>
      <w:pPr>
        <w:spacing w:after="0" w:line="139" w:lineRule="exact"/>
        <w:rPr>
          <w:sz w:val="20"/>
          <w:szCs w:val="20"/>
          <w:color w:val="auto"/>
        </w:rPr>
      </w:pPr>
    </w:p>
    <w:p>
      <w:pPr>
        <w:ind w:right="100"/>
        <w:spacing w:after="0" w:line="318" w:lineRule="auto"/>
        <w:rPr>
          <w:sz w:val="20"/>
          <w:szCs w:val="20"/>
          <w:color w:val="auto"/>
        </w:rPr>
      </w:pPr>
      <w:r>
        <w:rPr>
          <w:rFonts w:ascii="Arial" w:cs="Arial" w:eastAsia="Arial" w:hAnsi="Arial"/>
          <w:sz w:val="15"/>
          <w:szCs w:val="15"/>
          <w:color w:val="auto"/>
        </w:rPr>
        <w:t>Expensify will host a video call to discuss the financial results and business highlights at 2:00 p.m. Pacific Time today. An investor presentation and the video call information is available on Expensify’s Investor Relations website at https://ir.expensify.com. A replay of the call will be available on the site for three months.</w:t>
      </w:r>
    </w:p>
    <w:p>
      <w:pPr>
        <w:spacing w:after="0" w:line="154" w:lineRule="exact"/>
        <w:rPr>
          <w:sz w:val="20"/>
          <w:szCs w:val="20"/>
          <w:color w:val="auto"/>
        </w:rPr>
      </w:pPr>
    </w:p>
    <w:p>
      <w:pPr>
        <w:spacing w:after="0"/>
        <w:rPr>
          <w:sz w:val="20"/>
          <w:szCs w:val="20"/>
          <w:color w:val="auto"/>
        </w:rPr>
      </w:pPr>
      <w:r>
        <w:rPr>
          <w:rFonts w:ascii="Arial" w:cs="Arial" w:eastAsia="Arial" w:hAnsi="Arial"/>
          <w:sz w:val="16"/>
          <w:szCs w:val="16"/>
          <w:b w:val="1"/>
          <w:bCs w:val="1"/>
          <w:u w:val="single" w:color="auto"/>
          <w:color w:val="auto"/>
        </w:rPr>
        <w:t>Non-GAAP Financial Measures</w:t>
      </w:r>
    </w:p>
    <w:p>
      <w:pPr>
        <w:sectPr>
          <w:pgSz w:w="11900" w:h="16838" w:orient="portrait"/>
          <w:cols w:equalWidth="0" w:num="1">
            <w:col w:w="11260"/>
          </w:cols>
          <w:pgMar w:left="320" w:top="123" w:right="319" w:bottom="1440" w:gutter="0" w:footer="0" w:header="0"/>
        </w:sectPr>
      </w:pPr>
    </w:p>
    <w:bookmarkStart w:id="5" w:name="page6"/>
    <w:bookmarkEnd w:id="5"/>
    <w:p>
      <w:pPr>
        <w:jc w:val="right"/>
        <w:spacing w:after="0"/>
        <w:rPr>
          <w:sz w:val="20"/>
          <w:szCs w:val="20"/>
          <w:color w:val="auto"/>
        </w:rPr>
      </w:pPr>
      <w:r>
        <w:rPr>
          <w:rFonts w:ascii="Arial" w:cs="Arial" w:eastAsia="Arial" w:hAnsi="Arial"/>
          <w:sz w:val="16"/>
          <w:szCs w:val="16"/>
          <w:b w:val="1"/>
          <w:bCs w:val="1"/>
          <w:color w:val="auto"/>
        </w:rPr>
        <w:t>Exhibit 99.1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ind w:right="480"/>
        <w:spacing w:after="0" w:line="283" w:lineRule="auto"/>
        <w:rPr>
          <w:sz w:val="20"/>
          <w:szCs w:val="20"/>
          <w:color w:val="auto"/>
        </w:rPr>
      </w:pPr>
      <w:r>
        <w:rPr>
          <w:rFonts w:ascii="Arial" w:cs="Arial" w:eastAsia="Arial" w:hAnsi="Arial"/>
          <w:sz w:val="16"/>
          <w:szCs w:val="16"/>
          <w:color w:val="auto"/>
        </w:rPr>
        <w:t>In addition to financial measures prepared in accordance with U.S. generally accepted accounting principles (“GAAP”), we provide certain non-GAAP financial measures, including adjusted EBITDA and non-GAAP net income.</w:t>
      </w:r>
    </w:p>
    <w:p>
      <w:pPr>
        <w:spacing w:after="0" w:line="169" w:lineRule="exact"/>
        <w:rPr>
          <w:sz w:val="20"/>
          <w:szCs w:val="20"/>
          <w:color w:val="auto"/>
        </w:rPr>
      </w:pPr>
    </w:p>
    <w:p>
      <w:pPr>
        <w:ind w:right="40"/>
        <w:spacing w:after="0" w:line="278" w:lineRule="auto"/>
        <w:rPr>
          <w:sz w:val="20"/>
          <w:szCs w:val="20"/>
          <w:color w:val="auto"/>
        </w:rPr>
      </w:pPr>
      <w:r>
        <w:rPr>
          <w:rFonts w:ascii="Arial" w:cs="Arial" w:eastAsia="Arial" w:hAnsi="Arial"/>
          <w:sz w:val="15"/>
          <w:szCs w:val="15"/>
          <w:color w:val="auto"/>
        </w:rPr>
        <w:t>We believe our non-GAAP financial measures are useful in evaluating our business, measuring our performance, identifying trends affecting our business, formulating business plans and making strategic decisions. Accordingly, we believe that these non-GAAP financial measures provide useful information to investors and others in understanding and evaluating our results of operations in the same manner as our management team. These non-GAAP financial measures are presented for supplemental informational purposes only, should not be considered a substitute for financial information presented in accordance with GAAP, and may be different from similarly titled metrics or measures presented by other companies. Non-GAAP financial measures have limitations as analytical tools and should not be considered in isolation or as substitutes for financial information presented under GAAP. There are a number of limitations related to the use of non-GAAP financial measures versus comparable financial measures determined under GAAP. For example, other companies in our industry may calculate these non-GAAP financial measures differently or may use other measures to evaluate their performance. All of these limitations could reduce the usefulness of these non-GAAP financial measures as analytical tools. Investors are encouraged to review the related GAAP financial measures and the reconciliations of these non-GAAP financial measures to their most directly comparable GAAP financial measures and to not rely on any single financial measure to evaluate our business. A reconciliation of each non-GAAP financial measure to the most directly comparable financial measure stated in accordance with GAAP is at the end of this press release.</w:t>
      </w:r>
    </w:p>
    <w:p>
      <w:pPr>
        <w:spacing w:after="0" w:line="187" w:lineRule="exact"/>
        <w:rPr>
          <w:sz w:val="20"/>
          <w:szCs w:val="20"/>
          <w:color w:val="auto"/>
        </w:rPr>
      </w:pPr>
    </w:p>
    <w:p>
      <w:pPr>
        <w:ind w:right="600"/>
        <w:spacing w:after="0" w:line="273" w:lineRule="auto"/>
        <w:rPr>
          <w:sz w:val="20"/>
          <w:szCs w:val="20"/>
          <w:color w:val="auto"/>
        </w:rPr>
      </w:pPr>
      <w:r>
        <w:rPr>
          <w:rFonts w:ascii="Arial" w:cs="Arial" w:eastAsia="Arial" w:hAnsi="Arial"/>
          <w:sz w:val="16"/>
          <w:szCs w:val="16"/>
          <w:b w:val="1"/>
          <w:bCs w:val="1"/>
          <w:color w:val="auto"/>
        </w:rPr>
        <w:t xml:space="preserve">Adjusted EBITDA. </w:t>
      </w:r>
      <w:r>
        <w:rPr>
          <w:rFonts w:ascii="Arial" w:cs="Arial" w:eastAsia="Arial" w:hAnsi="Arial"/>
          <w:sz w:val="16"/>
          <w:szCs w:val="16"/>
          <w:color w:val="auto"/>
        </w:rPr>
        <w:t>We define adjusted EBITDA as net income from operations excluding provision for income taxes, interest and other expenses, net, depreciation and</w:t>
      </w:r>
      <w:r>
        <w:rPr>
          <w:rFonts w:ascii="Arial" w:cs="Arial" w:eastAsia="Arial" w:hAnsi="Arial"/>
          <w:sz w:val="16"/>
          <w:szCs w:val="16"/>
          <w:b w:val="1"/>
          <w:bCs w:val="1"/>
          <w:color w:val="auto"/>
        </w:rPr>
        <w:t xml:space="preserve"> </w:t>
      </w:r>
      <w:r>
        <w:rPr>
          <w:rFonts w:ascii="Arial" w:cs="Arial" w:eastAsia="Arial" w:hAnsi="Arial"/>
          <w:sz w:val="16"/>
          <w:szCs w:val="16"/>
          <w:color w:val="auto"/>
        </w:rPr>
        <w:t>amortization and stock based compensation.</w:t>
      </w:r>
    </w:p>
    <w:p>
      <w:pPr>
        <w:spacing w:after="0" w:line="18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Adjusted EBITDA margin. </w:t>
      </w:r>
      <w:r>
        <w:rPr>
          <w:rFonts w:ascii="Arial" w:cs="Arial" w:eastAsia="Arial" w:hAnsi="Arial"/>
          <w:sz w:val="16"/>
          <w:szCs w:val="16"/>
          <w:color w:val="auto"/>
        </w:rPr>
        <w:t>We define adjusted EBITDA margin as adjusted EBITDA divided by total revenue for the same period.</w:t>
      </w:r>
    </w:p>
    <w:p>
      <w:pPr>
        <w:spacing w:after="0" w:line="230" w:lineRule="exact"/>
        <w:rPr>
          <w:sz w:val="20"/>
          <w:szCs w:val="20"/>
          <w:color w:val="auto"/>
        </w:rPr>
      </w:pPr>
    </w:p>
    <w:p>
      <w:pPr>
        <w:ind w:right="140"/>
        <w:spacing w:after="0" w:line="282" w:lineRule="auto"/>
        <w:rPr>
          <w:sz w:val="20"/>
          <w:szCs w:val="20"/>
          <w:color w:val="auto"/>
        </w:rPr>
      </w:pPr>
      <w:r>
        <w:rPr>
          <w:rFonts w:ascii="Arial" w:cs="Arial" w:eastAsia="Arial" w:hAnsi="Arial"/>
          <w:sz w:val="15"/>
          <w:szCs w:val="15"/>
          <w:b w:val="1"/>
          <w:bCs w:val="1"/>
          <w:color w:val="auto"/>
        </w:rPr>
        <w:t xml:space="preserve">Non-GAAP net income. </w:t>
      </w:r>
      <w:r>
        <w:rPr>
          <w:rFonts w:ascii="Arial" w:cs="Arial" w:eastAsia="Arial" w:hAnsi="Arial"/>
          <w:sz w:val="15"/>
          <w:szCs w:val="15"/>
          <w:color w:val="auto"/>
        </w:rPr>
        <w:t>We define non-GAAP net income as net income from operations in accordance with US GAAP excluding stock-based compensation and IPO-related</w:t>
      </w:r>
      <w:r>
        <w:rPr>
          <w:rFonts w:ascii="Arial" w:cs="Arial" w:eastAsia="Arial" w:hAnsi="Arial"/>
          <w:sz w:val="15"/>
          <w:szCs w:val="15"/>
          <w:b w:val="1"/>
          <w:bCs w:val="1"/>
          <w:color w:val="auto"/>
        </w:rPr>
        <w:t xml:space="preserve"> </w:t>
      </w:r>
      <w:r>
        <w:rPr>
          <w:rFonts w:ascii="Arial" w:cs="Arial" w:eastAsia="Arial" w:hAnsi="Arial"/>
          <w:sz w:val="15"/>
          <w:szCs w:val="15"/>
          <w:color w:val="auto"/>
        </w:rPr>
        <w:t>bonus costs. Prior to the four quarter of 2021, this metric only excluded IPO-related bonus costs and did not exclude expenses related to stock-based compensation. However, management now believes that further excluding stock-based compensation from non-GAAP net income is useful to better understand the financial performance of our business and to facilitate a better comparison of our results to those of peer companies over multiple periods given that this item may vary between companies for reasons unrelated to overall operating performance. IPO-related bonus costs impacted the second, third and fourth fiscal quarters of 2021 but did not impact the first or second quarters of 2022 and are not expected to impact future periods.</w:t>
      </w:r>
    </w:p>
    <w:p>
      <w:pPr>
        <w:spacing w:after="0" w:line="18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Non-GAAP net income margin. </w:t>
      </w:r>
      <w:r>
        <w:rPr>
          <w:rFonts w:ascii="Arial" w:cs="Arial" w:eastAsia="Arial" w:hAnsi="Arial"/>
          <w:sz w:val="16"/>
          <w:szCs w:val="16"/>
          <w:color w:val="auto"/>
        </w:rPr>
        <w:t>We define non-GAAP net income as non-GAAP net income divided by total revenue for the same period.</w:t>
      </w:r>
    </w:p>
    <w:p>
      <w:pPr>
        <w:spacing w:after="0" w:line="222" w:lineRule="exact"/>
        <w:rPr>
          <w:sz w:val="20"/>
          <w:szCs w:val="20"/>
          <w:color w:val="auto"/>
        </w:rPr>
      </w:pPr>
    </w:p>
    <w:p>
      <w:pPr>
        <w:ind w:right="100"/>
        <w:spacing w:after="0" w:line="283" w:lineRule="auto"/>
        <w:rPr>
          <w:sz w:val="20"/>
          <w:szCs w:val="20"/>
          <w:color w:val="auto"/>
        </w:rPr>
      </w:pPr>
      <w:r>
        <w:rPr>
          <w:rFonts w:ascii="Arial" w:cs="Arial" w:eastAsia="Arial" w:hAnsi="Arial"/>
          <w:sz w:val="16"/>
          <w:szCs w:val="16"/>
          <w:color w:val="auto"/>
        </w:rPr>
        <w:t>The tables at the end of the Condensed Consolidated Financial Statements provide reconciliations to the most directly comparable GAAP financial measure to each of these non-GAAP financial measures.</w:t>
      </w:r>
    </w:p>
    <w:p>
      <w:pPr>
        <w:spacing w:after="0" w:line="177" w:lineRule="exact"/>
        <w:rPr>
          <w:sz w:val="20"/>
          <w:szCs w:val="20"/>
          <w:color w:val="auto"/>
        </w:rPr>
      </w:pPr>
    </w:p>
    <w:p>
      <w:pPr>
        <w:spacing w:after="0"/>
        <w:rPr>
          <w:sz w:val="20"/>
          <w:szCs w:val="20"/>
          <w:color w:val="auto"/>
        </w:rPr>
      </w:pPr>
      <w:r>
        <w:rPr>
          <w:rFonts w:ascii="Arial" w:cs="Arial" w:eastAsia="Arial" w:hAnsi="Arial"/>
          <w:sz w:val="16"/>
          <w:szCs w:val="16"/>
          <w:b w:val="1"/>
          <w:bCs w:val="1"/>
          <w:u w:val="single" w:color="auto"/>
          <w:color w:val="auto"/>
        </w:rPr>
        <w:t>Forward-Looking Statements</w:t>
      </w:r>
    </w:p>
    <w:p>
      <w:pPr>
        <w:spacing w:after="0" w:line="139" w:lineRule="exact"/>
        <w:rPr>
          <w:sz w:val="20"/>
          <w:szCs w:val="20"/>
          <w:color w:val="auto"/>
        </w:rPr>
      </w:pPr>
    </w:p>
    <w:p>
      <w:pPr>
        <w:ind w:right="20"/>
        <w:spacing w:after="0" w:line="285" w:lineRule="auto"/>
        <w:rPr>
          <w:sz w:val="20"/>
          <w:szCs w:val="20"/>
          <w:color w:val="auto"/>
        </w:rPr>
      </w:pPr>
      <w:r>
        <w:rPr>
          <w:rFonts w:ascii="Arial" w:cs="Arial" w:eastAsia="Arial" w:hAnsi="Arial"/>
          <w:sz w:val="15"/>
          <w:szCs w:val="15"/>
          <w:color w:val="auto"/>
        </w:rPr>
        <w:t>Forward-looking statements in this press release, or made during the earnings call, which are not historical facts, are forward-looking statements within the meaning of the Private Securities Litigation Reform Act of 1955. These statements include statements regarding our strategy, future financial condition, future operations, projected costs, prospects, plans, objectives of management and expected market growth and involve known and unknown risks that are difficult to predict. As a result, our actual results, performance or achievements may differ materially from those expressed or implied by these forward-looking statements. In some cases, you can identify forward-looking statements because they contain words such as “may,” “will,” “shall,” “should,” “expects,” “plans,” “anticipates,”</w:t>
      </w:r>
    </w:p>
    <w:p>
      <w:pPr>
        <w:sectPr>
          <w:pgSz w:w="11900" w:h="16838" w:orient="portrait"/>
          <w:cols w:equalWidth="0" w:num="1">
            <w:col w:w="11260"/>
          </w:cols>
          <w:pgMar w:left="320" w:top="123" w:right="319" w:bottom="1440" w:gutter="0" w:footer="0" w:header="0"/>
        </w:sectPr>
      </w:pPr>
    </w:p>
    <w:bookmarkStart w:id="6" w:name="page7"/>
    <w:bookmarkEnd w:id="6"/>
    <w:p>
      <w:pPr>
        <w:jc w:val="right"/>
        <w:spacing w:after="0"/>
        <w:rPr>
          <w:sz w:val="20"/>
          <w:szCs w:val="20"/>
          <w:color w:val="auto"/>
        </w:rPr>
      </w:pPr>
      <w:r>
        <w:rPr>
          <w:rFonts w:ascii="Arial" w:cs="Arial" w:eastAsia="Arial" w:hAnsi="Arial"/>
          <w:sz w:val="16"/>
          <w:szCs w:val="16"/>
          <w:b w:val="1"/>
          <w:bCs w:val="1"/>
          <w:color w:val="auto"/>
        </w:rPr>
        <w:t>Exhibit 99.1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ind w:right="20"/>
        <w:spacing w:after="0" w:line="296" w:lineRule="auto"/>
        <w:rPr>
          <w:sz w:val="20"/>
          <w:szCs w:val="20"/>
          <w:color w:val="auto"/>
        </w:rPr>
      </w:pPr>
      <w:r>
        <w:rPr>
          <w:rFonts w:ascii="Arial" w:cs="Arial" w:eastAsia="Arial" w:hAnsi="Arial"/>
          <w:sz w:val="14"/>
          <w:szCs w:val="14"/>
          <w:color w:val="auto"/>
        </w:rPr>
        <w:t>“could,” “intends,” “target,” “projects,” “contemplates,” “believes,” “estimates,” “predicts,” “potential,” “goal,” “objective,” “seeks,” or “continue” or the negative of these words or other similar terms or expressions that concern our expectations, strategy, plans, or intentions. Such forward-looking statements are necessarily based upon estimates and assumptions that, while considered reasonable by us and our management, are inherently uncertain. Factors that may cause actual results to differ materially from current expectations include, but are not limited to: the economic, political and social impact of, and uncertainty relating to, the COVID-19 pandemic; the war in Ukraine and escalating geopolitical tensions as a result of Russia's invasion of Ukraine; our expectations regarding our financial performance and future operating performance; our ability to attract and retain members, expand usage of our platform, sell subscriptions to our platform and convert individuals and organizations into paying customers; the timing and success of new features, integrations, capabilities and enhancements by us, or by competitors to their products, or any other changes in the competitive landscape of our market; the amount and timing of operating expenses and capital expenditures that we may incur to maintain and expand our business and operations to remain competitive; the sufficiency of our cash, cash equivalents and investments to meet our liquidity needs; our ability to make required payments under and to comply with the various requirements of our current and future indebtedness; our ability to effectively manage our exposure to fluctuations in foreign currency exchange rates; the increased expenses associated with being a public company; the size of our addressable markets, market share and market trends; anticipated trends, developments and challenges in our industry, business and the highly competitive markets in which we operate; our expectations regarding our income tax liabilities and the adequacy of our reserves; our ability to effectively manage our growth and expand our infrastructure and maintain our corporate culture; our ability to identify, recruit and retain skilled personnel, including key members of senior management; the safety, affordability and convenience of our platform and our offerings; our ability to successfully defend litigation brought against us; our ability to successfully identify, manage and integrate any existing and potential acquisitions of businesses, talent, technologies or intellectual property; general economic conditions in either domestic or international markets, including the societal and economic impact of the COVID-19 pandemic, and geopolitical uncertainty and instability; our protections against security breaches, technical difficulties, or interruptions to our platform; our ability to maintain, protect and enhance our intellectual property; and other risks discussed in our filings with the SEC. All forward-looking statements attributable to us or persons acting on our behalf are expressly qualified in their entirety by the cautionary statements set forth above. We caution you not to place undue reliance on any forward-looking statements, which are made only as of the date of this press release. We do not undertake or assume any obligation to update publicly any of these forward-looking statements to reflect actual results, new information or future events, changes in assumptions or changes in other factors affecting forward-looking statements, except to the extent required by applicable law. If we update one or more forward-looking statements, no inference should be drawn that we will make additional updates with respect to those or other forward-looking statements.</w:t>
      </w:r>
    </w:p>
    <w:p>
      <w:pPr>
        <w:spacing w:after="0" w:line="379" w:lineRule="exact"/>
        <w:rPr>
          <w:sz w:val="20"/>
          <w:szCs w:val="20"/>
          <w:color w:val="auto"/>
        </w:rPr>
      </w:pPr>
    </w:p>
    <w:p>
      <w:pPr>
        <w:spacing w:after="0"/>
        <w:rPr>
          <w:sz w:val="20"/>
          <w:szCs w:val="20"/>
          <w:color w:val="auto"/>
        </w:rPr>
      </w:pPr>
      <w:r>
        <w:rPr>
          <w:rFonts w:ascii="Arial" w:cs="Arial" w:eastAsia="Arial" w:hAnsi="Arial"/>
          <w:sz w:val="16"/>
          <w:szCs w:val="16"/>
          <w:b w:val="1"/>
          <w:bCs w:val="1"/>
          <w:u w:val="single" w:color="auto"/>
          <w:color w:val="auto"/>
        </w:rPr>
        <w:t>About Expensify</w:t>
      </w:r>
    </w:p>
    <w:p>
      <w:pPr>
        <w:spacing w:after="0" w:line="139" w:lineRule="exact"/>
        <w:rPr>
          <w:sz w:val="20"/>
          <w:szCs w:val="20"/>
          <w:color w:val="auto"/>
        </w:rPr>
      </w:pPr>
    </w:p>
    <w:p>
      <w:pPr>
        <w:ind w:right="60"/>
        <w:spacing w:after="0" w:line="290" w:lineRule="auto"/>
        <w:rPr>
          <w:sz w:val="20"/>
          <w:szCs w:val="20"/>
          <w:color w:val="auto"/>
        </w:rPr>
      </w:pPr>
      <w:r>
        <w:rPr>
          <w:rFonts w:ascii="Arial" w:cs="Arial" w:eastAsia="Arial" w:hAnsi="Arial"/>
          <w:sz w:val="15"/>
          <w:szCs w:val="15"/>
          <w:color w:val="auto"/>
        </w:rPr>
        <w:t>Expensify is a payments superapp that helps individuals and businesses around the world simplify the way they manage money. More than 12 million people use Expensify's free features, which include corporate cards, expense tracking, next-day reimbursement, invoicing, bill pay, and travel booking in one app. All free. Whether you own a small business, manage a team, or close the books for your clients, Expensify makes it easy so you have more time to focus on what really matters.</w:t>
      </w:r>
    </w:p>
    <w:p>
      <w:pPr>
        <w:spacing w:after="0" w:line="17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Investor Relations Contact</w:t>
      </w:r>
    </w:p>
    <w:p>
      <w:pPr>
        <w:spacing w:after="0" w:line="128" w:lineRule="exact"/>
        <w:rPr>
          <w:sz w:val="20"/>
          <w:szCs w:val="20"/>
          <w:color w:val="auto"/>
        </w:rPr>
      </w:pPr>
    </w:p>
    <w:p>
      <w:pPr>
        <w:spacing w:after="0"/>
        <w:rPr>
          <w:sz w:val="20"/>
          <w:szCs w:val="20"/>
          <w:color w:val="auto"/>
        </w:rPr>
      </w:pPr>
      <w:r>
        <w:rPr>
          <w:rFonts w:ascii="Arial" w:cs="Arial" w:eastAsia="Arial" w:hAnsi="Arial"/>
          <w:sz w:val="16"/>
          <w:szCs w:val="16"/>
          <w:color w:val="auto"/>
        </w:rPr>
        <w:t>Nick Tooker</w:t>
      </w:r>
    </w:p>
    <w:p>
      <w:pPr>
        <w:spacing w:after="0" w:line="7" w:lineRule="exact"/>
        <w:rPr>
          <w:sz w:val="20"/>
          <w:szCs w:val="20"/>
          <w:color w:val="auto"/>
        </w:rPr>
      </w:pPr>
    </w:p>
    <w:p>
      <w:pPr>
        <w:spacing w:after="0"/>
        <w:rPr>
          <w:sz w:val="20"/>
          <w:szCs w:val="20"/>
          <w:color w:val="auto"/>
        </w:rPr>
      </w:pPr>
      <w:r>
        <w:rPr>
          <w:rFonts w:ascii="Arial" w:cs="Arial" w:eastAsia="Arial" w:hAnsi="Arial"/>
          <w:sz w:val="16"/>
          <w:szCs w:val="16"/>
          <w:color w:val="auto"/>
        </w:rPr>
        <w:t>investors@expensify.com</w:t>
      </w:r>
    </w:p>
    <w:p>
      <w:pPr>
        <w:spacing w:after="0" w:line="17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Press Contact</w:t>
      </w:r>
    </w:p>
    <w:p>
      <w:pPr>
        <w:spacing w:after="0" w:line="128" w:lineRule="exact"/>
        <w:rPr>
          <w:sz w:val="20"/>
          <w:szCs w:val="20"/>
          <w:color w:val="auto"/>
        </w:rPr>
      </w:pPr>
    </w:p>
    <w:p>
      <w:pPr>
        <w:spacing w:after="0"/>
        <w:rPr>
          <w:sz w:val="20"/>
          <w:szCs w:val="20"/>
          <w:color w:val="auto"/>
        </w:rPr>
      </w:pPr>
      <w:r>
        <w:rPr>
          <w:rFonts w:ascii="Arial" w:cs="Arial" w:eastAsia="Arial" w:hAnsi="Arial"/>
          <w:sz w:val="16"/>
          <w:szCs w:val="16"/>
          <w:color w:val="auto"/>
        </w:rPr>
        <w:t>James Dean</w:t>
      </w:r>
    </w:p>
    <w:p>
      <w:pPr>
        <w:spacing w:after="0" w:line="7" w:lineRule="exact"/>
        <w:rPr>
          <w:sz w:val="20"/>
          <w:szCs w:val="20"/>
          <w:color w:val="auto"/>
        </w:rPr>
      </w:pPr>
    </w:p>
    <w:p>
      <w:pPr>
        <w:spacing w:after="0"/>
        <w:rPr>
          <w:sz w:val="20"/>
          <w:szCs w:val="20"/>
          <w:color w:val="auto"/>
        </w:rPr>
      </w:pPr>
      <w:r>
        <w:rPr>
          <w:rFonts w:ascii="Arial" w:cs="Arial" w:eastAsia="Arial" w:hAnsi="Arial"/>
          <w:sz w:val="16"/>
          <w:szCs w:val="16"/>
          <w:color w:val="auto"/>
        </w:rPr>
        <w:t>press@expensify.com</w:t>
      </w:r>
    </w:p>
    <w:p>
      <w:pPr>
        <w:sectPr>
          <w:pgSz w:w="11900" w:h="16838" w:orient="portrait"/>
          <w:cols w:equalWidth="0" w:num="1">
            <w:col w:w="11260"/>
          </w:cols>
          <w:pgMar w:left="320" w:top="123" w:right="319" w:bottom="1440" w:gutter="0" w:footer="0" w:header="0"/>
        </w:sectPr>
      </w:pPr>
    </w:p>
    <w:bookmarkStart w:id="7" w:name="page8"/>
    <w:bookmarkEnd w:id="7"/>
    <w:p>
      <w:pPr>
        <w:jc w:val="center"/>
        <w:ind w:right="660"/>
        <w:spacing w:after="0"/>
        <w:rPr>
          <w:sz w:val="20"/>
          <w:szCs w:val="20"/>
          <w:color w:val="auto"/>
        </w:rPr>
      </w:pPr>
      <w:r>
        <w:rPr>
          <w:rFonts w:ascii="Arial" w:cs="Arial" w:eastAsia="Arial" w:hAnsi="Arial"/>
          <w:sz w:val="19"/>
          <w:szCs w:val="19"/>
          <w:b w:val="1"/>
          <w:bCs w:val="1"/>
          <w:color w:val="auto"/>
        </w:rPr>
        <w:t>Expensify, Inc.</w:t>
      </w:r>
    </w:p>
    <w:p>
      <w:pPr>
        <w:spacing w:after="0" w:line="28" w:lineRule="exact"/>
        <w:rPr>
          <w:sz w:val="20"/>
          <w:szCs w:val="20"/>
          <w:color w:val="auto"/>
        </w:rPr>
      </w:pPr>
    </w:p>
    <w:p>
      <w:pPr>
        <w:jc w:val="center"/>
        <w:ind w:right="660"/>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30" w:lineRule="exact"/>
        <w:rPr>
          <w:sz w:val="20"/>
          <w:szCs w:val="20"/>
          <w:color w:val="auto"/>
        </w:rPr>
      </w:pPr>
    </w:p>
    <w:p>
      <w:pPr>
        <w:ind w:left="3240"/>
        <w:spacing w:after="0"/>
        <w:rPr>
          <w:sz w:val="20"/>
          <w:szCs w:val="20"/>
          <w:color w:val="auto"/>
        </w:rPr>
      </w:pPr>
      <w:r>
        <w:rPr>
          <w:rFonts w:ascii="Arial" w:cs="Arial" w:eastAsia="Arial" w:hAnsi="Arial"/>
          <w:sz w:val="12"/>
          <w:szCs w:val="12"/>
          <w:color w:val="auto"/>
        </w:rPr>
        <w:t>(unaudited, in thousands, except share and per share data)</w:t>
      </w:r>
    </w:p>
    <w:p>
      <w:pPr>
        <w:sectPr>
          <w:pgSz w:w="11900" w:h="16838" w:orient="portrait"/>
          <w:cols w:equalWidth="0" w:num="1">
            <w:col w:w="10780"/>
          </w:cols>
          <w:pgMar w:left="880" w:top="339"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ind w:left="8360"/>
        <w:spacing w:after="0"/>
        <w:rPr>
          <w:sz w:val="20"/>
          <w:szCs w:val="20"/>
          <w:color w:val="auto"/>
        </w:rPr>
      </w:pPr>
      <w:r>
        <w:rPr>
          <w:rFonts w:ascii="Arial" w:cs="Arial" w:eastAsia="Arial" w:hAnsi="Arial"/>
          <w:sz w:val="11"/>
          <w:szCs w:val="11"/>
          <w:b w:val="1"/>
          <w:bCs w:val="1"/>
          <w:color w:val="auto"/>
        </w:rPr>
        <w:t>As of June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5093335</wp:posOffset>
            </wp:positionH>
            <wp:positionV relativeFrom="paragraph">
              <wp:posOffset>37465</wp:posOffset>
            </wp:positionV>
            <wp:extent cx="998855" cy="762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998855" cy="7620"/>
                    </a:xfrm>
                    <a:prstGeom prst="rect">
                      <a:avLst/>
                    </a:prstGeom>
                    <a:noFill/>
                  </pic:spPr>
                </pic:pic>
              </a:graphicData>
            </a:graphic>
          </wp:anchor>
        </w:drawing>
      </w:r>
    </w:p>
    <w:p>
      <w:pPr>
        <w:spacing w:after="0" w:line="66" w:lineRule="exact"/>
        <w:rPr>
          <w:sz w:val="20"/>
          <w:szCs w:val="20"/>
          <w:color w:val="auto"/>
        </w:rPr>
      </w:pPr>
    </w:p>
    <w:p>
      <w:pPr>
        <w:jc w:val="center"/>
        <w:ind w:left="8360"/>
        <w:spacing w:after="0"/>
        <w:rPr>
          <w:sz w:val="20"/>
          <w:szCs w:val="20"/>
          <w:color w:val="auto"/>
        </w:rPr>
      </w:pPr>
      <w:r>
        <w:rPr>
          <w:rFonts w:ascii="Arial" w:cs="Arial" w:eastAsia="Arial" w:hAnsi="Arial"/>
          <w:sz w:val="13"/>
          <w:szCs w:val="13"/>
          <w:b w:val="1"/>
          <w:bCs w:val="1"/>
          <w:color w:val="auto"/>
        </w:rPr>
        <w:t>2022</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spacing w:after="0"/>
        <w:rPr>
          <w:sz w:val="20"/>
          <w:szCs w:val="20"/>
          <w:color w:val="auto"/>
        </w:rPr>
      </w:pPr>
      <w:r>
        <w:rPr>
          <w:rFonts w:ascii="Arial" w:cs="Arial" w:eastAsia="Arial" w:hAnsi="Arial"/>
          <w:sz w:val="9"/>
          <w:szCs w:val="9"/>
          <w:b w:val="1"/>
          <w:bCs w:val="1"/>
          <w:color w:val="auto"/>
        </w:rPr>
        <w:t>As of December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-172085</wp:posOffset>
            </wp:positionH>
            <wp:positionV relativeFrom="paragraph">
              <wp:posOffset>52070</wp:posOffset>
            </wp:positionV>
            <wp:extent cx="693420" cy="762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93420" cy="7620"/>
                    </a:xfrm>
                    <a:prstGeom prst="rect">
                      <a:avLst/>
                    </a:prstGeom>
                    <a:noFill/>
                  </pic:spPr>
                </pic:pic>
              </a:graphicData>
            </a:graphic>
          </wp:anchor>
        </w:drawing>
      </w:r>
    </w:p>
    <w:p>
      <w:pPr>
        <w:spacing w:after="0" w:line="89" w:lineRule="exact"/>
        <w:rPr>
          <w:sz w:val="20"/>
          <w:szCs w:val="20"/>
          <w:color w:val="auto"/>
        </w:rPr>
      </w:pPr>
    </w:p>
    <w:p>
      <w:pPr>
        <w:ind w:left="380"/>
        <w:spacing w:after="0"/>
        <w:rPr>
          <w:sz w:val="20"/>
          <w:szCs w:val="20"/>
          <w:color w:val="auto"/>
        </w:rPr>
      </w:pPr>
      <w:r>
        <w:rPr>
          <w:rFonts w:ascii="Arial" w:cs="Arial" w:eastAsia="Arial" w:hAnsi="Arial"/>
          <w:sz w:val="13"/>
          <w:szCs w:val="13"/>
          <w:b w:val="1"/>
          <w:bCs w:val="1"/>
          <w:color w:val="auto"/>
        </w:rPr>
        <w:t>2021</w:t>
      </w:r>
    </w:p>
    <w:p>
      <w:pPr>
        <w:spacing w:after="0" w:line="16" w:lineRule="exact"/>
        <w:rPr>
          <w:sz w:val="20"/>
          <w:szCs w:val="20"/>
          <w:color w:val="auto"/>
        </w:rPr>
      </w:pPr>
    </w:p>
    <w:p>
      <w:pPr>
        <w:sectPr>
          <w:pgSz w:w="11900" w:h="16838" w:orient="portrait"/>
          <w:cols w:equalWidth="0" w:num="2">
            <w:col w:w="9240" w:space="720"/>
            <w:col w:w="820"/>
          </w:cols>
          <w:pgMar w:left="880" w:top="339" w:right="239" w:bottom="1440" w:gutter="0" w:footer="0" w:header="0"/>
          <w:type w:val="continuous"/>
        </w:sectPr>
      </w:pPr>
    </w:p>
    <w:tbl>
      <w:tblPr>
        <w:tblLayout w:type="fixed"/>
        <w:tblInd w:w="0" w:type="dxa"/>
        <w:tblCellMar>
          <w:top w:w="0" w:type="dxa"/>
          <w:left w:w="0" w:type="dxa"/>
          <w:bottom w:w="0" w:type="dxa"/>
          <w:right w:w="0" w:type="dxa"/>
        </w:tblCellMar>
      </w:tblPr>
      <w:tr>
        <w:trPr>
          <w:trHeight w:val="201"/>
        </w:trPr>
        <w:tc>
          <w:tcPr>
            <w:tcW w:w="80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3"/>
                <w:szCs w:val="13"/>
                <w:b w:val="1"/>
                <w:bCs w:val="1"/>
                <w:color w:val="auto"/>
              </w:rPr>
              <w:t>Assets</w:t>
            </w:r>
          </w:p>
        </w:tc>
        <w:tc>
          <w:tcPr>
            <w:tcW w:w="600" w:type="dxa"/>
            <w:vAlign w:val="bottom"/>
            <w:tcBorders>
              <w:top w:val="single" w:sz="8" w:color="auto"/>
            </w:tcBorders>
            <w:shd w:val="clear" w:color="auto" w:fill="CCEEFF"/>
          </w:tcPr>
          <w:p>
            <w:pPr>
              <w:spacing w:after="0"/>
              <w:rPr>
                <w:sz w:val="17"/>
                <w:szCs w:val="17"/>
                <w:color w:val="auto"/>
              </w:rPr>
            </w:pPr>
          </w:p>
        </w:tc>
        <w:tc>
          <w:tcPr>
            <w:tcW w:w="98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100" w:type="dxa"/>
            <w:vAlign w:val="bottom"/>
            <w:tcBorders>
              <w:top w:val="single" w:sz="8" w:color="auto"/>
            </w:tcBorders>
            <w:shd w:val="clear" w:color="auto" w:fill="CCEEFF"/>
          </w:tcPr>
          <w:p>
            <w:pPr>
              <w:spacing w:after="0"/>
              <w:rPr>
                <w:sz w:val="17"/>
                <w:szCs w:val="17"/>
                <w:color w:val="auto"/>
              </w:rPr>
            </w:pPr>
          </w:p>
        </w:tc>
      </w:tr>
      <w:tr>
        <w:trPr>
          <w:trHeight w:val="180"/>
        </w:trPr>
        <w:tc>
          <w:tcPr>
            <w:tcW w:w="8020" w:type="dxa"/>
            <w:vAlign w:val="bottom"/>
          </w:tcPr>
          <w:p>
            <w:pPr>
              <w:ind w:left="200"/>
              <w:spacing w:after="0"/>
              <w:rPr>
                <w:sz w:val="20"/>
                <w:szCs w:val="20"/>
                <w:color w:val="auto"/>
              </w:rPr>
            </w:pPr>
            <w:r>
              <w:rPr>
                <w:rFonts w:ascii="Arial" w:cs="Arial" w:eastAsia="Arial" w:hAnsi="Arial"/>
                <w:sz w:val="13"/>
                <w:szCs w:val="13"/>
                <w:color w:val="auto"/>
              </w:rPr>
              <w:t>Cash and cash equivalents</w:t>
            </w:r>
          </w:p>
        </w:tc>
        <w:tc>
          <w:tcPr>
            <w:tcW w:w="600" w:type="dxa"/>
            <w:vAlign w:val="bottom"/>
          </w:tcPr>
          <w:p>
            <w:pPr>
              <w:jc w:val="right"/>
              <w:ind w:right="457"/>
              <w:spacing w:after="0"/>
              <w:rPr>
                <w:sz w:val="20"/>
                <w:szCs w:val="20"/>
                <w:color w:val="auto"/>
              </w:rPr>
            </w:pPr>
            <w:r>
              <w:rPr>
                <w:rFonts w:ascii="Arial" w:cs="Arial" w:eastAsia="Arial" w:hAnsi="Arial"/>
                <w:sz w:val="13"/>
                <w:szCs w:val="13"/>
                <w:color w:val="auto"/>
                <w:w w:val="82"/>
              </w:rPr>
              <w:t>$</w:t>
            </w:r>
          </w:p>
        </w:tc>
        <w:tc>
          <w:tcPr>
            <w:tcW w:w="980" w:type="dxa"/>
            <w:vAlign w:val="bottom"/>
          </w:tcPr>
          <w:p>
            <w:pPr>
              <w:jc w:val="right"/>
              <w:spacing w:after="0"/>
              <w:rPr>
                <w:sz w:val="20"/>
                <w:szCs w:val="20"/>
                <w:color w:val="auto"/>
              </w:rPr>
            </w:pPr>
            <w:r>
              <w:rPr>
                <w:rFonts w:ascii="Arial" w:cs="Arial" w:eastAsia="Arial" w:hAnsi="Arial"/>
                <w:sz w:val="13"/>
                <w:szCs w:val="13"/>
                <w:color w:val="auto"/>
              </w:rPr>
              <w:t>105,537</w:t>
            </w:r>
          </w:p>
        </w:tc>
        <w:tc>
          <w:tcPr>
            <w:tcW w:w="80" w:type="dxa"/>
            <w:vAlign w:val="bottom"/>
          </w:tcPr>
          <w:p>
            <w:pPr>
              <w:spacing w:after="0"/>
              <w:rPr>
                <w:sz w:val="15"/>
                <w:szCs w:val="15"/>
                <w:color w:val="auto"/>
              </w:rPr>
            </w:pPr>
          </w:p>
        </w:tc>
        <w:tc>
          <w:tcPr>
            <w:tcW w:w="1100" w:type="dxa"/>
            <w:vAlign w:val="bottom"/>
          </w:tcPr>
          <w:p>
            <w:pPr>
              <w:jc w:val="right"/>
              <w:ind w:right="957"/>
              <w:spacing w:after="0"/>
              <w:rPr>
                <w:sz w:val="20"/>
                <w:szCs w:val="20"/>
                <w:color w:val="auto"/>
              </w:rPr>
            </w:pPr>
            <w:r>
              <w:rPr>
                <w:rFonts w:ascii="Arial" w:cs="Arial" w:eastAsia="Arial" w:hAnsi="Arial"/>
                <w:sz w:val="13"/>
                <w:szCs w:val="13"/>
                <w:color w:val="auto"/>
                <w:w w:val="82"/>
              </w:rPr>
              <w:t>$</w:t>
            </w:r>
          </w:p>
        </w:tc>
      </w:tr>
      <w:tr>
        <w:trPr>
          <w:trHeight w:val="21"/>
        </w:trPr>
        <w:tc>
          <w:tcPr>
            <w:tcW w:w="80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r>
      <w:tr>
        <w:trPr>
          <w:trHeight w:val="181"/>
        </w:trPr>
        <w:tc>
          <w:tcPr>
            <w:tcW w:w="802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3"/>
                <w:szCs w:val="13"/>
                <w:color w:val="auto"/>
              </w:rPr>
              <w:t>Accounts receivable, net</w:t>
            </w:r>
          </w:p>
        </w:tc>
        <w:tc>
          <w:tcPr>
            <w:tcW w:w="600" w:type="dxa"/>
            <w:vAlign w:val="bottom"/>
            <w:tcBorders>
              <w:bottom w:val="single" w:sz="8" w:color="CCEEFF"/>
            </w:tcBorders>
            <w:shd w:val="clear" w:color="auto" w:fill="CCEEFF"/>
          </w:tcPr>
          <w:p>
            <w:pPr>
              <w:spacing w:after="0"/>
              <w:rPr>
                <w:sz w:val="15"/>
                <w:szCs w:val="15"/>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16,270</w:t>
            </w:r>
          </w:p>
        </w:tc>
        <w:tc>
          <w:tcPr>
            <w:tcW w:w="80" w:type="dxa"/>
            <w:vAlign w:val="bottom"/>
            <w:tcBorders>
              <w:bottom w:val="single" w:sz="8" w:color="CCEEFF"/>
            </w:tcBorders>
            <w:shd w:val="clear" w:color="auto" w:fill="CCEEFF"/>
          </w:tcPr>
          <w:p>
            <w:pPr>
              <w:spacing w:after="0"/>
              <w:rPr>
                <w:sz w:val="15"/>
                <w:szCs w:val="15"/>
                <w:color w:val="auto"/>
              </w:rPr>
            </w:pPr>
          </w:p>
        </w:tc>
        <w:tc>
          <w:tcPr>
            <w:tcW w:w="1100" w:type="dxa"/>
            <w:vAlign w:val="bottom"/>
            <w:tcBorders>
              <w:bottom w:val="single" w:sz="8" w:color="CCEEFF"/>
            </w:tcBorders>
            <w:shd w:val="clear" w:color="auto" w:fill="CCEEFF"/>
          </w:tcPr>
          <w:p>
            <w:pPr>
              <w:spacing w:after="0"/>
              <w:rPr>
                <w:sz w:val="15"/>
                <w:szCs w:val="15"/>
                <w:color w:val="auto"/>
              </w:rPr>
            </w:pPr>
          </w:p>
        </w:tc>
      </w:tr>
      <w:tr>
        <w:trPr>
          <w:trHeight w:val="180"/>
        </w:trPr>
        <w:tc>
          <w:tcPr>
            <w:tcW w:w="8020" w:type="dxa"/>
            <w:vAlign w:val="bottom"/>
          </w:tcPr>
          <w:p>
            <w:pPr>
              <w:ind w:left="200"/>
              <w:spacing w:after="0"/>
              <w:rPr>
                <w:sz w:val="20"/>
                <w:szCs w:val="20"/>
                <w:color w:val="auto"/>
              </w:rPr>
            </w:pPr>
            <w:r>
              <w:rPr>
                <w:rFonts w:ascii="Arial" w:cs="Arial" w:eastAsia="Arial" w:hAnsi="Arial"/>
                <w:sz w:val="13"/>
                <w:szCs w:val="13"/>
                <w:color w:val="auto"/>
              </w:rPr>
              <w:t>Settlement assets</w:t>
            </w:r>
          </w:p>
        </w:tc>
        <w:tc>
          <w:tcPr>
            <w:tcW w:w="60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Arial" w:cs="Arial" w:eastAsia="Arial" w:hAnsi="Arial"/>
                <w:sz w:val="13"/>
                <w:szCs w:val="13"/>
                <w:color w:val="auto"/>
              </w:rPr>
              <w:t>43,780</w:t>
            </w:r>
          </w:p>
        </w:tc>
        <w:tc>
          <w:tcPr>
            <w:tcW w:w="80" w:type="dxa"/>
            <w:vAlign w:val="bottom"/>
          </w:tcPr>
          <w:p>
            <w:pPr>
              <w:spacing w:after="0"/>
              <w:rPr>
                <w:sz w:val="15"/>
                <w:szCs w:val="15"/>
                <w:color w:val="auto"/>
              </w:rPr>
            </w:pPr>
          </w:p>
        </w:tc>
        <w:tc>
          <w:tcPr>
            <w:tcW w:w="1100" w:type="dxa"/>
            <w:vAlign w:val="bottom"/>
          </w:tcPr>
          <w:p>
            <w:pPr>
              <w:spacing w:after="0"/>
              <w:rPr>
                <w:sz w:val="15"/>
                <w:szCs w:val="15"/>
                <w:color w:val="auto"/>
              </w:rPr>
            </w:pPr>
          </w:p>
        </w:tc>
      </w:tr>
      <w:tr>
        <w:trPr>
          <w:trHeight w:val="21"/>
        </w:trPr>
        <w:tc>
          <w:tcPr>
            <w:tcW w:w="80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r>
      <w:tr>
        <w:trPr>
          <w:trHeight w:val="181"/>
        </w:trPr>
        <w:tc>
          <w:tcPr>
            <w:tcW w:w="802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3"/>
                <w:szCs w:val="13"/>
                <w:color w:val="auto"/>
              </w:rPr>
              <w:t>Prepaid expenses</w:t>
            </w:r>
          </w:p>
        </w:tc>
        <w:tc>
          <w:tcPr>
            <w:tcW w:w="600" w:type="dxa"/>
            <w:vAlign w:val="bottom"/>
            <w:tcBorders>
              <w:bottom w:val="single" w:sz="8" w:color="CCEEFF"/>
            </w:tcBorders>
            <w:shd w:val="clear" w:color="auto" w:fill="CCEEFF"/>
          </w:tcPr>
          <w:p>
            <w:pPr>
              <w:spacing w:after="0"/>
              <w:rPr>
                <w:sz w:val="15"/>
                <w:szCs w:val="15"/>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5,430</w:t>
            </w:r>
          </w:p>
        </w:tc>
        <w:tc>
          <w:tcPr>
            <w:tcW w:w="80" w:type="dxa"/>
            <w:vAlign w:val="bottom"/>
            <w:tcBorders>
              <w:bottom w:val="single" w:sz="8" w:color="CCEEFF"/>
            </w:tcBorders>
            <w:shd w:val="clear" w:color="auto" w:fill="CCEEFF"/>
          </w:tcPr>
          <w:p>
            <w:pPr>
              <w:spacing w:after="0"/>
              <w:rPr>
                <w:sz w:val="15"/>
                <w:szCs w:val="15"/>
                <w:color w:val="auto"/>
              </w:rPr>
            </w:pPr>
          </w:p>
        </w:tc>
        <w:tc>
          <w:tcPr>
            <w:tcW w:w="1100" w:type="dxa"/>
            <w:vAlign w:val="bottom"/>
            <w:tcBorders>
              <w:bottom w:val="single" w:sz="8" w:color="CCEEFF"/>
            </w:tcBorders>
            <w:shd w:val="clear" w:color="auto" w:fill="CCEEFF"/>
          </w:tcPr>
          <w:p>
            <w:pPr>
              <w:spacing w:after="0"/>
              <w:rPr>
                <w:sz w:val="15"/>
                <w:szCs w:val="15"/>
                <w:color w:val="auto"/>
              </w:rPr>
            </w:pPr>
          </w:p>
        </w:tc>
      </w:tr>
      <w:tr>
        <w:trPr>
          <w:trHeight w:val="180"/>
        </w:trPr>
        <w:tc>
          <w:tcPr>
            <w:tcW w:w="8020" w:type="dxa"/>
            <w:vAlign w:val="bottom"/>
          </w:tcPr>
          <w:p>
            <w:pPr>
              <w:ind w:left="200"/>
              <w:spacing w:after="0"/>
              <w:rPr>
                <w:sz w:val="20"/>
                <w:szCs w:val="20"/>
                <w:color w:val="auto"/>
              </w:rPr>
            </w:pPr>
            <w:r>
              <w:rPr>
                <w:rFonts w:ascii="Arial" w:cs="Arial" w:eastAsia="Arial" w:hAnsi="Arial"/>
                <w:sz w:val="13"/>
                <w:szCs w:val="13"/>
                <w:color w:val="auto"/>
              </w:rPr>
              <w:t>Related party loan receivable</w:t>
            </w:r>
          </w:p>
        </w:tc>
        <w:tc>
          <w:tcPr>
            <w:tcW w:w="600" w:type="dxa"/>
            <w:vAlign w:val="bottom"/>
          </w:tcPr>
          <w:p>
            <w:pPr>
              <w:spacing w:after="0"/>
              <w:rPr>
                <w:sz w:val="15"/>
                <w:szCs w:val="15"/>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100" w:type="dxa"/>
            <w:vAlign w:val="bottom"/>
          </w:tcPr>
          <w:p>
            <w:pPr>
              <w:spacing w:after="0"/>
              <w:rPr>
                <w:sz w:val="15"/>
                <w:szCs w:val="15"/>
                <w:color w:val="auto"/>
              </w:rPr>
            </w:pPr>
          </w:p>
        </w:tc>
      </w:tr>
      <w:tr>
        <w:trPr>
          <w:trHeight w:val="21"/>
        </w:trPr>
        <w:tc>
          <w:tcPr>
            <w:tcW w:w="80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r>
      <w:tr>
        <w:trPr>
          <w:trHeight w:val="201"/>
        </w:trPr>
        <w:tc>
          <w:tcPr>
            <w:tcW w:w="802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3"/>
                <w:szCs w:val="13"/>
                <w:color w:val="auto"/>
              </w:rPr>
              <w:t>Other current assets</w:t>
            </w:r>
          </w:p>
        </w:tc>
        <w:tc>
          <w:tcPr>
            <w:tcW w:w="600" w:type="dxa"/>
            <w:vAlign w:val="bottom"/>
            <w:tcBorders>
              <w:bottom w:val="single" w:sz="8" w:color="CCEEFF"/>
            </w:tcBorders>
            <w:shd w:val="clear" w:color="auto" w:fill="CCEEFF"/>
          </w:tcPr>
          <w:p>
            <w:pPr>
              <w:spacing w:after="0"/>
              <w:rPr>
                <w:sz w:val="17"/>
                <w:szCs w:val="17"/>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20,434</w:t>
            </w:r>
          </w:p>
        </w:tc>
        <w:tc>
          <w:tcPr>
            <w:tcW w:w="80" w:type="dxa"/>
            <w:vAlign w:val="bottom"/>
            <w:tcBorders>
              <w:bottom w:val="single" w:sz="8" w:color="CCEEFF"/>
            </w:tcBorders>
            <w:shd w:val="clear" w:color="auto" w:fill="CCEEFF"/>
          </w:tcPr>
          <w:p>
            <w:pPr>
              <w:spacing w:after="0"/>
              <w:rPr>
                <w:sz w:val="17"/>
                <w:szCs w:val="17"/>
                <w:color w:val="auto"/>
              </w:rPr>
            </w:pPr>
          </w:p>
        </w:tc>
        <w:tc>
          <w:tcPr>
            <w:tcW w:w="1100" w:type="dxa"/>
            <w:vAlign w:val="bottom"/>
            <w:tcBorders>
              <w:bottom w:val="single" w:sz="8" w:color="CCEEFF"/>
            </w:tcBorders>
            <w:shd w:val="clear" w:color="auto" w:fill="CCEEFF"/>
          </w:tcPr>
          <w:p>
            <w:pPr>
              <w:spacing w:after="0"/>
              <w:rPr>
                <w:sz w:val="17"/>
                <w:szCs w:val="17"/>
                <w:color w:val="auto"/>
              </w:rPr>
            </w:pPr>
          </w:p>
        </w:tc>
      </w:tr>
      <w:tr>
        <w:trPr>
          <w:trHeight w:val="172"/>
        </w:trPr>
        <w:tc>
          <w:tcPr>
            <w:tcW w:w="8020" w:type="dxa"/>
            <w:vAlign w:val="bottom"/>
          </w:tcPr>
          <w:p>
            <w:pPr>
              <w:ind w:left="680"/>
              <w:spacing w:after="0"/>
              <w:rPr>
                <w:sz w:val="20"/>
                <w:szCs w:val="20"/>
                <w:color w:val="auto"/>
              </w:rPr>
            </w:pPr>
            <w:r>
              <w:rPr>
                <w:rFonts w:ascii="Arial" w:cs="Arial" w:eastAsia="Arial" w:hAnsi="Arial"/>
                <w:sz w:val="13"/>
                <w:szCs w:val="13"/>
                <w:color w:val="auto"/>
              </w:rPr>
              <w:t>Total current assets</w:t>
            </w:r>
          </w:p>
        </w:tc>
        <w:tc>
          <w:tcPr>
            <w:tcW w:w="600" w:type="dxa"/>
            <w:vAlign w:val="bottom"/>
            <w:tcBorders>
              <w:top w:val="single" w:sz="8" w:color="auto"/>
            </w:tcBorders>
          </w:tcPr>
          <w:p>
            <w:pPr>
              <w:spacing w:after="0"/>
              <w:rPr>
                <w:sz w:val="14"/>
                <w:szCs w:val="14"/>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191,451</w:t>
            </w:r>
          </w:p>
        </w:tc>
        <w:tc>
          <w:tcPr>
            <w:tcW w:w="80" w:type="dxa"/>
            <w:vAlign w:val="bottom"/>
          </w:tcPr>
          <w:p>
            <w:pPr>
              <w:spacing w:after="0"/>
              <w:rPr>
                <w:sz w:val="14"/>
                <w:szCs w:val="14"/>
                <w:color w:val="auto"/>
              </w:rPr>
            </w:pPr>
          </w:p>
        </w:tc>
        <w:tc>
          <w:tcPr>
            <w:tcW w:w="1100" w:type="dxa"/>
            <w:vAlign w:val="bottom"/>
            <w:tcBorders>
              <w:top w:val="single" w:sz="8" w:color="auto"/>
            </w:tcBorders>
          </w:tcPr>
          <w:p>
            <w:pPr>
              <w:spacing w:after="0"/>
              <w:rPr>
                <w:sz w:val="14"/>
                <w:szCs w:val="14"/>
                <w:color w:val="auto"/>
              </w:rPr>
            </w:pPr>
          </w:p>
        </w:tc>
      </w:tr>
      <w:tr>
        <w:trPr>
          <w:trHeight w:val="21"/>
        </w:trPr>
        <w:tc>
          <w:tcPr>
            <w:tcW w:w="80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r>
      <w:tr>
        <w:trPr>
          <w:trHeight w:val="181"/>
        </w:trPr>
        <w:tc>
          <w:tcPr>
            <w:tcW w:w="802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3"/>
                <w:szCs w:val="13"/>
                <w:color w:val="auto"/>
              </w:rPr>
              <w:t>Capitalized software, net</w:t>
            </w:r>
          </w:p>
        </w:tc>
        <w:tc>
          <w:tcPr>
            <w:tcW w:w="600" w:type="dxa"/>
            <w:vAlign w:val="bottom"/>
            <w:tcBorders>
              <w:bottom w:val="single" w:sz="8" w:color="CCEEFF"/>
            </w:tcBorders>
            <w:shd w:val="clear" w:color="auto" w:fill="CCEEFF"/>
          </w:tcPr>
          <w:p>
            <w:pPr>
              <w:spacing w:after="0"/>
              <w:rPr>
                <w:sz w:val="15"/>
                <w:szCs w:val="15"/>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6,006</w:t>
            </w:r>
          </w:p>
        </w:tc>
        <w:tc>
          <w:tcPr>
            <w:tcW w:w="80" w:type="dxa"/>
            <w:vAlign w:val="bottom"/>
            <w:tcBorders>
              <w:bottom w:val="single" w:sz="8" w:color="CCEEFF"/>
            </w:tcBorders>
            <w:shd w:val="clear" w:color="auto" w:fill="CCEEFF"/>
          </w:tcPr>
          <w:p>
            <w:pPr>
              <w:spacing w:after="0"/>
              <w:rPr>
                <w:sz w:val="15"/>
                <w:szCs w:val="15"/>
                <w:color w:val="auto"/>
              </w:rPr>
            </w:pPr>
          </w:p>
        </w:tc>
        <w:tc>
          <w:tcPr>
            <w:tcW w:w="1100" w:type="dxa"/>
            <w:vAlign w:val="bottom"/>
            <w:tcBorders>
              <w:bottom w:val="single" w:sz="8" w:color="CCEEFF"/>
            </w:tcBorders>
            <w:shd w:val="clear" w:color="auto" w:fill="CCEEFF"/>
          </w:tcPr>
          <w:p>
            <w:pPr>
              <w:spacing w:after="0"/>
              <w:rPr>
                <w:sz w:val="15"/>
                <w:szCs w:val="15"/>
                <w:color w:val="auto"/>
              </w:rPr>
            </w:pPr>
          </w:p>
        </w:tc>
      </w:tr>
      <w:tr>
        <w:trPr>
          <w:trHeight w:val="180"/>
        </w:trPr>
        <w:tc>
          <w:tcPr>
            <w:tcW w:w="8020" w:type="dxa"/>
            <w:vAlign w:val="bottom"/>
          </w:tcPr>
          <w:p>
            <w:pPr>
              <w:ind w:left="200"/>
              <w:spacing w:after="0"/>
              <w:rPr>
                <w:sz w:val="20"/>
                <w:szCs w:val="20"/>
                <w:color w:val="auto"/>
              </w:rPr>
            </w:pPr>
            <w:r>
              <w:rPr>
                <w:rFonts w:ascii="Arial" w:cs="Arial" w:eastAsia="Arial" w:hAnsi="Arial"/>
                <w:sz w:val="13"/>
                <w:szCs w:val="13"/>
                <w:color w:val="auto"/>
              </w:rPr>
              <w:t>Property and equipment, net</w:t>
            </w:r>
          </w:p>
        </w:tc>
        <w:tc>
          <w:tcPr>
            <w:tcW w:w="60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Arial" w:cs="Arial" w:eastAsia="Arial" w:hAnsi="Arial"/>
                <w:sz w:val="13"/>
                <w:szCs w:val="13"/>
                <w:color w:val="auto"/>
              </w:rPr>
              <w:t>15,174</w:t>
            </w:r>
          </w:p>
        </w:tc>
        <w:tc>
          <w:tcPr>
            <w:tcW w:w="80" w:type="dxa"/>
            <w:vAlign w:val="bottom"/>
          </w:tcPr>
          <w:p>
            <w:pPr>
              <w:spacing w:after="0"/>
              <w:rPr>
                <w:sz w:val="15"/>
                <w:szCs w:val="15"/>
                <w:color w:val="auto"/>
              </w:rPr>
            </w:pPr>
          </w:p>
        </w:tc>
        <w:tc>
          <w:tcPr>
            <w:tcW w:w="1100" w:type="dxa"/>
            <w:vAlign w:val="bottom"/>
          </w:tcPr>
          <w:p>
            <w:pPr>
              <w:spacing w:after="0"/>
              <w:rPr>
                <w:sz w:val="15"/>
                <w:szCs w:val="15"/>
                <w:color w:val="auto"/>
              </w:rPr>
            </w:pPr>
          </w:p>
        </w:tc>
      </w:tr>
      <w:tr>
        <w:trPr>
          <w:trHeight w:val="21"/>
        </w:trPr>
        <w:tc>
          <w:tcPr>
            <w:tcW w:w="80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r>
      <w:tr>
        <w:trPr>
          <w:trHeight w:val="181"/>
        </w:trPr>
        <w:tc>
          <w:tcPr>
            <w:tcW w:w="802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3"/>
                <w:szCs w:val="13"/>
                <w:color w:val="auto"/>
              </w:rPr>
              <w:t>Lease right-of-use assets</w:t>
            </w:r>
          </w:p>
        </w:tc>
        <w:tc>
          <w:tcPr>
            <w:tcW w:w="600" w:type="dxa"/>
            <w:vAlign w:val="bottom"/>
            <w:tcBorders>
              <w:bottom w:val="single" w:sz="8" w:color="CCEEFF"/>
            </w:tcBorders>
            <w:shd w:val="clear" w:color="auto" w:fill="CCEEFF"/>
          </w:tcPr>
          <w:p>
            <w:pPr>
              <w:spacing w:after="0"/>
              <w:rPr>
                <w:sz w:val="15"/>
                <w:szCs w:val="15"/>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1,472</w:t>
            </w:r>
          </w:p>
        </w:tc>
        <w:tc>
          <w:tcPr>
            <w:tcW w:w="80" w:type="dxa"/>
            <w:vAlign w:val="bottom"/>
            <w:tcBorders>
              <w:bottom w:val="single" w:sz="8" w:color="CCEEFF"/>
            </w:tcBorders>
            <w:shd w:val="clear" w:color="auto" w:fill="CCEEFF"/>
          </w:tcPr>
          <w:p>
            <w:pPr>
              <w:spacing w:after="0"/>
              <w:rPr>
                <w:sz w:val="15"/>
                <w:szCs w:val="15"/>
                <w:color w:val="auto"/>
              </w:rPr>
            </w:pPr>
          </w:p>
        </w:tc>
        <w:tc>
          <w:tcPr>
            <w:tcW w:w="1100" w:type="dxa"/>
            <w:vAlign w:val="bottom"/>
            <w:tcBorders>
              <w:bottom w:val="single" w:sz="8" w:color="CCEEFF"/>
            </w:tcBorders>
            <w:shd w:val="clear" w:color="auto" w:fill="CCEEFF"/>
          </w:tcPr>
          <w:p>
            <w:pPr>
              <w:spacing w:after="0"/>
              <w:rPr>
                <w:sz w:val="15"/>
                <w:szCs w:val="15"/>
                <w:color w:val="auto"/>
              </w:rPr>
            </w:pPr>
          </w:p>
        </w:tc>
      </w:tr>
      <w:tr>
        <w:trPr>
          <w:trHeight w:val="180"/>
        </w:trPr>
        <w:tc>
          <w:tcPr>
            <w:tcW w:w="8020" w:type="dxa"/>
            <w:vAlign w:val="bottom"/>
          </w:tcPr>
          <w:p>
            <w:pPr>
              <w:ind w:left="200"/>
              <w:spacing w:after="0"/>
              <w:rPr>
                <w:sz w:val="20"/>
                <w:szCs w:val="20"/>
                <w:color w:val="auto"/>
              </w:rPr>
            </w:pPr>
            <w:r>
              <w:rPr>
                <w:rFonts w:ascii="Arial" w:cs="Arial" w:eastAsia="Arial" w:hAnsi="Arial"/>
                <w:sz w:val="13"/>
                <w:szCs w:val="13"/>
                <w:color w:val="auto"/>
              </w:rPr>
              <w:t>Deferred tax assets, net</w:t>
            </w:r>
          </w:p>
        </w:tc>
        <w:tc>
          <w:tcPr>
            <w:tcW w:w="60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Arial" w:cs="Arial" w:eastAsia="Arial" w:hAnsi="Arial"/>
                <w:sz w:val="13"/>
                <w:szCs w:val="13"/>
                <w:color w:val="auto"/>
              </w:rPr>
              <w:t>689</w:t>
            </w:r>
          </w:p>
        </w:tc>
        <w:tc>
          <w:tcPr>
            <w:tcW w:w="80" w:type="dxa"/>
            <w:vAlign w:val="bottom"/>
          </w:tcPr>
          <w:p>
            <w:pPr>
              <w:spacing w:after="0"/>
              <w:rPr>
                <w:sz w:val="15"/>
                <w:szCs w:val="15"/>
                <w:color w:val="auto"/>
              </w:rPr>
            </w:pPr>
          </w:p>
        </w:tc>
        <w:tc>
          <w:tcPr>
            <w:tcW w:w="1100" w:type="dxa"/>
            <w:vAlign w:val="bottom"/>
          </w:tcPr>
          <w:p>
            <w:pPr>
              <w:spacing w:after="0"/>
              <w:rPr>
                <w:sz w:val="15"/>
                <w:szCs w:val="15"/>
                <w:color w:val="auto"/>
              </w:rPr>
            </w:pPr>
          </w:p>
        </w:tc>
      </w:tr>
      <w:tr>
        <w:trPr>
          <w:trHeight w:val="21"/>
        </w:trPr>
        <w:tc>
          <w:tcPr>
            <w:tcW w:w="80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r>
      <w:tr>
        <w:trPr>
          <w:trHeight w:val="201"/>
        </w:trPr>
        <w:tc>
          <w:tcPr>
            <w:tcW w:w="802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3"/>
                <w:szCs w:val="13"/>
                <w:color w:val="auto"/>
              </w:rPr>
              <w:t>Other assets</w:t>
            </w:r>
          </w:p>
        </w:tc>
        <w:tc>
          <w:tcPr>
            <w:tcW w:w="600" w:type="dxa"/>
            <w:vAlign w:val="bottom"/>
            <w:tcBorders>
              <w:bottom w:val="single" w:sz="8" w:color="CCEEFF"/>
            </w:tcBorders>
            <w:shd w:val="clear" w:color="auto" w:fill="CCEEFF"/>
          </w:tcPr>
          <w:p>
            <w:pPr>
              <w:spacing w:after="0"/>
              <w:rPr>
                <w:sz w:val="17"/>
                <w:szCs w:val="17"/>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580</w:t>
            </w:r>
          </w:p>
        </w:tc>
        <w:tc>
          <w:tcPr>
            <w:tcW w:w="80" w:type="dxa"/>
            <w:vAlign w:val="bottom"/>
            <w:tcBorders>
              <w:bottom w:val="single" w:sz="8" w:color="CCEEFF"/>
            </w:tcBorders>
            <w:shd w:val="clear" w:color="auto" w:fill="CCEEFF"/>
          </w:tcPr>
          <w:p>
            <w:pPr>
              <w:spacing w:after="0"/>
              <w:rPr>
                <w:sz w:val="17"/>
                <w:szCs w:val="17"/>
                <w:color w:val="auto"/>
              </w:rPr>
            </w:pPr>
          </w:p>
        </w:tc>
        <w:tc>
          <w:tcPr>
            <w:tcW w:w="1100" w:type="dxa"/>
            <w:vAlign w:val="bottom"/>
            <w:tcBorders>
              <w:bottom w:val="single" w:sz="8" w:color="CCEEFF"/>
            </w:tcBorders>
            <w:shd w:val="clear" w:color="auto" w:fill="CCEEFF"/>
          </w:tcPr>
          <w:p>
            <w:pPr>
              <w:spacing w:after="0"/>
              <w:rPr>
                <w:sz w:val="17"/>
                <w:szCs w:val="17"/>
                <w:color w:val="auto"/>
              </w:rPr>
            </w:pPr>
          </w:p>
        </w:tc>
      </w:tr>
      <w:tr>
        <w:trPr>
          <w:trHeight w:val="193"/>
        </w:trPr>
        <w:tc>
          <w:tcPr>
            <w:tcW w:w="8020" w:type="dxa"/>
            <w:vAlign w:val="bottom"/>
          </w:tcPr>
          <w:p>
            <w:pPr>
              <w:ind w:left="680"/>
              <w:spacing w:after="0"/>
              <w:rPr>
                <w:sz w:val="20"/>
                <w:szCs w:val="20"/>
                <w:color w:val="auto"/>
              </w:rPr>
            </w:pPr>
            <w:r>
              <w:rPr>
                <w:rFonts w:ascii="Arial" w:cs="Arial" w:eastAsia="Arial" w:hAnsi="Arial"/>
                <w:sz w:val="13"/>
                <w:szCs w:val="13"/>
                <w:color w:val="auto"/>
              </w:rPr>
              <w:t>Total assets</w:t>
            </w:r>
          </w:p>
        </w:tc>
        <w:tc>
          <w:tcPr>
            <w:tcW w:w="600" w:type="dxa"/>
            <w:vAlign w:val="bottom"/>
            <w:tcBorders>
              <w:top w:val="single" w:sz="8" w:color="auto"/>
              <w:bottom w:val="single" w:sz="8" w:color="auto"/>
            </w:tcBorders>
          </w:tcPr>
          <w:p>
            <w:pPr>
              <w:jc w:val="right"/>
              <w:ind w:right="457"/>
              <w:spacing w:after="0"/>
              <w:rPr>
                <w:sz w:val="20"/>
                <w:szCs w:val="20"/>
                <w:color w:val="auto"/>
              </w:rPr>
            </w:pPr>
            <w:r>
              <w:rPr>
                <w:rFonts w:ascii="Arial" w:cs="Arial" w:eastAsia="Arial" w:hAnsi="Arial"/>
                <w:sz w:val="13"/>
                <w:szCs w:val="13"/>
                <w:color w:val="auto"/>
                <w:w w:val="82"/>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215,372</w:t>
            </w:r>
          </w:p>
        </w:tc>
        <w:tc>
          <w:tcPr>
            <w:tcW w:w="80" w:type="dxa"/>
            <w:vAlign w:val="bottom"/>
          </w:tcPr>
          <w:p>
            <w:pPr>
              <w:spacing w:after="0"/>
              <w:rPr>
                <w:sz w:val="16"/>
                <w:szCs w:val="16"/>
                <w:color w:val="auto"/>
              </w:rPr>
            </w:pPr>
          </w:p>
        </w:tc>
        <w:tc>
          <w:tcPr>
            <w:tcW w:w="1100" w:type="dxa"/>
            <w:vAlign w:val="bottom"/>
            <w:tcBorders>
              <w:top w:val="single" w:sz="8" w:color="auto"/>
              <w:bottom w:val="single" w:sz="8" w:color="auto"/>
            </w:tcBorders>
          </w:tcPr>
          <w:p>
            <w:pPr>
              <w:jc w:val="right"/>
              <w:ind w:right="957"/>
              <w:spacing w:after="0"/>
              <w:rPr>
                <w:sz w:val="20"/>
                <w:szCs w:val="20"/>
                <w:color w:val="auto"/>
              </w:rPr>
            </w:pPr>
            <w:r>
              <w:rPr>
                <w:rFonts w:ascii="Arial" w:cs="Arial" w:eastAsia="Arial" w:hAnsi="Arial"/>
                <w:sz w:val="13"/>
                <w:szCs w:val="13"/>
                <w:color w:val="auto"/>
                <w:w w:val="82"/>
              </w:rPr>
              <w:t>$</w:t>
            </w:r>
          </w:p>
        </w:tc>
      </w:tr>
      <w:tr>
        <w:trPr>
          <w:trHeight w:val="20"/>
        </w:trPr>
        <w:tc>
          <w:tcPr>
            <w:tcW w:w="8020" w:type="dxa"/>
            <w:vAlign w:val="bottom"/>
            <w:tcBorders>
              <w:bottom w:val="single" w:sz="8" w:color="CCEEFF"/>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r>
        <w:trPr>
          <w:trHeight w:val="145"/>
        </w:trPr>
        <w:tc>
          <w:tcPr>
            <w:tcW w:w="8020" w:type="dxa"/>
            <w:vAlign w:val="bottom"/>
            <w:tcBorders>
              <w:bottom w:val="single" w:sz="8" w:color="CCEEFF"/>
            </w:tcBorders>
            <w:shd w:val="clear" w:color="auto" w:fill="CCEEFF"/>
          </w:tcPr>
          <w:p>
            <w:pPr>
              <w:ind w:left="20"/>
              <w:spacing w:after="0" w:line="144" w:lineRule="exact"/>
              <w:rPr>
                <w:sz w:val="20"/>
                <w:szCs w:val="20"/>
                <w:color w:val="auto"/>
              </w:rPr>
            </w:pPr>
            <w:r>
              <w:rPr>
                <w:rFonts w:ascii="Arial" w:cs="Arial" w:eastAsia="Arial" w:hAnsi="Arial"/>
                <w:sz w:val="13"/>
                <w:szCs w:val="13"/>
                <w:b w:val="1"/>
                <w:bCs w:val="1"/>
                <w:color w:val="auto"/>
              </w:rPr>
              <w:t>Liabilities and stockholders' equity</w:t>
            </w:r>
          </w:p>
        </w:tc>
        <w:tc>
          <w:tcPr>
            <w:tcW w:w="600" w:type="dxa"/>
            <w:vAlign w:val="bottom"/>
            <w:tcBorders>
              <w:bottom w:val="single" w:sz="8" w:color="CCEEFF"/>
            </w:tcBorders>
            <w:shd w:val="clear" w:color="auto" w:fill="CCEEFF"/>
          </w:tcPr>
          <w:p>
            <w:pPr>
              <w:spacing w:after="0"/>
              <w:rPr>
                <w:sz w:val="12"/>
                <w:szCs w:val="12"/>
                <w:color w:val="auto"/>
              </w:rPr>
            </w:pPr>
          </w:p>
        </w:tc>
        <w:tc>
          <w:tcPr>
            <w:tcW w:w="98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1100" w:type="dxa"/>
            <w:vAlign w:val="bottom"/>
            <w:tcBorders>
              <w:bottom w:val="single" w:sz="8" w:color="CCEEFF"/>
            </w:tcBorders>
            <w:shd w:val="clear" w:color="auto" w:fill="CCEEFF"/>
          </w:tcPr>
          <w:p>
            <w:pPr>
              <w:spacing w:after="0"/>
              <w:rPr>
                <w:sz w:val="12"/>
                <w:szCs w:val="12"/>
                <w:color w:val="auto"/>
              </w:rPr>
            </w:pPr>
          </w:p>
        </w:tc>
      </w:tr>
      <w:tr>
        <w:trPr>
          <w:trHeight w:val="180"/>
        </w:trPr>
        <w:tc>
          <w:tcPr>
            <w:tcW w:w="8020" w:type="dxa"/>
            <w:vAlign w:val="bottom"/>
          </w:tcPr>
          <w:p>
            <w:pPr>
              <w:ind w:left="200"/>
              <w:spacing w:after="0"/>
              <w:rPr>
                <w:sz w:val="20"/>
                <w:szCs w:val="20"/>
                <w:color w:val="auto"/>
              </w:rPr>
            </w:pPr>
            <w:r>
              <w:rPr>
                <w:rFonts w:ascii="Arial" w:cs="Arial" w:eastAsia="Arial" w:hAnsi="Arial"/>
                <w:sz w:val="13"/>
                <w:szCs w:val="13"/>
                <w:color w:val="auto"/>
              </w:rPr>
              <w:t>Accounts payable</w:t>
            </w:r>
          </w:p>
        </w:tc>
        <w:tc>
          <w:tcPr>
            <w:tcW w:w="600" w:type="dxa"/>
            <w:vAlign w:val="bottom"/>
          </w:tcPr>
          <w:p>
            <w:pPr>
              <w:jc w:val="right"/>
              <w:ind w:right="457"/>
              <w:spacing w:after="0"/>
              <w:rPr>
                <w:sz w:val="20"/>
                <w:szCs w:val="20"/>
                <w:color w:val="auto"/>
              </w:rPr>
            </w:pPr>
            <w:r>
              <w:rPr>
                <w:rFonts w:ascii="Arial" w:cs="Arial" w:eastAsia="Arial" w:hAnsi="Arial"/>
                <w:sz w:val="13"/>
                <w:szCs w:val="13"/>
                <w:color w:val="auto"/>
                <w:w w:val="82"/>
              </w:rPr>
              <w:t>$</w:t>
            </w:r>
          </w:p>
        </w:tc>
        <w:tc>
          <w:tcPr>
            <w:tcW w:w="980" w:type="dxa"/>
            <w:vAlign w:val="bottom"/>
          </w:tcPr>
          <w:p>
            <w:pPr>
              <w:jc w:val="right"/>
              <w:spacing w:after="0"/>
              <w:rPr>
                <w:sz w:val="20"/>
                <w:szCs w:val="20"/>
                <w:color w:val="auto"/>
              </w:rPr>
            </w:pPr>
            <w:r>
              <w:rPr>
                <w:rFonts w:ascii="Arial" w:cs="Arial" w:eastAsia="Arial" w:hAnsi="Arial"/>
                <w:sz w:val="13"/>
                <w:szCs w:val="13"/>
                <w:color w:val="auto"/>
              </w:rPr>
              <w:t>2,169</w:t>
            </w:r>
          </w:p>
        </w:tc>
        <w:tc>
          <w:tcPr>
            <w:tcW w:w="80" w:type="dxa"/>
            <w:vAlign w:val="bottom"/>
          </w:tcPr>
          <w:p>
            <w:pPr>
              <w:spacing w:after="0"/>
              <w:rPr>
                <w:sz w:val="15"/>
                <w:szCs w:val="15"/>
                <w:color w:val="auto"/>
              </w:rPr>
            </w:pPr>
          </w:p>
        </w:tc>
        <w:tc>
          <w:tcPr>
            <w:tcW w:w="1100" w:type="dxa"/>
            <w:vAlign w:val="bottom"/>
          </w:tcPr>
          <w:p>
            <w:pPr>
              <w:jc w:val="right"/>
              <w:ind w:right="957"/>
              <w:spacing w:after="0"/>
              <w:rPr>
                <w:sz w:val="20"/>
                <w:szCs w:val="20"/>
                <w:color w:val="auto"/>
              </w:rPr>
            </w:pPr>
            <w:r>
              <w:rPr>
                <w:rFonts w:ascii="Arial" w:cs="Arial" w:eastAsia="Arial" w:hAnsi="Arial"/>
                <w:sz w:val="13"/>
                <w:szCs w:val="13"/>
                <w:color w:val="auto"/>
                <w:w w:val="82"/>
              </w:rPr>
              <w:t>$</w:t>
            </w:r>
          </w:p>
        </w:tc>
      </w:tr>
      <w:tr>
        <w:trPr>
          <w:trHeight w:val="21"/>
        </w:trPr>
        <w:tc>
          <w:tcPr>
            <w:tcW w:w="80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r>
      <w:tr>
        <w:trPr>
          <w:trHeight w:val="181"/>
        </w:trPr>
        <w:tc>
          <w:tcPr>
            <w:tcW w:w="802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3"/>
                <w:szCs w:val="13"/>
                <w:color w:val="auto"/>
              </w:rPr>
              <w:t>Accrued expenses and other liabilities</w:t>
            </w:r>
          </w:p>
        </w:tc>
        <w:tc>
          <w:tcPr>
            <w:tcW w:w="600" w:type="dxa"/>
            <w:vAlign w:val="bottom"/>
            <w:tcBorders>
              <w:bottom w:val="single" w:sz="8" w:color="CCEEFF"/>
            </w:tcBorders>
            <w:shd w:val="clear" w:color="auto" w:fill="CCEEFF"/>
          </w:tcPr>
          <w:p>
            <w:pPr>
              <w:spacing w:after="0"/>
              <w:rPr>
                <w:sz w:val="15"/>
                <w:szCs w:val="15"/>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8,967</w:t>
            </w:r>
          </w:p>
        </w:tc>
        <w:tc>
          <w:tcPr>
            <w:tcW w:w="80" w:type="dxa"/>
            <w:vAlign w:val="bottom"/>
            <w:tcBorders>
              <w:bottom w:val="single" w:sz="8" w:color="CCEEFF"/>
            </w:tcBorders>
            <w:shd w:val="clear" w:color="auto" w:fill="CCEEFF"/>
          </w:tcPr>
          <w:p>
            <w:pPr>
              <w:spacing w:after="0"/>
              <w:rPr>
                <w:sz w:val="15"/>
                <w:szCs w:val="15"/>
                <w:color w:val="auto"/>
              </w:rPr>
            </w:pPr>
          </w:p>
        </w:tc>
        <w:tc>
          <w:tcPr>
            <w:tcW w:w="1100" w:type="dxa"/>
            <w:vAlign w:val="bottom"/>
            <w:tcBorders>
              <w:bottom w:val="single" w:sz="8" w:color="CCEEFF"/>
            </w:tcBorders>
            <w:shd w:val="clear" w:color="auto" w:fill="CCEEFF"/>
          </w:tcPr>
          <w:p>
            <w:pPr>
              <w:spacing w:after="0"/>
              <w:rPr>
                <w:sz w:val="15"/>
                <w:szCs w:val="15"/>
                <w:color w:val="auto"/>
              </w:rPr>
            </w:pPr>
          </w:p>
        </w:tc>
      </w:tr>
      <w:tr>
        <w:trPr>
          <w:trHeight w:val="180"/>
        </w:trPr>
        <w:tc>
          <w:tcPr>
            <w:tcW w:w="8020" w:type="dxa"/>
            <w:vAlign w:val="bottom"/>
          </w:tcPr>
          <w:p>
            <w:pPr>
              <w:ind w:left="200"/>
              <w:spacing w:after="0"/>
              <w:rPr>
                <w:sz w:val="20"/>
                <w:szCs w:val="20"/>
                <w:color w:val="auto"/>
              </w:rPr>
            </w:pPr>
            <w:r>
              <w:rPr>
                <w:rFonts w:ascii="Arial" w:cs="Arial" w:eastAsia="Arial" w:hAnsi="Arial"/>
                <w:sz w:val="13"/>
                <w:szCs w:val="13"/>
                <w:color w:val="auto"/>
              </w:rPr>
              <w:t>Borrowings under line of credit</w:t>
            </w:r>
          </w:p>
        </w:tc>
        <w:tc>
          <w:tcPr>
            <w:tcW w:w="60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Arial" w:cs="Arial" w:eastAsia="Arial" w:hAnsi="Arial"/>
                <w:sz w:val="13"/>
                <w:szCs w:val="13"/>
                <w:color w:val="auto"/>
              </w:rPr>
              <w:t>15,000</w:t>
            </w:r>
          </w:p>
        </w:tc>
        <w:tc>
          <w:tcPr>
            <w:tcW w:w="80" w:type="dxa"/>
            <w:vAlign w:val="bottom"/>
          </w:tcPr>
          <w:p>
            <w:pPr>
              <w:spacing w:after="0"/>
              <w:rPr>
                <w:sz w:val="15"/>
                <w:szCs w:val="15"/>
                <w:color w:val="auto"/>
              </w:rPr>
            </w:pPr>
          </w:p>
        </w:tc>
        <w:tc>
          <w:tcPr>
            <w:tcW w:w="1100" w:type="dxa"/>
            <w:vAlign w:val="bottom"/>
          </w:tcPr>
          <w:p>
            <w:pPr>
              <w:spacing w:after="0"/>
              <w:rPr>
                <w:sz w:val="15"/>
                <w:szCs w:val="15"/>
                <w:color w:val="auto"/>
              </w:rPr>
            </w:pPr>
          </w:p>
        </w:tc>
      </w:tr>
      <w:tr>
        <w:trPr>
          <w:trHeight w:val="21"/>
        </w:trPr>
        <w:tc>
          <w:tcPr>
            <w:tcW w:w="80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r>
      <w:tr>
        <w:trPr>
          <w:trHeight w:val="181"/>
        </w:trPr>
        <w:tc>
          <w:tcPr>
            <w:tcW w:w="802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3"/>
                <w:szCs w:val="13"/>
                <w:color w:val="auto"/>
              </w:rPr>
              <w:t>Current portion of long-term debt, net of original issuance discount and debt issuance costs</w:t>
            </w:r>
          </w:p>
        </w:tc>
        <w:tc>
          <w:tcPr>
            <w:tcW w:w="600" w:type="dxa"/>
            <w:vAlign w:val="bottom"/>
            <w:tcBorders>
              <w:bottom w:val="single" w:sz="8" w:color="CCEEFF"/>
            </w:tcBorders>
            <w:shd w:val="clear" w:color="auto" w:fill="CCEEFF"/>
          </w:tcPr>
          <w:p>
            <w:pPr>
              <w:spacing w:after="0"/>
              <w:rPr>
                <w:sz w:val="15"/>
                <w:szCs w:val="15"/>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548</w:t>
            </w:r>
          </w:p>
        </w:tc>
        <w:tc>
          <w:tcPr>
            <w:tcW w:w="80" w:type="dxa"/>
            <w:vAlign w:val="bottom"/>
            <w:tcBorders>
              <w:bottom w:val="single" w:sz="8" w:color="CCEEFF"/>
            </w:tcBorders>
            <w:shd w:val="clear" w:color="auto" w:fill="CCEEFF"/>
          </w:tcPr>
          <w:p>
            <w:pPr>
              <w:spacing w:after="0"/>
              <w:rPr>
                <w:sz w:val="15"/>
                <w:szCs w:val="15"/>
                <w:color w:val="auto"/>
              </w:rPr>
            </w:pPr>
          </w:p>
        </w:tc>
        <w:tc>
          <w:tcPr>
            <w:tcW w:w="1100" w:type="dxa"/>
            <w:vAlign w:val="bottom"/>
            <w:tcBorders>
              <w:bottom w:val="single" w:sz="8" w:color="CCEEFF"/>
            </w:tcBorders>
            <w:shd w:val="clear" w:color="auto" w:fill="CCEEFF"/>
          </w:tcPr>
          <w:p>
            <w:pPr>
              <w:spacing w:after="0"/>
              <w:rPr>
                <w:sz w:val="15"/>
                <w:szCs w:val="15"/>
                <w:color w:val="auto"/>
              </w:rPr>
            </w:pPr>
          </w:p>
        </w:tc>
      </w:tr>
      <w:tr>
        <w:trPr>
          <w:trHeight w:val="180"/>
        </w:trPr>
        <w:tc>
          <w:tcPr>
            <w:tcW w:w="8020" w:type="dxa"/>
            <w:vAlign w:val="bottom"/>
          </w:tcPr>
          <w:p>
            <w:pPr>
              <w:ind w:left="200"/>
              <w:spacing w:after="0"/>
              <w:rPr>
                <w:sz w:val="20"/>
                <w:szCs w:val="20"/>
                <w:color w:val="auto"/>
              </w:rPr>
            </w:pPr>
            <w:r>
              <w:rPr>
                <w:rFonts w:ascii="Arial" w:cs="Arial" w:eastAsia="Arial" w:hAnsi="Arial"/>
                <w:sz w:val="13"/>
                <w:szCs w:val="13"/>
                <w:color w:val="auto"/>
              </w:rPr>
              <w:t>Lease liabilities, current</w:t>
            </w:r>
          </w:p>
        </w:tc>
        <w:tc>
          <w:tcPr>
            <w:tcW w:w="60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Arial" w:cs="Arial" w:eastAsia="Arial" w:hAnsi="Arial"/>
                <w:sz w:val="13"/>
                <w:szCs w:val="13"/>
                <w:color w:val="auto"/>
              </w:rPr>
              <w:t>1,508</w:t>
            </w:r>
          </w:p>
        </w:tc>
        <w:tc>
          <w:tcPr>
            <w:tcW w:w="80" w:type="dxa"/>
            <w:vAlign w:val="bottom"/>
          </w:tcPr>
          <w:p>
            <w:pPr>
              <w:spacing w:after="0"/>
              <w:rPr>
                <w:sz w:val="15"/>
                <w:szCs w:val="15"/>
                <w:color w:val="auto"/>
              </w:rPr>
            </w:pPr>
          </w:p>
        </w:tc>
        <w:tc>
          <w:tcPr>
            <w:tcW w:w="1100" w:type="dxa"/>
            <w:vAlign w:val="bottom"/>
          </w:tcPr>
          <w:p>
            <w:pPr>
              <w:spacing w:after="0"/>
              <w:rPr>
                <w:sz w:val="15"/>
                <w:szCs w:val="15"/>
                <w:color w:val="auto"/>
              </w:rPr>
            </w:pPr>
          </w:p>
        </w:tc>
      </w:tr>
      <w:tr>
        <w:trPr>
          <w:trHeight w:val="21"/>
        </w:trPr>
        <w:tc>
          <w:tcPr>
            <w:tcW w:w="80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r>
      <w:tr>
        <w:trPr>
          <w:trHeight w:val="201"/>
        </w:trPr>
        <w:tc>
          <w:tcPr>
            <w:tcW w:w="802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3"/>
                <w:szCs w:val="13"/>
                <w:color w:val="auto"/>
              </w:rPr>
              <w:t>Settlement liabilities</w:t>
            </w:r>
          </w:p>
        </w:tc>
        <w:tc>
          <w:tcPr>
            <w:tcW w:w="600" w:type="dxa"/>
            <w:vAlign w:val="bottom"/>
            <w:tcBorders>
              <w:bottom w:val="single" w:sz="8" w:color="CCEEFF"/>
            </w:tcBorders>
            <w:shd w:val="clear" w:color="auto" w:fill="CCEEFF"/>
          </w:tcPr>
          <w:p>
            <w:pPr>
              <w:spacing w:after="0"/>
              <w:rPr>
                <w:sz w:val="17"/>
                <w:szCs w:val="17"/>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41,590</w:t>
            </w:r>
          </w:p>
        </w:tc>
        <w:tc>
          <w:tcPr>
            <w:tcW w:w="80" w:type="dxa"/>
            <w:vAlign w:val="bottom"/>
            <w:tcBorders>
              <w:bottom w:val="single" w:sz="8" w:color="CCEEFF"/>
            </w:tcBorders>
            <w:shd w:val="clear" w:color="auto" w:fill="CCEEFF"/>
          </w:tcPr>
          <w:p>
            <w:pPr>
              <w:spacing w:after="0"/>
              <w:rPr>
                <w:sz w:val="17"/>
                <w:szCs w:val="17"/>
                <w:color w:val="auto"/>
              </w:rPr>
            </w:pPr>
          </w:p>
        </w:tc>
        <w:tc>
          <w:tcPr>
            <w:tcW w:w="1100" w:type="dxa"/>
            <w:vAlign w:val="bottom"/>
            <w:tcBorders>
              <w:bottom w:val="single" w:sz="8" w:color="CCEEFF"/>
            </w:tcBorders>
            <w:shd w:val="clear" w:color="auto" w:fill="CCEEFF"/>
          </w:tcPr>
          <w:p>
            <w:pPr>
              <w:spacing w:after="0"/>
              <w:rPr>
                <w:sz w:val="17"/>
                <w:szCs w:val="17"/>
                <w:color w:val="auto"/>
              </w:rPr>
            </w:pPr>
          </w:p>
        </w:tc>
      </w:tr>
      <w:tr>
        <w:trPr>
          <w:trHeight w:val="172"/>
        </w:trPr>
        <w:tc>
          <w:tcPr>
            <w:tcW w:w="8020" w:type="dxa"/>
            <w:vAlign w:val="bottom"/>
          </w:tcPr>
          <w:p>
            <w:pPr>
              <w:ind w:left="680"/>
              <w:spacing w:after="0"/>
              <w:rPr>
                <w:sz w:val="20"/>
                <w:szCs w:val="20"/>
                <w:color w:val="auto"/>
              </w:rPr>
            </w:pPr>
            <w:r>
              <w:rPr>
                <w:rFonts w:ascii="Arial" w:cs="Arial" w:eastAsia="Arial" w:hAnsi="Arial"/>
                <w:sz w:val="13"/>
                <w:szCs w:val="13"/>
                <w:color w:val="auto"/>
              </w:rPr>
              <w:t>Total current liabilities</w:t>
            </w:r>
          </w:p>
        </w:tc>
        <w:tc>
          <w:tcPr>
            <w:tcW w:w="600" w:type="dxa"/>
            <w:vAlign w:val="bottom"/>
            <w:tcBorders>
              <w:top w:val="single" w:sz="8" w:color="auto"/>
            </w:tcBorders>
          </w:tcPr>
          <w:p>
            <w:pPr>
              <w:spacing w:after="0"/>
              <w:rPr>
                <w:sz w:val="14"/>
                <w:szCs w:val="14"/>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69,782</w:t>
            </w:r>
          </w:p>
        </w:tc>
        <w:tc>
          <w:tcPr>
            <w:tcW w:w="80" w:type="dxa"/>
            <w:vAlign w:val="bottom"/>
          </w:tcPr>
          <w:p>
            <w:pPr>
              <w:spacing w:after="0"/>
              <w:rPr>
                <w:sz w:val="14"/>
                <w:szCs w:val="14"/>
                <w:color w:val="auto"/>
              </w:rPr>
            </w:pPr>
          </w:p>
        </w:tc>
        <w:tc>
          <w:tcPr>
            <w:tcW w:w="1100" w:type="dxa"/>
            <w:vAlign w:val="bottom"/>
            <w:tcBorders>
              <w:top w:val="single" w:sz="8" w:color="auto"/>
            </w:tcBorders>
          </w:tcPr>
          <w:p>
            <w:pPr>
              <w:spacing w:after="0"/>
              <w:rPr>
                <w:sz w:val="14"/>
                <w:szCs w:val="14"/>
                <w:color w:val="auto"/>
              </w:rPr>
            </w:pPr>
          </w:p>
        </w:tc>
      </w:tr>
      <w:tr>
        <w:trPr>
          <w:trHeight w:val="21"/>
        </w:trPr>
        <w:tc>
          <w:tcPr>
            <w:tcW w:w="80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r>
      <w:tr>
        <w:trPr>
          <w:trHeight w:val="181"/>
        </w:trPr>
        <w:tc>
          <w:tcPr>
            <w:tcW w:w="802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3"/>
                <w:szCs w:val="13"/>
                <w:color w:val="auto"/>
              </w:rPr>
              <w:t>Lease liabilities, non-current</w:t>
            </w:r>
          </w:p>
        </w:tc>
        <w:tc>
          <w:tcPr>
            <w:tcW w:w="600" w:type="dxa"/>
            <w:vAlign w:val="bottom"/>
            <w:tcBorders>
              <w:bottom w:val="single" w:sz="8" w:color="CCEEFF"/>
            </w:tcBorders>
            <w:shd w:val="clear" w:color="auto" w:fill="CCEEFF"/>
          </w:tcPr>
          <w:p>
            <w:pPr>
              <w:spacing w:after="0"/>
              <w:rPr>
                <w:sz w:val="15"/>
                <w:szCs w:val="15"/>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68</w:t>
            </w:r>
          </w:p>
        </w:tc>
        <w:tc>
          <w:tcPr>
            <w:tcW w:w="80" w:type="dxa"/>
            <w:vAlign w:val="bottom"/>
            <w:tcBorders>
              <w:bottom w:val="single" w:sz="8" w:color="CCEEFF"/>
            </w:tcBorders>
            <w:shd w:val="clear" w:color="auto" w:fill="CCEEFF"/>
          </w:tcPr>
          <w:p>
            <w:pPr>
              <w:spacing w:after="0"/>
              <w:rPr>
                <w:sz w:val="15"/>
                <w:szCs w:val="15"/>
                <w:color w:val="auto"/>
              </w:rPr>
            </w:pPr>
          </w:p>
        </w:tc>
        <w:tc>
          <w:tcPr>
            <w:tcW w:w="1100" w:type="dxa"/>
            <w:vAlign w:val="bottom"/>
            <w:tcBorders>
              <w:bottom w:val="single" w:sz="8" w:color="CCEEFF"/>
            </w:tcBorders>
            <w:shd w:val="clear" w:color="auto" w:fill="CCEEFF"/>
          </w:tcPr>
          <w:p>
            <w:pPr>
              <w:spacing w:after="0"/>
              <w:rPr>
                <w:sz w:val="15"/>
                <w:szCs w:val="15"/>
                <w:color w:val="auto"/>
              </w:rPr>
            </w:pPr>
          </w:p>
        </w:tc>
      </w:tr>
      <w:tr>
        <w:trPr>
          <w:trHeight w:val="180"/>
        </w:trPr>
        <w:tc>
          <w:tcPr>
            <w:tcW w:w="8020" w:type="dxa"/>
            <w:vAlign w:val="bottom"/>
          </w:tcPr>
          <w:p>
            <w:pPr>
              <w:ind w:left="200"/>
              <w:spacing w:after="0"/>
              <w:rPr>
                <w:sz w:val="20"/>
                <w:szCs w:val="20"/>
                <w:color w:val="auto"/>
              </w:rPr>
            </w:pPr>
            <w:r>
              <w:rPr>
                <w:rFonts w:ascii="Arial" w:cs="Arial" w:eastAsia="Arial" w:hAnsi="Arial"/>
                <w:sz w:val="13"/>
                <w:szCs w:val="13"/>
                <w:color w:val="auto"/>
              </w:rPr>
              <w:t>Other liabilities</w:t>
            </w:r>
          </w:p>
        </w:tc>
        <w:tc>
          <w:tcPr>
            <w:tcW w:w="60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Arial" w:cs="Arial" w:eastAsia="Arial" w:hAnsi="Arial"/>
                <w:sz w:val="13"/>
                <w:szCs w:val="13"/>
                <w:color w:val="auto"/>
              </w:rPr>
              <w:t>1,121</w:t>
            </w:r>
          </w:p>
        </w:tc>
        <w:tc>
          <w:tcPr>
            <w:tcW w:w="80" w:type="dxa"/>
            <w:vAlign w:val="bottom"/>
          </w:tcPr>
          <w:p>
            <w:pPr>
              <w:spacing w:after="0"/>
              <w:rPr>
                <w:sz w:val="15"/>
                <w:szCs w:val="15"/>
                <w:color w:val="auto"/>
              </w:rPr>
            </w:pPr>
          </w:p>
        </w:tc>
        <w:tc>
          <w:tcPr>
            <w:tcW w:w="1100" w:type="dxa"/>
            <w:vAlign w:val="bottom"/>
          </w:tcPr>
          <w:p>
            <w:pPr>
              <w:spacing w:after="0"/>
              <w:rPr>
                <w:sz w:val="15"/>
                <w:szCs w:val="15"/>
                <w:color w:val="auto"/>
              </w:rPr>
            </w:pPr>
          </w:p>
        </w:tc>
      </w:tr>
      <w:tr>
        <w:trPr>
          <w:trHeight w:val="21"/>
        </w:trPr>
        <w:tc>
          <w:tcPr>
            <w:tcW w:w="80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r>
      <w:tr>
        <w:trPr>
          <w:trHeight w:val="201"/>
        </w:trPr>
        <w:tc>
          <w:tcPr>
            <w:tcW w:w="802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3"/>
                <w:szCs w:val="13"/>
                <w:color w:val="auto"/>
              </w:rPr>
              <w:t>Long-term debt, net of original issuance discount and debt issuance costs</w:t>
            </w:r>
          </w:p>
        </w:tc>
        <w:tc>
          <w:tcPr>
            <w:tcW w:w="600" w:type="dxa"/>
            <w:vAlign w:val="bottom"/>
            <w:tcBorders>
              <w:bottom w:val="single" w:sz="8" w:color="CCEEFF"/>
            </w:tcBorders>
            <w:shd w:val="clear" w:color="auto" w:fill="CCEEFF"/>
          </w:tcPr>
          <w:p>
            <w:pPr>
              <w:spacing w:after="0"/>
              <w:rPr>
                <w:sz w:val="17"/>
                <w:szCs w:val="17"/>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51,710</w:t>
            </w:r>
          </w:p>
        </w:tc>
        <w:tc>
          <w:tcPr>
            <w:tcW w:w="80" w:type="dxa"/>
            <w:vAlign w:val="bottom"/>
            <w:tcBorders>
              <w:bottom w:val="single" w:sz="8" w:color="CCEEFF"/>
            </w:tcBorders>
            <w:shd w:val="clear" w:color="auto" w:fill="CCEEFF"/>
          </w:tcPr>
          <w:p>
            <w:pPr>
              <w:spacing w:after="0"/>
              <w:rPr>
                <w:sz w:val="17"/>
                <w:szCs w:val="17"/>
                <w:color w:val="auto"/>
              </w:rPr>
            </w:pPr>
          </w:p>
        </w:tc>
        <w:tc>
          <w:tcPr>
            <w:tcW w:w="1100" w:type="dxa"/>
            <w:vAlign w:val="bottom"/>
            <w:tcBorders>
              <w:bottom w:val="single" w:sz="8" w:color="CCEEFF"/>
            </w:tcBorders>
            <w:shd w:val="clear" w:color="auto" w:fill="CCEEFF"/>
          </w:tcPr>
          <w:p>
            <w:pPr>
              <w:spacing w:after="0"/>
              <w:rPr>
                <w:sz w:val="17"/>
                <w:szCs w:val="17"/>
                <w:color w:val="auto"/>
              </w:rPr>
            </w:pPr>
          </w:p>
        </w:tc>
      </w:tr>
      <w:tr>
        <w:trPr>
          <w:trHeight w:val="172"/>
        </w:trPr>
        <w:tc>
          <w:tcPr>
            <w:tcW w:w="8020" w:type="dxa"/>
            <w:vAlign w:val="bottom"/>
          </w:tcPr>
          <w:p>
            <w:pPr>
              <w:ind w:left="680"/>
              <w:spacing w:after="0"/>
              <w:rPr>
                <w:sz w:val="20"/>
                <w:szCs w:val="20"/>
                <w:color w:val="auto"/>
              </w:rPr>
            </w:pPr>
            <w:r>
              <w:rPr>
                <w:rFonts w:ascii="Arial" w:cs="Arial" w:eastAsia="Arial" w:hAnsi="Arial"/>
                <w:sz w:val="13"/>
                <w:szCs w:val="13"/>
                <w:color w:val="auto"/>
              </w:rPr>
              <w:t>Total liabilities</w:t>
            </w:r>
          </w:p>
        </w:tc>
        <w:tc>
          <w:tcPr>
            <w:tcW w:w="600" w:type="dxa"/>
            <w:vAlign w:val="bottom"/>
            <w:tcBorders>
              <w:top w:val="single" w:sz="8" w:color="auto"/>
            </w:tcBorders>
          </w:tcPr>
          <w:p>
            <w:pPr>
              <w:spacing w:after="0"/>
              <w:rPr>
                <w:sz w:val="14"/>
                <w:szCs w:val="14"/>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122,681</w:t>
            </w:r>
          </w:p>
        </w:tc>
        <w:tc>
          <w:tcPr>
            <w:tcW w:w="80" w:type="dxa"/>
            <w:vAlign w:val="bottom"/>
          </w:tcPr>
          <w:p>
            <w:pPr>
              <w:spacing w:after="0"/>
              <w:rPr>
                <w:sz w:val="14"/>
                <w:szCs w:val="14"/>
                <w:color w:val="auto"/>
              </w:rPr>
            </w:pPr>
          </w:p>
        </w:tc>
        <w:tc>
          <w:tcPr>
            <w:tcW w:w="1100" w:type="dxa"/>
            <w:vAlign w:val="bottom"/>
            <w:tcBorders>
              <w:top w:val="single" w:sz="8" w:color="auto"/>
            </w:tcBorders>
          </w:tcPr>
          <w:p>
            <w:pPr>
              <w:spacing w:after="0"/>
              <w:rPr>
                <w:sz w:val="14"/>
                <w:szCs w:val="14"/>
                <w:color w:val="auto"/>
              </w:rPr>
            </w:pPr>
          </w:p>
        </w:tc>
      </w:tr>
      <w:tr>
        <w:trPr>
          <w:trHeight w:val="21"/>
        </w:trPr>
        <w:tc>
          <w:tcPr>
            <w:tcW w:w="8020" w:type="dxa"/>
            <w:vAlign w:val="bottom"/>
            <w:tcBorders>
              <w:bottom w:val="single" w:sz="8" w:color="CCEEFF"/>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r>
        <w:trPr>
          <w:trHeight w:val="161"/>
        </w:trPr>
        <w:tc>
          <w:tcPr>
            <w:tcW w:w="8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3"/>
                <w:szCs w:val="13"/>
                <w:color w:val="auto"/>
              </w:rPr>
              <w:t>Commitments and contingencies (Note 4)</w:t>
            </w:r>
          </w:p>
        </w:tc>
        <w:tc>
          <w:tcPr>
            <w:tcW w:w="600" w:type="dxa"/>
            <w:vAlign w:val="bottom"/>
            <w:tcBorders>
              <w:bottom w:val="single" w:sz="8" w:color="CCEEFF"/>
            </w:tcBorders>
            <w:shd w:val="clear" w:color="auto" w:fill="CCEEFF"/>
          </w:tcPr>
          <w:p>
            <w:pPr>
              <w:spacing w:after="0"/>
              <w:rPr>
                <w:sz w:val="14"/>
                <w:szCs w:val="14"/>
                <w:color w:val="auto"/>
              </w:rPr>
            </w:pPr>
          </w:p>
        </w:tc>
        <w:tc>
          <w:tcPr>
            <w:tcW w:w="98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1100" w:type="dxa"/>
            <w:vAlign w:val="bottom"/>
            <w:tcBorders>
              <w:bottom w:val="single" w:sz="8" w:color="CCEEFF"/>
            </w:tcBorders>
            <w:shd w:val="clear" w:color="auto" w:fill="CCEEFF"/>
          </w:tcPr>
          <w:p>
            <w:pPr>
              <w:spacing w:after="0"/>
              <w:rPr>
                <w:sz w:val="14"/>
                <w:szCs w:val="14"/>
                <w:color w:val="auto"/>
              </w:rPr>
            </w:pPr>
          </w:p>
        </w:tc>
      </w:tr>
      <w:tr>
        <w:trPr>
          <w:trHeight w:val="180"/>
        </w:trPr>
        <w:tc>
          <w:tcPr>
            <w:tcW w:w="8020" w:type="dxa"/>
            <w:vAlign w:val="bottom"/>
          </w:tcPr>
          <w:p>
            <w:pPr>
              <w:ind w:left="20"/>
              <w:spacing w:after="0"/>
              <w:rPr>
                <w:sz w:val="20"/>
                <w:szCs w:val="20"/>
                <w:color w:val="auto"/>
              </w:rPr>
            </w:pPr>
            <w:r>
              <w:rPr>
                <w:rFonts w:ascii="Arial" w:cs="Arial" w:eastAsia="Arial" w:hAnsi="Arial"/>
                <w:sz w:val="13"/>
                <w:szCs w:val="13"/>
                <w:b w:val="1"/>
                <w:bCs w:val="1"/>
                <w:color w:val="auto"/>
              </w:rPr>
              <w:t>Stockholders' equity:</w:t>
            </w:r>
          </w:p>
        </w:tc>
        <w:tc>
          <w:tcPr>
            <w:tcW w:w="6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00" w:type="dxa"/>
            <w:vAlign w:val="bottom"/>
          </w:tcPr>
          <w:p>
            <w:pPr>
              <w:spacing w:after="0"/>
              <w:rPr>
                <w:sz w:val="15"/>
                <w:szCs w:val="15"/>
                <w:color w:val="auto"/>
              </w:rPr>
            </w:pPr>
          </w:p>
        </w:tc>
      </w:tr>
      <w:tr>
        <w:trPr>
          <w:trHeight w:val="21"/>
        </w:trPr>
        <w:tc>
          <w:tcPr>
            <w:tcW w:w="80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r>
      <w:tr>
        <w:trPr>
          <w:trHeight w:val="173"/>
        </w:trPr>
        <w:tc>
          <w:tcPr>
            <w:tcW w:w="8020" w:type="dxa"/>
            <w:vAlign w:val="bottom"/>
            <w:shd w:val="clear" w:color="auto" w:fill="CCEEFF"/>
          </w:tcPr>
          <w:p>
            <w:pPr>
              <w:ind w:left="20"/>
              <w:spacing w:after="0"/>
              <w:rPr>
                <w:sz w:val="20"/>
                <w:szCs w:val="20"/>
                <w:color w:val="auto"/>
              </w:rPr>
            </w:pPr>
            <w:r>
              <w:rPr>
                <w:rFonts w:ascii="Arial" w:cs="Arial" w:eastAsia="Arial" w:hAnsi="Arial"/>
                <w:sz w:val="13"/>
                <w:szCs w:val="13"/>
                <w:color w:val="auto"/>
                <w:w w:val="88"/>
              </w:rPr>
              <w:t>Common stock, par value $0.0001; 1,000,000,000 shares of Class A common stock authorized as of June 30, 2022 and December 31, 2021; 68,209,726 and</w:t>
            </w:r>
          </w:p>
        </w:tc>
        <w:tc>
          <w:tcPr>
            <w:tcW w:w="60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r>
      <w:tr>
        <w:trPr>
          <w:trHeight w:val="160"/>
        </w:trPr>
        <w:tc>
          <w:tcPr>
            <w:tcW w:w="8020" w:type="dxa"/>
            <w:vAlign w:val="bottom"/>
            <w:shd w:val="clear" w:color="auto" w:fill="CCEEFF"/>
          </w:tcPr>
          <w:p>
            <w:pPr>
              <w:ind w:left="20"/>
              <w:spacing w:after="0"/>
              <w:rPr>
                <w:sz w:val="20"/>
                <w:szCs w:val="20"/>
                <w:color w:val="auto"/>
              </w:rPr>
            </w:pPr>
            <w:r>
              <w:rPr>
                <w:rFonts w:ascii="Arial" w:cs="Arial" w:eastAsia="Arial" w:hAnsi="Arial"/>
                <w:sz w:val="13"/>
                <w:szCs w:val="13"/>
                <w:color w:val="auto"/>
                <w:w w:val="88"/>
              </w:rPr>
              <w:t>67,844,060 shares of Class A common stock issued and outstanding as of June 30, 2022 and December 31, 2021, respectively; 24,999,330 and 25,000,000</w:t>
            </w:r>
          </w:p>
        </w:tc>
        <w:tc>
          <w:tcPr>
            <w:tcW w:w="600" w:type="dxa"/>
            <w:vAlign w:val="bottom"/>
            <w:shd w:val="clear" w:color="auto" w:fill="CCEEFF"/>
          </w:tcPr>
          <w:p>
            <w:pPr>
              <w:spacing w:after="0"/>
              <w:rPr>
                <w:sz w:val="13"/>
                <w:szCs w:val="13"/>
                <w:color w:val="auto"/>
              </w:rPr>
            </w:pPr>
          </w:p>
        </w:tc>
        <w:tc>
          <w:tcPr>
            <w:tcW w:w="9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100" w:type="dxa"/>
            <w:vAlign w:val="bottom"/>
            <w:shd w:val="clear" w:color="auto" w:fill="CCEEFF"/>
          </w:tcPr>
          <w:p>
            <w:pPr>
              <w:spacing w:after="0"/>
              <w:rPr>
                <w:sz w:val="13"/>
                <w:szCs w:val="13"/>
                <w:color w:val="auto"/>
              </w:rPr>
            </w:pPr>
          </w:p>
        </w:tc>
      </w:tr>
      <w:tr>
        <w:trPr>
          <w:trHeight w:val="159"/>
        </w:trPr>
        <w:tc>
          <w:tcPr>
            <w:tcW w:w="8020" w:type="dxa"/>
            <w:vAlign w:val="bottom"/>
            <w:shd w:val="clear" w:color="auto" w:fill="CCEEFF"/>
          </w:tcPr>
          <w:p>
            <w:pPr>
              <w:ind w:left="20"/>
              <w:spacing w:after="0"/>
              <w:rPr>
                <w:sz w:val="20"/>
                <w:szCs w:val="20"/>
                <w:color w:val="auto"/>
              </w:rPr>
            </w:pPr>
            <w:r>
              <w:rPr>
                <w:rFonts w:ascii="Arial" w:cs="Arial" w:eastAsia="Arial" w:hAnsi="Arial"/>
                <w:sz w:val="13"/>
                <w:szCs w:val="13"/>
                <w:color w:val="auto"/>
                <w:w w:val="88"/>
              </w:rPr>
              <w:t>shares of LT10 common stock authorized as of June 30, 2022 and December 31, 2021, respectively; 7,337,960 and 7,332,640 shares of LT10 common stock</w:t>
            </w:r>
          </w:p>
        </w:tc>
        <w:tc>
          <w:tcPr>
            <w:tcW w:w="600" w:type="dxa"/>
            <w:vAlign w:val="bottom"/>
            <w:shd w:val="clear" w:color="auto" w:fill="CCEEFF"/>
          </w:tcPr>
          <w:p>
            <w:pPr>
              <w:spacing w:after="0"/>
              <w:rPr>
                <w:sz w:val="13"/>
                <w:szCs w:val="13"/>
                <w:color w:val="auto"/>
              </w:rPr>
            </w:pPr>
          </w:p>
        </w:tc>
        <w:tc>
          <w:tcPr>
            <w:tcW w:w="9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100" w:type="dxa"/>
            <w:vAlign w:val="bottom"/>
            <w:shd w:val="clear" w:color="auto" w:fill="CCEEFF"/>
          </w:tcPr>
          <w:p>
            <w:pPr>
              <w:spacing w:after="0"/>
              <w:rPr>
                <w:sz w:val="13"/>
                <w:szCs w:val="13"/>
                <w:color w:val="auto"/>
              </w:rPr>
            </w:pPr>
          </w:p>
        </w:tc>
      </w:tr>
      <w:tr>
        <w:trPr>
          <w:trHeight w:val="154"/>
        </w:trPr>
        <w:tc>
          <w:tcPr>
            <w:tcW w:w="8020" w:type="dxa"/>
            <w:vAlign w:val="bottom"/>
            <w:shd w:val="clear" w:color="auto" w:fill="CCEEFF"/>
          </w:tcPr>
          <w:p>
            <w:pPr>
              <w:ind w:left="20"/>
              <w:spacing w:after="0"/>
              <w:rPr>
                <w:sz w:val="20"/>
                <w:szCs w:val="20"/>
                <w:color w:val="auto"/>
              </w:rPr>
            </w:pPr>
            <w:r>
              <w:rPr>
                <w:rFonts w:ascii="Arial" w:cs="Arial" w:eastAsia="Arial" w:hAnsi="Arial"/>
                <w:sz w:val="13"/>
                <w:szCs w:val="13"/>
                <w:color w:val="auto"/>
                <w:w w:val="87"/>
              </w:rPr>
              <w:t>issued and outstanding as of June 30, 2022 and December 31, 2021, respectively; 24,999,170 and 25,000,000 shares of LT50 common stock authorized as of</w:t>
            </w:r>
          </w:p>
        </w:tc>
        <w:tc>
          <w:tcPr>
            <w:tcW w:w="600" w:type="dxa"/>
            <w:vAlign w:val="bottom"/>
            <w:shd w:val="clear" w:color="auto" w:fill="CCEEFF"/>
          </w:tcPr>
          <w:p>
            <w:pPr>
              <w:spacing w:after="0"/>
              <w:rPr>
                <w:sz w:val="13"/>
                <w:szCs w:val="13"/>
                <w:color w:val="auto"/>
              </w:rPr>
            </w:pPr>
          </w:p>
        </w:tc>
        <w:tc>
          <w:tcPr>
            <w:tcW w:w="9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100" w:type="dxa"/>
            <w:vAlign w:val="bottom"/>
            <w:shd w:val="clear" w:color="auto" w:fill="CCEEFF"/>
          </w:tcPr>
          <w:p>
            <w:pPr>
              <w:spacing w:after="0"/>
              <w:rPr>
                <w:sz w:val="13"/>
                <w:szCs w:val="13"/>
                <w:color w:val="auto"/>
              </w:rPr>
            </w:pPr>
          </w:p>
        </w:tc>
      </w:tr>
      <w:tr>
        <w:trPr>
          <w:trHeight w:val="160"/>
        </w:trPr>
        <w:tc>
          <w:tcPr>
            <w:tcW w:w="8020" w:type="dxa"/>
            <w:vAlign w:val="bottom"/>
            <w:shd w:val="clear" w:color="auto" w:fill="CCEEFF"/>
          </w:tcPr>
          <w:p>
            <w:pPr>
              <w:ind w:left="20"/>
              <w:spacing w:after="0"/>
              <w:rPr>
                <w:sz w:val="20"/>
                <w:szCs w:val="20"/>
                <w:color w:val="auto"/>
              </w:rPr>
            </w:pPr>
            <w:r>
              <w:rPr>
                <w:rFonts w:ascii="Arial" w:cs="Arial" w:eastAsia="Arial" w:hAnsi="Arial"/>
                <w:sz w:val="13"/>
                <w:szCs w:val="13"/>
                <w:color w:val="auto"/>
                <w:w w:val="87"/>
              </w:rPr>
              <w:t>June 30, 2022 and December 31, 2021, respectively; 6,225,330 and 6,224,160 shares of LT50 common stock issued and outstanding as of June 30, 2022 and</w:t>
            </w:r>
          </w:p>
        </w:tc>
        <w:tc>
          <w:tcPr>
            <w:tcW w:w="600" w:type="dxa"/>
            <w:vAlign w:val="bottom"/>
            <w:shd w:val="clear" w:color="auto" w:fill="CCEEFF"/>
          </w:tcPr>
          <w:p>
            <w:pPr>
              <w:spacing w:after="0"/>
              <w:rPr>
                <w:sz w:val="13"/>
                <w:szCs w:val="13"/>
                <w:color w:val="auto"/>
              </w:rPr>
            </w:pPr>
          </w:p>
        </w:tc>
        <w:tc>
          <w:tcPr>
            <w:tcW w:w="9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100" w:type="dxa"/>
            <w:vAlign w:val="bottom"/>
            <w:shd w:val="clear" w:color="auto" w:fill="CCEEFF"/>
          </w:tcPr>
          <w:p>
            <w:pPr>
              <w:spacing w:after="0"/>
              <w:rPr>
                <w:sz w:val="13"/>
                <w:szCs w:val="13"/>
                <w:color w:val="auto"/>
              </w:rPr>
            </w:pPr>
          </w:p>
        </w:tc>
      </w:tr>
      <w:tr>
        <w:trPr>
          <w:trHeight w:val="159"/>
        </w:trPr>
        <w:tc>
          <w:tcPr>
            <w:tcW w:w="8020" w:type="dxa"/>
            <w:vAlign w:val="bottom"/>
            <w:shd w:val="clear" w:color="auto" w:fill="CCEEFF"/>
          </w:tcPr>
          <w:p>
            <w:pPr>
              <w:ind w:left="20"/>
              <w:spacing w:after="0"/>
              <w:rPr>
                <w:sz w:val="20"/>
                <w:szCs w:val="20"/>
                <w:color w:val="auto"/>
              </w:rPr>
            </w:pPr>
            <w:r>
              <w:rPr>
                <w:rFonts w:ascii="Arial" w:cs="Arial" w:eastAsia="Arial" w:hAnsi="Arial"/>
                <w:sz w:val="13"/>
                <w:szCs w:val="13"/>
                <w:color w:val="auto"/>
                <w:w w:val="87"/>
              </w:rPr>
              <w:t>December 31, 2021, respectively; preferred stock, par value $0.0001; 10,000,000 shares of preferred stock authorized as of June 30, 2022 and December 31,</w:t>
            </w:r>
          </w:p>
        </w:tc>
        <w:tc>
          <w:tcPr>
            <w:tcW w:w="600" w:type="dxa"/>
            <w:vAlign w:val="bottom"/>
            <w:shd w:val="clear" w:color="auto" w:fill="CCEEFF"/>
          </w:tcPr>
          <w:p>
            <w:pPr>
              <w:spacing w:after="0"/>
              <w:rPr>
                <w:sz w:val="13"/>
                <w:szCs w:val="13"/>
                <w:color w:val="auto"/>
              </w:rPr>
            </w:pPr>
          </w:p>
        </w:tc>
        <w:tc>
          <w:tcPr>
            <w:tcW w:w="9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100" w:type="dxa"/>
            <w:vAlign w:val="bottom"/>
            <w:shd w:val="clear" w:color="auto" w:fill="CCEEFF"/>
          </w:tcPr>
          <w:p>
            <w:pPr>
              <w:spacing w:after="0"/>
              <w:rPr>
                <w:sz w:val="13"/>
                <w:szCs w:val="13"/>
                <w:color w:val="auto"/>
              </w:rPr>
            </w:pPr>
          </w:p>
        </w:tc>
      </w:tr>
      <w:tr>
        <w:trPr>
          <w:trHeight w:val="161"/>
        </w:trPr>
        <w:tc>
          <w:tcPr>
            <w:tcW w:w="8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3"/>
                <w:szCs w:val="13"/>
                <w:color w:val="auto"/>
              </w:rPr>
              <w:t>2021; no shares of preferred stock outstanding as of June 30, 2022 and December 31, 2021</w:t>
            </w:r>
          </w:p>
        </w:tc>
        <w:tc>
          <w:tcPr>
            <w:tcW w:w="600" w:type="dxa"/>
            <w:vAlign w:val="bottom"/>
            <w:tcBorders>
              <w:bottom w:val="single" w:sz="8" w:color="CCEEFF"/>
            </w:tcBorders>
            <w:shd w:val="clear" w:color="auto" w:fill="CCEEFF"/>
          </w:tcPr>
          <w:p>
            <w:pPr>
              <w:spacing w:after="0"/>
              <w:rPr>
                <w:sz w:val="14"/>
                <w:szCs w:val="14"/>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6</w:t>
            </w:r>
          </w:p>
        </w:tc>
        <w:tc>
          <w:tcPr>
            <w:tcW w:w="80" w:type="dxa"/>
            <w:vAlign w:val="bottom"/>
            <w:tcBorders>
              <w:bottom w:val="single" w:sz="8" w:color="CCEEFF"/>
            </w:tcBorders>
            <w:shd w:val="clear" w:color="auto" w:fill="CCEEFF"/>
          </w:tcPr>
          <w:p>
            <w:pPr>
              <w:spacing w:after="0"/>
              <w:rPr>
                <w:sz w:val="14"/>
                <w:szCs w:val="14"/>
                <w:color w:val="auto"/>
              </w:rPr>
            </w:pPr>
          </w:p>
        </w:tc>
        <w:tc>
          <w:tcPr>
            <w:tcW w:w="1100" w:type="dxa"/>
            <w:vAlign w:val="bottom"/>
            <w:tcBorders>
              <w:bottom w:val="single" w:sz="8" w:color="CCEEFF"/>
            </w:tcBorders>
            <w:shd w:val="clear" w:color="auto" w:fill="CCEEFF"/>
          </w:tcPr>
          <w:p>
            <w:pPr>
              <w:spacing w:after="0"/>
              <w:rPr>
                <w:sz w:val="14"/>
                <w:szCs w:val="14"/>
                <w:color w:val="auto"/>
              </w:rPr>
            </w:pPr>
          </w:p>
        </w:tc>
      </w:tr>
      <w:tr>
        <w:trPr>
          <w:trHeight w:val="180"/>
        </w:trPr>
        <w:tc>
          <w:tcPr>
            <w:tcW w:w="8020" w:type="dxa"/>
            <w:vAlign w:val="bottom"/>
          </w:tcPr>
          <w:p>
            <w:pPr>
              <w:ind w:left="200"/>
              <w:spacing w:after="0"/>
              <w:rPr>
                <w:sz w:val="20"/>
                <w:szCs w:val="20"/>
                <w:color w:val="auto"/>
              </w:rPr>
            </w:pPr>
            <w:r>
              <w:rPr>
                <w:rFonts w:ascii="Arial" w:cs="Arial" w:eastAsia="Arial" w:hAnsi="Arial"/>
                <w:sz w:val="13"/>
                <w:szCs w:val="13"/>
                <w:color w:val="auto"/>
              </w:rPr>
              <w:t>Additional paid-in capital</w:t>
            </w:r>
          </w:p>
        </w:tc>
        <w:tc>
          <w:tcPr>
            <w:tcW w:w="60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Arial" w:cs="Arial" w:eastAsia="Arial" w:hAnsi="Arial"/>
                <w:sz w:val="13"/>
                <w:szCs w:val="13"/>
                <w:color w:val="auto"/>
              </w:rPr>
              <w:t>173,961</w:t>
            </w:r>
          </w:p>
        </w:tc>
        <w:tc>
          <w:tcPr>
            <w:tcW w:w="80" w:type="dxa"/>
            <w:vAlign w:val="bottom"/>
          </w:tcPr>
          <w:p>
            <w:pPr>
              <w:spacing w:after="0"/>
              <w:rPr>
                <w:sz w:val="15"/>
                <w:szCs w:val="15"/>
                <w:color w:val="auto"/>
              </w:rPr>
            </w:pPr>
          </w:p>
        </w:tc>
        <w:tc>
          <w:tcPr>
            <w:tcW w:w="1100" w:type="dxa"/>
            <w:vAlign w:val="bottom"/>
          </w:tcPr>
          <w:p>
            <w:pPr>
              <w:spacing w:after="0"/>
              <w:rPr>
                <w:sz w:val="15"/>
                <w:szCs w:val="15"/>
                <w:color w:val="auto"/>
              </w:rPr>
            </w:pPr>
          </w:p>
        </w:tc>
      </w:tr>
      <w:tr>
        <w:trPr>
          <w:trHeight w:val="21"/>
        </w:trPr>
        <w:tc>
          <w:tcPr>
            <w:tcW w:w="80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r>
      <w:tr>
        <w:trPr>
          <w:trHeight w:val="201"/>
        </w:trPr>
        <w:tc>
          <w:tcPr>
            <w:tcW w:w="802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3"/>
                <w:szCs w:val="13"/>
                <w:color w:val="auto"/>
              </w:rPr>
              <w:t>Accumulated deficit</w:t>
            </w:r>
          </w:p>
        </w:tc>
        <w:tc>
          <w:tcPr>
            <w:tcW w:w="600" w:type="dxa"/>
            <w:vAlign w:val="bottom"/>
            <w:tcBorders>
              <w:bottom w:val="single" w:sz="8" w:color="CCEEFF"/>
            </w:tcBorders>
            <w:shd w:val="clear" w:color="auto" w:fill="CCEEFF"/>
          </w:tcPr>
          <w:p>
            <w:pPr>
              <w:spacing w:after="0"/>
              <w:rPr>
                <w:sz w:val="17"/>
                <w:szCs w:val="17"/>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(81,276)</w:t>
            </w:r>
          </w:p>
        </w:tc>
        <w:tc>
          <w:tcPr>
            <w:tcW w:w="80" w:type="dxa"/>
            <w:vAlign w:val="bottom"/>
            <w:tcBorders>
              <w:bottom w:val="single" w:sz="8" w:color="CCEEFF"/>
            </w:tcBorders>
            <w:shd w:val="clear" w:color="auto" w:fill="CCEEFF"/>
          </w:tcPr>
          <w:p>
            <w:pPr>
              <w:spacing w:after="0"/>
              <w:rPr>
                <w:sz w:val="17"/>
                <w:szCs w:val="17"/>
                <w:color w:val="auto"/>
              </w:rPr>
            </w:pPr>
          </w:p>
        </w:tc>
        <w:tc>
          <w:tcPr>
            <w:tcW w:w="1100" w:type="dxa"/>
            <w:vAlign w:val="bottom"/>
            <w:tcBorders>
              <w:bottom w:val="single" w:sz="8" w:color="CCEEFF"/>
            </w:tcBorders>
            <w:shd w:val="clear" w:color="auto" w:fill="CCEEFF"/>
          </w:tcPr>
          <w:p>
            <w:pPr>
              <w:spacing w:after="0"/>
              <w:rPr>
                <w:sz w:val="17"/>
                <w:szCs w:val="17"/>
                <w:color w:val="auto"/>
              </w:rPr>
            </w:pPr>
          </w:p>
        </w:tc>
      </w:tr>
      <w:tr>
        <w:trPr>
          <w:trHeight w:val="172"/>
        </w:trPr>
        <w:tc>
          <w:tcPr>
            <w:tcW w:w="8020" w:type="dxa"/>
            <w:vAlign w:val="bottom"/>
          </w:tcPr>
          <w:p>
            <w:pPr>
              <w:ind w:left="660"/>
              <w:spacing w:after="0"/>
              <w:rPr>
                <w:sz w:val="20"/>
                <w:szCs w:val="20"/>
                <w:color w:val="auto"/>
              </w:rPr>
            </w:pPr>
            <w:r>
              <w:rPr>
                <w:rFonts w:ascii="Arial" w:cs="Arial" w:eastAsia="Arial" w:hAnsi="Arial"/>
                <w:sz w:val="13"/>
                <w:szCs w:val="13"/>
                <w:color w:val="auto"/>
              </w:rPr>
              <w:t>Total stockholders' equity</w:t>
            </w:r>
          </w:p>
        </w:tc>
        <w:tc>
          <w:tcPr>
            <w:tcW w:w="600" w:type="dxa"/>
            <w:vAlign w:val="bottom"/>
            <w:tcBorders>
              <w:top w:val="single" w:sz="8" w:color="auto"/>
            </w:tcBorders>
          </w:tcPr>
          <w:p>
            <w:pPr>
              <w:spacing w:after="0"/>
              <w:rPr>
                <w:sz w:val="14"/>
                <w:szCs w:val="14"/>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92,691</w:t>
            </w:r>
          </w:p>
        </w:tc>
        <w:tc>
          <w:tcPr>
            <w:tcW w:w="80" w:type="dxa"/>
            <w:vAlign w:val="bottom"/>
          </w:tcPr>
          <w:p>
            <w:pPr>
              <w:spacing w:after="0"/>
              <w:rPr>
                <w:sz w:val="14"/>
                <w:szCs w:val="14"/>
                <w:color w:val="auto"/>
              </w:rPr>
            </w:pPr>
          </w:p>
        </w:tc>
        <w:tc>
          <w:tcPr>
            <w:tcW w:w="1100" w:type="dxa"/>
            <w:vAlign w:val="bottom"/>
            <w:tcBorders>
              <w:top w:val="single" w:sz="8" w:color="auto"/>
            </w:tcBorders>
          </w:tcPr>
          <w:p>
            <w:pPr>
              <w:spacing w:after="0"/>
              <w:rPr>
                <w:sz w:val="14"/>
                <w:szCs w:val="14"/>
                <w:color w:val="auto"/>
              </w:rPr>
            </w:pPr>
          </w:p>
        </w:tc>
      </w:tr>
      <w:tr>
        <w:trPr>
          <w:trHeight w:val="21"/>
        </w:trPr>
        <w:tc>
          <w:tcPr>
            <w:tcW w:w="8020" w:type="dxa"/>
            <w:vAlign w:val="bottom"/>
            <w:tcBorders>
              <w:bottom w:val="single" w:sz="8" w:color="CCEEFF"/>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r>
        <w:trPr>
          <w:trHeight w:val="218"/>
        </w:trPr>
        <w:tc>
          <w:tcPr>
            <w:tcW w:w="8020" w:type="dxa"/>
            <w:vAlign w:val="bottom"/>
            <w:tcBorders>
              <w:bottom w:val="single" w:sz="8" w:color="CCEEFF"/>
            </w:tcBorders>
            <w:shd w:val="clear" w:color="auto" w:fill="CCEEFF"/>
          </w:tcPr>
          <w:p>
            <w:pPr>
              <w:ind w:left="660"/>
              <w:spacing w:after="0"/>
              <w:rPr>
                <w:sz w:val="20"/>
                <w:szCs w:val="20"/>
                <w:color w:val="auto"/>
              </w:rPr>
            </w:pPr>
            <w:r>
              <w:rPr>
                <w:rFonts w:ascii="Arial" w:cs="Arial" w:eastAsia="Arial" w:hAnsi="Arial"/>
                <w:sz w:val="13"/>
                <w:szCs w:val="13"/>
                <w:color w:val="auto"/>
              </w:rPr>
              <w:t>Total liabilities and stockholders' equity</w:t>
            </w:r>
          </w:p>
        </w:tc>
        <w:tc>
          <w:tcPr>
            <w:tcW w:w="600" w:type="dxa"/>
            <w:vAlign w:val="bottom"/>
            <w:tcBorders>
              <w:bottom w:val="single" w:sz="8" w:color="auto"/>
            </w:tcBorders>
            <w:shd w:val="clear" w:color="auto" w:fill="CCEEFF"/>
          </w:tcPr>
          <w:p>
            <w:pPr>
              <w:jc w:val="right"/>
              <w:ind w:right="457"/>
              <w:spacing w:after="0"/>
              <w:rPr>
                <w:sz w:val="20"/>
                <w:szCs w:val="20"/>
                <w:color w:val="auto"/>
              </w:rPr>
            </w:pPr>
            <w:r>
              <w:rPr>
                <w:rFonts w:ascii="Arial" w:cs="Arial" w:eastAsia="Arial" w:hAnsi="Arial"/>
                <w:sz w:val="13"/>
                <w:szCs w:val="13"/>
                <w:color w:val="auto"/>
                <w:w w:val="82"/>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215,372</w:t>
            </w:r>
          </w:p>
        </w:tc>
        <w:tc>
          <w:tcPr>
            <w:tcW w:w="80" w:type="dxa"/>
            <w:vAlign w:val="bottom"/>
            <w:tcBorders>
              <w:bottom w:val="single" w:sz="8" w:color="CCEEFF"/>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ind w:right="957"/>
              <w:spacing w:after="0"/>
              <w:rPr>
                <w:sz w:val="20"/>
                <w:szCs w:val="20"/>
                <w:color w:val="auto"/>
              </w:rPr>
            </w:pPr>
            <w:r>
              <w:rPr>
                <w:rFonts w:ascii="Arial" w:cs="Arial" w:eastAsia="Arial" w:hAnsi="Arial"/>
                <w:sz w:val="13"/>
                <w:szCs w:val="13"/>
                <w:color w:val="auto"/>
                <w:w w:val="82"/>
              </w:rPr>
              <w:t>$</w:t>
            </w:r>
          </w:p>
        </w:tc>
      </w:tr>
      <w:tr>
        <w:trPr>
          <w:trHeight w:val="20"/>
        </w:trPr>
        <w:tc>
          <w:tcPr>
            <w:tcW w:w="802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r>
      <w:tr>
        <w:trPr>
          <w:trHeight w:val="20"/>
        </w:trPr>
        <w:tc>
          <w:tcPr>
            <w:tcW w:w="80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ectPr>
          <w:pgSz w:w="11900" w:h="16838" w:orient="portrait"/>
          <w:cols w:equalWidth="0" w:num="1">
            <w:col w:w="10780"/>
          </w:cols>
          <w:pgMar w:left="880" w:top="339" w:right="239" w:bottom="1440" w:gutter="0" w:footer="0" w:header="0"/>
          <w:type w:val="continuous"/>
        </w:sectPr>
      </w:pPr>
    </w:p>
    <w:bookmarkStart w:id="8" w:name="page9"/>
    <w:bookmarkEnd w:id="8"/>
    <w:p>
      <w:pPr>
        <w:jc w:val="center"/>
        <w:ind w:right="-177"/>
        <w:spacing w:after="0"/>
        <w:rPr>
          <w:sz w:val="20"/>
          <w:szCs w:val="20"/>
          <w:color w:val="auto"/>
        </w:rPr>
      </w:pPr>
      <w:r>
        <w:rPr>
          <w:rFonts w:ascii="Arial" w:cs="Arial" w:eastAsia="Arial" w:hAnsi="Arial"/>
          <w:sz w:val="19"/>
          <w:szCs w:val="19"/>
          <w:b w:val="1"/>
          <w:bCs w:val="1"/>
          <w:color w:val="auto"/>
        </w:rPr>
        <w:t>Expensify, Inc.</w:t>
      </w:r>
    </w:p>
    <w:p>
      <w:pPr>
        <w:spacing w:after="0" w:line="28" w:lineRule="exact"/>
        <w:rPr>
          <w:sz w:val="20"/>
          <w:szCs w:val="20"/>
          <w:color w:val="auto"/>
        </w:rPr>
      </w:pPr>
    </w:p>
    <w:p>
      <w:pPr>
        <w:jc w:val="center"/>
        <w:ind w:right="-177"/>
        <w:spacing w:after="0"/>
        <w:rPr>
          <w:sz w:val="20"/>
          <w:szCs w:val="20"/>
          <w:color w:val="auto"/>
        </w:rPr>
      </w:pPr>
      <w:r>
        <w:rPr>
          <w:rFonts w:ascii="Arial" w:cs="Arial" w:eastAsia="Arial" w:hAnsi="Arial"/>
          <w:sz w:val="19"/>
          <w:szCs w:val="19"/>
          <w:b w:val="1"/>
          <w:bCs w:val="1"/>
          <w:color w:val="auto"/>
        </w:rPr>
        <w:t>Condensed Consolidated Statements of Operations</w:t>
      </w:r>
    </w:p>
    <w:p>
      <w:pPr>
        <w:spacing w:after="0" w:line="18" w:lineRule="exact"/>
        <w:rPr>
          <w:sz w:val="20"/>
          <w:szCs w:val="20"/>
          <w:color w:val="auto"/>
        </w:rPr>
      </w:pPr>
    </w:p>
    <w:p>
      <w:pPr>
        <w:jc w:val="center"/>
        <w:ind w:right="-177"/>
        <w:spacing w:after="0"/>
        <w:rPr>
          <w:sz w:val="20"/>
          <w:szCs w:val="20"/>
          <w:color w:val="auto"/>
        </w:rPr>
      </w:pPr>
      <w:r>
        <w:rPr>
          <w:rFonts w:ascii="Arial" w:cs="Arial" w:eastAsia="Arial" w:hAnsi="Arial"/>
          <w:sz w:val="16"/>
          <w:szCs w:val="16"/>
          <w:color w:val="auto"/>
        </w:rPr>
        <w:t>(unaudited, in thousands, except share and per 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120015</wp:posOffset>
            </wp:positionH>
            <wp:positionV relativeFrom="paragraph">
              <wp:posOffset>185420</wp:posOffset>
            </wp:positionV>
            <wp:extent cx="6195695" cy="1524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195695" cy="15240"/>
                    </a:xfrm>
                    <a:prstGeom prst="rect">
                      <a:avLst/>
                    </a:prstGeom>
                    <a:noFill/>
                  </pic:spPr>
                </pic:pic>
              </a:graphicData>
            </a:graphic>
          </wp:anchor>
        </w:drawing>
      </w:r>
    </w:p>
    <w:p>
      <w:pPr>
        <w:spacing w:after="0" w:line="303" w:lineRule="exact"/>
        <w:rPr>
          <w:sz w:val="20"/>
          <w:szCs w:val="20"/>
          <w:color w:val="auto"/>
        </w:rPr>
      </w:pPr>
    </w:p>
    <w:tbl>
      <w:tblPr>
        <w:tblLayout w:type="fixed"/>
        <w:tblInd w:w="198" w:type="dxa"/>
        <w:tblCellMar>
          <w:top w:w="0" w:type="dxa"/>
          <w:left w:w="0" w:type="dxa"/>
          <w:bottom w:w="0" w:type="dxa"/>
          <w:right w:w="0" w:type="dxa"/>
        </w:tblCellMar>
      </w:tblPr>
      <w:tr>
        <w:trPr>
          <w:trHeight w:val="204"/>
        </w:trPr>
        <w:tc>
          <w:tcPr>
            <w:tcW w:w="40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640" w:type="dxa"/>
            <w:vAlign w:val="bottom"/>
            <w:gridSpan w:val="5"/>
          </w:tcPr>
          <w:p>
            <w:pPr>
              <w:ind w:left="160"/>
              <w:spacing w:after="0"/>
              <w:rPr>
                <w:sz w:val="20"/>
                <w:szCs w:val="20"/>
                <w:color w:val="auto"/>
              </w:rPr>
            </w:pPr>
            <w:r>
              <w:rPr>
                <w:rFonts w:ascii="Arial" w:cs="Arial" w:eastAsia="Arial" w:hAnsi="Arial"/>
                <w:sz w:val="16"/>
                <w:szCs w:val="16"/>
                <w:b w:val="1"/>
                <w:bCs w:val="1"/>
                <w:color w:val="auto"/>
              </w:rPr>
              <w:t>Three months ended June 30,</w:t>
            </w:r>
          </w:p>
        </w:tc>
        <w:tc>
          <w:tcPr>
            <w:tcW w:w="300" w:type="dxa"/>
            <w:vAlign w:val="bottom"/>
          </w:tcPr>
          <w:p>
            <w:pPr>
              <w:spacing w:after="0"/>
              <w:rPr>
                <w:sz w:val="17"/>
                <w:szCs w:val="17"/>
                <w:color w:val="auto"/>
              </w:rPr>
            </w:pPr>
          </w:p>
        </w:tc>
        <w:tc>
          <w:tcPr>
            <w:tcW w:w="2500" w:type="dxa"/>
            <w:vAlign w:val="bottom"/>
            <w:gridSpan w:val="4"/>
          </w:tcPr>
          <w:p>
            <w:pPr>
              <w:jc w:val="right"/>
              <w:ind w:right="421"/>
              <w:spacing w:after="0"/>
              <w:rPr>
                <w:sz w:val="20"/>
                <w:szCs w:val="20"/>
                <w:color w:val="auto"/>
              </w:rPr>
            </w:pPr>
            <w:r>
              <w:rPr>
                <w:rFonts w:ascii="Arial" w:cs="Arial" w:eastAsia="Arial" w:hAnsi="Arial"/>
                <w:sz w:val="16"/>
                <w:szCs w:val="16"/>
                <w:b w:val="1"/>
                <w:bCs w:val="1"/>
                <w:color w:val="auto"/>
                <w:w w:val="95"/>
              </w:rPr>
              <w:t>Six months ended June 30,</w:t>
            </w:r>
          </w:p>
        </w:tc>
        <w:tc>
          <w:tcPr>
            <w:tcW w:w="0" w:type="dxa"/>
            <w:vAlign w:val="bottom"/>
          </w:tcPr>
          <w:p>
            <w:pPr>
              <w:spacing w:after="0"/>
              <w:rPr>
                <w:sz w:val="1"/>
                <w:szCs w:val="1"/>
                <w:color w:val="auto"/>
              </w:rPr>
            </w:pPr>
          </w:p>
        </w:tc>
      </w:tr>
      <w:tr>
        <w:trPr>
          <w:trHeight w:val="37"/>
        </w:trPr>
        <w:tc>
          <w:tcPr>
            <w:tcW w:w="4060" w:type="dxa"/>
            <w:vAlign w:val="bottom"/>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24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106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0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03"/>
        </w:trPr>
        <w:tc>
          <w:tcPr>
            <w:tcW w:w="40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20" w:type="dxa"/>
            <w:vAlign w:val="bottom"/>
          </w:tcPr>
          <w:p>
            <w:pPr>
              <w:jc w:val="right"/>
              <w:ind w:right="441"/>
              <w:spacing w:after="0"/>
              <w:rPr>
                <w:sz w:val="20"/>
                <w:szCs w:val="20"/>
                <w:color w:val="auto"/>
              </w:rPr>
            </w:pPr>
            <w:r>
              <w:rPr>
                <w:rFonts w:ascii="Arial" w:cs="Arial" w:eastAsia="Arial" w:hAnsi="Arial"/>
                <w:sz w:val="16"/>
                <w:szCs w:val="16"/>
                <w:b w:val="1"/>
                <w:bCs w:val="1"/>
                <w:color w:val="auto"/>
              </w:rPr>
              <w:t>2022</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40" w:type="dxa"/>
            <w:vAlign w:val="bottom"/>
          </w:tcPr>
          <w:p>
            <w:pPr>
              <w:jc w:val="right"/>
              <w:ind w:right="441"/>
              <w:spacing w:after="0"/>
              <w:rPr>
                <w:sz w:val="20"/>
                <w:szCs w:val="20"/>
                <w:color w:val="auto"/>
              </w:rPr>
            </w:pPr>
            <w:r>
              <w:rPr>
                <w:rFonts w:ascii="Arial" w:cs="Arial" w:eastAsia="Arial" w:hAnsi="Arial"/>
                <w:sz w:val="16"/>
                <w:szCs w:val="16"/>
                <w:b w:val="1"/>
                <w:bCs w:val="1"/>
                <w:color w:val="auto"/>
              </w:rPr>
              <w:t>2021</w:t>
            </w:r>
          </w:p>
        </w:tc>
        <w:tc>
          <w:tcPr>
            <w:tcW w:w="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60" w:type="dxa"/>
            <w:vAlign w:val="bottom"/>
          </w:tcPr>
          <w:p>
            <w:pPr>
              <w:jc w:val="right"/>
              <w:ind w:right="441"/>
              <w:spacing w:after="0"/>
              <w:rPr>
                <w:sz w:val="20"/>
                <w:szCs w:val="20"/>
                <w:color w:val="auto"/>
              </w:rPr>
            </w:pPr>
            <w:r>
              <w:rPr>
                <w:rFonts w:ascii="Arial" w:cs="Arial" w:eastAsia="Arial" w:hAnsi="Arial"/>
                <w:sz w:val="16"/>
                <w:szCs w:val="16"/>
                <w:b w:val="1"/>
                <w:bCs w:val="1"/>
                <w:color w:val="auto"/>
              </w:rPr>
              <w:t>2022</w:t>
            </w: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40" w:type="dxa"/>
            <w:vAlign w:val="bottom"/>
          </w:tcPr>
          <w:p>
            <w:pPr>
              <w:jc w:val="right"/>
              <w:ind w:right="441"/>
              <w:spacing w:after="0"/>
              <w:rPr>
                <w:sz w:val="20"/>
                <w:szCs w:val="20"/>
                <w:color w:val="auto"/>
              </w:rPr>
            </w:pPr>
            <w:r>
              <w:rPr>
                <w:rFonts w:ascii="Arial" w:cs="Arial" w:eastAsia="Arial" w:hAnsi="Arial"/>
                <w:sz w:val="16"/>
                <w:szCs w:val="16"/>
                <w:b w:val="1"/>
                <w:bCs w:val="1"/>
                <w:color w:val="auto"/>
              </w:rPr>
              <w:t>2021</w:t>
            </w:r>
          </w:p>
        </w:tc>
        <w:tc>
          <w:tcPr>
            <w:tcW w:w="0" w:type="dxa"/>
            <w:vAlign w:val="bottom"/>
          </w:tcPr>
          <w:p>
            <w:pPr>
              <w:spacing w:after="0"/>
              <w:rPr>
                <w:sz w:val="1"/>
                <w:szCs w:val="1"/>
                <w:color w:val="auto"/>
              </w:rPr>
            </w:pPr>
          </w:p>
        </w:tc>
      </w:tr>
      <w:tr>
        <w:trPr>
          <w:trHeight w:val="37"/>
        </w:trPr>
        <w:tc>
          <w:tcPr>
            <w:tcW w:w="4060" w:type="dxa"/>
            <w:vAlign w:val="bottom"/>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2760" w:type="dxa"/>
            <w:vAlign w:val="bottom"/>
            <w:tcBorders>
              <w:bottom w:val="single" w:sz="8" w:color="auto"/>
            </w:tcBorders>
            <w:gridSpan w:val="5"/>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0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03"/>
        </w:trPr>
        <w:tc>
          <w:tcPr>
            <w:tcW w:w="40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760" w:type="dxa"/>
            <w:vAlign w:val="bottom"/>
            <w:gridSpan w:val="5"/>
          </w:tcPr>
          <w:p>
            <w:pPr>
              <w:ind w:left="40"/>
              <w:spacing w:after="0"/>
              <w:rPr>
                <w:sz w:val="20"/>
                <w:szCs w:val="20"/>
                <w:color w:val="auto"/>
              </w:rPr>
            </w:pPr>
            <w:r>
              <w:rPr>
                <w:rFonts w:ascii="Arial" w:cs="Arial" w:eastAsia="Arial" w:hAnsi="Arial"/>
                <w:sz w:val="16"/>
                <w:szCs w:val="16"/>
                <w:b w:val="1"/>
                <w:bCs w:val="1"/>
                <w:color w:val="auto"/>
                <w:w w:val="95"/>
              </w:rPr>
              <w:t>(in thousands, except per share data)</w:t>
            </w:r>
          </w:p>
        </w:tc>
        <w:tc>
          <w:tcPr>
            <w:tcW w:w="3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7"/>
        </w:trPr>
        <w:tc>
          <w:tcPr>
            <w:tcW w:w="4060" w:type="dxa"/>
            <w:vAlign w:val="bottom"/>
            <w:tcBorders>
              <w:bottom w:val="single" w:sz="8" w:color="CCEEFF"/>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24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106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0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20"/>
        </w:trPr>
        <w:tc>
          <w:tcPr>
            <w:tcW w:w="40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color w:val="auto"/>
              </w:rPr>
              <w:t>Revenue</w:t>
            </w:r>
          </w:p>
        </w:tc>
        <w:tc>
          <w:tcPr>
            <w:tcW w:w="240" w:type="dxa"/>
            <w:vAlign w:val="bottom"/>
            <w:tcBorders>
              <w:bottom w:val="single" w:sz="8" w:color="CCEEFF"/>
            </w:tcBorders>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43,162</w:t>
            </w:r>
          </w:p>
        </w:tc>
        <w:tc>
          <w:tcPr>
            <w:tcW w:w="8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35,304</w:t>
            </w:r>
          </w:p>
        </w:tc>
        <w:tc>
          <w:tcPr>
            <w:tcW w:w="8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CCEEFF"/>
            </w:tcBorders>
            <w:shd w:val="clear" w:color="auto" w:fill="CCEEFF"/>
          </w:tcPr>
          <w:p>
            <w:pPr>
              <w:jc w:val="right"/>
              <w:ind w:right="121"/>
              <w:spacing w:after="0"/>
              <w:rPr>
                <w:sz w:val="20"/>
                <w:szCs w:val="20"/>
                <w:color w:val="auto"/>
              </w:rPr>
            </w:pPr>
            <w:r>
              <w:rPr>
                <w:rFonts w:ascii="Arial" w:cs="Arial" w:eastAsia="Arial" w:hAnsi="Arial"/>
                <w:sz w:val="16"/>
                <w:szCs w:val="16"/>
                <w:color w:val="auto"/>
                <w:w w:val="89"/>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83,532</w:t>
            </w:r>
          </w:p>
        </w:tc>
        <w:tc>
          <w:tcPr>
            <w:tcW w:w="8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CCEEFF"/>
            </w:tcBorders>
            <w:shd w:val="clear" w:color="auto" w:fill="CCEEFF"/>
          </w:tcPr>
          <w:p>
            <w:pPr>
              <w:jc w:val="right"/>
              <w:ind w:right="141"/>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65,024</w:t>
            </w:r>
          </w:p>
        </w:tc>
        <w:tc>
          <w:tcPr>
            <w:tcW w:w="0" w:type="dxa"/>
            <w:vAlign w:val="bottom"/>
          </w:tcPr>
          <w:p>
            <w:pPr>
              <w:spacing w:after="0"/>
              <w:rPr>
                <w:sz w:val="1"/>
                <w:szCs w:val="1"/>
                <w:color w:val="auto"/>
              </w:rPr>
            </w:pPr>
          </w:p>
        </w:tc>
      </w:tr>
      <w:tr>
        <w:trPr>
          <w:trHeight w:val="248"/>
        </w:trPr>
        <w:tc>
          <w:tcPr>
            <w:tcW w:w="4060" w:type="dxa"/>
            <w:vAlign w:val="bottom"/>
            <w:tcBorders>
              <w:bottom w:val="single" w:sz="8" w:color="CCEEFF"/>
            </w:tcBorders>
          </w:tcPr>
          <w:p>
            <w:pPr>
              <w:spacing w:after="0"/>
              <w:rPr>
                <w:sz w:val="20"/>
                <w:szCs w:val="20"/>
                <w:color w:val="auto"/>
              </w:rPr>
            </w:pPr>
            <w:r>
              <w:rPr>
                <w:rFonts w:ascii="Arial" w:cs="Arial" w:eastAsia="Arial" w:hAnsi="Arial"/>
                <w:sz w:val="16"/>
                <w:szCs w:val="16"/>
                <w:color w:val="auto"/>
              </w:rPr>
              <w:t>Cost of revenue, net</w:t>
            </w:r>
            <w:r>
              <w:rPr>
                <w:rFonts w:ascii="Arial" w:cs="Arial" w:eastAsia="Arial" w:hAnsi="Arial"/>
                <w:sz w:val="20"/>
                <w:szCs w:val="20"/>
                <w:color w:val="auto"/>
                <w:vertAlign w:val="superscript"/>
              </w:rPr>
              <w:t>(1)</w:t>
            </w:r>
          </w:p>
        </w:tc>
        <w:tc>
          <w:tcPr>
            <w:tcW w:w="24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15,876</w:t>
            </w:r>
          </w:p>
        </w:tc>
        <w:tc>
          <w:tcPr>
            <w:tcW w:w="80" w:type="dxa"/>
            <w:vAlign w:val="bottom"/>
            <w:tcBorders>
              <w:bottom w:val="single" w:sz="8" w:color="CCEEFF"/>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7,934</w:t>
            </w:r>
          </w:p>
        </w:tc>
        <w:tc>
          <w:tcPr>
            <w:tcW w:w="80" w:type="dxa"/>
            <w:vAlign w:val="bottom"/>
            <w:tcBorders>
              <w:bottom w:val="single" w:sz="8" w:color="CCEEFF"/>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30,010</w:t>
            </w:r>
          </w:p>
        </w:tc>
        <w:tc>
          <w:tcPr>
            <w:tcW w:w="80" w:type="dxa"/>
            <w:vAlign w:val="bottom"/>
            <w:tcBorders>
              <w:bottom w:val="single" w:sz="8" w:color="CCEEFF"/>
            </w:tcBorders>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15,571</w:t>
            </w:r>
          </w:p>
        </w:tc>
        <w:tc>
          <w:tcPr>
            <w:tcW w:w="0" w:type="dxa"/>
            <w:vAlign w:val="bottom"/>
          </w:tcPr>
          <w:p>
            <w:pPr>
              <w:spacing w:after="0"/>
              <w:rPr>
                <w:sz w:val="1"/>
                <w:szCs w:val="1"/>
                <w:color w:val="auto"/>
              </w:rPr>
            </w:pPr>
          </w:p>
        </w:tc>
      </w:tr>
      <w:tr>
        <w:trPr>
          <w:trHeight w:val="240"/>
        </w:trPr>
        <w:tc>
          <w:tcPr>
            <w:tcW w:w="40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color w:val="auto"/>
              </w:rPr>
              <w:t>Gross margin</w:t>
            </w:r>
          </w:p>
        </w:tc>
        <w:tc>
          <w:tcPr>
            <w:tcW w:w="24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27,286</w:t>
            </w:r>
          </w:p>
        </w:tc>
        <w:tc>
          <w:tcPr>
            <w:tcW w:w="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27,370</w:t>
            </w:r>
          </w:p>
        </w:tc>
        <w:tc>
          <w:tcPr>
            <w:tcW w:w="8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53,522</w:t>
            </w:r>
          </w:p>
        </w:tc>
        <w:tc>
          <w:tcPr>
            <w:tcW w:w="8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49,453</w:t>
            </w:r>
          </w:p>
        </w:tc>
        <w:tc>
          <w:tcPr>
            <w:tcW w:w="0" w:type="dxa"/>
            <w:vAlign w:val="bottom"/>
          </w:tcPr>
          <w:p>
            <w:pPr>
              <w:spacing w:after="0"/>
              <w:rPr>
                <w:sz w:val="1"/>
                <w:szCs w:val="1"/>
                <w:color w:val="auto"/>
              </w:rPr>
            </w:pPr>
          </w:p>
        </w:tc>
      </w:tr>
      <w:tr>
        <w:trPr>
          <w:trHeight w:val="192"/>
        </w:trPr>
        <w:tc>
          <w:tcPr>
            <w:tcW w:w="4060" w:type="dxa"/>
            <w:vAlign w:val="bottom"/>
          </w:tcPr>
          <w:p>
            <w:pPr>
              <w:spacing w:after="0"/>
              <w:rPr>
                <w:sz w:val="20"/>
                <w:szCs w:val="20"/>
                <w:color w:val="auto"/>
              </w:rPr>
            </w:pPr>
            <w:r>
              <w:rPr>
                <w:rFonts w:ascii="Arial" w:cs="Arial" w:eastAsia="Arial" w:hAnsi="Arial"/>
                <w:sz w:val="16"/>
                <w:szCs w:val="16"/>
                <w:color w:val="auto"/>
              </w:rPr>
              <w:t>Operating expenses:</w:t>
            </w:r>
          </w:p>
        </w:tc>
        <w:tc>
          <w:tcPr>
            <w:tcW w:w="240" w:type="dxa"/>
            <w:vAlign w:val="bottom"/>
            <w:tcBorders>
              <w:top w:val="single" w:sz="8" w:color="auto"/>
            </w:tcBorders>
          </w:tcPr>
          <w:p>
            <w:pPr>
              <w:spacing w:after="0"/>
              <w:rPr>
                <w:sz w:val="16"/>
                <w:szCs w:val="16"/>
                <w:color w:val="auto"/>
              </w:rPr>
            </w:pPr>
          </w:p>
        </w:tc>
        <w:tc>
          <w:tcPr>
            <w:tcW w:w="1120" w:type="dxa"/>
            <w:vAlign w:val="bottom"/>
            <w:tcBorders>
              <w:top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240" w:type="dxa"/>
            <w:vAlign w:val="bottom"/>
            <w:tcBorders>
              <w:top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300" w:type="dxa"/>
            <w:vAlign w:val="bottom"/>
            <w:tcBorders>
              <w:top w:val="single" w:sz="8" w:color="auto"/>
            </w:tcBorders>
          </w:tcPr>
          <w:p>
            <w:pPr>
              <w:spacing w:after="0"/>
              <w:rPr>
                <w:sz w:val="16"/>
                <w:szCs w:val="16"/>
                <w:color w:val="auto"/>
              </w:rPr>
            </w:pPr>
          </w:p>
        </w:tc>
        <w:tc>
          <w:tcPr>
            <w:tcW w:w="1060" w:type="dxa"/>
            <w:vAlign w:val="bottom"/>
            <w:tcBorders>
              <w:top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320" w:type="dxa"/>
            <w:vAlign w:val="bottom"/>
            <w:tcBorders>
              <w:top w:val="single" w:sz="8" w:color="auto"/>
            </w:tcBorders>
          </w:tcPr>
          <w:p>
            <w:pPr>
              <w:spacing w:after="0"/>
              <w:rPr>
                <w:sz w:val="16"/>
                <w:szCs w:val="16"/>
                <w:color w:val="auto"/>
              </w:rPr>
            </w:pPr>
          </w:p>
        </w:tc>
        <w:tc>
          <w:tcPr>
            <w:tcW w:w="104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37"/>
        </w:trPr>
        <w:tc>
          <w:tcPr>
            <w:tcW w:w="4060" w:type="dxa"/>
            <w:vAlign w:val="bottom"/>
          </w:tcPr>
          <w:p>
            <w:pPr>
              <w:spacing w:after="0"/>
              <w:rPr>
                <w:sz w:val="3"/>
                <w:szCs w:val="3"/>
                <w:color w:val="auto"/>
              </w:rPr>
            </w:pPr>
          </w:p>
        </w:tc>
        <w:tc>
          <w:tcPr>
            <w:tcW w:w="240" w:type="dxa"/>
            <w:vAlign w:val="bottom"/>
          </w:tcPr>
          <w:p>
            <w:pPr>
              <w:spacing w:after="0"/>
              <w:rPr>
                <w:sz w:val="3"/>
                <w:szCs w:val="3"/>
                <w:color w:val="auto"/>
              </w:rPr>
            </w:pPr>
          </w:p>
        </w:tc>
        <w:tc>
          <w:tcPr>
            <w:tcW w:w="112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240" w:type="dxa"/>
            <w:vAlign w:val="bottom"/>
          </w:tcPr>
          <w:p>
            <w:pPr>
              <w:spacing w:after="0"/>
              <w:rPr>
                <w:sz w:val="3"/>
                <w:szCs w:val="3"/>
                <w:color w:val="auto"/>
              </w:rPr>
            </w:pPr>
          </w:p>
        </w:tc>
        <w:tc>
          <w:tcPr>
            <w:tcW w:w="80" w:type="dxa"/>
            <w:vAlign w:val="bottom"/>
          </w:tcPr>
          <w:p>
            <w:pPr>
              <w:spacing w:after="0"/>
              <w:rPr>
                <w:sz w:val="3"/>
                <w:szCs w:val="3"/>
                <w:color w:val="auto"/>
              </w:rPr>
            </w:pPr>
          </w:p>
        </w:tc>
        <w:tc>
          <w:tcPr>
            <w:tcW w:w="300" w:type="dxa"/>
            <w:vAlign w:val="bottom"/>
          </w:tcPr>
          <w:p>
            <w:pPr>
              <w:spacing w:after="0"/>
              <w:rPr>
                <w:sz w:val="3"/>
                <w:szCs w:val="3"/>
                <w:color w:val="auto"/>
              </w:rPr>
            </w:pPr>
          </w:p>
        </w:tc>
        <w:tc>
          <w:tcPr>
            <w:tcW w:w="1060" w:type="dxa"/>
            <w:vAlign w:val="bottom"/>
          </w:tcPr>
          <w:p>
            <w:pPr>
              <w:spacing w:after="0"/>
              <w:rPr>
                <w:sz w:val="3"/>
                <w:szCs w:val="3"/>
                <w:color w:val="auto"/>
              </w:rPr>
            </w:pPr>
          </w:p>
        </w:tc>
        <w:tc>
          <w:tcPr>
            <w:tcW w:w="80" w:type="dxa"/>
            <w:vAlign w:val="bottom"/>
          </w:tcPr>
          <w:p>
            <w:pPr>
              <w:spacing w:after="0"/>
              <w:rPr>
                <w:sz w:val="3"/>
                <w:szCs w:val="3"/>
                <w:color w:val="auto"/>
              </w:rPr>
            </w:pPr>
          </w:p>
        </w:tc>
        <w:tc>
          <w:tcPr>
            <w:tcW w:w="320" w:type="dxa"/>
            <w:vAlign w:val="bottom"/>
          </w:tcPr>
          <w:p>
            <w:pPr>
              <w:spacing w:after="0"/>
              <w:rPr>
                <w:sz w:val="3"/>
                <w:szCs w:val="3"/>
                <w:color w:val="auto"/>
              </w:rPr>
            </w:pPr>
          </w:p>
        </w:tc>
        <w:tc>
          <w:tcPr>
            <w:tcW w:w="10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48"/>
        </w:trPr>
        <w:tc>
          <w:tcPr>
            <w:tcW w:w="4060" w:type="dxa"/>
            <w:vAlign w:val="bottom"/>
            <w:shd w:val="clear" w:color="auto" w:fill="CCEEFF"/>
          </w:tcPr>
          <w:p>
            <w:pPr>
              <w:ind w:left="200"/>
              <w:spacing w:after="0"/>
              <w:rPr>
                <w:sz w:val="20"/>
                <w:szCs w:val="20"/>
                <w:color w:val="auto"/>
              </w:rPr>
            </w:pPr>
            <w:r>
              <w:rPr>
                <w:rFonts w:ascii="Arial" w:cs="Arial" w:eastAsia="Arial" w:hAnsi="Arial"/>
                <w:sz w:val="16"/>
                <w:szCs w:val="16"/>
                <w:color w:val="auto"/>
              </w:rPr>
              <w:t>Research and development</w:t>
            </w:r>
            <w:r>
              <w:rPr>
                <w:rFonts w:ascii="Arial" w:cs="Arial" w:eastAsia="Arial" w:hAnsi="Arial"/>
                <w:sz w:val="20"/>
                <w:szCs w:val="20"/>
                <w:color w:val="auto"/>
                <w:vertAlign w:val="superscript"/>
              </w:rPr>
              <w:t>(1)</w:t>
            </w:r>
          </w:p>
        </w:tc>
        <w:tc>
          <w:tcPr>
            <w:tcW w:w="240" w:type="dxa"/>
            <w:vAlign w:val="bottom"/>
            <w:shd w:val="clear" w:color="auto" w:fill="CCEEFF"/>
          </w:tcPr>
          <w:p>
            <w:pPr>
              <w:spacing w:after="0"/>
              <w:rPr>
                <w:sz w:val="21"/>
                <w:szCs w:val="21"/>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3,584</w:t>
            </w:r>
          </w:p>
        </w:tc>
        <w:tc>
          <w:tcPr>
            <w:tcW w:w="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4,874</w:t>
            </w:r>
          </w:p>
        </w:tc>
        <w:tc>
          <w:tcPr>
            <w:tcW w:w="8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7,285</w:t>
            </w:r>
          </w:p>
        </w:tc>
        <w:tc>
          <w:tcPr>
            <w:tcW w:w="8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5,971</w:t>
            </w:r>
          </w:p>
        </w:tc>
        <w:tc>
          <w:tcPr>
            <w:tcW w:w="0" w:type="dxa"/>
            <w:vAlign w:val="bottom"/>
          </w:tcPr>
          <w:p>
            <w:pPr>
              <w:spacing w:after="0"/>
              <w:rPr>
                <w:sz w:val="1"/>
                <w:szCs w:val="1"/>
                <w:color w:val="auto"/>
              </w:rPr>
            </w:pPr>
          </w:p>
        </w:tc>
      </w:tr>
      <w:tr>
        <w:trPr>
          <w:trHeight w:val="248"/>
        </w:trPr>
        <w:tc>
          <w:tcPr>
            <w:tcW w:w="4060" w:type="dxa"/>
            <w:vAlign w:val="bottom"/>
          </w:tcPr>
          <w:p>
            <w:pPr>
              <w:ind w:left="200"/>
              <w:spacing w:after="0"/>
              <w:rPr>
                <w:sz w:val="20"/>
                <w:szCs w:val="20"/>
                <w:color w:val="auto"/>
              </w:rPr>
            </w:pPr>
            <w:r>
              <w:rPr>
                <w:rFonts w:ascii="Arial" w:cs="Arial" w:eastAsia="Arial" w:hAnsi="Arial"/>
                <w:sz w:val="16"/>
                <w:szCs w:val="16"/>
                <w:color w:val="auto"/>
              </w:rPr>
              <w:t>General and administrative</w:t>
            </w:r>
            <w:r>
              <w:rPr>
                <w:rFonts w:ascii="Arial" w:cs="Arial" w:eastAsia="Arial" w:hAnsi="Arial"/>
                <w:sz w:val="20"/>
                <w:szCs w:val="20"/>
                <w:color w:val="auto"/>
                <w:vertAlign w:val="superscript"/>
              </w:rPr>
              <w:t>(1)</w:t>
            </w:r>
          </w:p>
        </w:tc>
        <w:tc>
          <w:tcPr>
            <w:tcW w:w="2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15,432</w:t>
            </w: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11,127</w:t>
            </w:r>
          </w:p>
        </w:tc>
        <w:tc>
          <w:tcPr>
            <w:tcW w:w="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29,438</w:t>
            </w:r>
          </w:p>
        </w:tc>
        <w:tc>
          <w:tcPr>
            <w:tcW w:w="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17,494</w:t>
            </w:r>
          </w:p>
        </w:tc>
        <w:tc>
          <w:tcPr>
            <w:tcW w:w="0" w:type="dxa"/>
            <w:vAlign w:val="bottom"/>
          </w:tcPr>
          <w:p>
            <w:pPr>
              <w:spacing w:after="0"/>
              <w:rPr>
                <w:sz w:val="1"/>
                <w:szCs w:val="1"/>
                <w:color w:val="auto"/>
              </w:rPr>
            </w:pPr>
          </w:p>
        </w:tc>
      </w:tr>
      <w:tr>
        <w:trPr>
          <w:trHeight w:val="248"/>
        </w:trPr>
        <w:tc>
          <w:tcPr>
            <w:tcW w:w="4060" w:type="dxa"/>
            <w:vAlign w:val="bottom"/>
            <w:shd w:val="clear" w:color="auto" w:fill="CCEEFF"/>
          </w:tcPr>
          <w:p>
            <w:pPr>
              <w:ind w:left="200"/>
              <w:spacing w:after="0"/>
              <w:rPr>
                <w:sz w:val="20"/>
                <w:szCs w:val="20"/>
                <w:color w:val="auto"/>
              </w:rPr>
            </w:pPr>
            <w:r>
              <w:rPr>
                <w:rFonts w:ascii="Arial" w:cs="Arial" w:eastAsia="Arial" w:hAnsi="Arial"/>
                <w:sz w:val="16"/>
                <w:szCs w:val="16"/>
                <w:color w:val="auto"/>
              </w:rPr>
              <w:t>Sales and marketing</w:t>
            </w:r>
            <w:r>
              <w:rPr>
                <w:rFonts w:ascii="Arial" w:cs="Arial" w:eastAsia="Arial" w:hAnsi="Arial"/>
                <w:sz w:val="20"/>
                <w:szCs w:val="20"/>
                <w:color w:val="auto"/>
                <w:vertAlign w:val="superscript"/>
              </w:rPr>
              <w:t>(1)</w:t>
            </w:r>
          </w:p>
        </w:tc>
        <w:tc>
          <w:tcPr>
            <w:tcW w:w="240" w:type="dxa"/>
            <w:vAlign w:val="bottom"/>
            <w:tcBorders>
              <w:bottom w:val="single" w:sz="8" w:color="auto"/>
            </w:tcBorders>
            <w:shd w:val="clear" w:color="auto" w:fill="CCEEFF"/>
          </w:tcPr>
          <w:p>
            <w:pPr>
              <w:spacing w:after="0"/>
              <w:rPr>
                <w:sz w:val="21"/>
                <w:szCs w:val="21"/>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12,244</w:t>
            </w:r>
          </w:p>
        </w:tc>
        <w:tc>
          <w:tcPr>
            <w:tcW w:w="80" w:type="dxa"/>
            <w:vAlign w:val="bottom"/>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spacing w:after="0"/>
              <w:rPr>
                <w:sz w:val="21"/>
                <w:szCs w:val="21"/>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3,870</w:t>
            </w:r>
          </w:p>
        </w:tc>
        <w:tc>
          <w:tcPr>
            <w:tcW w:w="80" w:type="dxa"/>
            <w:vAlign w:val="bottom"/>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spacing w:after="0"/>
              <w:rPr>
                <w:sz w:val="21"/>
                <w:szCs w:val="21"/>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25,616</w:t>
            </w:r>
          </w:p>
        </w:tc>
        <w:tc>
          <w:tcPr>
            <w:tcW w:w="80" w:type="dxa"/>
            <w:vAlign w:val="bottom"/>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spacing w:after="0"/>
              <w:rPr>
                <w:sz w:val="21"/>
                <w:szCs w:val="21"/>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6,947</w:t>
            </w:r>
          </w:p>
        </w:tc>
        <w:tc>
          <w:tcPr>
            <w:tcW w:w="0" w:type="dxa"/>
            <w:vAlign w:val="bottom"/>
          </w:tcPr>
          <w:p>
            <w:pPr>
              <w:spacing w:after="0"/>
              <w:rPr>
                <w:sz w:val="1"/>
                <w:szCs w:val="1"/>
                <w:color w:val="auto"/>
              </w:rPr>
            </w:pPr>
          </w:p>
        </w:tc>
      </w:tr>
      <w:tr>
        <w:trPr>
          <w:trHeight w:val="203"/>
        </w:trPr>
        <w:tc>
          <w:tcPr>
            <w:tcW w:w="4060" w:type="dxa"/>
            <w:vAlign w:val="bottom"/>
          </w:tcPr>
          <w:p>
            <w:pPr>
              <w:ind w:left="380"/>
              <w:spacing w:after="0"/>
              <w:rPr>
                <w:sz w:val="20"/>
                <w:szCs w:val="20"/>
                <w:color w:val="auto"/>
              </w:rPr>
            </w:pPr>
            <w:r>
              <w:rPr>
                <w:rFonts w:ascii="Arial" w:cs="Arial" w:eastAsia="Arial" w:hAnsi="Arial"/>
                <w:sz w:val="16"/>
                <w:szCs w:val="16"/>
                <w:color w:val="auto"/>
              </w:rPr>
              <w:t>Total operating expenses</w:t>
            </w:r>
          </w:p>
        </w:tc>
        <w:tc>
          <w:tcPr>
            <w:tcW w:w="24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31,260</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19,871</w:t>
            </w:r>
          </w:p>
        </w:tc>
        <w:tc>
          <w:tcPr>
            <w:tcW w:w="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62,339</w:t>
            </w: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30,412</w:t>
            </w:r>
          </w:p>
        </w:tc>
        <w:tc>
          <w:tcPr>
            <w:tcW w:w="0" w:type="dxa"/>
            <w:vAlign w:val="bottom"/>
          </w:tcPr>
          <w:p>
            <w:pPr>
              <w:spacing w:after="0"/>
              <w:rPr>
                <w:sz w:val="1"/>
                <w:szCs w:val="1"/>
                <w:color w:val="auto"/>
              </w:rPr>
            </w:pPr>
          </w:p>
        </w:tc>
      </w:tr>
      <w:tr>
        <w:trPr>
          <w:trHeight w:val="37"/>
        </w:trPr>
        <w:tc>
          <w:tcPr>
            <w:tcW w:w="4060" w:type="dxa"/>
            <w:vAlign w:val="bottom"/>
            <w:tcBorders>
              <w:bottom w:val="single" w:sz="8" w:color="CCEEFF"/>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24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106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0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20"/>
        </w:trPr>
        <w:tc>
          <w:tcPr>
            <w:tcW w:w="40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color w:val="auto"/>
              </w:rPr>
              <w:t>(Loss) income from operations</w:t>
            </w:r>
          </w:p>
        </w:tc>
        <w:tc>
          <w:tcPr>
            <w:tcW w:w="240" w:type="dxa"/>
            <w:vAlign w:val="bottom"/>
            <w:tcBorders>
              <w:bottom w:val="single" w:sz="8" w:color="CCEEFF"/>
            </w:tcBorders>
            <w:shd w:val="clear" w:color="auto" w:fill="CCEEFF"/>
          </w:tcPr>
          <w:p>
            <w:pPr>
              <w:spacing w:after="0"/>
              <w:rPr>
                <w:sz w:val="19"/>
                <w:szCs w:val="19"/>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(3,974)</w:t>
            </w:r>
          </w:p>
        </w:tc>
        <w:tc>
          <w:tcPr>
            <w:tcW w:w="8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7,499</w:t>
            </w:r>
          </w:p>
        </w:tc>
        <w:tc>
          <w:tcPr>
            <w:tcW w:w="8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CCEEFF"/>
            </w:tcBorders>
            <w:shd w:val="clear" w:color="auto" w:fill="CCEEFF"/>
          </w:tcPr>
          <w:p>
            <w:pPr>
              <w:spacing w:after="0"/>
              <w:rPr>
                <w:sz w:val="19"/>
                <w:szCs w:val="19"/>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(8,817)</w:t>
            </w:r>
          </w:p>
        </w:tc>
        <w:tc>
          <w:tcPr>
            <w:tcW w:w="8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CCEEFF"/>
            </w:tcBorders>
            <w:shd w:val="clear" w:color="auto" w:fill="CCEEFF"/>
          </w:tcPr>
          <w:p>
            <w:pPr>
              <w:spacing w:after="0"/>
              <w:rPr>
                <w:sz w:val="19"/>
                <w:szCs w:val="19"/>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19,041</w:t>
            </w:r>
          </w:p>
        </w:tc>
        <w:tc>
          <w:tcPr>
            <w:tcW w:w="0" w:type="dxa"/>
            <w:vAlign w:val="bottom"/>
          </w:tcPr>
          <w:p>
            <w:pPr>
              <w:spacing w:after="0"/>
              <w:rPr>
                <w:sz w:val="1"/>
                <w:szCs w:val="1"/>
                <w:color w:val="auto"/>
              </w:rPr>
            </w:pPr>
          </w:p>
        </w:tc>
      </w:tr>
      <w:tr>
        <w:trPr>
          <w:trHeight w:val="212"/>
        </w:trPr>
        <w:tc>
          <w:tcPr>
            <w:tcW w:w="4060" w:type="dxa"/>
            <w:vAlign w:val="bottom"/>
          </w:tcPr>
          <w:p>
            <w:pPr>
              <w:spacing w:after="0"/>
              <w:rPr>
                <w:sz w:val="20"/>
                <w:szCs w:val="20"/>
                <w:color w:val="auto"/>
              </w:rPr>
            </w:pPr>
            <w:r>
              <w:rPr>
                <w:rFonts w:ascii="Arial" w:cs="Arial" w:eastAsia="Arial" w:hAnsi="Arial"/>
                <w:sz w:val="16"/>
                <w:szCs w:val="16"/>
                <w:color w:val="auto"/>
              </w:rPr>
              <w:t>Interest and other expenses, net</w:t>
            </w:r>
          </w:p>
        </w:tc>
        <w:tc>
          <w:tcPr>
            <w:tcW w:w="2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(1,955)</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(769)</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(2,856)</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(1,506)</w:t>
            </w:r>
          </w:p>
        </w:tc>
        <w:tc>
          <w:tcPr>
            <w:tcW w:w="0" w:type="dxa"/>
            <w:vAlign w:val="bottom"/>
          </w:tcPr>
          <w:p>
            <w:pPr>
              <w:spacing w:after="0"/>
              <w:rPr>
                <w:sz w:val="1"/>
                <w:szCs w:val="1"/>
                <w:color w:val="auto"/>
              </w:rPr>
            </w:pPr>
          </w:p>
        </w:tc>
      </w:tr>
      <w:tr>
        <w:trPr>
          <w:trHeight w:val="37"/>
        </w:trPr>
        <w:tc>
          <w:tcPr>
            <w:tcW w:w="4060" w:type="dxa"/>
            <w:vAlign w:val="bottom"/>
            <w:tcBorders>
              <w:bottom w:val="single" w:sz="8" w:color="CCEEFF"/>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24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106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0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20"/>
        </w:trPr>
        <w:tc>
          <w:tcPr>
            <w:tcW w:w="40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color w:val="auto"/>
              </w:rPr>
              <w:t>(Loss) income before income taxes</w:t>
            </w:r>
          </w:p>
        </w:tc>
        <w:tc>
          <w:tcPr>
            <w:tcW w:w="240" w:type="dxa"/>
            <w:vAlign w:val="bottom"/>
            <w:tcBorders>
              <w:bottom w:val="single" w:sz="8" w:color="CCEEFF"/>
            </w:tcBorders>
            <w:shd w:val="clear" w:color="auto" w:fill="CCEEFF"/>
          </w:tcPr>
          <w:p>
            <w:pPr>
              <w:spacing w:after="0"/>
              <w:rPr>
                <w:sz w:val="19"/>
                <w:szCs w:val="19"/>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(5,929)</w:t>
            </w:r>
          </w:p>
        </w:tc>
        <w:tc>
          <w:tcPr>
            <w:tcW w:w="8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6,730</w:t>
            </w:r>
          </w:p>
        </w:tc>
        <w:tc>
          <w:tcPr>
            <w:tcW w:w="8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CCEEFF"/>
            </w:tcBorders>
            <w:shd w:val="clear" w:color="auto" w:fill="CCEEFF"/>
          </w:tcPr>
          <w:p>
            <w:pPr>
              <w:spacing w:after="0"/>
              <w:rPr>
                <w:sz w:val="19"/>
                <w:szCs w:val="19"/>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(11,673)</w:t>
            </w:r>
          </w:p>
        </w:tc>
        <w:tc>
          <w:tcPr>
            <w:tcW w:w="8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CCEEFF"/>
            </w:tcBorders>
            <w:shd w:val="clear" w:color="auto" w:fill="CCEEFF"/>
          </w:tcPr>
          <w:p>
            <w:pPr>
              <w:spacing w:after="0"/>
              <w:rPr>
                <w:sz w:val="19"/>
                <w:szCs w:val="19"/>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17,535</w:t>
            </w:r>
          </w:p>
        </w:tc>
        <w:tc>
          <w:tcPr>
            <w:tcW w:w="0" w:type="dxa"/>
            <w:vAlign w:val="bottom"/>
          </w:tcPr>
          <w:p>
            <w:pPr>
              <w:spacing w:after="0"/>
              <w:rPr>
                <w:sz w:val="1"/>
                <w:szCs w:val="1"/>
                <w:color w:val="auto"/>
              </w:rPr>
            </w:pPr>
          </w:p>
        </w:tc>
      </w:tr>
      <w:tr>
        <w:trPr>
          <w:trHeight w:val="212"/>
        </w:trPr>
        <w:tc>
          <w:tcPr>
            <w:tcW w:w="4060" w:type="dxa"/>
            <w:vAlign w:val="bottom"/>
          </w:tcPr>
          <w:p>
            <w:pPr>
              <w:spacing w:after="0"/>
              <w:rPr>
                <w:sz w:val="20"/>
                <w:szCs w:val="20"/>
                <w:color w:val="auto"/>
              </w:rPr>
            </w:pPr>
            <w:r>
              <w:rPr>
                <w:rFonts w:ascii="Arial" w:cs="Arial" w:eastAsia="Arial" w:hAnsi="Arial"/>
                <w:sz w:val="16"/>
                <w:szCs w:val="16"/>
                <w:color w:val="auto"/>
              </w:rPr>
              <w:t>Provision for income taxes</w:t>
            </w:r>
          </w:p>
        </w:tc>
        <w:tc>
          <w:tcPr>
            <w:tcW w:w="2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(2,065)</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(99)</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(3,697)</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(2,861)</w:t>
            </w:r>
          </w:p>
        </w:tc>
        <w:tc>
          <w:tcPr>
            <w:tcW w:w="0" w:type="dxa"/>
            <w:vAlign w:val="bottom"/>
          </w:tcPr>
          <w:p>
            <w:pPr>
              <w:spacing w:after="0"/>
              <w:rPr>
                <w:sz w:val="1"/>
                <w:szCs w:val="1"/>
                <w:color w:val="auto"/>
              </w:rPr>
            </w:pPr>
          </w:p>
        </w:tc>
      </w:tr>
      <w:tr>
        <w:trPr>
          <w:trHeight w:val="37"/>
        </w:trPr>
        <w:tc>
          <w:tcPr>
            <w:tcW w:w="4060" w:type="dxa"/>
            <w:vAlign w:val="bottom"/>
            <w:tcBorders>
              <w:bottom w:val="single" w:sz="8" w:color="CCEEFF"/>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24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106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0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59"/>
        </w:trPr>
        <w:tc>
          <w:tcPr>
            <w:tcW w:w="40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color w:val="auto"/>
              </w:rPr>
              <w:t>Net (loss) income</w:t>
            </w:r>
          </w:p>
        </w:tc>
        <w:tc>
          <w:tcPr>
            <w:tcW w:w="240" w:type="dxa"/>
            <w:vAlign w:val="bottom"/>
            <w:tcBorders>
              <w:bottom w:val="single" w:sz="8" w:color="auto"/>
            </w:tcBorders>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(7,994)</w:t>
            </w:r>
          </w:p>
        </w:tc>
        <w:tc>
          <w:tcPr>
            <w:tcW w:w="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6,631</w:t>
            </w:r>
          </w:p>
        </w:tc>
        <w:tc>
          <w:tcPr>
            <w:tcW w:w="8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jc w:val="right"/>
              <w:ind w:right="121"/>
              <w:spacing w:after="0"/>
              <w:rPr>
                <w:sz w:val="20"/>
                <w:szCs w:val="20"/>
                <w:color w:val="auto"/>
              </w:rPr>
            </w:pPr>
            <w:r>
              <w:rPr>
                <w:rFonts w:ascii="Arial" w:cs="Arial" w:eastAsia="Arial" w:hAnsi="Arial"/>
                <w:sz w:val="16"/>
                <w:szCs w:val="16"/>
                <w:color w:val="auto"/>
                <w:w w:val="8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(15,370)</w:t>
            </w:r>
          </w:p>
        </w:tc>
        <w:tc>
          <w:tcPr>
            <w:tcW w:w="8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jc w:val="right"/>
              <w:ind w:right="141"/>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14,674</w:t>
            </w:r>
          </w:p>
        </w:tc>
        <w:tc>
          <w:tcPr>
            <w:tcW w:w="0" w:type="dxa"/>
            <w:vAlign w:val="bottom"/>
          </w:tcPr>
          <w:p>
            <w:pPr>
              <w:spacing w:after="0"/>
              <w:rPr>
                <w:sz w:val="1"/>
                <w:szCs w:val="1"/>
                <w:color w:val="auto"/>
              </w:rPr>
            </w:pPr>
          </w:p>
        </w:tc>
      </w:tr>
      <w:tr>
        <w:trPr>
          <w:trHeight w:val="20"/>
        </w:trPr>
        <w:tc>
          <w:tcPr>
            <w:tcW w:w="406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7"/>
        </w:trPr>
        <w:tc>
          <w:tcPr>
            <w:tcW w:w="40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8"/>
        </w:trPr>
        <w:tc>
          <w:tcPr>
            <w:tcW w:w="40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color w:val="auto"/>
              </w:rPr>
              <w:t>Less: income allocated to participating securities</w:t>
            </w:r>
          </w:p>
        </w:tc>
        <w:tc>
          <w:tcPr>
            <w:tcW w:w="2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(4,706)</w:t>
            </w:r>
          </w:p>
        </w:tc>
        <w:tc>
          <w:tcPr>
            <w:tcW w:w="8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(9,426)</w:t>
            </w:r>
          </w:p>
        </w:tc>
        <w:tc>
          <w:tcPr>
            <w:tcW w:w="0" w:type="dxa"/>
            <w:vAlign w:val="bottom"/>
          </w:tcPr>
          <w:p>
            <w:pPr>
              <w:spacing w:after="0"/>
              <w:rPr>
                <w:sz w:val="1"/>
                <w:szCs w:val="1"/>
                <w:color w:val="auto"/>
              </w:rPr>
            </w:pPr>
          </w:p>
        </w:tc>
      </w:tr>
      <w:tr>
        <w:trPr>
          <w:trHeight w:val="192"/>
        </w:trPr>
        <w:tc>
          <w:tcPr>
            <w:tcW w:w="4060" w:type="dxa"/>
            <w:vAlign w:val="bottom"/>
          </w:tcPr>
          <w:p>
            <w:pPr>
              <w:spacing w:after="0"/>
              <w:rPr>
                <w:sz w:val="20"/>
                <w:szCs w:val="20"/>
                <w:color w:val="auto"/>
              </w:rPr>
            </w:pPr>
            <w:r>
              <w:rPr>
                <w:rFonts w:ascii="Arial" w:cs="Arial" w:eastAsia="Arial" w:hAnsi="Arial"/>
                <w:sz w:val="16"/>
                <w:szCs w:val="16"/>
                <w:color w:val="auto"/>
              </w:rPr>
              <w:t>Net (loss) income attributable to Class A, LT10 and LT50</w:t>
            </w:r>
          </w:p>
        </w:tc>
        <w:tc>
          <w:tcPr>
            <w:tcW w:w="240" w:type="dxa"/>
            <w:vAlign w:val="bottom"/>
            <w:tcBorders>
              <w:top w:val="single" w:sz="8" w:color="auto"/>
            </w:tcBorders>
            <w:vMerge w:val="restart"/>
          </w:tcPr>
          <w:p>
            <w:pPr>
              <w:jc w:val="right"/>
              <w:ind w:right="87"/>
              <w:spacing w:after="0"/>
              <w:rPr>
                <w:sz w:val="20"/>
                <w:szCs w:val="20"/>
                <w:color w:val="auto"/>
              </w:rPr>
            </w:pPr>
            <w:r>
              <w:rPr>
                <w:rFonts w:ascii="Arial" w:cs="Arial" w:eastAsia="Arial" w:hAnsi="Arial"/>
                <w:sz w:val="15"/>
                <w:szCs w:val="15"/>
                <w:color w:val="auto"/>
                <w:w w:val="71"/>
              </w:rPr>
              <w:t>$</w:t>
            </w:r>
          </w:p>
        </w:tc>
        <w:tc>
          <w:tcPr>
            <w:tcW w:w="1120" w:type="dxa"/>
            <w:vAlign w:val="bottom"/>
            <w:tcBorders>
              <w:top w:val="single" w:sz="8" w:color="auto"/>
            </w:tcBorders>
            <w:vMerge w:val="restart"/>
          </w:tcPr>
          <w:p>
            <w:pPr>
              <w:jc w:val="right"/>
              <w:spacing w:after="0"/>
              <w:rPr>
                <w:sz w:val="20"/>
                <w:szCs w:val="20"/>
                <w:color w:val="auto"/>
              </w:rPr>
            </w:pPr>
            <w:r>
              <w:rPr>
                <w:rFonts w:ascii="Arial" w:cs="Arial" w:eastAsia="Arial" w:hAnsi="Arial"/>
                <w:sz w:val="16"/>
                <w:szCs w:val="16"/>
                <w:color w:val="auto"/>
              </w:rPr>
              <w:t>(7,994)</w:t>
            </w:r>
          </w:p>
        </w:tc>
        <w:tc>
          <w:tcPr>
            <w:tcW w:w="80" w:type="dxa"/>
            <w:vAlign w:val="bottom"/>
          </w:tcPr>
          <w:p>
            <w:pPr>
              <w:spacing w:after="0"/>
              <w:rPr>
                <w:sz w:val="16"/>
                <w:szCs w:val="16"/>
                <w:color w:val="auto"/>
              </w:rPr>
            </w:pPr>
          </w:p>
        </w:tc>
        <w:tc>
          <w:tcPr>
            <w:tcW w:w="120" w:type="dxa"/>
            <w:vAlign w:val="bottom"/>
            <w:tcBorders>
              <w:top w:val="single" w:sz="8" w:color="auto"/>
            </w:tcBorders>
            <w:vMerge w:val="restart"/>
          </w:tcPr>
          <w:p>
            <w:pPr>
              <w:jc w:val="right"/>
              <w:spacing w:after="0"/>
              <w:rPr>
                <w:sz w:val="20"/>
                <w:szCs w:val="20"/>
                <w:color w:val="auto"/>
              </w:rPr>
            </w:pPr>
            <w:r>
              <w:rPr>
                <w:rFonts w:ascii="Arial" w:cs="Arial" w:eastAsia="Arial" w:hAnsi="Arial"/>
                <w:sz w:val="16"/>
                <w:szCs w:val="16"/>
                <w:color w:val="auto"/>
                <w:w w:val="89"/>
              </w:rPr>
              <w:t>$</w:t>
            </w:r>
          </w:p>
        </w:tc>
        <w:tc>
          <w:tcPr>
            <w:tcW w:w="1240" w:type="dxa"/>
            <w:vAlign w:val="bottom"/>
            <w:tcBorders>
              <w:top w:val="single" w:sz="8" w:color="auto"/>
            </w:tcBorders>
            <w:vMerge w:val="restart"/>
          </w:tcPr>
          <w:p>
            <w:pPr>
              <w:jc w:val="right"/>
              <w:spacing w:after="0"/>
              <w:rPr>
                <w:sz w:val="20"/>
                <w:szCs w:val="20"/>
                <w:color w:val="auto"/>
              </w:rPr>
            </w:pPr>
            <w:r>
              <w:rPr>
                <w:rFonts w:ascii="Arial" w:cs="Arial" w:eastAsia="Arial" w:hAnsi="Arial"/>
                <w:sz w:val="16"/>
                <w:szCs w:val="16"/>
                <w:color w:val="auto"/>
              </w:rPr>
              <w:t>1,925</w:t>
            </w:r>
          </w:p>
        </w:tc>
        <w:tc>
          <w:tcPr>
            <w:tcW w:w="80" w:type="dxa"/>
            <w:vAlign w:val="bottom"/>
          </w:tcPr>
          <w:p>
            <w:pPr>
              <w:spacing w:after="0"/>
              <w:rPr>
                <w:sz w:val="16"/>
                <w:szCs w:val="16"/>
                <w:color w:val="auto"/>
              </w:rPr>
            </w:pPr>
          </w:p>
        </w:tc>
        <w:tc>
          <w:tcPr>
            <w:tcW w:w="300" w:type="dxa"/>
            <w:vAlign w:val="bottom"/>
            <w:tcBorders>
              <w:top w:val="single" w:sz="8" w:color="auto"/>
            </w:tcBorders>
            <w:vMerge w:val="restart"/>
          </w:tcPr>
          <w:p>
            <w:pPr>
              <w:jc w:val="right"/>
              <w:ind w:right="121"/>
              <w:spacing w:after="0"/>
              <w:rPr>
                <w:sz w:val="20"/>
                <w:szCs w:val="20"/>
                <w:color w:val="auto"/>
              </w:rPr>
            </w:pPr>
            <w:r>
              <w:rPr>
                <w:rFonts w:ascii="Arial" w:cs="Arial" w:eastAsia="Arial" w:hAnsi="Arial"/>
                <w:sz w:val="16"/>
                <w:szCs w:val="16"/>
                <w:color w:val="auto"/>
                <w:w w:val="89"/>
              </w:rPr>
              <w:t>$</w:t>
            </w:r>
          </w:p>
        </w:tc>
        <w:tc>
          <w:tcPr>
            <w:tcW w:w="1060" w:type="dxa"/>
            <w:vAlign w:val="bottom"/>
            <w:tcBorders>
              <w:top w:val="single" w:sz="8" w:color="auto"/>
            </w:tcBorders>
            <w:vMerge w:val="restart"/>
          </w:tcPr>
          <w:p>
            <w:pPr>
              <w:jc w:val="right"/>
              <w:spacing w:after="0"/>
              <w:rPr>
                <w:sz w:val="20"/>
                <w:szCs w:val="20"/>
                <w:color w:val="auto"/>
              </w:rPr>
            </w:pPr>
            <w:r>
              <w:rPr>
                <w:rFonts w:ascii="Arial" w:cs="Arial" w:eastAsia="Arial" w:hAnsi="Arial"/>
                <w:sz w:val="16"/>
                <w:szCs w:val="16"/>
                <w:color w:val="auto"/>
              </w:rPr>
              <w:t>(15,370)</w:t>
            </w:r>
          </w:p>
        </w:tc>
        <w:tc>
          <w:tcPr>
            <w:tcW w:w="80" w:type="dxa"/>
            <w:vAlign w:val="bottom"/>
          </w:tcPr>
          <w:p>
            <w:pPr>
              <w:spacing w:after="0"/>
              <w:rPr>
                <w:sz w:val="16"/>
                <w:szCs w:val="16"/>
                <w:color w:val="auto"/>
              </w:rPr>
            </w:pPr>
          </w:p>
        </w:tc>
        <w:tc>
          <w:tcPr>
            <w:tcW w:w="320" w:type="dxa"/>
            <w:vAlign w:val="bottom"/>
            <w:tcBorders>
              <w:top w:val="single" w:sz="8" w:color="auto"/>
            </w:tcBorders>
            <w:vMerge w:val="restart"/>
          </w:tcPr>
          <w:p>
            <w:pPr>
              <w:jc w:val="right"/>
              <w:ind w:right="141"/>
              <w:spacing w:after="0"/>
              <w:rPr>
                <w:sz w:val="20"/>
                <w:szCs w:val="20"/>
                <w:color w:val="auto"/>
              </w:rPr>
            </w:pPr>
            <w:r>
              <w:rPr>
                <w:rFonts w:ascii="Arial" w:cs="Arial" w:eastAsia="Arial" w:hAnsi="Arial"/>
                <w:sz w:val="16"/>
                <w:szCs w:val="16"/>
                <w:color w:val="auto"/>
                <w:w w:val="89"/>
              </w:rPr>
              <w:t>$</w:t>
            </w:r>
          </w:p>
        </w:tc>
        <w:tc>
          <w:tcPr>
            <w:tcW w:w="1040" w:type="dxa"/>
            <w:vAlign w:val="bottom"/>
            <w:tcBorders>
              <w:top w:val="single" w:sz="8" w:color="auto"/>
            </w:tcBorders>
            <w:vMerge w:val="restart"/>
          </w:tcPr>
          <w:p>
            <w:pPr>
              <w:jc w:val="right"/>
              <w:spacing w:after="0"/>
              <w:rPr>
                <w:sz w:val="20"/>
                <w:szCs w:val="20"/>
                <w:color w:val="auto"/>
              </w:rPr>
            </w:pPr>
            <w:r>
              <w:rPr>
                <w:rFonts w:ascii="Arial" w:cs="Arial" w:eastAsia="Arial" w:hAnsi="Arial"/>
                <w:sz w:val="16"/>
                <w:szCs w:val="16"/>
                <w:color w:val="auto"/>
              </w:rPr>
              <w:t>5,248</w:t>
            </w:r>
          </w:p>
        </w:tc>
        <w:tc>
          <w:tcPr>
            <w:tcW w:w="0" w:type="dxa"/>
            <w:vAlign w:val="bottom"/>
          </w:tcPr>
          <w:p>
            <w:pPr>
              <w:spacing w:after="0"/>
              <w:rPr>
                <w:sz w:val="1"/>
                <w:szCs w:val="1"/>
                <w:color w:val="auto"/>
              </w:rPr>
            </w:pPr>
          </w:p>
        </w:tc>
      </w:tr>
      <w:tr>
        <w:trPr>
          <w:trHeight w:val="207"/>
        </w:trPr>
        <w:tc>
          <w:tcPr>
            <w:tcW w:w="4060" w:type="dxa"/>
            <w:vAlign w:val="bottom"/>
          </w:tcPr>
          <w:p>
            <w:pPr>
              <w:ind w:left="140"/>
              <w:spacing w:after="0"/>
              <w:rPr>
                <w:sz w:val="20"/>
                <w:szCs w:val="20"/>
                <w:color w:val="auto"/>
              </w:rPr>
            </w:pPr>
            <w:r>
              <w:rPr>
                <w:rFonts w:ascii="Arial" w:cs="Arial" w:eastAsia="Arial" w:hAnsi="Arial"/>
                <w:sz w:val="16"/>
                <w:szCs w:val="16"/>
                <w:color w:val="auto"/>
              </w:rPr>
              <w:t>common stockholders</w:t>
            </w:r>
          </w:p>
        </w:tc>
        <w:tc>
          <w:tcPr>
            <w:tcW w:w="240" w:type="dxa"/>
            <w:vAlign w:val="bottom"/>
            <w:tcBorders>
              <w:bottom w:val="single" w:sz="8" w:color="auto"/>
            </w:tcBorders>
            <w:vMerge w:val="continue"/>
          </w:tcPr>
          <w:p>
            <w:pPr>
              <w:spacing w:after="0"/>
              <w:rPr>
                <w:sz w:val="17"/>
                <w:szCs w:val="17"/>
                <w:color w:val="auto"/>
              </w:rPr>
            </w:pPr>
          </w:p>
        </w:tc>
        <w:tc>
          <w:tcPr>
            <w:tcW w:w="1120" w:type="dxa"/>
            <w:vAlign w:val="bottom"/>
            <w:tcBorders>
              <w:bottom w:val="single" w:sz="8" w:color="auto"/>
            </w:tcBorders>
            <w:vMerge w:val="continue"/>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Borders>
              <w:bottom w:val="single" w:sz="8" w:color="auto"/>
            </w:tcBorders>
            <w:vMerge w:val="continue"/>
          </w:tcPr>
          <w:p>
            <w:pPr>
              <w:spacing w:after="0"/>
              <w:rPr>
                <w:sz w:val="17"/>
                <w:szCs w:val="17"/>
                <w:color w:val="auto"/>
              </w:rPr>
            </w:pPr>
          </w:p>
        </w:tc>
        <w:tc>
          <w:tcPr>
            <w:tcW w:w="1240" w:type="dxa"/>
            <w:vAlign w:val="bottom"/>
            <w:tcBorders>
              <w:bottom w:val="single" w:sz="8" w:color="auto"/>
            </w:tcBorders>
            <w:vMerge w:val="continue"/>
          </w:tcPr>
          <w:p>
            <w:pPr>
              <w:spacing w:after="0"/>
              <w:rPr>
                <w:sz w:val="17"/>
                <w:szCs w:val="17"/>
                <w:color w:val="auto"/>
              </w:rPr>
            </w:pPr>
          </w:p>
        </w:tc>
        <w:tc>
          <w:tcPr>
            <w:tcW w:w="80" w:type="dxa"/>
            <w:vAlign w:val="bottom"/>
          </w:tcPr>
          <w:p>
            <w:pPr>
              <w:spacing w:after="0"/>
              <w:rPr>
                <w:sz w:val="17"/>
                <w:szCs w:val="17"/>
                <w:color w:val="auto"/>
              </w:rPr>
            </w:pPr>
          </w:p>
        </w:tc>
        <w:tc>
          <w:tcPr>
            <w:tcW w:w="300" w:type="dxa"/>
            <w:vAlign w:val="bottom"/>
            <w:tcBorders>
              <w:bottom w:val="single" w:sz="8" w:color="auto"/>
            </w:tcBorders>
            <w:vMerge w:val="continue"/>
          </w:tcPr>
          <w:p>
            <w:pPr>
              <w:spacing w:after="0"/>
              <w:rPr>
                <w:sz w:val="17"/>
                <w:szCs w:val="17"/>
                <w:color w:val="auto"/>
              </w:rPr>
            </w:pPr>
          </w:p>
        </w:tc>
        <w:tc>
          <w:tcPr>
            <w:tcW w:w="1060" w:type="dxa"/>
            <w:vAlign w:val="bottom"/>
            <w:tcBorders>
              <w:bottom w:val="single" w:sz="8" w:color="auto"/>
            </w:tcBorders>
            <w:vMerge w:val="continue"/>
          </w:tcPr>
          <w:p>
            <w:pPr>
              <w:spacing w:after="0"/>
              <w:rPr>
                <w:sz w:val="17"/>
                <w:szCs w:val="17"/>
                <w:color w:val="auto"/>
              </w:rPr>
            </w:pPr>
          </w:p>
        </w:tc>
        <w:tc>
          <w:tcPr>
            <w:tcW w:w="80" w:type="dxa"/>
            <w:vAlign w:val="bottom"/>
          </w:tcPr>
          <w:p>
            <w:pPr>
              <w:spacing w:after="0"/>
              <w:rPr>
                <w:sz w:val="17"/>
                <w:szCs w:val="17"/>
                <w:color w:val="auto"/>
              </w:rPr>
            </w:pPr>
          </w:p>
        </w:tc>
        <w:tc>
          <w:tcPr>
            <w:tcW w:w="320" w:type="dxa"/>
            <w:vAlign w:val="bottom"/>
            <w:tcBorders>
              <w:bottom w:val="single" w:sz="8" w:color="auto"/>
            </w:tcBorders>
            <w:vMerge w:val="continue"/>
          </w:tcPr>
          <w:p>
            <w:pPr>
              <w:spacing w:after="0"/>
              <w:rPr>
                <w:sz w:val="17"/>
                <w:szCs w:val="17"/>
                <w:color w:val="auto"/>
              </w:rPr>
            </w:pPr>
          </w:p>
        </w:tc>
        <w:tc>
          <w:tcPr>
            <w:tcW w:w="104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06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4060" w:type="dxa"/>
            <w:vAlign w:val="bottom"/>
            <w:shd w:val="clear" w:color="auto" w:fill="CCEEFF"/>
          </w:tcPr>
          <w:p>
            <w:pPr>
              <w:spacing w:after="0" w:line="176" w:lineRule="exact"/>
              <w:rPr>
                <w:sz w:val="20"/>
                <w:szCs w:val="20"/>
                <w:color w:val="auto"/>
              </w:rPr>
            </w:pPr>
            <w:r>
              <w:rPr>
                <w:rFonts w:ascii="Arial" w:cs="Arial" w:eastAsia="Arial" w:hAnsi="Arial"/>
                <w:sz w:val="16"/>
                <w:szCs w:val="16"/>
                <w:color w:val="auto"/>
                <w:w w:val="93"/>
              </w:rPr>
              <w:t>Net (loss) income per share attributable to Class A, LT10 and</w:t>
            </w:r>
          </w:p>
        </w:tc>
        <w:tc>
          <w:tcPr>
            <w:tcW w:w="24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6"/>
        </w:trPr>
        <w:tc>
          <w:tcPr>
            <w:tcW w:w="406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6"/>
                <w:szCs w:val="16"/>
                <w:color w:val="auto"/>
              </w:rPr>
              <w:t>LT50 common stockholders:</w:t>
            </w:r>
          </w:p>
        </w:tc>
        <w:tc>
          <w:tcPr>
            <w:tcW w:w="240" w:type="dxa"/>
            <w:vAlign w:val="bottom"/>
            <w:tcBorders>
              <w:bottom w:val="single" w:sz="8" w:color="CCEEFF"/>
            </w:tcBorders>
            <w:shd w:val="clear" w:color="auto" w:fill="CCEEFF"/>
          </w:tcPr>
          <w:p>
            <w:pPr>
              <w:spacing w:after="0"/>
              <w:rPr>
                <w:sz w:val="17"/>
                <w:szCs w:val="17"/>
                <w:color w:val="auto"/>
              </w:rPr>
            </w:pPr>
          </w:p>
        </w:tc>
        <w:tc>
          <w:tcPr>
            <w:tcW w:w="112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124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300" w:type="dxa"/>
            <w:vAlign w:val="bottom"/>
            <w:tcBorders>
              <w:bottom w:val="single" w:sz="8" w:color="CCEEFF"/>
            </w:tcBorders>
            <w:shd w:val="clear" w:color="auto" w:fill="CCEEFF"/>
          </w:tcPr>
          <w:p>
            <w:pPr>
              <w:spacing w:after="0"/>
              <w:rPr>
                <w:sz w:val="17"/>
                <w:szCs w:val="17"/>
                <w:color w:val="auto"/>
              </w:rPr>
            </w:pPr>
          </w:p>
        </w:tc>
        <w:tc>
          <w:tcPr>
            <w:tcW w:w="106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320" w:type="dxa"/>
            <w:vAlign w:val="bottom"/>
            <w:tcBorders>
              <w:bottom w:val="single" w:sz="8" w:color="CCEEFF"/>
            </w:tcBorders>
            <w:shd w:val="clear" w:color="auto" w:fill="CCEEFF"/>
          </w:tcPr>
          <w:p>
            <w:pPr>
              <w:spacing w:after="0"/>
              <w:rPr>
                <w:sz w:val="17"/>
                <w:szCs w:val="17"/>
                <w:color w:val="auto"/>
              </w:rPr>
            </w:pPr>
          </w:p>
        </w:tc>
        <w:tc>
          <w:tcPr>
            <w:tcW w:w="104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42"/>
        </w:trPr>
        <w:tc>
          <w:tcPr>
            <w:tcW w:w="4060" w:type="dxa"/>
            <w:vAlign w:val="bottom"/>
          </w:tcPr>
          <w:p>
            <w:pPr>
              <w:spacing w:after="0"/>
              <w:rPr>
                <w:sz w:val="20"/>
                <w:szCs w:val="20"/>
                <w:color w:val="auto"/>
              </w:rPr>
            </w:pPr>
            <w:r>
              <w:rPr>
                <w:rFonts w:ascii="Arial" w:cs="Arial" w:eastAsia="Arial" w:hAnsi="Arial"/>
                <w:sz w:val="16"/>
                <w:szCs w:val="16"/>
                <w:color w:val="auto"/>
              </w:rPr>
              <w:t>Basic</w:t>
            </w:r>
          </w:p>
        </w:tc>
        <w:tc>
          <w:tcPr>
            <w:tcW w:w="240" w:type="dxa"/>
            <w:vAlign w:val="bottom"/>
            <w:tcBorders>
              <w:bottom w:val="single" w:sz="8" w:color="auto"/>
            </w:tcBorders>
          </w:tcPr>
          <w:p>
            <w:pPr>
              <w:jc w:val="right"/>
              <w:ind w:right="87"/>
              <w:spacing w:after="0"/>
              <w:rPr>
                <w:sz w:val="20"/>
                <w:szCs w:val="20"/>
                <w:color w:val="auto"/>
              </w:rPr>
            </w:pPr>
            <w:r>
              <w:rPr>
                <w:rFonts w:ascii="Arial" w:cs="Arial" w:eastAsia="Arial" w:hAnsi="Arial"/>
                <w:sz w:val="15"/>
                <w:szCs w:val="15"/>
                <w:color w:val="auto"/>
                <w:w w:val="71"/>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(0.10)</w:t>
            </w:r>
          </w:p>
        </w:tc>
        <w:tc>
          <w:tcPr>
            <w:tcW w:w="80" w:type="dxa"/>
            <w:vAlign w:val="bottom"/>
          </w:tcPr>
          <w:p>
            <w:pPr>
              <w:spacing w:after="0"/>
              <w:rPr>
                <w:sz w:val="21"/>
                <w:szCs w:val="21"/>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0.06</w:t>
            </w:r>
          </w:p>
        </w:tc>
        <w:tc>
          <w:tcPr>
            <w:tcW w:w="80" w:type="dxa"/>
            <w:vAlign w:val="bottom"/>
          </w:tcPr>
          <w:p>
            <w:pPr>
              <w:spacing w:after="0"/>
              <w:rPr>
                <w:sz w:val="21"/>
                <w:szCs w:val="21"/>
                <w:color w:val="auto"/>
              </w:rPr>
            </w:pPr>
          </w:p>
        </w:tc>
        <w:tc>
          <w:tcPr>
            <w:tcW w:w="300" w:type="dxa"/>
            <w:vAlign w:val="bottom"/>
            <w:tcBorders>
              <w:bottom w:val="single" w:sz="8" w:color="auto"/>
            </w:tcBorders>
          </w:tcPr>
          <w:p>
            <w:pPr>
              <w:jc w:val="right"/>
              <w:ind w:right="121"/>
              <w:spacing w:after="0"/>
              <w:rPr>
                <w:sz w:val="20"/>
                <w:szCs w:val="20"/>
                <w:color w:val="auto"/>
              </w:rPr>
            </w:pPr>
            <w:r>
              <w:rPr>
                <w:rFonts w:ascii="Arial" w:cs="Arial" w:eastAsia="Arial" w:hAnsi="Arial"/>
                <w:sz w:val="16"/>
                <w:szCs w:val="16"/>
                <w:color w:val="auto"/>
                <w:w w:val="89"/>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(0.19)</w:t>
            </w:r>
          </w:p>
        </w:tc>
        <w:tc>
          <w:tcPr>
            <w:tcW w:w="80" w:type="dxa"/>
            <w:vAlign w:val="bottom"/>
          </w:tcPr>
          <w:p>
            <w:pPr>
              <w:spacing w:after="0"/>
              <w:rPr>
                <w:sz w:val="21"/>
                <w:szCs w:val="21"/>
                <w:color w:val="auto"/>
              </w:rPr>
            </w:pPr>
          </w:p>
        </w:tc>
        <w:tc>
          <w:tcPr>
            <w:tcW w:w="320" w:type="dxa"/>
            <w:vAlign w:val="bottom"/>
            <w:tcBorders>
              <w:bottom w:val="single" w:sz="8" w:color="auto"/>
            </w:tcBorders>
          </w:tcPr>
          <w:p>
            <w:pPr>
              <w:jc w:val="right"/>
              <w:ind w:right="141"/>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0.18</w:t>
            </w:r>
          </w:p>
        </w:tc>
        <w:tc>
          <w:tcPr>
            <w:tcW w:w="0" w:type="dxa"/>
            <w:vAlign w:val="bottom"/>
          </w:tcPr>
          <w:p>
            <w:pPr>
              <w:spacing w:after="0"/>
              <w:rPr>
                <w:sz w:val="1"/>
                <w:szCs w:val="1"/>
                <w:color w:val="auto"/>
              </w:rPr>
            </w:pPr>
          </w:p>
        </w:tc>
      </w:tr>
      <w:tr>
        <w:trPr>
          <w:trHeight w:val="20"/>
        </w:trPr>
        <w:tc>
          <w:tcPr>
            <w:tcW w:w="406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1"/>
        </w:trPr>
        <w:tc>
          <w:tcPr>
            <w:tcW w:w="40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color w:val="auto"/>
              </w:rPr>
              <w:t>Diluted</w:t>
            </w:r>
          </w:p>
        </w:tc>
        <w:tc>
          <w:tcPr>
            <w:tcW w:w="240" w:type="dxa"/>
            <w:vAlign w:val="bottom"/>
            <w:tcBorders>
              <w:bottom w:val="single" w:sz="8" w:color="auto"/>
            </w:tcBorders>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(0.10)</w:t>
            </w:r>
          </w:p>
        </w:tc>
        <w:tc>
          <w:tcPr>
            <w:tcW w:w="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0.05</w:t>
            </w:r>
          </w:p>
        </w:tc>
        <w:tc>
          <w:tcPr>
            <w:tcW w:w="8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jc w:val="right"/>
              <w:ind w:right="121"/>
              <w:spacing w:after="0"/>
              <w:rPr>
                <w:sz w:val="20"/>
                <w:szCs w:val="20"/>
                <w:color w:val="auto"/>
              </w:rPr>
            </w:pPr>
            <w:r>
              <w:rPr>
                <w:rFonts w:ascii="Arial" w:cs="Arial" w:eastAsia="Arial" w:hAnsi="Arial"/>
                <w:sz w:val="16"/>
                <w:szCs w:val="16"/>
                <w:color w:val="auto"/>
                <w:w w:val="8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(0.19)</w:t>
            </w:r>
          </w:p>
        </w:tc>
        <w:tc>
          <w:tcPr>
            <w:tcW w:w="8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jc w:val="right"/>
              <w:ind w:right="141"/>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0.13</w:t>
            </w:r>
          </w:p>
        </w:tc>
        <w:tc>
          <w:tcPr>
            <w:tcW w:w="0" w:type="dxa"/>
            <w:vAlign w:val="bottom"/>
          </w:tcPr>
          <w:p>
            <w:pPr>
              <w:spacing w:after="0"/>
              <w:rPr>
                <w:sz w:val="1"/>
                <w:szCs w:val="1"/>
                <w:color w:val="auto"/>
              </w:rPr>
            </w:pPr>
          </w:p>
        </w:tc>
      </w:tr>
      <w:tr>
        <w:trPr>
          <w:trHeight w:val="20"/>
        </w:trPr>
        <w:tc>
          <w:tcPr>
            <w:tcW w:w="406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6"/>
                <w:szCs w:val="16"/>
                <w:color w:val="auto"/>
                <w:w w:val="88"/>
              </w:rPr>
              <w:t>Weighted-average shares of common stock used to compute net</w:t>
            </w: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2"/>
        </w:trPr>
        <w:tc>
          <w:tcPr>
            <w:tcW w:w="4060" w:type="dxa"/>
            <w:vAlign w:val="bottom"/>
            <w:vMerge w:val="continue"/>
          </w:tcPr>
          <w:p>
            <w:pPr>
              <w:spacing w:after="0"/>
              <w:rPr>
                <w:sz w:val="14"/>
                <w:szCs w:val="14"/>
                <w:color w:val="auto"/>
              </w:rPr>
            </w:pPr>
          </w:p>
        </w:tc>
        <w:tc>
          <w:tcPr>
            <w:tcW w:w="2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0"/>
        </w:trPr>
        <w:tc>
          <w:tcPr>
            <w:tcW w:w="4060" w:type="dxa"/>
            <w:vAlign w:val="bottom"/>
          </w:tcPr>
          <w:p>
            <w:pPr>
              <w:ind w:left="140"/>
              <w:spacing w:after="0"/>
              <w:rPr>
                <w:sz w:val="20"/>
                <w:szCs w:val="20"/>
                <w:color w:val="auto"/>
              </w:rPr>
            </w:pPr>
            <w:r>
              <w:rPr>
                <w:rFonts w:ascii="Arial" w:cs="Arial" w:eastAsia="Arial" w:hAnsi="Arial"/>
                <w:sz w:val="16"/>
                <w:szCs w:val="16"/>
                <w:color w:val="auto"/>
                <w:w w:val="96"/>
              </w:rPr>
              <w:t>(loss) income per share attributable to Class A, LT10 and</w:t>
            </w:r>
          </w:p>
        </w:tc>
        <w:tc>
          <w:tcPr>
            <w:tcW w:w="2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0"/>
        </w:trPr>
        <w:tc>
          <w:tcPr>
            <w:tcW w:w="4060" w:type="dxa"/>
            <w:vAlign w:val="bottom"/>
          </w:tcPr>
          <w:p>
            <w:pPr>
              <w:ind w:left="140"/>
              <w:spacing w:after="0"/>
              <w:rPr>
                <w:sz w:val="20"/>
                <w:szCs w:val="20"/>
                <w:color w:val="auto"/>
              </w:rPr>
            </w:pPr>
            <w:r>
              <w:rPr>
                <w:rFonts w:ascii="Arial" w:cs="Arial" w:eastAsia="Arial" w:hAnsi="Arial"/>
                <w:sz w:val="16"/>
                <w:szCs w:val="16"/>
                <w:color w:val="auto"/>
              </w:rPr>
              <w:t>LT50 common stockholders:</w:t>
            </w:r>
          </w:p>
        </w:tc>
        <w:tc>
          <w:tcPr>
            <w:tcW w:w="2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7"/>
        </w:trPr>
        <w:tc>
          <w:tcPr>
            <w:tcW w:w="4060" w:type="dxa"/>
            <w:vAlign w:val="bottom"/>
          </w:tcPr>
          <w:p>
            <w:pPr>
              <w:spacing w:after="0"/>
              <w:rPr>
                <w:sz w:val="3"/>
                <w:szCs w:val="3"/>
                <w:color w:val="auto"/>
              </w:rPr>
            </w:pPr>
          </w:p>
        </w:tc>
        <w:tc>
          <w:tcPr>
            <w:tcW w:w="240" w:type="dxa"/>
            <w:vAlign w:val="bottom"/>
          </w:tcPr>
          <w:p>
            <w:pPr>
              <w:spacing w:after="0"/>
              <w:rPr>
                <w:sz w:val="3"/>
                <w:szCs w:val="3"/>
                <w:color w:val="auto"/>
              </w:rPr>
            </w:pPr>
          </w:p>
        </w:tc>
        <w:tc>
          <w:tcPr>
            <w:tcW w:w="112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240" w:type="dxa"/>
            <w:vAlign w:val="bottom"/>
          </w:tcPr>
          <w:p>
            <w:pPr>
              <w:spacing w:after="0"/>
              <w:rPr>
                <w:sz w:val="3"/>
                <w:szCs w:val="3"/>
                <w:color w:val="auto"/>
              </w:rPr>
            </w:pPr>
          </w:p>
        </w:tc>
        <w:tc>
          <w:tcPr>
            <w:tcW w:w="80" w:type="dxa"/>
            <w:vAlign w:val="bottom"/>
          </w:tcPr>
          <w:p>
            <w:pPr>
              <w:spacing w:after="0"/>
              <w:rPr>
                <w:sz w:val="3"/>
                <w:szCs w:val="3"/>
                <w:color w:val="auto"/>
              </w:rPr>
            </w:pPr>
          </w:p>
        </w:tc>
        <w:tc>
          <w:tcPr>
            <w:tcW w:w="300" w:type="dxa"/>
            <w:vAlign w:val="bottom"/>
          </w:tcPr>
          <w:p>
            <w:pPr>
              <w:spacing w:after="0"/>
              <w:rPr>
                <w:sz w:val="3"/>
                <w:szCs w:val="3"/>
                <w:color w:val="auto"/>
              </w:rPr>
            </w:pPr>
          </w:p>
        </w:tc>
        <w:tc>
          <w:tcPr>
            <w:tcW w:w="1060" w:type="dxa"/>
            <w:vAlign w:val="bottom"/>
          </w:tcPr>
          <w:p>
            <w:pPr>
              <w:spacing w:after="0"/>
              <w:rPr>
                <w:sz w:val="3"/>
                <w:szCs w:val="3"/>
                <w:color w:val="auto"/>
              </w:rPr>
            </w:pPr>
          </w:p>
        </w:tc>
        <w:tc>
          <w:tcPr>
            <w:tcW w:w="80" w:type="dxa"/>
            <w:vAlign w:val="bottom"/>
          </w:tcPr>
          <w:p>
            <w:pPr>
              <w:spacing w:after="0"/>
              <w:rPr>
                <w:sz w:val="3"/>
                <w:szCs w:val="3"/>
                <w:color w:val="auto"/>
              </w:rPr>
            </w:pPr>
          </w:p>
        </w:tc>
        <w:tc>
          <w:tcPr>
            <w:tcW w:w="320" w:type="dxa"/>
            <w:vAlign w:val="bottom"/>
          </w:tcPr>
          <w:p>
            <w:pPr>
              <w:spacing w:after="0"/>
              <w:rPr>
                <w:sz w:val="3"/>
                <w:szCs w:val="3"/>
                <w:color w:val="auto"/>
              </w:rPr>
            </w:pPr>
          </w:p>
        </w:tc>
        <w:tc>
          <w:tcPr>
            <w:tcW w:w="10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28"/>
        </w:trPr>
        <w:tc>
          <w:tcPr>
            <w:tcW w:w="40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color w:val="auto"/>
              </w:rPr>
              <w:t>Basic</w:t>
            </w:r>
          </w:p>
        </w:tc>
        <w:tc>
          <w:tcPr>
            <w:tcW w:w="240" w:type="dxa"/>
            <w:vAlign w:val="bottom"/>
            <w:tcBorders>
              <w:bottom w:val="single" w:sz="8" w:color="CCEEFF"/>
            </w:tcBorders>
            <w:shd w:val="clear" w:color="auto" w:fill="CCEEFF"/>
          </w:tcPr>
          <w:p>
            <w:pPr>
              <w:spacing w:after="0"/>
              <w:rPr>
                <w:sz w:val="19"/>
                <w:szCs w:val="19"/>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80,473,097</w:t>
            </w:r>
          </w:p>
        </w:tc>
        <w:tc>
          <w:tcPr>
            <w:tcW w:w="8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29,836,295</w:t>
            </w:r>
          </w:p>
        </w:tc>
        <w:tc>
          <w:tcPr>
            <w:tcW w:w="8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CCEEFF"/>
            </w:tcBorders>
            <w:shd w:val="clear" w:color="auto" w:fill="CCEEFF"/>
          </w:tcPr>
          <w:p>
            <w:pPr>
              <w:spacing w:after="0"/>
              <w:rPr>
                <w:sz w:val="19"/>
                <w:szCs w:val="19"/>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80,311,053</w:t>
            </w:r>
          </w:p>
        </w:tc>
        <w:tc>
          <w:tcPr>
            <w:tcW w:w="8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CCEEFF"/>
            </w:tcBorders>
            <w:shd w:val="clear" w:color="auto" w:fill="CCEEFF"/>
          </w:tcPr>
          <w:p>
            <w:pPr>
              <w:spacing w:after="0"/>
              <w:rPr>
                <w:sz w:val="19"/>
                <w:szCs w:val="19"/>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29,680,220</w:t>
            </w:r>
          </w:p>
        </w:tc>
        <w:tc>
          <w:tcPr>
            <w:tcW w:w="0" w:type="dxa"/>
            <w:vAlign w:val="bottom"/>
          </w:tcPr>
          <w:p>
            <w:pPr>
              <w:spacing w:after="0"/>
              <w:rPr>
                <w:sz w:val="1"/>
                <w:szCs w:val="1"/>
                <w:color w:val="auto"/>
              </w:rPr>
            </w:pPr>
          </w:p>
        </w:tc>
      </w:tr>
      <w:tr>
        <w:trPr>
          <w:trHeight w:val="212"/>
        </w:trPr>
        <w:tc>
          <w:tcPr>
            <w:tcW w:w="4060" w:type="dxa"/>
            <w:vAlign w:val="bottom"/>
          </w:tcPr>
          <w:p>
            <w:pPr>
              <w:spacing w:after="0"/>
              <w:rPr>
                <w:sz w:val="20"/>
                <w:szCs w:val="20"/>
                <w:color w:val="auto"/>
              </w:rPr>
            </w:pPr>
            <w:r>
              <w:rPr>
                <w:rFonts w:ascii="Arial" w:cs="Arial" w:eastAsia="Arial" w:hAnsi="Arial"/>
                <w:sz w:val="16"/>
                <w:szCs w:val="16"/>
                <w:color w:val="auto"/>
              </w:rPr>
              <w:t>Diluted</w:t>
            </w:r>
          </w:p>
        </w:tc>
        <w:tc>
          <w:tcPr>
            <w:tcW w:w="2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80,473,097</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41,341,330</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80,311,053</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41,216,420</w:t>
            </w:r>
          </w:p>
        </w:tc>
        <w:tc>
          <w:tcPr>
            <w:tcW w:w="0" w:type="dxa"/>
            <w:vAlign w:val="bottom"/>
          </w:tcPr>
          <w:p>
            <w:pPr>
              <w:spacing w:after="0"/>
              <w:rPr>
                <w:sz w:val="1"/>
                <w:szCs w:val="1"/>
                <w:color w:val="auto"/>
              </w:rPr>
            </w:pPr>
          </w:p>
        </w:tc>
      </w:tr>
      <w:tr>
        <w:trPr>
          <w:trHeight w:val="64"/>
        </w:trPr>
        <w:tc>
          <w:tcPr>
            <w:tcW w:w="4060" w:type="dxa"/>
            <w:vAlign w:val="bottom"/>
            <w:tcBorders>
              <w:bottom w:val="single" w:sz="8" w:color="CCEEFF"/>
            </w:tcBorders>
          </w:tcPr>
          <w:p>
            <w:pPr>
              <w:spacing w:after="0"/>
              <w:rPr>
                <w:sz w:val="5"/>
                <w:szCs w:val="5"/>
                <w:color w:val="auto"/>
              </w:rPr>
            </w:pPr>
          </w:p>
        </w:tc>
        <w:tc>
          <w:tcPr>
            <w:tcW w:w="240" w:type="dxa"/>
            <w:vAlign w:val="bottom"/>
            <w:tcBorders>
              <w:bottom w:val="single" w:sz="8" w:color="CCEEFF"/>
            </w:tcBorders>
          </w:tcPr>
          <w:p>
            <w:pPr>
              <w:spacing w:after="0"/>
              <w:rPr>
                <w:sz w:val="5"/>
                <w:szCs w:val="5"/>
                <w:color w:val="auto"/>
              </w:rPr>
            </w:pPr>
          </w:p>
        </w:tc>
        <w:tc>
          <w:tcPr>
            <w:tcW w:w="1120" w:type="dxa"/>
            <w:vAlign w:val="bottom"/>
            <w:tcBorders>
              <w:bottom w:val="single" w:sz="8" w:color="CCEEFF"/>
            </w:tcBorders>
          </w:tcPr>
          <w:p>
            <w:pPr>
              <w:spacing w:after="0"/>
              <w:rPr>
                <w:sz w:val="5"/>
                <w:szCs w:val="5"/>
                <w:color w:val="auto"/>
              </w:rPr>
            </w:pPr>
          </w:p>
        </w:tc>
        <w:tc>
          <w:tcPr>
            <w:tcW w:w="80" w:type="dxa"/>
            <w:vAlign w:val="bottom"/>
            <w:tcBorders>
              <w:bottom w:val="single" w:sz="8" w:color="CCEEFF"/>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1240" w:type="dxa"/>
            <w:vAlign w:val="bottom"/>
            <w:tcBorders>
              <w:bottom w:val="single" w:sz="8" w:color="CCEEFF"/>
            </w:tcBorders>
          </w:tcPr>
          <w:p>
            <w:pPr>
              <w:spacing w:after="0"/>
              <w:rPr>
                <w:sz w:val="5"/>
                <w:szCs w:val="5"/>
                <w:color w:val="auto"/>
              </w:rPr>
            </w:pPr>
          </w:p>
        </w:tc>
        <w:tc>
          <w:tcPr>
            <w:tcW w:w="80" w:type="dxa"/>
            <w:vAlign w:val="bottom"/>
            <w:tcBorders>
              <w:bottom w:val="single" w:sz="8" w:color="CCEEFF"/>
            </w:tcBorders>
          </w:tcPr>
          <w:p>
            <w:pPr>
              <w:spacing w:after="0"/>
              <w:rPr>
                <w:sz w:val="5"/>
                <w:szCs w:val="5"/>
                <w:color w:val="auto"/>
              </w:rPr>
            </w:pPr>
          </w:p>
        </w:tc>
        <w:tc>
          <w:tcPr>
            <w:tcW w:w="300" w:type="dxa"/>
            <w:vAlign w:val="bottom"/>
            <w:tcBorders>
              <w:bottom w:val="single" w:sz="8" w:color="CCEEFF"/>
            </w:tcBorders>
          </w:tcPr>
          <w:p>
            <w:pPr>
              <w:spacing w:after="0"/>
              <w:rPr>
                <w:sz w:val="5"/>
                <w:szCs w:val="5"/>
                <w:color w:val="auto"/>
              </w:rPr>
            </w:pPr>
          </w:p>
        </w:tc>
        <w:tc>
          <w:tcPr>
            <w:tcW w:w="1060" w:type="dxa"/>
            <w:vAlign w:val="bottom"/>
            <w:tcBorders>
              <w:bottom w:val="single" w:sz="8" w:color="CCEEFF"/>
            </w:tcBorders>
          </w:tcPr>
          <w:p>
            <w:pPr>
              <w:spacing w:after="0"/>
              <w:rPr>
                <w:sz w:val="5"/>
                <w:szCs w:val="5"/>
                <w:color w:val="auto"/>
              </w:rPr>
            </w:pPr>
          </w:p>
        </w:tc>
        <w:tc>
          <w:tcPr>
            <w:tcW w:w="80" w:type="dxa"/>
            <w:vAlign w:val="bottom"/>
            <w:tcBorders>
              <w:bottom w:val="single" w:sz="8" w:color="CCEEFF"/>
            </w:tcBorders>
          </w:tcPr>
          <w:p>
            <w:pPr>
              <w:spacing w:after="0"/>
              <w:rPr>
                <w:sz w:val="5"/>
                <w:szCs w:val="5"/>
                <w:color w:val="auto"/>
              </w:rPr>
            </w:pPr>
          </w:p>
        </w:tc>
        <w:tc>
          <w:tcPr>
            <w:tcW w:w="320" w:type="dxa"/>
            <w:vAlign w:val="bottom"/>
            <w:tcBorders>
              <w:bottom w:val="single" w:sz="8" w:color="CCEEFF"/>
            </w:tcBorders>
          </w:tcPr>
          <w:p>
            <w:pPr>
              <w:spacing w:after="0"/>
              <w:rPr>
                <w:sz w:val="5"/>
                <w:szCs w:val="5"/>
                <w:color w:val="auto"/>
              </w:rPr>
            </w:pPr>
          </w:p>
        </w:tc>
        <w:tc>
          <w:tcPr>
            <w:tcW w:w="1040" w:type="dxa"/>
            <w:vAlign w:val="bottom"/>
            <w:tcBorders>
              <w:bottom w:val="single" w:sz="8" w:color="CCEEFF"/>
            </w:tcBorders>
          </w:tcPr>
          <w:p>
            <w:pPr>
              <w:spacing w:after="0"/>
              <w:rPr>
                <w:sz w:val="5"/>
                <w:szCs w:val="5"/>
                <w:color w:val="auto"/>
              </w:rPr>
            </w:pPr>
          </w:p>
        </w:tc>
        <w:tc>
          <w:tcPr>
            <w:tcW w:w="0" w:type="dxa"/>
            <w:vAlign w:val="bottom"/>
          </w:tcPr>
          <w:p>
            <w:pPr>
              <w:spacing w:after="0"/>
              <w:rPr>
                <w:sz w:val="1"/>
                <w:szCs w:val="1"/>
                <w:color w:val="auto"/>
              </w:rPr>
            </w:pPr>
          </w:p>
        </w:tc>
      </w:tr>
      <w:tr>
        <w:trPr>
          <w:trHeight w:val="20"/>
        </w:trPr>
        <w:tc>
          <w:tcPr>
            <w:tcW w:w="406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79" w:lineRule="exact"/>
        <w:rPr>
          <w:sz w:val="20"/>
          <w:szCs w:val="20"/>
          <w:color w:val="auto"/>
        </w:rPr>
      </w:pPr>
    </w:p>
    <w:p>
      <w:pPr>
        <w:ind w:left="558" w:hanging="558"/>
        <w:spacing w:after="0"/>
        <w:tabs>
          <w:tab w:leader="none" w:pos="558" w:val="left"/>
        </w:tabs>
        <w:numPr>
          <w:ilvl w:val="0"/>
          <w:numId w:val="6"/>
        </w:numPr>
        <w:rPr>
          <w:rFonts w:ascii="Arial" w:cs="Arial" w:eastAsia="Arial" w:hAnsi="Arial"/>
          <w:sz w:val="13"/>
          <w:szCs w:val="13"/>
          <w:color w:val="auto"/>
        </w:rPr>
      </w:pPr>
      <w:r>
        <w:rPr>
          <w:rFonts w:ascii="Arial" w:cs="Arial" w:eastAsia="Arial" w:hAnsi="Arial"/>
          <w:sz w:val="13"/>
          <w:szCs w:val="13"/>
          <w:color w:val="auto"/>
        </w:rPr>
        <w:t>Includes stock-based compensation expense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465455</wp:posOffset>
            </wp:positionH>
            <wp:positionV relativeFrom="paragraph">
              <wp:posOffset>20320</wp:posOffset>
            </wp:positionV>
            <wp:extent cx="5677535" cy="1524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5677535" cy="15240"/>
                    </a:xfrm>
                    <a:prstGeom prst="rect">
                      <a:avLst/>
                    </a:prstGeom>
                    <a:noFill/>
                  </pic:spPr>
                </pic:pic>
              </a:graphicData>
            </a:graphic>
          </wp:anchor>
        </w:drawing>
      </w:r>
    </w:p>
    <w:p>
      <w:pPr>
        <w:spacing w:after="0" w:line="51" w:lineRule="exact"/>
        <w:rPr>
          <w:sz w:val="20"/>
          <w:szCs w:val="20"/>
          <w:color w:val="auto"/>
        </w:rPr>
      </w:pPr>
    </w:p>
    <w:tbl>
      <w:tblPr>
        <w:tblLayout w:type="fixed"/>
        <w:tblInd w:w="738" w:type="dxa"/>
        <w:tblCellMar>
          <w:top w:w="0" w:type="dxa"/>
          <w:left w:w="0" w:type="dxa"/>
          <w:bottom w:w="0" w:type="dxa"/>
          <w:right w:w="0" w:type="dxa"/>
        </w:tblCellMar>
      </w:tblPr>
      <w:tr>
        <w:trPr>
          <w:trHeight w:val="164"/>
        </w:trPr>
        <w:tc>
          <w:tcPr>
            <w:tcW w:w="3740" w:type="dxa"/>
            <w:vAlign w:val="bottom"/>
          </w:tcPr>
          <w:p>
            <w:pPr>
              <w:spacing w:after="0"/>
              <w:rPr>
                <w:sz w:val="14"/>
                <w:szCs w:val="14"/>
                <w:color w:val="auto"/>
              </w:rPr>
            </w:pPr>
          </w:p>
        </w:tc>
        <w:tc>
          <w:tcPr>
            <w:tcW w:w="2180" w:type="dxa"/>
            <w:vAlign w:val="bottom"/>
            <w:gridSpan w:val="4"/>
          </w:tcPr>
          <w:p>
            <w:pPr>
              <w:jc w:val="right"/>
              <w:ind w:right="62"/>
              <w:spacing w:after="0"/>
              <w:rPr>
                <w:sz w:val="20"/>
                <w:szCs w:val="20"/>
                <w:color w:val="auto"/>
              </w:rPr>
            </w:pPr>
            <w:r>
              <w:rPr>
                <w:rFonts w:ascii="Arial" w:cs="Arial" w:eastAsia="Arial" w:hAnsi="Arial"/>
                <w:sz w:val="13"/>
                <w:szCs w:val="13"/>
                <w:b w:val="1"/>
                <w:bCs w:val="1"/>
                <w:color w:val="auto"/>
              </w:rPr>
              <w:t>Three months ended June 30,</w:t>
            </w:r>
          </w:p>
        </w:tc>
        <w:tc>
          <w:tcPr>
            <w:tcW w:w="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280" w:type="dxa"/>
            <w:vAlign w:val="bottom"/>
            <w:gridSpan w:val="4"/>
          </w:tcPr>
          <w:p>
            <w:pPr>
              <w:jc w:val="right"/>
              <w:ind w:right="504"/>
              <w:spacing w:after="0"/>
              <w:rPr>
                <w:sz w:val="20"/>
                <w:szCs w:val="20"/>
                <w:color w:val="auto"/>
              </w:rPr>
            </w:pPr>
            <w:r>
              <w:rPr>
                <w:rFonts w:ascii="Arial" w:cs="Arial" w:eastAsia="Arial" w:hAnsi="Arial"/>
                <w:sz w:val="13"/>
                <w:szCs w:val="13"/>
                <w:b w:val="1"/>
                <w:bCs w:val="1"/>
                <w:color w:val="auto"/>
              </w:rPr>
              <w:t>Six months ended June 30,</w:t>
            </w:r>
          </w:p>
        </w:tc>
      </w:tr>
      <w:tr>
        <w:trPr>
          <w:trHeight w:val="21"/>
        </w:trPr>
        <w:tc>
          <w:tcPr>
            <w:tcW w:w="374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r>
        <w:trPr>
          <w:trHeight w:val="172"/>
        </w:trPr>
        <w:tc>
          <w:tcPr>
            <w:tcW w:w="3740" w:type="dxa"/>
            <w:vAlign w:val="bottom"/>
          </w:tcPr>
          <w:p>
            <w:pPr>
              <w:spacing w:after="0"/>
              <w:rPr>
                <w:sz w:val="14"/>
                <w:szCs w:val="14"/>
                <w:color w:val="auto"/>
              </w:rPr>
            </w:pPr>
          </w:p>
        </w:tc>
        <w:tc>
          <w:tcPr>
            <w:tcW w:w="800" w:type="dxa"/>
            <w:vAlign w:val="bottom"/>
          </w:tcPr>
          <w:p>
            <w:pPr>
              <w:jc w:val="right"/>
              <w:ind w:right="4"/>
              <w:spacing w:after="0"/>
              <w:rPr>
                <w:sz w:val="20"/>
                <w:szCs w:val="20"/>
                <w:color w:val="auto"/>
              </w:rPr>
            </w:pPr>
            <w:r>
              <w:rPr>
                <w:rFonts w:ascii="Arial" w:cs="Arial" w:eastAsia="Arial" w:hAnsi="Arial"/>
                <w:sz w:val="13"/>
                <w:szCs w:val="13"/>
                <w:b w:val="1"/>
                <w:bCs w:val="1"/>
                <w:color w:val="auto"/>
              </w:rPr>
              <w:t>2022</w:t>
            </w:r>
          </w:p>
        </w:tc>
        <w:tc>
          <w:tcPr>
            <w:tcW w:w="4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80" w:type="dxa"/>
            <w:vAlign w:val="bottom"/>
          </w:tcPr>
          <w:p>
            <w:pPr>
              <w:jc w:val="right"/>
              <w:ind w:right="82"/>
              <w:spacing w:after="0"/>
              <w:rPr>
                <w:sz w:val="20"/>
                <w:szCs w:val="20"/>
                <w:color w:val="auto"/>
              </w:rPr>
            </w:pPr>
            <w:r>
              <w:rPr>
                <w:rFonts w:ascii="Arial" w:cs="Arial" w:eastAsia="Arial" w:hAnsi="Arial"/>
                <w:sz w:val="13"/>
                <w:szCs w:val="13"/>
                <w:b w:val="1"/>
                <w:bCs w:val="1"/>
                <w:color w:val="auto"/>
              </w:rPr>
              <w:t>2021</w:t>
            </w:r>
          </w:p>
        </w:tc>
        <w:tc>
          <w:tcPr>
            <w:tcW w:w="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60" w:type="dxa"/>
            <w:vAlign w:val="bottom"/>
          </w:tcPr>
          <w:p>
            <w:pPr>
              <w:jc w:val="right"/>
              <w:ind w:right="443"/>
              <w:spacing w:after="0"/>
              <w:rPr>
                <w:sz w:val="20"/>
                <w:szCs w:val="20"/>
                <w:color w:val="auto"/>
              </w:rPr>
            </w:pPr>
            <w:r>
              <w:rPr>
                <w:rFonts w:ascii="Arial" w:cs="Arial" w:eastAsia="Arial" w:hAnsi="Arial"/>
                <w:sz w:val="13"/>
                <w:szCs w:val="13"/>
                <w:b w:val="1"/>
                <w:bCs w:val="1"/>
                <w:color w:val="auto"/>
              </w:rPr>
              <w:t>2022</w:t>
            </w: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60" w:type="dxa"/>
            <w:vAlign w:val="bottom"/>
          </w:tcPr>
          <w:p>
            <w:pPr>
              <w:jc w:val="right"/>
              <w:ind w:right="444"/>
              <w:spacing w:after="0"/>
              <w:rPr>
                <w:sz w:val="20"/>
                <w:szCs w:val="20"/>
                <w:color w:val="auto"/>
              </w:rPr>
            </w:pPr>
            <w:r>
              <w:rPr>
                <w:rFonts w:ascii="Arial" w:cs="Arial" w:eastAsia="Arial" w:hAnsi="Arial"/>
                <w:sz w:val="13"/>
                <w:szCs w:val="13"/>
                <w:b w:val="1"/>
                <w:bCs w:val="1"/>
                <w:color w:val="auto"/>
              </w:rPr>
              <w:t>2021</w:t>
            </w:r>
          </w:p>
        </w:tc>
      </w:tr>
      <w:tr>
        <w:trPr>
          <w:trHeight w:val="21"/>
        </w:trPr>
        <w:tc>
          <w:tcPr>
            <w:tcW w:w="3740" w:type="dxa"/>
            <w:vAlign w:val="bottom"/>
            <w:tcBorders>
              <w:bottom w:val="single" w:sz="8" w:color="CCEEFF"/>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r>
        <w:trPr>
          <w:trHeight w:val="161"/>
        </w:trPr>
        <w:tc>
          <w:tcPr>
            <w:tcW w:w="37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2"/>
                <w:szCs w:val="12"/>
                <w:color w:val="auto"/>
              </w:rPr>
              <w:t>Cost of revenue, net</w:t>
            </w:r>
          </w:p>
        </w:tc>
        <w:tc>
          <w:tcPr>
            <w:tcW w:w="800" w:type="dxa"/>
            <w:vAlign w:val="bottom"/>
            <w:tcBorders>
              <w:bottom w:val="single" w:sz="8" w:color="CCEEFF"/>
            </w:tcBorders>
            <w:shd w:val="clear" w:color="auto" w:fill="CCEEFF"/>
          </w:tcPr>
          <w:p>
            <w:pPr>
              <w:jc w:val="right"/>
              <w:ind w:right="684"/>
              <w:spacing w:after="0"/>
              <w:rPr>
                <w:sz w:val="20"/>
                <w:szCs w:val="20"/>
                <w:color w:val="auto"/>
              </w:rPr>
            </w:pPr>
            <w:r>
              <w:rPr>
                <w:rFonts w:ascii="Arial" w:cs="Arial" w:eastAsia="Arial" w:hAnsi="Arial"/>
                <w:sz w:val="10"/>
                <w:szCs w:val="10"/>
                <w:color w:val="auto"/>
                <w:w w:val="71"/>
              </w:rPr>
              <w:t>$</w:t>
            </w:r>
          </w:p>
        </w:tc>
        <w:tc>
          <w:tcPr>
            <w:tcW w:w="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4,704</w:t>
            </w:r>
          </w:p>
        </w:tc>
        <w:tc>
          <w:tcPr>
            <w:tcW w:w="80" w:type="dxa"/>
            <w:vAlign w:val="bottom"/>
            <w:tcBorders>
              <w:bottom w:val="single" w:sz="8" w:color="CCEEFF"/>
            </w:tcBorders>
            <w:shd w:val="clear" w:color="auto" w:fill="CCEEFF"/>
          </w:tcPr>
          <w:p>
            <w:pPr>
              <w:spacing w:after="0"/>
              <w:rPr>
                <w:sz w:val="14"/>
                <w:szCs w:val="14"/>
                <w:color w:val="auto"/>
              </w:rPr>
            </w:pPr>
          </w:p>
        </w:tc>
        <w:tc>
          <w:tcPr>
            <w:tcW w:w="880" w:type="dxa"/>
            <w:vAlign w:val="bottom"/>
            <w:tcBorders>
              <w:bottom w:val="single" w:sz="8" w:color="CCEEFF"/>
            </w:tcBorders>
            <w:shd w:val="clear" w:color="auto" w:fill="CCEEFF"/>
          </w:tcPr>
          <w:p>
            <w:pPr>
              <w:jc w:val="right"/>
              <w:ind w:right="742"/>
              <w:spacing w:after="0"/>
              <w:rPr>
                <w:sz w:val="20"/>
                <w:szCs w:val="20"/>
                <w:color w:val="auto"/>
              </w:rPr>
            </w:pPr>
            <w:r>
              <w:rPr>
                <w:rFonts w:ascii="Arial" w:cs="Arial" w:eastAsia="Arial" w:hAnsi="Arial"/>
                <w:sz w:val="11"/>
                <w:szCs w:val="11"/>
                <w:color w:val="auto"/>
                <w:w w:val="97"/>
              </w:rPr>
              <w:t>$</w:t>
            </w:r>
          </w:p>
        </w:tc>
        <w:tc>
          <w:tcPr>
            <w:tcW w:w="360" w:type="dxa"/>
            <w:vAlign w:val="bottom"/>
            <w:tcBorders>
              <w:bottom w:val="single" w:sz="8" w:color="CCEEFF"/>
            </w:tcBorders>
            <w:shd w:val="clear" w:color="auto" w:fill="CCEEFF"/>
          </w:tcPr>
          <w:p>
            <w:pPr>
              <w:jc w:val="right"/>
              <w:ind w:right="5"/>
              <w:spacing w:after="0"/>
              <w:rPr>
                <w:sz w:val="20"/>
                <w:szCs w:val="20"/>
                <w:color w:val="auto"/>
              </w:rPr>
            </w:pPr>
            <w:r>
              <w:rPr>
                <w:rFonts w:ascii="Arial" w:cs="Arial" w:eastAsia="Arial" w:hAnsi="Arial"/>
                <w:sz w:val="11"/>
                <w:szCs w:val="11"/>
                <w:color w:val="auto"/>
              </w:rPr>
              <w:t>237</w:t>
            </w:r>
          </w:p>
        </w:tc>
        <w:tc>
          <w:tcPr>
            <w:tcW w:w="100" w:type="dxa"/>
            <w:vAlign w:val="bottom"/>
            <w:tcBorders>
              <w:bottom w:val="single" w:sz="8" w:color="CCEEFF"/>
            </w:tcBorders>
            <w:shd w:val="clear" w:color="auto" w:fill="CCEEFF"/>
          </w:tcPr>
          <w:p>
            <w:pPr>
              <w:spacing w:after="0"/>
              <w:rPr>
                <w:sz w:val="14"/>
                <w:szCs w:val="14"/>
                <w:color w:val="auto"/>
              </w:rPr>
            </w:pPr>
          </w:p>
        </w:tc>
        <w:tc>
          <w:tcPr>
            <w:tcW w:w="280" w:type="dxa"/>
            <w:vAlign w:val="bottom"/>
            <w:tcBorders>
              <w:bottom w:val="single" w:sz="8" w:color="CCEEFF"/>
            </w:tcBorders>
            <w:shd w:val="clear" w:color="auto" w:fill="CCEEFF"/>
          </w:tcPr>
          <w:p>
            <w:pPr>
              <w:jc w:val="right"/>
              <w:ind w:right="145"/>
              <w:spacing w:after="0"/>
              <w:rPr>
                <w:sz w:val="20"/>
                <w:szCs w:val="20"/>
                <w:color w:val="auto"/>
              </w:rPr>
            </w:pPr>
            <w:r>
              <w:rPr>
                <w:rFonts w:ascii="Arial" w:cs="Arial" w:eastAsia="Arial" w:hAnsi="Arial"/>
                <w:sz w:val="11"/>
                <w:szCs w:val="11"/>
                <w:color w:val="auto"/>
                <w:w w:val="97"/>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9,611</w:t>
            </w:r>
          </w:p>
        </w:tc>
        <w:tc>
          <w:tcPr>
            <w:tcW w:w="80" w:type="dxa"/>
            <w:vAlign w:val="bottom"/>
            <w:tcBorders>
              <w:bottom w:val="single" w:sz="8" w:color="CCEEFF"/>
            </w:tcBorders>
            <w:shd w:val="clear" w:color="auto" w:fill="CCEEFF"/>
          </w:tcPr>
          <w:p>
            <w:pPr>
              <w:spacing w:after="0"/>
              <w:rPr>
                <w:sz w:val="14"/>
                <w:szCs w:val="14"/>
                <w:color w:val="auto"/>
              </w:rPr>
            </w:pPr>
          </w:p>
        </w:tc>
        <w:tc>
          <w:tcPr>
            <w:tcW w:w="280" w:type="dxa"/>
            <w:vAlign w:val="bottom"/>
            <w:tcBorders>
              <w:bottom w:val="single" w:sz="8" w:color="CCEEFF"/>
            </w:tcBorders>
            <w:shd w:val="clear" w:color="auto" w:fill="CCEEFF"/>
          </w:tcPr>
          <w:p>
            <w:pPr>
              <w:jc w:val="right"/>
              <w:ind w:right="145"/>
              <w:spacing w:after="0"/>
              <w:rPr>
                <w:sz w:val="20"/>
                <w:szCs w:val="20"/>
                <w:color w:val="auto"/>
              </w:rPr>
            </w:pPr>
            <w:r>
              <w:rPr>
                <w:rFonts w:ascii="Arial" w:cs="Arial" w:eastAsia="Arial" w:hAnsi="Arial"/>
                <w:sz w:val="11"/>
                <w:szCs w:val="11"/>
                <w:color w:val="auto"/>
                <w:w w:val="97"/>
              </w:rPr>
              <w:t>$</w:t>
            </w:r>
          </w:p>
        </w:tc>
        <w:tc>
          <w:tcPr>
            <w:tcW w:w="960" w:type="dxa"/>
            <w:vAlign w:val="bottom"/>
            <w:tcBorders>
              <w:bottom w:val="single" w:sz="8" w:color="CCEEFF"/>
            </w:tcBorders>
            <w:shd w:val="clear" w:color="auto" w:fill="CCEEFF"/>
          </w:tcPr>
          <w:p>
            <w:pPr>
              <w:jc w:val="right"/>
              <w:ind w:right="4"/>
              <w:spacing w:after="0"/>
              <w:rPr>
                <w:sz w:val="20"/>
                <w:szCs w:val="20"/>
                <w:color w:val="auto"/>
              </w:rPr>
            </w:pPr>
            <w:r>
              <w:rPr>
                <w:rFonts w:ascii="Arial" w:cs="Arial" w:eastAsia="Arial" w:hAnsi="Arial"/>
                <w:sz w:val="11"/>
                <w:szCs w:val="11"/>
                <w:color w:val="auto"/>
              </w:rPr>
              <w:t>425</w:t>
            </w:r>
          </w:p>
        </w:tc>
      </w:tr>
      <w:tr>
        <w:trPr>
          <w:trHeight w:val="164"/>
        </w:trPr>
        <w:tc>
          <w:tcPr>
            <w:tcW w:w="3740" w:type="dxa"/>
            <w:vAlign w:val="bottom"/>
          </w:tcPr>
          <w:p>
            <w:pPr>
              <w:ind w:left="20"/>
              <w:spacing w:after="0"/>
              <w:rPr>
                <w:sz w:val="20"/>
                <w:szCs w:val="20"/>
                <w:color w:val="auto"/>
              </w:rPr>
            </w:pPr>
            <w:r>
              <w:rPr>
                <w:rFonts w:ascii="Arial" w:cs="Arial" w:eastAsia="Arial" w:hAnsi="Arial"/>
                <w:sz w:val="12"/>
                <w:szCs w:val="12"/>
                <w:color w:val="auto"/>
              </w:rPr>
              <w:t>Research and development</w:t>
            </w:r>
          </w:p>
        </w:tc>
        <w:tc>
          <w:tcPr>
            <w:tcW w:w="800" w:type="dxa"/>
            <w:vAlign w:val="bottom"/>
          </w:tcPr>
          <w:p>
            <w:pPr>
              <w:spacing w:after="0"/>
              <w:rPr>
                <w:sz w:val="14"/>
                <w:szCs w:val="14"/>
                <w:color w:val="auto"/>
              </w:rPr>
            </w:pPr>
          </w:p>
        </w:tc>
        <w:tc>
          <w:tcPr>
            <w:tcW w:w="420" w:type="dxa"/>
            <w:vAlign w:val="bottom"/>
          </w:tcPr>
          <w:p>
            <w:pPr>
              <w:jc w:val="right"/>
              <w:spacing w:after="0"/>
              <w:rPr>
                <w:sz w:val="20"/>
                <w:szCs w:val="20"/>
                <w:color w:val="auto"/>
              </w:rPr>
            </w:pPr>
            <w:r>
              <w:rPr>
                <w:rFonts w:ascii="Arial" w:cs="Arial" w:eastAsia="Arial" w:hAnsi="Arial"/>
                <w:sz w:val="11"/>
                <w:szCs w:val="11"/>
                <w:color w:val="auto"/>
              </w:rPr>
              <w:t>1,877</w:t>
            </w:r>
          </w:p>
        </w:tc>
        <w:tc>
          <w:tcPr>
            <w:tcW w:w="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360" w:type="dxa"/>
            <w:vAlign w:val="bottom"/>
          </w:tcPr>
          <w:p>
            <w:pPr>
              <w:jc w:val="right"/>
              <w:ind w:right="5"/>
              <w:spacing w:after="0"/>
              <w:rPr>
                <w:sz w:val="20"/>
                <w:szCs w:val="20"/>
                <w:color w:val="auto"/>
              </w:rPr>
            </w:pPr>
            <w:r>
              <w:rPr>
                <w:rFonts w:ascii="Arial" w:cs="Arial" w:eastAsia="Arial" w:hAnsi="Arial"/>
                <w:sz w:val="11"/>
                <w:szCs w:val="11"/>
                <w:color w:val="auto"/>
              </w:rPr>
              <w:t>174</w:t>
            </w: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Arial" w:cs="Arial" w:eastAsia="Arial" w:hAnsi="Arial"/>
                <w:sz w:val="11"/>
                <w:szCs w:val="11"/>
                <w:color w:val="auto"/>
              </w:rPr>
              <w:t>4,298</w:t>
            </w: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60" w:type="dxa"/>
            <w:vAlign w:val="bottom"/>
          </w:tcPr>
          <w:p>
            <w:pPr>
              <w:jc w:val="right"/>
              <w:ind w:right="4"/>
              <w:spacing w:after="0"/>
              <w:rPr>
                <w:sz w:val="20"/>
                <w:szCs w:val="20"/>
                <w:color w:val="auto"/>
              </w:rPr>
            </w:pPr>
            <w:r>
              <w:rPr>
                <w:rFonts w:ascii="Arial" w:cs="Arial" w:eastAsia="Arial" w:hAnsi="Arial"/>
                <w:sz w:val="11"/>
                <w:szCs w:val="11"/>
                <w:color w:val="auto"/>
              </w:rPr>
              <w:t>328</w:t>
            </w:r>
          </w:p>
        </w:tc>
      </w:tr>
      <w:tr>
        <w:trPr>
          <w:trHeight w:val="37"/>
        </w:trPr>
        <w:tc>
          <w:tcPr>
            <w:tcW w:w="3740" w:type="dxa"/>
            <w:vAlign w:val="bottom"/>
          </w:tcPr>
          <w:p>
            <w:pPr>
              <w:spacing w:after="0"/>
              <w:rPr>
                <w:sz w:val="3"/>
                <w:szCs w:val="3"/>
                <w:color w:val="auto"/>
              </w:rPr>
            </w:pPr>
          </w:p>
        </w:tc>
        <w:tc>
          <w:tcPr>
            <w:tcW w:w="800" w:type="dxa"/>
            <w:vAlign w:val="bottom"/>
          </w:tcPr>
          <w:p>
            <w:pPr>
              <w:spacing w:after="0"/>
              <w:rPr>
                <w:sz w:val="3"/>
                <w:szCs w:val="3"/>
                <w:color w:val="auto"/>
              </w:rPr>
            </w:pPr>
          </w:p>
        </w:tc>
        <w:tc>
          <w:tcPr>
            <w:tcW w:w="420" w:type="dxa"/>
            <w:vAlign w:val="bottom"/>
          </w:tcPr>
          <w:p>
            <w:pPr>
              <w:spacing w:after="0"/>
              <w:rPr>
                <w:sz w:val="3"/>
                <w:szCs w:val="3"/>
                <w:color w:val="auto"/>
              </w:rPr>
            </w:pPr>
          </w:p>
        </w:tc>
        <w:tc>
          <w:tcPr>
            <w:tcW w:w="80" w:type="dxa"/>
            <w:vAlign w:val="bottom"/>
          </w:tcPr>
          <w:p>
            <w:pPr>
              <w:spacing w:after="0"/>
              <w:rPr>
                <w:sz w:val="3"/>
                <w:szCs w:val="3"/>
                <w:color w:val="auto"/>
              </w:rPr>
            </w:pPr>
          </w:p>
        </w:tc>
        <w:tc>
          <w:tcPr>
            <w:tcW w:w="880" w:type="dxa"/>
            <w:vAlign w:val="bottom"/>
          </w:tcPr>
          <w:p>
            <w:pPr>
              <w:spacing w:after="0"/>
              <w:rPr>
                <w:sz w:val="3"/>
                <w:szCs w:val="3"/>
                <w:color w:val="auto"/>
              </w:rPr>
            </w:pPr>
          </w:p>
        </w:tc>
        <w:tc>
          <w:tcPr>
            <w:tcW w:w="360" w:type="dxa"/>
            <w:vAlign w:val="bottom"/>
          </w:tcPr>
          <w:p>
            <w:pPr>
              <w:spacing w:after="0"/>
              <w:rPr>
                <w:sz w:val="3"/>
                <w:szCs w:val="3"/>
                <w:color w:val="auto"/>
              </w:rPr>
            </w:pPr>
          </w:p>
        </w:tc>
        <w:tc>
          <w:tcPr>
            <w:tcW w:w="100" w:type="dxa"/>
            <w:vAlign w:val="bottom"/>
          </w:tcPr>
          <w:p>
            <w:pPr>
              <w:spacing w:after="0"/>
              <w:rPr>
                <w:sz w:val="3"/>
                <w:szCs w:val="3"/>
                <w:color w:val="auto"/>
              </w:rPr>
            </w:pPr>
          </w:p>
        </w:tc>
        <w:tc>
          <w:tcPr>
            <w:tcW w:w="280" w:type="dxa"/>
            <w:vAlign w:val="bottom"/>
          </w:tcPr>
          <w:p>
            <w:pPr>
              <w:spacing w:after="0"/>
              <w:rPr>
                <w:sz w:val="3"/>
                <w:szCs w:val="3"/>
                <w:color w:val="auto"/>
              </w:rPr>
            </w:pPr>
          </w:p>
        </w:tc>
        <w:tc>
          <w:tcPr>
            <w:tcW w:w="960" w:type="dxa"/>
            <w:vAlign w:val="bottom"/>
          </w:tcPr>
          <w:p>
            <w:pPr>
              <w:spacing w:after="0"/>
              <w:rPr>
                <w:sz w:val="3"/>
                <w:szCs w:val="3"/>
                <w:color w:val="auto"/>
              </w:rPr>
            </w:pPr>
          </w:p>
        </w:tc>
        <w:tc>
          <w:tcPr>
            <w:tcW w:w="80" w:type="dxa"/>
            <w:vAlign w:val="bottom"/>
          </w:tcPr>
          <w:p>
            <w:pPr>
              <w:spacing w:after="0"/>
              <w:rPr>
                <w:sz w:val="3"/>
                <w:szCs w:val="3"/>
                <w:color w:val="auto"/>
              </w:rPr>
            </w:pPr>
          </w:p>
        </w:tc>
        <w:tc>
          <w:tcPr>
            <w:tcW w:w="280" w:type="dxa"/>
            <w:vAlign w:val="bottom"/>
          </w:tcPr>
          <w:p>
            <w:pPr>
              <w:spacing w:after="0"/>
              <w:rPr>
                <w:sz w:val="3"/>
                <w:szCs w:val="3"/>
                <w:color w:val="auto"/>
              </w:rPr>
            </w:pPr>
          </w:p>
        </w:tc>
        <w:tc>
          <w:tcPr>
            <w:tcW w:w="960" w:type="dxa"/>
            <w:vAlign w:val="bottom"/>
          </w:tcPr>
          <w:p>
            <w:pPr>
              <w:spacing w:after="0"/>
              <w:rPr>
                <w:sz w:val="3"/>
                <w:szCs w:val="3"/>
                <w:color w:val="auto"/>
              </w:rPr>
            </w:pPr>
          </w:p>
        </w:tc>
      </w:tr>
      <w:tr>
        <w:trPr>
          <w:trHeight w:val="181"/>
        </w:trPr>
        <w:tc>
          <w:tcPr>
            <w:tcW w:w="37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2"/>
                <w:szCs w:val="12"/>
                <w:color w:val="auto"/>
              </w:rPr>
              <w:t>General and administrative</w:t>
            </w:r>
          </w:p>
        </w:tc>
        <w:tc>
          <w:tcPr>
            <w:tcW w:w="800" w:type="dxa"/>
            <w:vAlign w:val="bottom"/>
            <w:tcBorders>
              <w:bottom w:val="single" w:sz="8" w:color="CCEEFF"/>
            </w:tcBorders>
            <w:shd w:val="clear" w:color="auto" w:fill="CCEEFF"/>
          </w:tcPr>
          <w:p>
            <w:pPr>
              <w:spacing w:after="0"/>
              <w:rPr>
                <w:sz w:val="15"/>
                <w:szCs w:val="15"/>
                <w:color w:val="auto"/>
              </w:rPr>
            </w:pPr>
          </w:p>
        </w:tc>
        <w:tc>
          <w:tcPr>
            <w:tcW w:w="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5,463</w:t>
            </w:r>
          </w:p>
        </w:tc>
        <w:tc>
          <w:tcPr>
            <w:tcW w:w="80" w:type="dxa"/>
            <w:vAlign w:val="bottom"/>
            <w:tcBorders>
              <w:bottom w:val="single" w:sz="8" w:color="CCEEFF"/>
            </w:tcBorders>
            <w:shd w:val="clear" w:color="auto" w:fill="CCEEFF"/>
          </w:tcPr>
          <w:p>
            <w:pPr>
              <w:spacing w:after="0"/>
              <w:rPr>
                <w:sz w:val="15"/>
                <w:szCs w:val="15"/>
                <w:color w:val="auto"/>
              </w:rPr>
            </w:pPr>
          </w:p>
        </w:tc>
        <w:tc>
          <w:tcPr>
            <w:tcW w:w="880" w:type="dxa"/>
            <w:vAlign w:val="bottom"/>
            <w:tcBorders>
              <w:bottom w:val="single" w:sz="8" w:color="CCEEFF"/>
            </w:tcBorders>
            <w:shd w:val="clear" w:color="auto" w:fill="CCEEFF"/>
          </w:tcPr>
          <w:p>
            <w:pPr>
              <w:spacing w:after="0"/>
              <w:rPr>
                <w:sz w:val="15"/>
                <w:szCs w:val="15"/>
                <w:color w:val="auto"/>
              </w:rPr>
            </w:pPr>
          </w:p>
        </w:tc>
        <w:tc>
          <w:tcPr>
            <w:tcW w:w="360" w:type="dxa"/>
            <w:vAlign w:val="bottom"/>
            <w:tcBorders>
              <w:bottom w:val="single" w:sz="8" w:color="CCEEFF"/>
            </w:tcBorders>
            <w:shd w:val="clear" w:color="auto" w:fill="CCEEFF"/>
          </w:tcPr>
          <w:p>
            <w:pPr>
              <w:jc w:val="right"/>
              <w:ind w:right="5"/>
              <w:spacing w:after="0"/>
              <w:rPr>
                <w:sz w:val="20"/>
                <w:szCs w:val="20"/>
                <w:color w:val="auto"/>
              </w:rPr>
            </w:pPr>
            <w:r>
              <w:rPr>
                <w:rFonts w:ascii="Arial" w:cs="Arial" w:eastAsia="Arial" w:hAnsi="Arial"/>
                <w:sz w:val="11"/>
                <w:szCs w:val="11"/>
                <w:color w:val="auto"/>
              </w:rPr>
              <w:t>404</w:t>
            </w:r>
          </w:p>
        </w:tc>
        <w:tc>
          <w:tcPr>
            <w:tcW w:w="100" w:type="dxa"/>
            <w:vAlign w:val="bottom"/>
            <w:tcBorders>
              <w:bottom w:val="single" w:sz="8" w:color="CCEEFF"/>
            </w:tcBorders>
            <w:shd w:val="clear" w:color="auto" w:fill="CCEEFF"/>
          </w:tcPr>
          <w:p>
            <w:pPr>
              <w:spacing w:after="0"/>
              <w:rPr>
                <w:sz w:val="15"/>
                <w:szCs w:val="15"/>
                <w:color w:val="auto"/>
              </w:rPr>
            </w:pPr>
          </w:p>
        </w:tc>
        <w:tc>
          <w:tcPr>
            <w:tcW w:w="280" w:type="dxa"/>
            <w:vAlign w:val="bottom"/>
            <w:tcBorders>
              <w:bottom w:val="single" w:sz="8" w:color="CCEEFF"/>
            </w:tcBorders>
            <w:shd w:val="clear" w:color="auto" w:fill="CCEEFF"/>
          </w:tcPr>
          <w:p>
            <w:pPr>
              <w:spacing w:after="0"/>
              <w:rPr>
                <w:sz w:val="15"/>
                <w:szCs w:val="15"/>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10,439</w:t>
            </w:r>
          </w:p>
        </w:tc>
        <w:tc>
          <w:tcPr>
            <w:tcW w:w="80" w:type="dxa"/>
            <w:vAlign w:val="bottom"/>
            <w:tcBorders>
              <w:bottom w:val="single" w:sz="8" w:color="CCEEFF"/>
            </w:tcBorders>
            <w:shd w:val="clear" w:color="auto" w:fill="CCEEFF"/>
          </w:tcPr>
          <w:p>
            <w:pPr>
              <w:spacing w:after="0"/>
              <w:rPr>
                <w:sz w:val="15"/>
                <w:szCs w:val="15"/>
                <w:color w:val="auto"/>
              </w:rPr>
            </w:pPr>
          </w:p>
        </w:tc>
        <w:tc>
          <w:tcPr>
            <w:tcW w:w="280" w:type="dxa"/>
            <w:vAlign w:val="bottom"/>
            <w:tcBorders>
              <w:bottom w:val="single" w:sz="8" w:color="CCEEFF"/>
            </w:tcBorders>
            <w:shd w:val="clear" w:color="auto" w:fill="CCEEFF"/>
          </w:tcPr>
          <w:p>
            <w:pPr>
              <w:spacing w:after="0"/>
              <w:rPr>
                <w:sz w:val="15"/>
                <w:szCs w:val="15"/>
                <w:color w:val="auto"/>
              </w:rPr>
            </w:pPr>
          </w:p>
        </w:tc>
        <w:tc>
          <w:tcPr>
            <w:tcW w:w="960" w:type="dxa"/>
            <w:vAlign w:val="bottom"/>
            <w:tcBorders>
              <w:bottom w:val="single" w:sz="8" w:color="CCEEFF"/>
            </w:tcBorders>
            <w:shd w:val="clear" w:color="auto" w:fill="CCEEFF"/>
          </w:tcPr>
          <w:p>
            <w:pPr>
              <w:jc w:val="right"/>
              <w:ind w:right="4"/>
              <w:spacing w:after="0"/>
              <w:rPr>
                <w:sz w:val="20"/>
                <w:szCs w:val="20"/>
                <w:color w:val="auto"/>
              </w:rPr>
            </w:pPr>
            <w:r>
              <w:rPr>
                <w:rFonts w:ascii="Arial" w:cs="Arial" w:eastAsia="Arial" w:hAnsi="Arial"/>
                <w:sz w:val="11"/>
                <w:szCs w:val="11"/>
                <w:color w:val="auto"/>
              </w:rPr>
              <w:t>708</w:t>
            </w:r>
          </w:p>
        </w:tc>
      </w:tr>
      <w:tr>
        <w:trPr>
          <w:trHeight w:val="164"/>
        </w:trPr>
        <w:tc>
          <w:tcPr>
            <w:tcW w:w="3740" w:type="dxa"/>
            <w:vAlign w:val="bottom"/>
          </w:tcPr>
          <w:p>
            <w:pPr>
              <w:ind w:left="20"/>
              <w:spacing w:after="0"/>
              <w:rPr>
                <w:sz w:val="20"/>
                <w:szCs w:val="20"/>
                <w:color w:val="auto"/>
              </w:rPr>
            </w:pPr>
            <w:r>
              <w:rPr>
                <w:rFonts w:ascii="Arial" w:cs="Arial" w:eastAsia="Arial" w:hAnsi="Arial"/>
                <w:sz w:val="12"/>
                <w:szCs w:val="12"/>
                <w:color w:val="auto"/>
              </w:rPr>
              <w:t>Sales and marketing</w:t>
            </w:r>
          </w:p>
        </w:tc>
        <w:tc>
          <w:tcPr>
            <w:tcW w:w="800" w:type="dxa"/>
            <w:vAlign w:val="bottom"/>
          </w:tcPr>
          <w:p>
            <w:pPr>
              <w:spacing w:after="0"/>
              <w:rPr>
                <w:sz w:val="14"/>
                <w:szCs w:val="14"/>
                <w:color w:val="auto"/>
              </w:rPr>
            </w:pPr>
          </w:p>
        </w:tc>
        <w:tc>
          <w:tcPr>
            <w:tcW w:w="420" w:type="dxa"/>
            <w:vAlign w:val="bottom"/>
          </w:tcPr>
          <w:p>
            <w:pPr>
              <w:jc w:val="right"/>
              <w:spacing w:after="0"/>
              <w:rPr>
                <w:sz w:val="20"/>
                <w:szCs w:val="20"/>
                <w:color w:val="auto"/>
              </w:rPr>
            </w:pPr>
            <w:r>
              <w:rPr>
                <w:rFonts w:ascii="Arial" w:cs="Arial" w:eastAsia="Arial" w:hAnsi="Arial"/>
                <w:sz w:val="11"/>
                <w:szCs w:val="11"/>
                <w:color w:val="auto"/>
              </w:rPr>
              <w:t>2,004</w:t>
            </w:r>
          </w:p>
        </w:tc>
        <w:tc>
          <w:tcPr>
            <w:tcW w:w="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360" w:type="dxa"/>
            <w:vAlign w:val="bottom"/>
          </w:tcPr>
          <w:p>
            <w:pPr>
              <w:jc w:val="right"/>
              <w:ind w:right="5"/>
              <w:spacing w:after="0"/>
              <w:rPr>
                <w:sz w:val="20"/>
                <w:szCs w:val="20"/>
                <w:color w:val="auto"/>
              </w:rPr>
            </w:pPr>
            <w:r>
              <w:rPr>
                <w:rFonts w:ascii="Arial" w:cs="Arial" w:eastAsia="Arial" w:hAnsi="Arial"/>
                <w:sz w:val="11"/>
                <w:szCs w:val="11"/>
                <w:color w:val="auto"/>
              </w:rPr>
              <w:t>73</w:t>
            </w: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Arial" w:cs="Arial" w:eastAsia="Arial" w:hAnsi="Arial"/>
                <w:sz w:val="11"/>
                <w:szCs w:val="11"/>
                <w:color w:val="auto"/>
              </w:rPr>
              <w:t>4,080</w:t>
            </w: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60" w:type="dxa"/>
            <w:vAlign w:val="bottom"/>
          </w:tcPr>
          <w:p>
            <w:pPr>
              <w:jc w:val="right"/>
              <w:ind w:right="4"/>
              <w:spacing w:after="0"/>
              <w:rPr>
                <w:sz w:val="20"/>
                <w:szCs w:val="20"/>
                <w:color w:val="auto"/>
              </w:rPr>
            </w:pPr>
            <w:r>
              <w:rPr>
                <w:rFonts w:ascii="Arial" w:cs="Arial" w:eastAsia="Arial" w:hAnsi="Arial"/>
                <w:sz w:val="11"/>
                <w:szCs w:val="11"/>
                <w:color w:val="auto"/>
              </w:rPr>
              <w:t>137</w:t>
            </w:r>
          </w:p>
        </w:tc>
      </w:tr>
      <w:tr>
        <w:trPr>
          <w:trHeight w:val="37"/>
        </w:trPr>
        <w:tc>
          <w:tcPr>
            <w:tcW w:w="3740" w:type="dxa"/>
            <w:vAlign w:val="bottom"/>
            <w:tcBorders>
              <w:bottom w:val="single" w:sz="8" w:color="CCEEFF"/>
            </w:tcBorders>
          </w:tcPr>
          <w:p>
            <w:pPr>
              <w:spacing w:after="0"/>
              <w:rPr>
                <w:sz w:val="3"/>
                <w:szCs w:val="3"/>
                <w:color w:val="auto"/>
              </w:rPr>
            </w:pPr>
          </w:p>
        </w:tc>
        <w:tc>
          <w:tcPr>
            <w:tcW w:w="800" w:type="dxa"/>
            <w:vAlign w:val="bottom"/>
            <w:tcBorders>
              <w:bottom w:val="single" w:sz="8" w:color="auto"/>
            </w:tcBorders>
          </w:tcPr>
          <w:p>
            <w:pPr>
              <w:spacing w:after="0"/>
              <w:rPr>
                <w:sz w:val="3"/>
                <w:szCs w:val="3"/>
                <w:color w:val="auto"/>
              </w:rPr>
            </w:pPr>
          </w:p>
        </w:tc>
        <w:tc>
          <w:tcPr>
            <w:tcW w:w="42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r>
      <w:tr>
        <w:trPr>
          <w:trHeight w:val="199"/>
        </w:trPr>
        <w:tc>
          <w:tcPr>
            <w:tcW w:w="37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2"/>
                <w:szCs w:val="12"/>
                <w:color w:val="auto"/>
              </w:rPr>
              <w:t>Total stock-based compensation expense</w:t>
            </w:r>
          </w:p>
        </w:tc>
        <w:tc>
          <w:tcPr>
            <w:tcW w:w="800" w:type="dxa"/>
            <w:vAlign w:val="bottom"/>
            <w:tcBorders>
              <w:bottom w:val="single" w:sz="8" w:color="auto"/>
            </w:tcBorders>
            <w:shd w:val="clear" w:color="auto" w:fill="CCEEFF"/>
          </w:tcPr>
          <w:p>
            <w:pPr>
              <w:jc w:val="right"/>
              <w:ind w:right="684"/>
              <w:spacing w:after="0"/>
              <w:rPr>
                <w:sz w:val="20"/>
                <w:szCs w:val="20"/>
                <w:color w:val="auto"/>
              </w:rPr>
            </w:pPr>
            <w:r>
              <w:rPr>
                <w:rFonts w:ascii="Arial" w:cs="Arial" w:eastAsia="Arial" w:hAnsi="Arial"/>
                <w:sz w:val="10"/>
                <w:szCs w:val="10"/>
                <w:color w:val="auto"/>
                <w:w w:val="71"/>
              </w:rPr>
              <w:t>$</w:t>
            </w: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14,048</w:t>
            </w:r>
          </w:p>
        </w:tc>
        <w:tc>
          <w:tcPr>
            <w:tcW w:w="80" w:type="dxa"/>
            <w:vAlign w:val="bottom"/>
            <w:tcBorders>
              <w:bottom w:val="single" w:sz="8" w:color="CCEEFF"/>
            </w:tcBorders>
            <w:shd w:val="clear" w:color="auto" w:fill="CCEEFF"/>
          </w:tcPr>
          <w:p>
            <w:pPr>
              <w:spacing w:after="0"/>
              <w:rPr>
                <w:sz w:val="16"/>
                <w:szCs w:val="16"/>
                <w:color w:val="auto"/>
              </w:rPr>
            </w:pPr>
          </w:p>
        </w:tc>
        <w:tc>
          <w:tcPr>
            <w:tcW w:w="880" w:type="dxa"/>
            <w:vAlign w:val="bottom"/>
            <w:tcBorders>
              <w:bottom w:val="single" w:sz="8" w:color="auto"/>
            </w:tcBorders>
            <w:shd w:val="clear" w:color="auto" w:fill="CCEEFF"/>
          </w:tcPr>
          <w:p>
            <w:pPr>
              <w:jc w:val="right"/>
              <w:ind w:right="742"/>
              <w:spacing w:after="0"/>
              <w:rPr>
                <w:sz w:val="20"/>
                <w:szCs w:val="20"/>
                <w:color w:val="auto"/>
              </w:rPr>
            </w:pPr>
            <w:r>
              <w:rPr>
                <w:rFonts w:ascii="Arial" w:cs="Arial" w:eastAsia="Arial" w:hAnsi="Arial"/>
                <w:sz w:val="11"/>
                <w:szCs w:val="11"/>
                <w:color w:val="auto"/>
                <w:w w:val="97"/>
              </w:rPr>
              <w:t>$</w:t>
            </w:r>
          </w:p>
        </w:tc>
        <w:tc>
          <w:tcPr>
            <w:tcW w:w="360" w:type="dxa"/>
            <w:vAlign w:val="bottom"/>
            <w:tcBorders>
              <w:bottom w:val="single" w:sz="8" w:color="auto"/>
            </w:tcBorders>
            <w:shd w:val="clear" w:color="auto" w:fill="CCEEFF"/>
          </w:tcPr>
          <w:p>
            <w:pPr>
              <w:jc w:val="right"/>
              <w:ind w:right="5"/>
              <w:spacing w:after="0"/>
              <w:rPr>
                <w:sz w:val="20"/>
                <w:szCs w:val="20"/>
                <w:color w:val="auto"/>
              </w:rPr>
            </w:pPr>
            <w:r>
              <w:rPr>
                <w:rFonts w:ascii="Arial" w:cs="Arial" w:eastAsia="Arial" w:hAnsi="Arial"/>
                <w:sz w:val="11"/>
                <w:szCs w:val="11"/>
                <w:color w:val="auto"/>
              </w:rPr>
              <w:t>888</w:t>
            </w:r>
          </w:p>
        </w:tc>
        <w:tc>
          <w:tcPr>
            <w:tcW w:w="100" w:type="dxa"/>
            <w:vAlign w:val="bottom"/>
            <w:tcBorders>
              <w:bottom w:val="single" w:sz="8" w:color="CCEEFF"/>
            </w:tcBorders>
            <w:shd w:val="clear" w:color="auto" w:fill="CCEEFF"/>
          </w:tcPr>
          <w:p>
            <w:pPr>
              <w:spacing w:after="0"/>
              <w:rPr>
                <w:sz w:val="16"/>
                <w:szCs w:val="16"/>
                <w:color w:val="auto"/>
              </w:rPr>
            </w:pPr>
          </w:p>
        </w:tc>
        <w:tc>
          <w:tcPr>
            <w:tcW w:w="280" w:type="dxa"/>
            <w:vAlign w:val="bottom"/>
            <w:tcBorders>
              <w:bottom w:val="single" w:sz="8" w:color="auto"/>
            </w:tcBorders>
            <w:shd w:val="clear" w:color="auto" w:fill="CCEEFF"/>
          </w:tcPr>
          <w:p>
            <w:pPr>
              <w:jc w:val="right"/>
              <w:ind w:right="145"/>
              <w:spacing w:after="0"/>
              <w:rPr>
                <w:sz w:val="20"/>
                <w:szCs w:val="20"/>
                <w:color w:val="auto"/>
              </w:rPr>
            </w:pPr>
            <w:r>
              <w:rPr>
                <w:rFonts w:ascii="Arial" w:cs="Arial" w:eastAsia="Arial" w:hAnsi="Arial"/>
                <w:sz w:val="11"/>
                <w:szCs w:val="11"/>
                <w:color w:val="auto"/>
                <w:w w:val="97"/>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28,428</w:t>
            </w:r>
          </w:p>
        </w:tc>
        <w:tc>
          <w:tcPr>
            <w:tcW w:w="80" w:type="dxa"/>
            <w:vAlign w:val="bottom"/>
            <w:tcBorders>
              <w:bottom w:val="single" w:sz="8" w:color="CCEEFF"/>
            </w:tcBorders>
            <w:shd w:val="clear" w:color="auto" w:fill="CCEEFF"/>
          </w:tcPr>
          <w:p>
            <w:pPr>
              <w:spacing w:after="0"/>
              <w:rPr>
                <w:sz w:val="16"/>
                <w:szCs w:val="16"/>
                <w:color w:val="auto"/>
              </w:rPr>
            </w:pPr>
          </w:p>
        </w:tc>
        <w:tc>
          <w:tcPr>
            <w:tcW w:w="280" w:type="dxa"/>
            <w:vAlign w:val="bottom"/>
            <w:tcBorders>
              <w:bottom w:val="single" w:sz="8" w:color="auto"/>
            </w:tcBorders>
            <w:shd w:val="clear" w:color="auto" w:fill="CCEEFF"/>
          </w:tcPr>
          <w:p>
            <w:pPr>
              <w:jc w:val="right"/>
              <w:ind w:right="145"/>
              <w:spacing w:after="0"/>
              <w:rPr>
                <w:sz w:val="20"/>
                <w:szCs w:val="20"/>
                <w:color w:val="auto"/>
              </w:rPr>
            </w:pPr>
            <w:r>
              <w:rPr>
                <w:rFonts w:ascii="Arial" w:cs="Arial" w:eastAsia="Arial" w:hAnsi="Arial"/>
                <w:sz w:val="11"/>
                <w:szCs w:val="11"/>
                <w:color w:val="auto"/>
                <w:w w:val="97"/>
              </w:rPr>
              <w:t>$</w:t>
            </w:r>
          </w:p>
        </w:tc>
        <w:tc>
          <w:tcPr>
            <w:tcW w:w="960" w:type="dxa"/>
            <w:vAlign w:val="bottom"/>
            <w:tcBorders>
              <w:bottom w:val="single" w:sz="8" w:color="auto"/>
            </w:tcBorders>
            <w:shd w:val="clear" w:color="auto" w:fill="CCEEFF"/>
          </w:tcPr>
          <w:p>
            <w:pPr>
              <w:jc w:val="right"/>
              <w:ind w:right="4"/>
              <w:spacing w:after="0"/>
              <w:rPr>
                <w:sz w:val="20"/>
                <w:szCs w:val="20"/>
                <w:color w:val="auto"/>
              </w:rPr>
            </w:pPr>
            <w:r>
              <w:rPr>
                <w:rFonts w:ascii="Arial" w:cs="Arial" w:eastAsia="Arial" w:hAnsi="Arial"/>
                <w:sz w:val="11"/>
                <w:szCs w:val="11"/>
                <w:color w:val="auto"/>
              </w:rPr>
              <w:t>1,598</w:t>
            </w:r>
          </w:p>
        </w:tc>
      </w:tr>
      <w:tr>
        <w:trPr>
          <w:trHeight w:val="20"/>
        </w:trPr>
        <w:tc>
          <w:tcPr>
            <w:tcW w:w="374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r>
      <w:tr>
        <w:trPr>
          <w:trHeight w:val="20"/>
        </w:trPr>
        <w:tc>
          <w:tcPr>
            <w:tcW w:w="37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ectPr>
          <w:pgSz w:w="11900" w:h="16838" w:orient="portrait"/>
          <w:cols w:equalWidth="0" w:num="1">
            <w:col w:w="9938"/>
          </w:cols>
          <w:pgMar w:left="882" w:top="339" w:right="1079" w:bottom="1440" w:gutter="0" w:footer="0" w:header="0"/>
        </w:sectPr>
      </w:pPr>
    </w:p>
    <w:bookmarkStart w:id="9" w:name="page10"/>
    <w:bookmarkEnd w:id="9"/>
    <w:p>
      <w:pPr>
        <w:jc w:val="center"/>
        <w:ind w:right="20"/>
        <w:spacing w:after="0"/>
        <w:rPr>
          <w:sz w:val="20"/>
          <w:szCs w:val="20"/>
          <w:color w:val="auto"/>
        </w:rPr>
      </w:pPr>
      <w:r>
        <w:rPr>
          <w:rFonts w:ascii="Arial" w:cs="Arial" w:eastAsia="Arial" w:hAnsi="Arial"/>
          <w:sz w:val="19"/>
          <w:szCs w:val="19"/>
          <w:b w:val="1"/>
          <w:bCs w:val="1"/>
          <w:color w:val="auto"/>
        </w:rPr>
        <w:t>Expensify, Inc.</w:t>
      </w:r>
    </w:p>
    <w:p>
      <w:pPr>
        <w:spacing w:after="0" w:line="28" w:lineRule="exact"/>
        <w:rPr>
          <w:sz w:val="20"/>
          <w:szCs w:val="20"/>
          <w:color w:val="auto"/>
        </w:rPr>
      </w:pPr>
    </w:p>
    <w:p>
      <w:pPr>
        <w:jc w:val="center"/>
        <w:ind w:right="20"/>
        <w:spacing w:after="0"/>
        <w:rPr>
          <w:sz w:val="20"/>
          <w:szCs w:val="20"/>
          <w:color w:val="auto"/>
        </w:rPr>
      </w:pPr>
      <w:r>
        <w:rPr>
          <w:rFonts w:ascii="Arial" w:cs="Arial" w:eastAsia="Arial" w:hAnsi="Arial"/>
          <w:sz w:val="19"/>
          <w:szCs w:val="19"/>
          <w:b w:val="1"/>
          <w:bCs w:val="1"/>
          <w:color w:val="auto"/>
        </w:rPr>
        <w:t>Condensed Consolidated Statements of Cash Flows</w:t>
      </w:r>
    </w:p>
    <w:p>
      <w:pPr>
        <w:spacing w:after="0" w:line="18"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(unaudited, in thousands)</w:t>
      </w:r>
    </w:p>
    <w:p>
      <w:pPr>
        <w:spacing w:after="0" w:line="200" w:lineRule="exact"/>
        <w:rPr>
          <w:sz w:val="20"/>
          <w:szCs w:val="20"/>
          <w:color w:val="auto"/>
        </w:rPr>
      </w:pPr>
    </w:p>
    <w:p>
      <w:pPr>
        <w:spacing w:after="0" w:line="278" w:lineRule="exact"/>
        <w:rPr>
          <w:sz w:val="20"/>
          <w:szCs w:val="20"/>
          <w:color w:val="auto"/>
        </w:rPr>
      </w:pPr>
    </w:p>
    <w:tbl>
      <w:tblPr>
        <w:tblLayout w:type="fixed"/>
        <w:tblInd w:w="0" w:type="dxa"/>
        <w:tblCellMar>
          <w:top w:w="0" w:type="dxa"/>
          <w:left w:w="0" w:type="dxa"/>
          <w:bottom w:w="0" w:type="dxa"/>
          <w:right w:w="0" w:type="dxa"/>
        </w:tblCellMar>
      </w:tblPr>
      <w:tr>
        <w:trPr>
          <w:trHeight w:val="142"/>
        </w:trPr>
        <w:tc>
          <w:tcPr>
            <w:tcW w:w="552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1960" w:type="dxa"/>
            <w:vAlign w:val="bottom"/>
            <w:gridSpan w:val="3"/>
          </w:tcPr>
          <w:p>
            <w:pPr>
              <w:jc w:val="right"/>
              <w:ind w:right="265"/>
              <w:spacing w:after="0"/>
              <w:rPr>
                <w:sz w:val="20"/>
                <w:szCs w:val="20"/>
                <w:color w:val="auto"/>
              </w:rPr>
            </w:pPr>
            <w:r>
              <w:rPr>
                <w:rFonts w:ascii="Arial" w:cs="Arial" w:eastAsia="Arial" w:hAnsi="Arial"/>
                <w:sz w:val="11"/>
                <w:szCs w:val="11"/>
                <w:b w:val="1"/>
                <w:bCs w:val="1"/>
                <w:color w:val="auto"/>
              </w:rPr>
              <w:t>Six months ended June 30,</w:t>
            </w:r>
          </w:p>
        </w:tc>
        <w:tc>
          <w:tcPr>
            <w:tcW w:w="19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9"/>
        </w:trPr>
        <w:tc>
          <w:tcPr>
            <w:tcW w:w="5520" w:type="dxa"/>
            <w:vAlign w:val="bottom"/>
          </w:tcPr>
          <w:p>
            <w:pPr>
              <w:spacing w:after="0"/>
              <w:rPr>
                <w:sz w:val="3"/>
                <w:szCs w:val="3"/>
                <w:color w:val="auto"/>
              </w:rPr>
            </w:pPr>
          </w:p>
        </w:tc>
        <w:tc>
          <w:tcPr>
            <w:tcW w:w="1860" w:type="dxa"/>
            <w:vAlign w:val="bottom"/>
            <w:tcBorders>
              <w:bottom w:val="single" w:sz="8" w:color="auto"/>
            </w:tcBorders>
          </w:tcPr>
          <w:p>
            <w:pPr>
              <w:spacing w:after="0"/>
              <w:rPr>
                <w:sz w:val="3"/>
                <w:szCs w:val="3"/>
                <w:color w:val="auto"/>
              </w:rPr>
            </w:pPr>
          </w:p>
        </w:tc>
        <w:tc>
          <w:tcPr>
            <w:tcW w:w="84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040" w:type="dxa"/>
            <w:vAlign w:val="bottom"/>
            <w:tcBorders>
              <w:bottom w:val="single" w:sz="8" w:color="auto"/>
            </w:tcBorders>
          </w:tcPr>
          <w:p>
            <w:pPr>
              <w:spacing w:after="0"/>
              <w:rPr>
                <w:sz w:val="3"/>
                <w:szCs w:val="3"/>
                <w:color w:val="auto"/>
              </w:rPr>
            </w:pPr>
          </w:p>
        </w:tc>
        <w:tc>
          <w:tcPr>
            <w:tcW w:w="19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42"/>
        </w:trPr>
        <w:tc>
          <w:tcPr>
            <w:tcW w:w="5520" w:type="dxa"/>
            <w:vAlign w:val="bottom"/>
          </w:tcPr>
          <w:p>
            <w:pPr>
              <w:spacing w:after="0"/>
              <w:rPr>
                <w:sz w:val="12"/>
                <w:szCs w:val="12"/>
                <w:color w:val="auto"/>
              </w:rPr>
            </w:pPr>
          </w:p>
        </w:tc>
        <w:tc>
          <w:tcPr>
            <w:tcW w:w="1860" w:type="dxa"/>
            <w:vAlign w:val="bottom"/>
          </w:tcPr>
          <w:p>
            <w:pPr>
              <w:jc w:val="right"/>
              <w:ind w:right="345"/>
              <w:spacing w:after="0"/>
              <w:rPr>
                <w:sz w:val="20"/>
                <w:szCs w:val="20"/>
                <w:color w:val="auto"/>
              </w:rPr>
            </w:pPr>
            <w:r>
              <w:rPr>
                <w:rFonts w:ascii="Arial" w:cs="Arial" w:eastAsia="Arial" w:hAnsi="Arial"/>
                <w:sz w:val="11"/>
                <w:szCs w:val="11"/>
                <w:b w:val="1"/>
                <w:bCs w:val="1"/>
                <w:color w:val="auto"/>
              </w:rPr>
              <w:t>2022</w:t>
            </w:r>
          </w:p>
        </w:tc>
        <w:tc>
          <w:tcPr>
            <w:tcW w:w="8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920" w:type="dxa"/>
            <w:vAlign w:val="bottom"/>
          </w:tcPr>
          <w:p>
            <w:pPr>
              <w:jc w:val="right"/>
              <w:ind w:right="1305"/>
              <w:spacing w:after="0"/>
              <w:rPr>
                <w:sz w:val="20"/>
                <w:szCs w:val="20"/>
                <w:color w:val="auto"/>
              </w:rPr>
            </w:pPr>
            <w:r>
              <w:rPr>
                <w:rFonts w:ascii="Arial" w:cs="Arial" w:eastAsia="Arial" w:hAnsi="Arial"/>
                <w:sz w:val="11"/>
                <w:szCs w:val="11"/>
                <w:b w:val="1"/>
                <w:bCs w:val="1"/>
                <w:color w:val="auto"/>
              </w:rPr>
              <w:t>2021</w:t>
            </w:r>
          </w:p>
        </w:tc>
        <w:tc>
          <w:tcPr>
            <w:tcW w:w="0" w:type="dxa"/>
            <w:vAlign w:val="bottom"/>
          </w:tcPr>
          <w:p>
            <w:pPr>
              <w:spacing w:after="0"/>
              <w:rPr>
                <w:sz w:val="1"/>
                <w:szCs w:val="1"/>
                <w:color w:val="auto"/>
              </w:rPr>
            </w:pPr>
          </w:p>
        </w:tc>
      </w:tr>
      <w:tr>
        <w:trPr>
          <w:trHeight w:val="39"/>
        </w:trPr>
        <w:tc>
          <w:tcPr>
            <w:tcW w:w="5520" w:type="dxa"/>
            <w:vAlign w:val="bottom"/>
            <w:vMerge w:val="restart"/>
          </w:tcPr>
          <w:p>
            <w:pPr>
              <w:ind w:left="20"/>
              <w:spacing w:after="0"/>
              <w:rPr>
                <w:sz w:val="20"/>
                <w:szCs w:val="20"/>
                <w:color w:val="auto"/>
              </w:rPr>
            </w:pPr>
            <w:r>
              <w:rPr>
                <w:rFonts w:ascii="Arial" w:cs="Arial" w:eastAsia="Arial" w:hAnsi="Arial"/>
                <w:sz w:val="11"/>
                <w:szCs w:val="11"/>
                <w:color w:val="auto"/>
              </w:rPr>
              <w:t>Cash flows from operating activities:</w:t>
            </w:r>
          </w:p>
        </w:tc>
        <w:tc>
          <w:tcPr>
            <w:tcW w:w="1860" w:type="dxa"/>
            <w:vAlign w:val="bottom"/>
            <w:tcBorders>
              <w:bottom w:val="single" w:sz="8" w:color="auto"/>
            </w:tcBorders>
          </w:tcPr>
          <w:p>
            <w:pPr>
              <w:spacing w:after="0"/>
              <w:rPr>
                <w:sz w:val="3"/>
                <w:szCs w:val="3"/>
                <w:color w:val="auto"/>
              </w:rPr>
            </w:pPr>
          </w:p>
        </w:tc>
        <w:tc>
          <w:tcPr>
            <w:tcW w:w="84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1040" w:type="dxa"/>
            <w:vAlign w:val="bottom"/>
            <w:tcBorders>
              <w:bottom w:val="single" w:sz="8" w:color="auto"/>
            </w:tcBorders>
          </w:tcPr>
          <w:p>
            <w:pPr>
              <w:spacing w:after="0"/>
              <w:rPr>
                <w:sz w:val="3"/>
                <w:szCs w:val="3"/>
                <w:color w:val="auto"/>
              </w:rPr>
            </w:pPr>
          </w:p>
        </w:tc>
        <w:tc>
          <w:tcPr>
            <w:tcW w:w="19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30"/>
        </w:trPr>
        <w:tc>
          <w:tcPr>
            <w:tcW w:w="5520" w:type="dxa"/>
            <w:vAlign w:val="bottom"/>
            <w:vMerge w:val="continue"/>
          </w:tcPr>
          <w:p>
            <w:pPr>
              <w:spacing w:after="0"/>
              <w:rPr>
                <w:sz w:val="11"/>
                <w:szCs w:val="11"/>
                <w:color w:val="auto"/>
              </w:rPr>
            </w:pPr>
          </w:p>
        </w:tc>
        <w:tc>
          <w:tcPr>
            <w:tcW w:w="18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9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9"/>
        </w:trPr>
        <w:tc>
          <w:tcPr>
            <w:tcW w:w="5520" w:type="dxa"/>
            <w:vAlign w:val="bottom"/>
          </w:tcPr>
          <w:p>
            <w:pPr>
              <w:spacing w:after="0"/>
              <w:rPr>
                <w:sz w:val="3"/>
                <w:szCs w:val="3"/>
                <w:color w:val="auto"/>
              </w:rPr>
            </w:pPr>
          </w:p>
        </w:tc>
        <w:tc>
          <w:tcPr>
            <w:tcW w:w="1860" w:type="dxa"/>
            <w:vAlign w:val="bottom"/>
          </w:tcPr>
          <w:p>
            <w:pPr>
              <w:spacing w:after="0"/>
              <w:rPr>
                <w:sz w:val="3"/>
                <w:szCs w:val="3"/>
                <w:color w:val="auto"/>
              </w:rPr>
            </w:pPr>
          </w:p>
        </w:tc>
        <w:tc>
          <w:tcPr>
            <w:tcW w:w="840" w:type="dxa"/>
            <w:vAlign w:val="bottom"/>
          </w:tcPr>
          <w:p>
            <w:pPr>
              <w:spacing w:after="0"/>
              <w:rPr>
                <w:sz w:val="3"/>
                <w:szCs w:val="3"/>
                <w:color w:val="auto"/>
              </w:rPr>
            </w:pPr>
          </w:p>
        </w:tc>
        <w:tc>
          <w:tcPr>
            <w:tcW w:w="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9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69"/>
        </w:trPr>
        <w:tc>
          <w:tcPr>
            <w:tcW w:w="55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1"/>
                <w:szCs w:val="11"/>
                <w:color w:val="auto"/>
              </w:rPr>
              <w:t>Net (loss) income</w:t>
            </w:r>
          </w:p>
        </w:tc>
        <w:tc>
          <w:tcPr>
            <w:tcW w:w="1860" w:type="dxa"/>
            <w:vAlign w:val="bottom"/>
            <w:tcBorders>
              <w:bottom w:val="single" w:sz="8" w:color="CCEEFF"/>
            </w:tcBorders>
            <w:shd w:val="clear" w:color="auto" w:fill="CCEEFF"/>
          </w:tcPr>
          <w:p>
            <w:pPr>
              <w:jc w:val="right"/>
              <w:ind w:right="1725"/>
              <w:spacing w:after="0"/>
              <w:rPr>
                <w:sz w:val="20"/>
                <w:szCs w:val="20"/>
                <w:color w:val="auto"/>
              </w:rPr>
            </w:pPr>
            <w:r>
              <w:rPr>
                <w:rFonts w:ascii="Arial" w:cs="Arial" w:eastAsia="Arial" w:hAnsi="Arial"/>
                <w:sz w:val="11"/>
                <w:szCs w:val="11"/>
                <w:color w:val="auto"/>
                <w:w w:val="97"/>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(15,370)</w:t>
            </w:r>
          </w:p>
        </w:tc>
        <w:tc>
          <w:tcPr>
            <w:tcW w:w="80" w:type="dxa"/>
            <w:vAlign w:val="bottom"/>
            <w:tcBorders>
              <w:bottom w:val="single" w:sz="8" w:color="CCEEFF"/>
            </w:tcBorders>
            <w:shd w:val="clear" w:color="auto" w:fill="CCEEFF"/>
          </w:tcPr>
          <w:p>
            <w:pPr>
              <w:spacing w:after="0"/>
              <w:rPr>
                <w:sz w:val="14"/>
                <w:szCs w:val="14"/>
                <w:color w:val="auto"/>
              </w:rPr>
            </w:pPr>
          </w:p>
        </w:tc>
        <w:tc>
          <w:tcPr>
            <w:tcW w:w="1040" w:type="dxa"/>
            <w:vAlign w:val="bottom"/>
            <w:tcBorders>
              <w:bottom w:val="single" w:sz="8" w:color="CCEEFF"/>
            </w:tcBorders>
            <w:shd w:val="clear" w:color="auto" w:fill="CCEEFF"/>
          </w:tcPr>
          <w:p>
            <w:pPr>
              <w:jc w:val="right"/>
              <w:ind w:right="905"/>
              <w:spacing w:after="0"/>
              <w:rPr>
                <w:sz w:val="20"/>
                <w:szCs w:val="20"/>
                <w:color w:val="auto"/>
              </w:rPr>
            </w:pPr>
            <w:r>
              <w:rPr>
                <w:rFonts w:ascii="Arial" w:cs="Arial" w:eastAsia="Arial" w:hAnsi="Arial"/>
                <w:sz w:val="11"/>
                <w:szCs w:val="11"/>
                <w:color w:val="auto"/>
                <w:w w:val="97"/>
              </w:rPr>
              <w:t>$</w:t>
            </w:r>
          </w:p>
        </w:tc>
        <w:tc>
          <w:tcPr>
            <w:tcW w:w="1920" w:type="dxa"/>
            <w:vAlign w:val="bottom"/>
            <w:tcBorders>
              <w:bottom w:val="single" w:sz="8" w:color="CCEEFF"/>
            </w:tcBorders>
            <w:shd w:val="clear" w:color="auto" w:fill="CCEEFF"/>
          </w:tcPr>
          <w:p>
            <w:pPr>
              <w:jc w:val="right"/>
              <w:ind w:right="5"/>
              <w:spacing w:after="0"/>
              <w:rPr>
                <w:sz w:val="20"/>
                <w:szCs w:val="20"/>
                <w:color w:val="auto"/>
              </w:rPr>
            </w:pPr>
            <w:r>
              <w:rPr>
                <w:rFonts w:ascii="Arial" w:cs="Arial" w:eastAsia="Arial" w:hAnsi="Arial"/>
                <w:sz w:val="11"/>
                <w:szCs w:val="11"/>
                <w:color w:val="auto"/>
              </w:rPr>
              <w:t>14,674</w:t>
            </w:r>
          </w:p>
        </w:tc>
        <w:tc>
          <w:tcPr>
            <w:tcW w:w="0" w:type="dxa"/>
            <w:vAlign w:val="bottom"/>
          </w:tcPr>
          <w:p>
            <w:pPr>
              <w:spacing w:after="0"/>
              <w:rPr>
                <w:sz w:val="1"/>
                <w:szCs w:val="1"/>
                <w:color w:val="auto"/>
              </w:rPr>
            </w:pPr>
          </w:p>
        </w:tc>
      </w:tr>
      <w:tr>
        <w:trPr>
          <w:trHeight w:val="150"/>
        </w:trPr>
        <w:tc>
          <w:tcPr>
            <w:tcW w:w="5520" w:type="dxa"/>
            <w:vAlign w:val="bottom"/>
          </w:tcPr>
          <w:p>
            <w:pPr>
              <w:ind w:left="20"/>
              <w:spacing w:after="0"/>
              <w:rPr>
                <w:sz w:val="20"/>
                <w:szCs w:val="20"/>
                <w:color w:val="auto"/>
              </w:rPr>
            </w:pPr>
            <w:r>
              <w:rPr>
                <w:rFonts w:ascii="Arial" w:cs="Arial" w:eastAsia="Arial" w:hAnsi="Arial"/>
                <w:sz w:val="11"/>
                <w:szCs w:val="11"/>
                <w:color w:val="auto"/>
              </w:rPr>
              <w:t>Adjustments to reconcile net (loss) income to net cash provided by operating activities:</w:t>
            </w:r>
          </w:p>
        </w:tc>
        <w:tc>
          <w:tcPr>
            <w:tcW w:w="18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9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9"/>
        </w:trPr>
        <w:tc>
          <w:tcPr>
            <w:tcW w:w="5520" w:type="dxa"/>
            <w:vAlign w:val="bottom"/>
          </w:tcPr>
          <w:p>
            <w:pPr>
              <w:spacing w:after="0"/>
              <w:rPr>
                <w:sz w:val="3"/>
                <w:szCs w:val="3"/>
                <w:color w:val="auto"/>
              </w:rPr>
            </w:pPr>
          </w:p>
        </w:tc>
        <w:tc>
          <w:tcPr>
            <w:tcW w:w="1860" w:type="dxa"/>
            <w:vAlign w:val="bottom"/>
          </w:tcPr>
          <w:p>
            <w:pPr>
              <w:spacing w:after="0"/>
              <w:rPr>
                <w:sz w:val="3"/>
                <w:szCs w:val="3"/>
                <w:color w:val="auto"/>
              </w:rPr>
            </w:pPr>
          </w:p>
        </w:tc>
        <w:tc>
          <w:tcPr>
            <w:tcW w:w="840" w:type="dxa"/>
            <w:vAlign w:val="bottom"/>
          </w:tcPr>
          <w:p>
            <w:pPr>
              <w:spacing w:after="0"/>
              <w:rPr>
                <w:sz w:val="3"/>
                <w:szCs w:val="3"/>
                <w:color w:val="auto"/>
              </w:rPr>
            </w:pPr>
          </w:p>
        </w:tc>
        <w:tc>
          <w:tcPr>
            <w:tcW w:w="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9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69"/>
        </w:trPr>
        <w:tc>
          <w:tcPr>
            <w:tcW w:w="55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1"/>
                <w:szCs w:val="11"/>
                <w:color w:val="auto"/>
              </w:rPr>
              <w:t>Depreciation and amortization</w:t>
            </w:r>
          </w:p>
        </w:tc>
        <w:tc>
          <w:tcPr>
            <w:tcW w:w="1860" w:type="dxa"/>
            <w:vAlign w:val="bottom"/>
            <w:tcBorders>
              <w:bottom w:val="single" w:sz="8" w:color="CCEEFF"/>
            </w:tcBorders>
            <w:shd w:val="clear" w:color="auto" w:fill="CCEEFF"/>
          </w:tcPr>
          <w:p>
            <w:pPr>
              <w:spacing w:after="0"/>
              <w:rPr>
                <w:sz w:val="14"/>
                <w:szCs w:val="14"/>
                <w:color w:val="auto"/>
              </w:rPr>
            </w:pPr>
          </w:p>
        </w:tc>
        <w:tc>
          <w:tcPr>
            <w:tcW w:w="840" w:type="dxa"/>
            <w:vAlign w:val="bottom"/>
            <w:tcBorders>
              <w:bottom w:val="single" w:sz="8" w:color="CCEEFF"/>
            </w:tcBorders>
            <w:shd w:val="clear" w:color="auto" w:fill="CCEEFF"/>
          </w:tcPr>
          <w:p>
            <w:pPr>
              <w:jc w:val="right"/>
              <w:ind w:right="5"/>
              <w:spacing w:after="0"/>
              <w:rPr>
                <w:sz w:val="20"/>
                <w:szCs w:val="20"/>
                <w:color w:val="auto"/>
              </w:rPr>
            </w:pPr>
            <w:r>
              <w:rPr>
                <w:rFonts w:ascii="Arial" w:cs="Arial" w:eastAsia="Arial" w:hAnsi="Arial"/>
                <w:sz w:val="11"/>
                <w:szCs w:val="11"/>
                <w:color w:val="auto"/>
              </w:rPr>
              <w:t>2,735</w:t>
            </w:r>
          </w:p>
        </w:tc>
        <w:tc>
          <w:tcPr>
            <w:tcW w:w="80" w:type="dxa"/>
            <w:vAlign w:val="bottom"/>
            <w:tcBorders>
              <w:bottom w:val="single" w:sz="8" w:color="CCEEFF"/>
            </w:tcBorders>
            <w:shd w:val="clear" w:color="auto" w:fill="CCEEFF"/>
          </w:tcPr>
          <w:p>
            <w:pPr>
              <w:spacing w:after="0"/>
              <w:rPr>
                <w:sz w:val="14"/>
                <w:szCs w:val="14"/>
                <w:color w:val="auto"/>
              </w:rPr>
            </w:pPr>
          </w:p>
        </w:tc>
        <w:tc>
          <w:tcPr>
            <w:tcW w:w="1040" w:type="dxa"/>
            <w:vAlign w:val="bottom"/>
            <w:tcBorders>
              <w:bottom w:val="single" w:sz="8" w:color="CCEEFF"/>
            </w:tcBorders>
            <w:shd w:val="clear" w:color="auto" w:fill="CCEEFF"/>
          </w:tcPr>
          <w:p>
            <w:pPr>
              <w:spacing w:after="0"/>
              <w:rPr>
                <w:sz w:val="14"/>
                <w:szCs w:val="14"/>
                <w:color w:val="auto"/>
              </w:rPr>
            </w:pPr>
          </w:p>
        </w:tc>
        <w:tc>
          <w:tcPr>
            <w:tcW w:w="1920" w:type="dxa"/>
            <w:vAlign w:val="bottom"/>
            <w:tcBorders>
              <w:bottom w:val="single" w:sz="8" w:color="CCEEFF"/>
            </w:tcBorders>
            <w:shd w:val="clear" w:color="auto" w:fill="CCEEFF"/>
          </w:tcPr>
          <w:p>
            <w:pPr>
              <w:jc w:val="right"/>
              <w:ind w:right="5"/>
              <w:spacing w:after="0"/>
              <w:rPr>
                <w:sz w:val="20"/>
                <w:szCs w:val="20"/>
                <w:color w:val="auto"/>
              </w:rPr>
            </w:pPr>
            <w:r>
              <w:rPr>
                <w:rFonts w:ascii="Arial" w:cs="Arial" w:eastAsia="Arial" w:hAnsi="Arial"/>
                <w:sz w:val="11"/>
                <w:szCs w:val="11"/>
                <w:color w:val="auto"/>
              </w:rPr>
              <w:t>2,294</w:t>
            </w:r>
          </w:p>
        </w:tc>
        <w:tc>
          <w:tcPr>
            <w:tcW w:w="0" w:type="dxa"/>
            <w:vAlign w:val="bottom"/>
          </w:tcPr>
          <w:p>
            <w:pPr>
              <w:spacing w:after="0"/>
              <w:rPr>
                <w:sz w:val="1"/>
                <w:szCs w:val="1"/>
                <w:color w:val="auto"/>
              </w:rPr>
            </w:pPr>
          </w:p>
        </w:tc>
      </w:tr>
      <w:tr>
        <w:trPr>
          <w:trHeight w:val="150"/>
        </w:trPr>
        <w:tc>
          <w:tcPr>
            <w:tcW w:w="5520" w:type="dxa"/>
            <w:vAlign w:val="bottom"/>
          </w:tcPr>
          <w:p>
            <w:pPr>
              <w:ind w:left="20"/>
              <w:spacing w:after="0"/>
              <w:rPr>
                <w:sz w:val="20"/>
                <w:szCs w:val="20"/>
                <w:color w:val="auto"/>
              </w:rPr>
            </w:pPr>
            <w:r>
              <w:rPr>
                <w:rFonts w:ascii="Arial" w:cs="Arial" w:eastAsia="Arial" w:hAnsi="Arial"/>
                <w:sz w:val="11"/>
                <w:szCs w:val="11"/>
                <w:color w:val="auto"/>
              </w:rPr>
              <w:t>Reduction of operating lease right-of-use assets</w:t>
            </w:r>
          </w:p>
        </w:tc>
        <w:tc>
          <w:tcPr>
            <w:tcW w:w="1860" w:type="dxa"/>
            <w:vAlign w:val="bottom"/>
          </w:tcPr>
          <w:p>
            <w:pPr>
              <w:spacing w:after="0"/>
              <w:rPr>
                <w:sz w:val="13"/>
                <w:szCs w:val="13"/>
                <w:color w:val="auto"/>
              </w:rPr>
            </w:pPr>
          </w:p>
        </w:tc>
        <w:tc>
          <w:tcPr>
            <w:tcW w:w="840" w:type="dxa"/>
            <w:vAlign w:val="bottom"/>
          </w:tcPr>
          <w:p>
            <w:pPr>
              <w:jc w:val="right"/>
              <w:ind w:right="5"/>
              <w:spacing w:after="0"/>
              <w:rPr>
                <w:sz w:val="20"/>
                <w:szCs w:val="20"/>
                <w:color w:val="auto"/>
              </w:rPr>
            </w:pPr>
            <w:r>
              <w:rPr>
                <w:rFonts w:ascii="Arial" w:cs="Arial" w:eastAsia="Arial" w:hAnsi="Arial"/>
                <w:sz w:val="11"/>
                <w:szCs w:val="11"/>
                <w:color w:val="auto"/>
              </w:rPr>
              <w:t>358</w:t>
            </w:r>
          </w:p>
        </w:tc>
        <w:tc>
          <w:tcPr>
            <w:tcW w:w="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920" w:type="dxa"/>
            <w:vAlign w:val="bottom"/>
          </w:tcPr>
          <w:p>
            <w:pPr>
              <w:jc w:val="right"/>
              <w:ind w:right="5"/>
              <w:spacing w:after="0"/>
              <w:rPr>
                <w:sz w:val="20"/>
                <w:szCs w:val="20"/>
                <w:color w:val="auto"/>
              </w:rPr>
            </w:pPr>
            <w:r>
              <w:rPr>
                <w:rFonts w:ascii="Arial" w:cs="Arial" w:eastAsia="Arial" w:hAnsi="Arial"/>
                <w:sz w:val="11"/>
                <w:szCs w:val="11"/>
                <w:color w:val="auto"/>
              </w:rPr>
              <w:t>365</w:t>
            </w:r>
          </w:p>
        </w:tc>
        <w:tc>
          <w:tcPr>
            <w:tcW w:w="0" w:type="dxa"/>
            <w:vAlign w:val="bottom"/>
          </w:tcPr>
          <w:p>
            <w:pPr>
              <w:spacing w:after="0"/>
              <w:rPr>
                <w:sz w:val="1"/>
                <w:szCs w:val="1"/>
                <w:color w:val="auto"/>
              </w:rPr>
            </w:pPr>
          </w:p>
        </w:tc>
      </w:tr>
      <w:tr>
        <w:trPr>
          <w:trHeight w:val="39"/>
        </w:trPr>
        <w:tc>
          <w:tcPr>
            <w:tcW w:w="5520" w:type="dxa"/>
            <w:vAlign w:val="bottom"/>
          </w:tcPr>
          <w:p>
            <w:pPr>
              <w:spacing w:after="0"/>
              <w:rPr>
                <w:sz w:val="3"/>
                <w:szCs w:val="3"/>
                <w:color w:val="auto"/>
              </w:rPr>
            </w:pPr>
          </w:p>
        </w:tc>
        <w:tc>
          <w:tcPr>
            <w:tcW w:w="1860" w:type="dxa"/>
            <w:vAlign w:val="bottom"/>
          </w:tcPr>
          <w:p>
            <w:pPr>
              <w:spacing w:after="0"/>
              <w:rPr>
                <w:sz w:val="3"/>
                <w:szCs w:val="3"/>
                <w:color w:val="auto"/>
              </w:rPr>
            </w:pPr>
          </w:p>
        </w:tc>
        <w:tc>
          <w:tcPr>
            <w:tcW w:w="840" w:type="dxa"/>
            <w:vAlign w:val="bottom"/>
          </w:tcPr>
          <w:p>
            <w:pPr>
              <w:spacing w:after="0"/>
              <w:rPr>
                <w:sz w:val="3"/>
                <w:szCs w:val="3"/>
                <w:color w:val="auto"/>
              </w:rPr>
            </w:pPr>
          </w:p>
        </w:tc>
        <w:tc>
          <w:tcPr>
            <w:tcW w:w="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9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69"/>
        </w:trPr>
        <w:tc>
          <w:tcPr>
            <w:tcW w:w="55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1"/>
                <w:szCs w:val="11"/>
                <w:color w:val="auto"/>
              </w:rPr>
              <w:t>Loss on impairment, receivables and sale or disposal of equipment</w:t>
            </w:r>
          </w:p>
        </w:tc>
        <w:tc>
          <w:tcPr>
            <w:tcW w:w="1860" w:type="dxa"/>
            <w:vAlign w:val="bottom"/>
            <w:tcBorders>
              <w:bottom w:val="single" w:sz="8" w:color="CCEEFF"/>
            </w:tcBorders>
            <w:shd w:val="clear" w:color="auto" w:fill="CCEEFF"/>
          </w:tcPr>
          <w:p>
            <w:pPr>
              <w:spacing w:after="0"/>
              <w:rPr>
                <w:sz w:val="14"/>
                <w:szCs w:val="14"/>
                <w:color w:val="auto"/>
              </w:rPr>
            </w:pPr>
          </w:p>
        </w:tc>
        <w:tc>
          <w:tcPr>
            <w:tcW w:w="840" w:type="dxa"/>
            <w:vAlign w:val="bottom"/>
            <w:tcBorders>
              <w:bottom w:val="single" w:sz="8" w:color="CCEEFF"/>
            </w:tcBorders>
            <w:shd w:val="clear" w:color="auto" w:fill="CCEEFF"/>
          </w:tcPr>
          <w:p>
            <w:pPr>
              <w:jc w:val="right"/>
              <w:ind w:right="5"/>
              <w:spacing w:after="0"/>
              <w:rPr>
                <w:sz w:val="20"/>
                <w:szCs w:val="20"/>
                <w:color w:val="auto"/>
              </w:rPr>
            </w:pPr>
            <w:r>
              <w:rPr>
                <w:rFonts w:ascii="Arial" w:cs="Arial" w:eastAsia="Arial" w:hAnsi="Arial"/>
                <w:sz w:val="11"/>
                <w:szCs w:val="11"/>
                <w:color w:val="auto"/>
              </w:rPr>
              <w:t>475</w:t>
            </w:r>
          </w:p>
        </w:tc>
        <w:tc>
          <w:tcPr>
            <w:tcW w:w="80" w:type="dxa"/>
            <w:vAlign w:val="bottom"/>
            <w:tcBorders>
              <w:bottom w:val="single" w:sz="8" w:color="CCEEFF"/>
            </w:tcBorders>
            <w:shd w:val="clear" w:color="auto" w:fill="CCEEFF"/>
          </w:tcPr>
          <w:p>
            <w:pPr>
              <w:spacing w:after="0"/>
              <w:rPr>
                <w:sz w:val="14"/>
                <w:szCs w:val="14"/>
                <w:color w:val="auto"/>
              </w:rPr>
            </w:pPr>
          </w:p>
        </w:tc>
        <w:tc>
          <w:tcPr>
            <w:tcW w:w="1040" w:type="dxa"/>
            <w:vAlign w:val="bottom"/>
            <w:tcBorders>
              <w:bottom w:val="single" w:sz="8" w:color="CCEEFF"/>
            </w:tcBorders>
            <w:shd w:val="clear" w:color="auto" w:fill="CCEEFF"/>
          </w:tcPr>
          <w:p>
            <w:pPr>
              <w:spacing w:after="0"/>
              <w:rPr>
                <w:sz w:val="14"/>
                <w:szCs w:val="14"/>
                <w:color w:val="auto"/>
              </w:rPr>
            </w:pPr>
          </w:p>
        </w:tc>
        <w:tc>
          <w:tcPr>
            <w:tcW w:w="1920" w:type="dxa"/>
            <w:vAlign w:val="bottom"/>
            <w:tcBorders>
              <w:bottom w:val="single" w:sz="8" w:color="CCEEFF"/>
            </w:tcBorders>
            <w:shd w:val="clear" w:color="auto" w:fill="CCEEFF"/>
          </w:tcPr>
          <w:p>
            <w:pPr>
              <w:jc w:val="right"/>
              <w:ind w:right="5"/>
              <w:spacing w:after="0"/>
              <w:rPr>
                <w:sz w:val="20"/>
                <w:szCs w:val="20"/>
                <w:color w:val="auto"/>
              </w:rPr>
            </w:pPr>
            <w:r>
              <w:rPr>
                <w:rFonts w:ascii="Arial" w:cs="Arial" w:eastAsia="Arial" w:hAnsi="Arial"/>
                <w:sz w:val="11"/>
                <w:szCs w:val="11"/>
                <w:color w:val="auto"/>
              </w:rPr>
              <w:t>133</w:t>
            </w:r>
          </w:p>
        </w:tc>
        <w:tc>
          <w:tcPr>
            <w:tcW w:w="0" w:type="dxa"/>
            <w:vAlign w:val="bottom"/>
          </w:tcPr>
          <w:p>
            <w:pPr>
              <w:spacing w:after="0"/>
              <w:rPr>
                <w:sz w:val="1"/>
                <w:szCs w:val="1"/>
                <w:color w:val="auto"/>
              </w:rPr>
            </w:pPr>
          </w:p>
        </w:tc>
      </w:tr>
      <w:tr>
        <w:trPr>
          <w:trHeight w:val="150"/>
        </w:trPr>
        <w:tc>
          <w:tcPr>
            <w:tcW w:w="5520" w:type="dxa"/>
            <w:vAlign w:val="bottom"/>
          </w:tcPr>
          <w:p>
            <w:pPr>
              <w:ind w:left="20"/>
              <w:spacing w:after="0"/>
              <w:rPr>
                <w:sz w:val="20"/>
                <w:szCs w:val="20"/>
                <w:color w:val="auto"/>
              </w:rPr>
            </w:pPr>
            <w:r>
              <w:rPr>
                <w:rFonts w:ascii="Arial" w:cs="Arial" w:eastAsia="Arial" w:hAnsi="Arial"/>
                <w:sz w:val="11"/>
                <w:szCs w:val="11"/>
                <w:color w:val="auto"/>
              </w:rPr>
              <w:t>Stock-based compensation</w:t>
            </w:r>
          </w:p>
        </w:tc>
        <w:tc>
          <w:tcPr>
            <w:tcW w:w="1860" w:type="dxa"/>
            <w:vAlign w:val="bottom"/>
          </w:tcPr>
          <w:p>
            <w:pPr>
              <w:spacing w:after="0"/>
              <w:rPr>
                <w:sz w:val="13"/>
                <w:szCs w:val="13"/>
                <w:color w:val="auto"/>
              </w:rPr>
            </w:pPr>
          </w:p>
        </w:tc>
        <w:tc>
          <w:tcPr>
            <w:tcW w:w="840" w:type="dxa"/>
            <w:vAlign w:val="bottom"/>
          </w:tcPr>
          <w:p>
            <w:pPr>
              <w:jc w:val="right"/>
              <w:ind w:right="5"/>
              <w:spacing w:after="0"/>
              <w:rPr>
                <w:sz w:val="20"/>
                <w:szCs w:val="20"/>
                <w:color w:val="auto"/>
              </w:rPr>
            </w:pPr>
            <w:r>
              <w:rPr>
                <w:rFonts w:ascii="Arial" w:cs="Arial" w:eastAsia="Arial" w:hAnsi="Arial"/>
                <w:sz w:val="11"/>
                <w:szCs w:val="11"/>
                <w:color w:val="auto"/>
              </w:rPr>
              <w:t>28,428</w:t>
            </w:r>
          </w:p>
        </w:tc>
        <w:tc>
          <w:tcPr>
            <w:tcW w:w="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920" w:type="dxa"/>
            <w:vAlign w:val="bottom"/>
          </w:tcPr>
          <w:p>
            <w:pPr>
              <w:jc w:val="right"/>
              <w:ind w:right="5"/>
              <w:spacing w:after="0"/>
              <w:rPr>
                <w:sz w:val="20"/>
                <w:szCs w:val="20"/>
                <w:color w:val="auto"/>
              </w:rPr>
            </w:pPr>
            <w:r>
              <w:rPr>
                <w:rFonts w:ascii="Arial" w:cs="Arial" w:eastAsia="Arial" w:hAnsi="Arial"/>
                <w:sz w:val="11"/>
                <w:szCs w:val="11"/>
                <w:color w:val="auto"/>
              </w:rPr>
              <w:t>1,598</w:t>
            </w:r>
          </w:p>
        </w:tc>
        <w:tc>
          <w:tcPr>
            <w:tcW w:w="0" w:type="dxa"/>
            <w:vAlign w:val="bottom"/>
          </w:tcPr>
          <w:p>
            <w:pPr>
              <w:spacing w:after="0"/>
              <w:rPr>
                <w:sz w:val="1"/>
                <w:szCs w:val="1"/>
                <w:color w:val="auto"/>
              </w:rPr>
            </w:pPr>
          </w:p>
        </w:tc>
      </w:tr>
      <w:tr>
        <w:trPr>
          <w:trHeight w:val="39"/>
        </w:trPr>
        <w:tc>
          <w:tcPr>
            <w:tcW w:w="5520" w:type="dxa"/>
            <w:vAlign w:val="bottom"/>
          </w:tcPr>
          <w:p>
            <w:pPr>
              <w:spacing w:after="0"/>
              <w:rPr>
                <w:sz w:val="3"/>
                <w:szCs w:val="3"/>
                <w:color w:val="auto"/>
              </w:rPr>
            </w:pPr>
          </w:p>
        </w:tc>
        <w:tc>
          <w:tcPr>
            <w:tcW w:w="1860" w:type="dxa"/>
            <w:vAlign w:val="bottom"/>
          </w:tcPr>
          <w:p>
            <w:pPr>
              <w:spacing w:after="0"/>
              <w:rPr>
                <w:sz w:val="3"/>
                <w:szCs w:val="3"/>
                <w:color w:val="auto"/>
              </w:rPr>
            </w:pPr>
          </w:p>
        </w:tc>
        <w:tc>
          <w:tcPr>
            <w:tcW w:w="840" w:type="dxa"/>
            <w:vAlign w:val="bottom"/>
          </w:tcPr>
          <w:p>
            <w:pPr>
              <w:spacing w:after="0"/>
              <w:rPr>
                <w:sz w:val="3"/>
                <w:szCs w:val="3"/>
                <w:color w:val="auto"/>
              </w:rPr>
            </w:pPr>
          </w:p>
        </w:tc>
        <w:tc>
          <w:tcPr>
            <w:tcW w:w="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9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69"/>
        </w:trPr>
        <w:tc>
          <w:tcPr>
            <w:tcW w:w="55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1"/>
                <w:szCs w:val="11"/>
                <w:color w:val="auto"/>
              </w:rPr>
              <w:t>Amortization of original issuance discount and debt issuance costs</w:t>
            </w:r>
          </w:p>
        </w:tc>
        <w:tc>
          <w:tcPr>
            <w:tcW w:w="1860" w:type="dxa"/>
            <w:vAlign w:val="bottom"/>
            <w:tcBorders>
              <w:bottom w:val="single" w:sz="8" w:color="CCEEFF"/>
            </w:tcBorders>
            <w:shd w:val="clear" w:color="auto" w:fill="CCEEFF"/>
          </w:tcPr>
          <w:p>
            <w:pPr>
              <w:spacing w:after="0"/>
              <w:rPr>
                <w:sz w:val="14"/>
                <w:szCs w:val="14"/>
                <w:color w:val="auto"/>
              </w:rPr>
            </w:pPr>
          </w:p>
        </w:tc>
        <w:tc>
          <w:tcPr>
            <w:tcW w:w="840" w:type="dxa"/>
            <w:vAlign w:val="bottom"/>
            <w:tcBorders>
              <w:bottom w:val="single" w:sz="8" w:color="CCEEFF"/>
            </w:tcBorders>
            <w:shd w:val="clear" w:color="auto" w:fill="CCEEFF"/>
          </w:tcPr>
          <w:p>
            <w:pPr>
              <w:jc w:val="right"/>
              <w:ind w:right="5"/>
              <w:spacing w:after="0"/>
              <w:rPr>
                <w:sz w:val="20"/>
                <w:szCs w:val="20"/>
                <w:color w:val="auto"/>
              </w:rPr>
            </w:pPr>
            <w:r>
              <w:rPr>
                <w:rFonts w:ascii="Arial" w:cs="Arial" w:eastAsia="Arial" w:hAnsi="Arial"/>
                <w:sz w:val="11"/>
                <w:szCs w:val="11"/>
                <w:color w:val="auto"/>
              </w:rPr>
              <w:t>21</w:t>
            </w:r>
          </w:p>
        </w:tc>
        <w:tc>
          <w:tcPr>
            <w:tcW w:w="80" w:type="dxa"/>
            <w:vAlign w:val="bottom"/>
            <w:tcBorders>
              <w:bottom w:val="single" w:sz="8" w:color="CCEEFF"/>
            </w:tcBorders>
            <w:shd w:val="clear" w:color="auto" w:fill="CCEEFF"/>
          </w:tcPr>
          <w:p>
            <w:pPr>
              <w:spacing w:after="0"/>
              <w:rPr>
                <w:sz w:val="14"/>
                <w:szCs w:val="14"/>
                <w:color w:val="auto"/>
              </w:rPr>
            </w:pPr>
          </w:p>
        </w:tc>
        <w:tc>
          <w:tcPr>
            <w:tcW w:w="1040" w:type="dxa"/>
            <w:vAlign w:val="bottom"/>
            <w:tcBorders>
              <w:bottom w:val="single" w:sz="8" w:color="CCEEFF"/>
            </w:tcBorders>
            <w:shd w:val="clear" w:color="auto" w:fill="CCEEFF"/>
          </w:tcPr>
          <w:p>
            <w:pPr>
              <w:spacing w:after="0"/>
              <w:rPr>
                <w:sz w:val="14"/>
                <w:szCs w:val="14"/>
                <w:color w:val="auto"/>
              </w:rPr>
            </w:pPr>
          </w:p>
        </w:tc>
        <w:tc>
          <w:tcPr>
            <w:tcW w:w="1920" w:type="dxa"/>
            <w:vAlign w:val="bottom"/>
            <w:tcBorders>
              <w:bottom w:val="single" w:sz="8" w:color="CCEEFF"/>
            </w:tcBorders>
            <w:shd w:val="clear" w:color="auto" w:fill="CCEEFF"/>
          </w:tcPr>
          <w:p>
            <w:pPr>
              <w:jc w:val="right"/>
              <w:ind w:right="5"/>
              <w:spacing w:after="0"/>
              <w:rPr>
                <w:sz w:val="20"/>
                <w:szCs w:val="20"/>
                <w:color w:val="auto"/>
              </w:rPr>
            </w:pPr>
            <w:r>
              <w:rPr>
                <w:rFonts w:ascii="Arial" w:cs="Arial" w:eastAsia="Arial" w:hAnsi="Arial"/>
                <w:sz w:val="11"/>
                <w:szCs w:val="11"/>
                <w:color w:val="auto"/>
              </w:rPr>
              <w:t>16</w:t>
            </w:r>
          </w:p>
        </w:tc>
        <w:tc>
          <w:tcPr>
            <w:tcW w:w="0" w:type="dxa"/>
            <w:vAlign w:val="bottom"/>
          </w:tcPr>
          <w:p>
            <w:pPr>
              <w:spacing w:after="0"/>
              <w:rPr>
                <w:sz w:val="1"/>
                <w:szCs w:val="1"/>
                <w:color w:val="auto"/>
              </w:rPr>
            </w:pPr>
          </w:p>
        </w:tc>
      </w:tr>
      <w:tr>
        <w:trPr>
          <w:trHeight w:val="150"/>
        </w:trPr>
        <w:tc>
          <w:tcPr>
            <w:tcW w:w="5520" w:type="dxa"/>
            <w:vAlign w:val="bottom"/>
          </w:tcPr>
          <w:p>
            <w:pPr>
              <w:ind w:left="20"/>
              <w:spacing w:after="0"/>
              <w:rPr>
                <w:sz w:val="20"/>
                <w:szCs w:val="20"/>
                <w:color w:val="auto"/>
              </w:rPr>
            </w:pPr>
            <w:r>
              <w:rPr>
                <w:rFonts w:ascii="Arial" w:cs="Arial" w:eastAsia="Arial" w:hAnsi="Arial"/>
                <w:sz w:val="11"/>
                <w:szCs w:val="11"/>
                <w:color w:val="auto"/>
              </w:rPr>
              <w:t>Deferred tax assets</w:t>
            </w:r>
          </w:p>
        </w:tc>
        <w:tc>
          <w:tcPr>
            <w:tcW w:w="1860" w:type="dxa"/>
            <w:vAlign w:val="bottom"/>
          </w:tcPr>
          <w:p>
            <w:pPr>
              <w:spacing w:after="0"/>
              <w:rPr>
                <w:sz w:val="13"/>
                <w:szCs w:val="13"/>
                <w:color w:val="auto"/>
              </w:rPr>
            </w:pPr>
          </w:p>
        </w:tc>
        <w:tc>
          <w:tcPr>
            <w:tcW w:w="840" w:type="dxa"/>
            <w:vAlign w:val="bottom"/>
          </w:tcPr>
          <w:p>
            <w:pPr>
              <w:jc w:val="right"/>
              <w:spacing w:after="0"/>
              <w:rPr>
                <w:sz w:val="20"/>
                <w:szCs w:val="20"/>
                <w:color w:val="auto"/>
              </w:rPr>
            </w:pPr>
            <w:r>
              <w:rPr>
                <w:rFonts w:ascii="Arial" w:cs="Arial" w:eastAsia="Arial" w:hAnsi="Arial"/>
                <w:sz w:val="11"/>
                <w:szCs w:val="11"/>
                <w:color w:val="auto"/>
              </w:rPr>
              <w:t>(319)</w:t>
            </w:r>
          </w:p>
        </w:tc>
        <w:tc>
          <w:tcPr>
            <w:tcW w:w="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920" w:type="dxa"/>
            <w:vAlign w:val="bottom"/>
          </w:tcPr>
          <w:p>
            <w:pPr>
              <w:jc w:val="right"/>
              <w:ind w:right="5"/>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39"/>
        </w:trPr>
        <w:tc>
          <w:tcPr>
            <w:tcW w:w="5520" w:type="dxa"/>
            <w:vAlign w:val="bottom"/>
          </w:tcPr>
          <w:p>
            <w:pPr>
              <w:spacing w:after="0"/>
              <w:rPr>
                <w:sz w:val="3"/>
                <w:szCs w:val="3"/>
                <w:color w:val="auto"/>
              </w:rPr>
            </w:pPr>
          </w:p>
        </w:tc>
        <w:tc>
          <w:tcPr>
            <w:tcW w:w="1860" w:type="dxa"/>
            <w:vAlign w:val="bottom"/>
          </w:tcPr>
          <w:p>
            <w:pPr>
              <w:spacing w:after="0"/>
              <w:rPr>
                <w:sz w:val="3"/>
                <w:szCs w:val="3"/>
                <w:color w:val="auto"/>
              </w:rPr>
            </w:pPr>
          </w:p>
        </w:tc>
        <w:tc>
          <w:tcPr>
            <w:tcW w:w="840" w:type="dxa"/>
            <w:vAlign w:val="bottom"/>
          </w:tcPr>
          <w:p>
            <w:pPr>
              <w:spacing w:after="0"/>
              <w:rPr>
                <w:sz w:val="3"/>
                <w:szCs w:val="3"/>
                <w:color w:val="auto"/>
              </w:rPr>
            </w:pPr>
          </w:p>
        </w:tc>
        <w:tc>
          <w:tcPr>
            <w:tcW w:w="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9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69"/>
        </w:trPr>
        <w:tc>
          <w:tcPr>
            <w:tcW w:w="55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1"/>
                <w:szCs w:val="11"/>
                <w:color w:val="auto"/>
              </w:rPr>
              <w:t>Changes in assets and liabilities:</w:t>
            </w:r>
          </w:p>
        </w:tc>
        <w:tc>
          <w:tcPr>
            <w:tcW w:w="1860" w:type="dxa"/>
            <w:vAlign w:val="bottom"/>
            <w:tcBorders>
              <w:bottom w:val="single" w:sz="8" w:color="CCEEFF"/>
            </w:tcBorders>
            <w:shd w:val="clear" w:color="auto" w:fill="CCEEFF"/>
          </w:tcPr>
          <w:p>
            <w:pPr>
              <w:spacing w:after="0"/>
              <w:rPr>
                <w:sz w:val="14"/>
                <w:szCs w:val="14"/>
                <w:color w:val="auto"/>
              </w:rPr>
            </w:pPr>
          </w:p>
        </w:tc>
        <w:tc>
          <w:tcPr>
            <w:tcW w:w="84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1040" w:type="dxa"/>
            <w:vAlign w:val="bottom"/>
            <w:tcBorders>
              <w:bottom w:val="single" w:sz="8" w:color="CCEEFF"/>
            </w:tcBorders>
            <w:shd w:val="clear" w:color="auto" w:fill="CCEEFF"/>
          </w:tcPr>
          <w:p>
            <w:pPr>
              <w:spacing w:after="0"/>
              <w:rPr>
                <w:sz w:val="14"/>
                <w:szCs w:val="14"/>
                <w:color w:val="auto"/>
              </w:rPr>
            </w:pPr>
          </w:p>
        </w:tc>
        <w:tc>
          <w:tcPr>
            <w:tcW w:w="1920" w:type="dxa"/>
            <w:vAlign w:val="bottom"/>
            <w:tcBorders>
              <w:bottom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50"/>
        </w:trPr>
        <w:tc>
          <w:tcPr>
            <w:tcW w:w="5520" w:type="dxa"/>
            <w:vAlign w:val="bottom"/>
          </w:tcPr>
          <w:p>
            <w:pPr>
              <w:ind w:left="100"/>
              <w:spacing w:after="0"/>
              <w:rPr>
                <w:sz w:val="20"/>
                <w:szCs w:val="20"/>
                <w:color w:val="auto"/>
              </w:rPr>
            </w:pPr>
            <w:r>
              <w:rPr>
                <w:rFonts w:ascii="Arial" w:cs="Arial" w:eastAsia="Arial" w:hAnsi="Arial"/>
                <w:sz w:val="11"/>
                <w:szCs w:val="11"/>
                <w:color w:val="auto"/>
              </w:rPr>
              <w:t>Accounts receivable, net</w:t>
            </w:r>
          </w:p>
        </w:tc>
        <w:tc>
          <w:tcPr>
            <w:tcW w:w="1860" w:type="dxa"/>
            <w:vAlign w:val="bottom"/>
          </w:tcPr>
          <w:p>
            <w:pPr>
              <w:spacing w:after="0"/>
              <w:rPr>
                <w:sz w:val="13"/>
                <w:szCs w:val="13"/>
                <w:color w:val="auto"/>
              </w:rPr>
            </w:pPr>
          </w:p>
        </w:tc>
        <w:tc>
          <w:tcPr>
            <w:tcW w:w="840" w:type="dxa"/>
            <w:vAlign w:val="bottom"/>
          </w:tcPr>
          <w:p>
            <w:pPr>
              <w:jc w:val="right"/>
              <w:spacing w:after="0"/>
              <w:rPr>
                <w:sz w:val="20"/>
                <w:szCs w:val="20"/>
                <w:color w:val="auto"/>
              </w:rPr>
            </w:pPr>
            <w:r>
              <w:rPr>
                <w:rFonts w:ascii="Arial" w:cs="Arial" w:eastAsia="Arial" w:hAnsi="Arial"/>
                <w:sz w:val="11"/>
                <w:szCs w:val="11"/>
                <w:color w:val="auto"/>
              </w:rPr>
              <w:t>(906)</w:t>
            </w:r>
          </w:p>
        </w:tc>
        <w:tc>
          <w:tcPr>
            <w:tcW w:w="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920" w:type="dxa"/>
            <w:vAlign w:val="bottom"/>
          </w:tcPr>
          <w:p>
            <w:pPr>
              <w:jc w:val="right"/>
              <w:spacing w:after="0"/>
              <w:rPr>
                <w:sz w:val="20"/>
                <w:szCs w:val="20"/>
                <w:color w:val="auto"/>
              </w:rPr>
            </w:pPr>
            <w:r>
              <w:rPr>
                <w:rFonts w:ascii="Arial" w:cs="Arial" w:eastAsia="Arial" w:hAnsi="Arial"/>
                <w:sz w:val="11"/>
                <w:szCs w:val="11"/>
                <w:color w:val="auto"/>
              </w:rPr>
              <w:t>(3,513)</w:t>
            </w:r>
          </w:p>
        </w:tc>
        <w:tc>
          <w:tcPr>
            <w:tcW w:w="0" w:type="dxa"/>
            <w:vAlign w:val="bottom"/>
          </w:tcPr>
          <w:p>
            <w:pPr>
              <w:spacing w:after="0"/>
              <w:rPr>
                <w:sz w:val="1"/>
                <w:szCs w:val="1"/>
                <w:color w:val="auto"/>
              </w:rPr>
            </w:pPr>
          </w:p>
        </w:tc>
      </w:tr>
      <w:tr>
        <w:trPr>
          <w:trHeight w:val="39"/>
        </w:trPr>
        <w:tc>
          <w:tcPr>
            <w:tcW w:w="5520" w:type="dxa"/>
            <w:vAlign w:val="bottom"/>
          </w:tcPr>
          <w:p>
            <w:pPr>
              <w:spacing w:after="0"/>
              <w:rPr>
                <w:sz w:val="3"/>
                <w:szCs w:val="3"/>
                <w:color w:val="auto"/>
              </w:rPr>
            </w:pPr>
          </w:p>
        </w:tc>
        <w:tc>
          <w:tcPr>
            <w:tcW w:w="1860" w:type="dxa"/>
            <w:vAlign w:val="bottom"/>
          </w:tcPr>
          <w:p>
            <w:pPr>
              <w:spacing w:after="0"/>
              <w:rPr>
                <w:sz w:val="3"/>
                <w:szCs w:val="3"/>
                <w:color w:val="auto"/>
              </w:rPr>
            </w:pPr>
          </w:p>
        </w:tc>
        <w:tc>
          <w:tcPr>
            <w:tcW w:w="840" w:type="dxa"/>
            <w:vAlign w:val="bottom"/>
          </w:tcPr>
          <w:p>
            <w:pPr>
              <w:spacing w:after="0"/>
              <w:rPr>
                <w:sz w:val="3"/>
                <w:szCs w:val="3"/>
                <w:color w:val="auto"/>
              </w:rPr>
            </w:pPr>
          </w:p>
        </w:tc>
        <w:tc>
          <w:tcPr>
            <w:tcW w:w="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9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69"/>
        </w:trPr>
        <w:tc>
          <w:tcPr>
            <w:tcW w:w="552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1"/>
                <w:szCs w:val="11"/>
                <w:color w:val="auto"/>
              </w:rPr>
              <w:t>Settlement assets</w:t>
            </w:r>
          </w:p>
        </w:tc>
        <w:tc>
          <w:tcPr>
            <w:tcW w:w="1860" w:type="dxa"/>
            <w:vAlign w:val="bottom"/>
            <w:tcBorders>
              <w:bottom w:val="single" w:sz="8" w:color="CCEEFF"/>
            </w:tcBorders>
            <w:shd w:val="clear" w:color="auto" w:fill="CCEEFF"/>
          </w:tcPr>
          <w:p>
            <w:pPr>
              <w:spacing w:after="0"/>
              <w:rPr>
                <w:sz w:val="14"/>
                <w:szCs w:val="14"/>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(8,999)</w:t>
            </w:r>
          </w:p>
        </w:tc>
        <w:tc>
          <w:tcPr>
            <w:tcW w:w="80" w:type="dxa"/>
            <w:vAlign w:val="bottom"/>
            <w:tcBorders>
              <w:bottom w:val="single" w:sz="8" w:color="CCEEFF"/>
            </w:tcBorders>
            <w:shd w:val="clear" w:color="auto" w:fill="CCEEFF"/>
          </w:tcPr>
          <w:p>
            <w:pPr>
              <w:spacing w:after="0"/>
              <w:rPr>
                <w:sz w:val="14"/>
                <w:szCs w:val="14"/>
                <w:color w:val="auto"/>
              </w:rPr>
            </w:pPr>
          </w:p>
        </w:tc>
        <w:tc>
          <w:tcPr>
            <w:tcW w:w="1040" w:type="dxa"/>
            <w:vAlign w:val="bottom"/>
            <w:tcBorders>
              <w:bottom w:val="single" w:sz="8" w:color="CCEEFF"/>
            </w:tcBorders>
            <w:shd w:val="clear" w:color="auto" w:fill="CCEEFF"/>
          </w:tcPr>
          <w:p>
            <w:pPr>
              <w:spacing w:after="0"/>
              <w:rPr>
                <w:sz w:val="14"/>
                <w:szCs w:val="14"/>
                <w:color w:val="auto"/>
              </w:rPr>
            </w:pPr>
          </w:p>
        </w:tc>
        <w:tc>
          <w:tcPr>
            <w:tcW w:w="1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(2,996)</w:t>
            </w:r>
          </w:p>
        </w:tc>
        <w:tc>
          <w:tcPr>
            <w:tcW w:w="0" w:type="dxa"/>
            <w:vAlign w:val="bottom"/>
          </w:tcPr>
          <w:p>
            <w:pPr>
              <w:spacing w:after="0"/>
              <w:rPr>
                <w:sz w:val="1"/>
                <w:szCs w:val="1"/>
                <w:color w:val="auto"/>
              </w:rPr>
            </w:pPr>
          </w:p>
        </w:tc>
      </w:tr>
      <w:tr>
        <w:trPr>
          <w:trHeight w:val="150"/>
        </w:trPr>
        <w:tc>
          <w:tcPr>
            <w:tcW w:w="5520" w:type="dxa"/>
            <w:vAlign w:val="bottom"/>
          </w:tcPr>
          <w:p>
            <w:pPr>
              <w:ind w:left="100"/>
              <w:spacing w:after="0"/>
              <w:rPr>
                <w:sz w:val="20"/>
                <w:szCs w:val="20"/>
                <w:color w:val="auto"/>
              </w:rPr>
            </w:pPr>
            <w:r>
              <w:rPr>
                <w:rFonts w:ascii="Arial" w:cs="Arial" w:eastAsia="Arial" w:hAnsi="Arial"/>
                <w:sz w:val="11"/>
                <w:szCs w:val="11"/>
                <w:color w:val="auto"/>
              </w:rPr>
              <w:t>Prepaid expenses</w:t>
            </w:r>
          </w:p>
        </w:tc>
        <w:tc>
          <w:tcPr>
            <w:tcW w:w="1860" w:type="dxa"/>
            <w:vAlign w:val="bottom"/>
          </w:tcPr>
          <w:p>
            <w:pPr>
              <w:spacing w:after="0"/>
              <w:rPr>
                <w:sz w:val="13"/>
                <w:szCs w:val="13"/>
                <w:color w:val="auto"/>
              </w:rPr>
            </w:pPr>
          </w:p>
        </w:tc>
        <w:tc>
          <w:tcPr>
            <w:tcW w:w="840" w:type="dxa"/>
            <w:vAlign w:val="bottom"/>
          </w:tcPr>
          <w:p>
            <w:pPr>
              <w:jc w:val="right"/>
              <w:ind w:right="5"/>
              <w:spacing w:after="0"/>
              <w:rPr>
                <w:sz w:val="20"/>
                <w:szCs w:val="20"/>
                <w:color w:val="auto"/>
              </w:rPr>
            </w:pPr>
            <w:r>
              <w:rPr>
                <w:rFonts w:ascii="Arial" w:cs="Arial" w:eastAsia="Arial" w:hAnsi="Arial"/>
                <w:sz w:val="11"/>
                <w:szCs w:val="11"/>
                <w:color w:val="auto"/>
              </w:rPr>
              <w:t>2,006</w:t>
            </w:r>
          </w:p>
        </w:tc>
        <w:tc>
          <w:tcPr>
            <w:tcW w:w="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920" w:type="dxa"/>
            <w:vAlign w:val="bottom"/>
          </w:tcPr>
          <w:p>
            <w:pPr>
              <w:jc w:val="right"/>
              <w:spacing w:after="0"/>
              <w:rPr>
                <w:sz w:val="20"/>
                <w:szCs w:val="20"/>
                <w:color w:val="auto"/>
              </w:rPr>
            </w:pPr>
            <w:r>
              <w:rPr>
                <w:rFonts w:ascii="Arial" w:cs="Arial" w:eastAsia="Arial" w:hAnsi="Arial"/>
                <w:sz w:val="11"/>
                <w:szCs w:val="11"/>
                <w:color w:val="auto"/>
              </w:rPr>
              <w:t>(1,542)</w:t>
            </w:r>
          </w:p>
        </w:tc>
        <w:tc>
          <w:tcPr>
            <w:tcW w:w="0" w:type="dxa"/>
            <w:vAlign w:val="bottom"/>
          </w:tcPr>
          <w:p>
            <w:pPr>
              <w:spacing w:after="0"/>
              <w:rPr>
                <w:sz w:val="1"/>
                <w:szCs w:val="1"/>
                <w:color w:val="auto"/>
              </w:rPr>
            </w:pPr>
          </w:p>
        </w:tc>
      </w:tr>
      <w:tr>
        <w:trPr>
          <w:trHeight w:val="39"/>
        </w:trPr>
        <w:tc>
          <w:tcPr>
            <w:tcW w:w="5520" w:type="dxa"/>
            <w:vAlign w:val="bottom"/>
          </w:tcPr>
          <w:p>
            <w:pPr>
              <w:spacing w:after="0"/>
              <w:rPr>
                <w:sz w:val="3"/>
                <w:szCs w:val="3"/>
                <w:color w:val="auto"/>
              </w:rPr>
            </w:pPr>
          </w:p>
        </w:tc>
        <w:tc>
          <w:tcPr>
            <w:tcW w:w="1860" w:type="dxa"/>
            <w:vAlign w:val="bottom"/>
          </w:tcPr>
          <w:p>
            <w:pPr>
              <w:spacing w:after="0"/>
              <w:rPr>
                <w:sz w:val="3"/>
                <w:szCs w:val="3"/>
                <w:color w:val="auto"/>
              </w:rPr>
            </w:pPr>
          </w:p>
        </w:tc>
        <w:tc>
          <w:tcPr>
            <w:tcW w:w="840" w:type="dxa"/>
            <w:vAlign w:val="bottom"/>
          </w:tcPr>
          <w:p>
            <w:pPr>
              <w:spacing w:after="0"/>
              <w:rPr>
                <w:sz w:val="3"/>
                <w:szCs w:val="3"/>
                <w:color w:val="auto"/>
              </w:rPr>
            </w:pPr>
          </w:p>
        </w:tc>
        <w:tc>
          <w:tcPr>
            <w:tcW w:w="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9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69"/>
        </w:trPr>
        <w:tc>
          <w:tcPr>
            <w:tcW w:w="552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1"/>
                <w:szCs w:val="11"/>
                <w:color w:val="auto"/>
              </w:rPr>
              <w:t>Related party loan receivable</w:t>
            </w:r>
          </w:p>
        </w:tc>
        <w:tc>
          <w:tcPr>
            <w:tcW w:w="1860" w:type="dxa"/>
            <w:vAlign w:val="bottom"/>
            <w:tcBorders>
              <w:bottom w:val="single" w:sz="8" w:color="CCEEFF"/>
            </w:tcBorders>
            <w:shd w:val="clear" w:color="auto" w:fill="CCEEFF"/>
          </w:tcPr>
          <w:p>
            <w:pPr>
              <w:spacing w:after="0"/>
              <w:rPr>
                <w:sz w:val="14"/>
                <w:szCs w:val="14"/>
                <w:color w:val="auto"/>
              </w:rPr>
            </w:pPr>
          </w:p>
        </w:tc>
        <w:tc>
          <w:tcPr>
            <w:tcW w:w="840" w:type="dxa"/>
            <w:vAlign w:val="bottom"/>
            <w:tcBorders>
              <w:bottom w:val="single" w:sz="8" w:color="CCEEFF"/>
            </w:tcBorders>
            <w:shd w:val="clear" w:color="auto" w:fill="CCEEFF"/>
          </w:tcPr>
          <w:p>
            <w:pPr>
              <w:jc w:val="right"/>
              <w:ind w:right="5"/>
              <w:spacing w:after="0"/>
              <w:rPr>
                <w:sz w:val="20"/>
                <w:szCs w:val="20"/>
                <w:color w:val="auto"/>
              </w:rPr>
            </w:pPr>
            <w:r>
              <w:rPr>
                <w:rFonts w:ascii="Arial" w:cs="Arial" w:eastAsia="Arial" w:hAnsi="Arial"/>
                <w:sz w:val="11"/>
                <w:szCs w:val="11"/>
                <w:color w:val="auto"/>
              </w:rPr>
              <w:t>14</w:t>
            </w:r>
          </w:p>
        </w:tc>
        <w:tc>
          <w:tcPr>
            <w:tcW w:w="80" w:type="dxa"/>
            <w:vAlign w:val="bottom"/>
            <w:tcBorders>
              <w:bottom w:val="single" w:sz="8" w:color="CCEEFF"/>
            </w:tcBorders>
            <w:shd w:val="clear" w:color="auto" w:fill="CCEEFF"/>
          </w:tcPr>
          <w:p>
            <w:pPr>
              <w:spacing w:after="0"/>
              <w:rPr>
                <w:sz w:val="14"/>
                <w:szCs w:val="14"/>
                <w:color w:val="auto"/>
              </w:rPr>
            </w:pPr>
          </w:p>
        </w:tc>
        <w:tc>
          <w:tcPr>
            <w:tcW w:w="1040" w:type="dxa"/>
            <w:vAlign w:val="bottom"/>
            <w:tcBorders>
              <w:bottom w:val="single" w:sz="8" w:color="CCEEFF"/>
            </w:tcBorders>
            <w:shd w:val="clear" w:color="auto" w:fill="CCEEFF"/>
          </w:tcPr>
          <w:p>
            <w:pPr>
              <w:spacing w:after="0"/>
              <w:rPr>
                <w:sz w:val="14"/>
                <w:szCs w:val="14"/>
                <w:color w:val="auto"/>
              </w:rPr>
            </w:pPr>
          </w:p>
        </w:tc>
        <w:tc>
          <w:tcPr>
            <w:tcW w:w="1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(291)</w:t>
            </w:r>
          </w:p>
        </w:tc>
        <w:tc>
          <w:tcPr>
            <w:tcW w:w="0" w:type="dxa"/>
            <w:vAlign w:val="bottom"/>
          </w:tcPr>
          <w:p>
            <w:pPr>
              <w:spacing w:after="0"/>
              <w:rPr>
                <w:sz w:val="1"/>
                <w:szCs w:val="1"/>
                <w:color w:val="auto"/>
              </w:rPr>
            </w:pPr>
          </w:p>
        </w:tc>
      </w:tr>
      <w:tr>
        <w:trPr>
          <w:trHeight w:val="150"/>
        </w:trPr>
        <w:tc>
          <w:tcPr>
            <w:tcW w:w="5520" w:type="dxa"/>
            <w:vAlign w:val="bottom"/>
          </w:tcPr>
          <w:p>
            <w:pPr>
              <w:ind w:left="100"/>
              <w:spacing w:after="0"/>
              <w:rPr>
                <w:sz w:val="20"/>
                <w:szCs w:val="20"/>
                <w:color w:val="auto"/>
              </w:rPr>
            </w:pPr>
            <w:r>
              <w:rPr>
                <w:rFonts w:ascii="Arial" w:cs="Arial" w:eastAsia="Arial" w:hAnsi="Arial"/>
                <w:sz w:val="11"/>
                <w:szCs w:val="11"/>
                <w:color w:val="auto"/>
              </w:rPr>
              <w:t>Other current assets</w:t>
            </w:r>
          </w:p>
        </w:tc>
        <w:tc>
          <w:tcPr>
            <w:tcW w:w="1860" w:type="dxa"/>
            <w:vAlign w:val="bottom"/>
          </w:tcPr>
          <w:p>
            <w:pPr>
              <w:spacing w:after="0"/>
              <w:rPr>
                <w:sz w:val="13"/>
                <w:szCs w:val="13"/>
                <w:color w:val="auto"/>
              </w:rPr>
            </w:pPr>
          </w:p>
        </w:tc>
        <w:tc>
          <w:tcPr>
            <w:tcW w:w="840" w:type="dxa"/>
            <w:vAlign w:val="bottom"/>
          </w:tcPr>
          <w:p>
            <w:pPr>
              <w:jc w:val="right"/>
              <w:ind w:right="5"/>
              <w:spacing w:after="0"/>
              <w:rPr>
                <w:sz w:val="20"/>
                <w:szCs w:val="20"/>
                <w:color w:val="auto"/>
              </w:rPr>
            </w:pPr>
            <w:r>
              <w:rPr>
                <w:rFonts w:ascii="Arial" w:cs="Arial" w:eastAsia="Arial" w:hAnsi="Arial"/>
                <w:sz w:val="11"/>
                <w:szCs w:val="11"/>
                <w:color w:val="auto"/>
              </w:rPr>
              <w:t>1,193</w:t>
            </w:r>
          </w:p>
        </w:tc>
        <w:tc>
          <w:tcPr>
            <w:tcW w:w="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920" w:type="dxa"/>
            <w:vAlign w:val="bottom"/>
          </w:tcPr>
          <w:p>
            <w:pPr>
              <w:jc w:val="right"/>
              <w:ind w:right="5"/>
              <w:spacing w:after="0"/>
              <w:rPr>
                <w:sz w:val="20"/>
                <w:szCs w:val="20"/>
                <w:color w:val="auto"/>
              </w:rPr>
            </w:pPr>
            <w:r>
              <w:rPr>
                <w:rFonts w:ascii="Arial" w:cs="Arial" w:eastAsia="Arial" w:hAnsi="Arial"/>
                <w:sz w:val="11"/>
                <w:szCs w:val="11"/>
                <w:color w:val="auto"/>
              </w:rPr>
              <w:t>855</w:t>
            </w:r>
          </w:p>
        </w:tc>
        <w:tc>
          <w:tcPr>
            <w:tcW w:w="0" w:type="dxa"/>
            <w:vAlign w:val="bottom"/>
          </w:tcPr>
          <w:p>
            <w:pPr>
              <w:spacing w:after="0"/>
              <w:rPr>
                <w:sz w:val="1"/>
                <w:szCs w:val="1"/>
                <w:color w:val="auto"/>
              </w:rPr>
            </w:pPr>
          </w:p>
        </w:tc>
      </w:tr>
      <w:tr>
        <w:trPr>
          <w:trHeight w:val="39"/>
        </w:trPr>
        <w:tc>
          <w:tcPr>
            <w:tcW w:w="5520" w:type="dxa"/>
            <w:vAlign w:val="bottom"/>
          </w:tcPr>
          <w:p>
            <w:pPr>
              <w:spacing w:after="0"/>
              <w:rPr>
                <w:sz w:val="3"/>
                <w:szCs w:val="3"/>
                <w:color w:val="auto"/>
              </w:rPr>
            </w:pPr>
          </w:p>
        </w:tc>
        <w:tc>
          <w:tcPr>
            <w:tcW w:w="1860" w:type="dxa"/>
            <w:vAlign w:val="bottom"/>
          </w:tcPr>
          <w:p>
            <w:pPr>
              <w:spacing w:after="0"/>
              <w:rPr>
                <w:sz w:val="3"/>
                <w:szCs w:val="3"/>
                <w:color w:val="auto"/>
              </w:rPr>
            </w:pPr>
          </w:p>
        </w:tc>
        <w:tc>
          <w:tcPr>
            <w:tcW w:w="840" w:type="dxa"/>
            <w:vAlign w:val="bottom"/>
          </w:tcPr>
          <w:p>
            <w:pPr>
              <w:spacing w:after="0"/>
              <w:rPr>
                <w:sz w:val="3"/>
                <w:szCs w:val="3"/>
                <w:color w:val="auto"/>
              </w:rPr>
            </w:pPr>
          </w:p>
        </w:tc>
        <w:tc>
          <w:tcPr>
            <w:tcW w:w="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9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69"/>
        </w:trPr>
        <w:tc>
          <w:tcPr>
            <w:tcW w:w="552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1"/>
                <w:szCs w:val="11"/>
                <w:color w:val="auto"/>
              </w:rPr>
              <w:t>Other assets</w:t>
            </w:r>
          </w:p>
        </w:tc>
        <w:tc>
          <w:tcPr>
            <w:tcW w:w="1860" w:type="dxa"/>
            <w:vAlign w:val="bottom"/>
            <w:tcBorders>
              <w:bottom w:val="single" w:sz="8" w:color="CCEEFF"/>
            </w:tcBorders>
            <w:shd w:val="clear" w:color="auto" w:fill="CCEEFF"/>
          </w:tcPr>
          <w:p>
            <w:pPr>
              <w:spacing w:after="0"/>
              <w:rPr>
                <w:sz w:val="14"/>
                <w:szCs w:val="14"/>
                <w:color w:val="auto"/>
              </w:rPr>
            </w:pPr>
          </w:p>
        </w:tc>
        <w:tc>
          <w:tcPr>
            <w:tcW w:w="840" w:type="dxa"/>
            <w:vAlign w:val="bottom"/>
            <w:tcBorders>
              <w:bottom w:val="single" w:sz="8" w:color="CCEEFF"/>
            </w:tcBorders>
            <w:shd w:val="clear" w:color="auto" w:fill="CCEEFF"/>
          </w:tcPr>
          <w:p>
            <w:pPr>
              <w:jc w:val="right"/>
              <w:ind w:right="5"/>
              <w:spacing w:after="0"/>
              <w:rPr>
                <w:sz w:val="20"/>
                <w:szCs w:val="20"/>
                <w:color w:val="auto"/>
              </w:rPr>
            </w:pPr>
            <w:r>
              <w:rPr>
                <w:rFonts w:ascii="Arial" w:cs="Arial" w:eastAsia="Arial" w:hAnsi="Arial"/>
                <w:sz w:val="11"/>
                <w:szCs w:val="11"/>
                <w:color w:val="auto"/>
              </w:rPr>
              <w:t>2</w:t>
            </w:r>
          </w:p>
        </w:tc>
        <w:tc>
          <w:tcPr>
            <w:tcW w:w="80" w:type="dxa"/>
            <w:vAlign w:val="bottom"/>
            <w:tcBorders>
              <w:bottom w:val="single" w:sz="8" w:color="CCEEFF"/>
            </w:tcBorders>
            <w:shd w:val="clear" w:color="auto" w:fill="CCEEFF"/>
          </w:tcPr>
          <w:p>
            <w:pPr>
              <w:spacing w:after="0"/>
              <w:rPr>
                <w:sz w:val="14"/>
                <w:szCs w:val="14"/>
                <w:color w:val="auto"/>
              </w:rPr>
            </w:pPr>
          </w:p>
        </w:tc>
        <w:tc>
          <w:tcPr>
            <w:tcW w:w="1040" w:type="dxa"/>
            <w:vAlign w:val="bottom"/>
            <w:tcBorders>
              <w:bottom w:val="single" w:sz="8" w:color="CCEEFF"/>
            </w:tcBorders>
            <w:shd w:val="clear" w:color="auto" w:fill="CCEEFF"/>
          </w:tcPr>
          <w:p>
            <w:pPr>
              <w:spacing w:after="0"/>
              <w:rPr>
                <w:sz w:val="14"/>
                <w:szCs w:val="14"/>
                <w:color w:val="auto"/>
              </w:rPr>
            </w:pPr>
          </w:p>
        </w:tc>
        <w:tc>
          <w:tcPr>
            <w:tcW w:w="1920" w:type="dxa"/>
            <w:vAlign w:val="bottom"/>
            <w:tcBorders>
              <w:bottom w:val="single" w:sz="8" w:color="CCEEFF"/>
            </w:tcBorders>
            <w:shd w:val="clear" w:color="auto" w:fill="CCEEFF"/>
          </w:tcPr>
          <w:p>
            <w:pPr>
              <w:jc w:val="right"/>
              <w:ind w:right="5"/>
              <w:spacing w:after="0"/>
              <w:rPr>
                <w:sz w:val="20"/>
                <w:szCs w:val="20"/>
                <w:color w:val="auto"/>
              </w:rPr>
            </w:pPr>
            <w:r>
              <w:rPr>
                <w:rFonts w:ascii="Arial" w:cs="Arial" w:eastAsia="Arial" w:hAnsi="Arial"/>
                <w:sz w:val="11"/>
                <w:szCs w:val="11"/>
                <w:color w:val="auto"/>
              </w:rPr>
              <w:t>20</w:t>
            </w:r>
          </w:p>
        </w:tc>
        <w:tc>
          <w:tcPr>
            <w:tcW w:w="0" w:type="dxa"/>
            <w:vAlign w:val="bottom"/>
          </w:tcPr>
          <w:p>
            <w:pPr>
              <w:spacing w:after="0"/>
              <w:rPr>
                <w:sz w:val="1"/>
                <w:szCs w:val="1"/>
                <w:color w:val="auto"/>
              </w:rPr>
            </w:pPr>
          </w:p>
        </w:tc>
      </w:tr>
      <w:tr>
        <w:trPr>
          <w:trHeight w:val="150"/>
        </w:trPr>
        <w:tc>
          <w:tcPr>
            <w:tcW w:w="5520" w:type="dxa"/>
            <w:vAlign w:val="bottom"/>
          </w:tcPr>
          <w:p>
            <w:pPr>
              <w:ind w:left="100"/>
              <w:spacing w:after="0"/>
              <w:rPr>
                <w:sz w:val="20"/>
                <w:szCs w:val="20"/>
                <w:color w:val="auto"/>
              </w:rPr>
            </w:pPr>
            <w:r>
              <w:rPr>
                <w:rFonts w:ascii="Arial" w:cs="Arial" w:eastAsia="Arial" w:hAnsi="Arial"/>
                <w:sz w:val="11"/>
                <w:szCs w:val="11"/>
                <w:color w:val="auto"/>
              </w:rPr>
              <w:t>Accounts payable</w:t>
            </w:r>
          </w:p>
        </w:tc>
        <w:tc>
          <w:tcPr>
            <w:tcW w:w="1860" w:type="dxa"/>
            <w:vAlign w:val="bottom"/>
          </w:tcPr>
          <w:p>
            <w:pPr>
              <w:spacing w:after="0"/>
              <w:rPr>
                <w:sz w:val="13"/>
                <w:szCs w:val="13"/>
                <w:color w:val="auto"/>
              </w:rPr>
            </w:pPr>
          </w:p>
        </w:tc>
        <w:tc>
          <w:tcPr>
            <w:tcW w:w="840" w:type="dxa"/>
            <w:vAlign w:val="bottom"/>
          </w:tcPr>
          <w:p>
            <w:pPr>
              <w:jc w:val="right"/>
              <w:spacing w:after="0"/>
              <w:rPr>
                <w:sz w:val="20"/>
                <w:szCs w:val="20"/>
                <w:color w:val="auto"/>
              </w:rPr>
            </w:pPr>
            <w:r>
              <w:rPr>
                <w:rFonts w:ascii="Arial" w:cs="Arial" w:eastAsia="Arial" w:hAnsi="Arial"/>
                <w:sz w:val="11"/>
                <w:szCs w:val="11"/>
                <w:color w:val="auto"/>
              </w:rPr>
              <w:t>(1,583)</w:t>
            </w:r>
          </w:p>
        </w:tc>
        <w:tc>
          <w:tcPr>
            <w:tcW w:w="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920" w:type="dxa"/>
            <w:vAlign w:val="bottom"/>
          </w:tcPr>
          <w:p>
            <w:pPr>
              <w:jc w:val="right"/>
              <w:spacing w:after="0"/>
              <w:rPr>
                <w:sz w:val="20"/>
                <w:szCs w:val="20"/>
                <w:color w:val="auto"/>
              </w:rPr>
            </w:pPr>
            <w:r>
              <w:rPr>
                <w:rFonts w:ascii="Arial" w:cs="Arial" w:eastAsia="Arial" w:hAnsi="Arial"/>
                <w:sz w:val="11"/>
                <w:szCs w:val="11"/>
                <w:color w:val="auto"/>
              </w:rPr>
              <w:t>(1,335)</w:t>
            </w:r>
          </w:p>
        </w:tc>
        <w:tc>
          <w:tcPr>
            <w:tcW w:w="0" w:type="dxa"/>
            <w:vAlign w:val="bottom"/>
          </w:tcPr>
          <w:p>
            <w:pPr>
              <w:spacing w:after="0"/>
              <w:rPr>
                <w:sz w:val="1"/>
                <w:szCs w:val="1"/>
                <w:color w:val="auto"/>
              </w:rPr>
            </w:pPr>
          </w:p>
        </w:tc>
      </w:tr>
      <w:tr>
        <w:trPr>
          <w:trHeight w:val="39"/>
        </w:trPr>
        <w:tc>
          <w:tcPr>
            <w:tcW w:w="5520" w:type="dxa"/>
            <w:vAlign w:val="bottom"/>
          </w:tcPr>
          <w:p>
            <w:pPr>
              <w:spacing w:after="0"/>
              <w:rPr>
                <w:sz w:val="3"/>
                <w:szCs w:val="3"/>
                <w:color w:val="auto"/>
              </w:rPr>
            </w:pPr>
          </w:p>
        </w:tc>
        <w:tc>
          <w:tcPr>
            <w:tcW w:w="1860" w:type="dxa"/>
            <w:vAlign w:val="bottom"/>
          </w:tcPr>
          <w:p>
            <w:pPr>
              <w:spacing w:after="0"/>
              <w:rPr>
                <w:sz w:val="3"/>
                <w:szCs w:val="3"/>
                <w:color w:val="auto"/>
              </w:rPr>
            </w:pPr>
          </w:p>
        </w:tc>
        <w:tc>
          <w:tcPr>
            <w:tcW w:w="840" w:type="dxa"/>
            <w:vAlign w:val="bottom"/>
          </w:tcPr>
          <w:p>
            <w:pPr>
              <w:spacing w:after="0"/>
              <w:rPr>
                <w:sz w:val="3"/>
                <w:szCs w:val="3"/>
                <w:color w:val="auto"/>
              </w:rPr>
            </w:pPr>
          </w:p>
        </w:tc>
        <w:tc>
          <w:tcPr>
            <w:tcW w:w="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9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69"/>
        </w:trPr>
        <w:tc>
          <w:tcPr>
            <w:tcW w:w="552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1"/>
                <w:szCs w:val="11"/>
                <w:color w:val="auto"/>
              </w:rPr>
              <w:t>Accrued expenses and other liabilities</w:t>
            </w:r>
          </w:p>
        </w:tc>
        <w:tc>
          <w:tcPr>
            <w:tcW w:w="1860" w:type="dxa"/>
            <w:vAlign w:val="bottom"/>
            <w:tcBorders>
              <w:bottom w:val="single" w:sz="8" w:color="CCEEFF"/>
            </w:tcBorders>
            <w:shd w:val="clear" w:color="auto" w:fill="CCEEFF"/>
          </w:tcPr>
          <w:p>
            <w:pPr>
              <w:spacing w:after="0"/>
              <w:rPr>
                <w:sz w:val="14"/>
                <w:szCs w:val="14"/>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(1,366)</w:t>
            </w:r>
          </w:p>
        </w:tc>
        <w:tc>
          <w:tcPr>
            <w:tcW w:w="80" w:type="dxa"/>
            <w:vAlign w:val="bottom"/>
            <w:tcBorders>
              <w:bottom w:val="single" w:sz="8" w:color="CCEEFF"/>
            </w:tcBorders>
            <w:shd w:val="clear" w:color="auto" w:fill="CCEEFF"/>
          </w:tcPr>
          <w:p>
            <w:pPr>
              <w:spacing w:after="0"/>
              <w:rPr>
                <w:sz w:val="14"/>
                <w:szCs w:val="14"/>
                <w:color w:val="auto"/>
              </w:rPr>
            </w:pPr>
          </w:p>
        </w:tc>
        <w:tc>
          <w:tcPr>
            <w:tcW w:w="1040" w:type="dxa"/>
            <w:vAlign w:val="bottom"/>
            <w:tcBorders>
              <w:bottom w:val="single" w:sz="8" w:color="CCEEFF"/>
            </w:tcBorders>
            <w:shd w:val="clear" w:color="auto" w:fill="CCEEFF"/>
          </w:tcPr>
          <w:p>
            <w:pPr>
              <w:spacing w:after="0"/>
              <w:rPr>
                <w:sz w:val="14"/>
                <w:szCs w:val="14"/>
                <w:color w:val="auto"/>
              </w:rPr>
            </w:pPr>
          </w:p>
        </w:tc>
        <w:tc>
          <w:tcPr>
            <w:tcW w:w="1920" w:type="dxa"/>
            <w:vAlign w:val="bottom"/>
            <w:tcBorders>
              <w:bottom w:val="single" w:sz="8" w:color="CCEEFF"/>
            </w:tcBorders>
            <w:shd w:val="clear" w:color="auto" w:fill="CCEEFF"/>
          </w:tcPr>
          <w:p>
            <w:pPr>
              <w:jc w:val="right"/>
              <w:ind w:right="5"/>
              <w:spacing w:after="0"/>
              <w:rPr>
                <w:sz w:val="20"/>
                <w:szCs w:val="20"/>
                <w:color w:val="auto"/>
              </w:rPr>
            </w:pPr>
            <w:r>
              <w:rPr>
                <w:rFonts w:ascii="Arial" w:cs="Arial" w:eastAsia="Arial" w:hAnsi="Arial"/>
                <w:sz w:val="11"/>
                <w:szCs w:val="11"/>
                <w:color w:val="auto"/>
              </w:rPr>
              <w:t>6,768</w:t>
            </w:r>
          </w:p>
        </w:tc>
        <w:tc>
          <w:tcPr>
            <w:tcW w:w="0" w:type="dxa"/>
            <w:vAlign w:val="bottom"/>
          </w:tcPr>
          <w:p>
            <w:pPr>
              <w:spacing w:after="0"/>
              <w:rPr>
                <w:sz w:val="1"/>
                <w:szCs w:val="1"/>
                <w:color w:val="auto"/>
              </w:rPr>
            </w:pPr>
          </w:p>
        </w:tc>
      </w:tr>
      <w:tr>
        <w:trPr>
          <w:trHeight w:val="150"/>
        </w:trPr>
        <w:tc>
          <w:tcPr>
            <w:tcW w:w="5520" w:type="dxa"/>
            <w:vAlign w:val="bottom"/>
          </w:tcPr>
          <w:p>
            <w:pPr>
              <w:ind w:left="100"/>
              <w:spacing w:after="0"/>
              <w:rPr>
                <w:sz w:val="20"/>
                <w:szCs w:val="20"/>
                <w:color w:val="auto"/>
              </w:rPr>
            </w:pPr>
            <w:r>
              <w:rPr>
                <w:rFonts w:ascii="Arial" w:cs="Arial" w:eastAsia="Arial" w:hAnsi="Arial"/>
                <w:sz w:val="11"/>
                <w:szCs w:val="11"/>
                <w:color w:val="auto"/>
              </w:rPr>
              <w:t>Operating lease liabilities</w:t>
            </w:r>
          </w:p>
        </w:tc>
        <w:tc>
          <w:tcPr>
            <w:tcW w:w="1860" w:type="dxa"/>
            <w:vAlign w:val="bottom"/>
          </w:tcPr>
          <w:p>
            <w:pPr>
              <w:spacing w:after="0"/>
              <w:rPr>
                <w:sz w:val="13"/>
                <w:szCs w:val="13"/>
                <w:color w:val="auto"/>
              </w:rPr>
            </w:pPr>
          </w:p>
        </w:tc>
        <w:tc>
          <w:tcPr>
            <w:tcW w:w="840" w:type="dxa"/>
            <w:vAlign w:val="bottom"/>
          </w:tcPr>
          <w:p>
            <w:pPr>
              <w:jc w:val="right"/>
              <w:spacing w:after="0"/>
              <w:rPr>
                <w:sz w:val="20"/>
                <w:szCs w:val="20"/>
                <w:color w:val="auto"/>
              </w:rPr>
            </w:pPr>
            <w:r>
              <w:rPr>
                <w:rFonts w:ascii="Arial" w:cs="Arial" w:eastAsia="Arial" w:hAnsi="Arial"/>
                <w:sz w:val="11"/>
                <w:szCs w:val="11"/>
                <w:color w:val="auto"/>
              </w:rPr>
              <w:t>(404)</w:t>
            </w:r>
          </w:p>
        </w:tc>
        <w:tc>
          <w:tcPr>
            <w:tcW w:w="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920" w:type="dxa"/>
            <w:vAlign w:val="bottom"/>
          </w:tcPr>
          <w:p>
            <w:pPr>
              <w:jc w:val="right"/>
              <w:spacing w:after="0"/>
              <w:rPr>
                <w:sz w:val="20"/>
                <w:szCs w:val="20"/>
                <w:color w:val="auto"/>
              </w:rPr>
            </w:pPr>
            <w:r>
              <w:rPr>
                <w:rFonts w:ascii="Arial" w:cs="Arial" w:eastAsia="Arial" w:hAnsi="Arial"/>
                <w:sz w:val="11"/>
                <w:szCs w:val="11"/>
                <w:color w:val="auto"/>
              </w:rPr>
              <w:t>(406)</w:t>
            </w:r>
          </w:p>
        </w:tc>
        <w:tc>
          <w:tcPr>
            <w:tcW w:w="0" w:type="dxa"/>
            <w:vAlign w:val="bottom"/>
          </w:tcPr>
          <w:p>
            <w:pPr>
              <w:spacing w:after="0"/>
              <w:rPr>
                <w:sz w:val="1"/>
                <w:szCs w:val="1"/>
                <w:color w:val="auto"/>
              </w:rPr>
            </w:pPr>
          </w:p>
        </w:tc>
      </w:tr>
      <w:tr>
        <w:trPr>
          <w:trHeight w:val="39"/>
        </w:trPr>
        <w:tc>
          <w:tcPr>
            <w:tcW w:w="5520" w:type="dxa"/>
            <w:vAlign w:val="bottom"/>
          </w:tcPr>
          <w:p>
            <w:pPr>
              <w:spacing w:after="0"/>
              <w:rPr>
                <w:sz w:val="3"/>
                <w:szCs w:val="3"/>
                <w:color w:val="auto"/>
              </w:rPr>
            </w:pPr>
          </w:p>
        </w:tc>
        <w:tc>
          <w:tcPr>
            <w:tcW w:w="1860" w:type="dxa"/>
            <w:vAlign w:val="bottom"/>
          </w:tcPr>
          <w:p>
            <w:pPr>
              <w:spacing w:after="0"/>
              <w:rPr>
                <w:sz w:val="3"/>
                <w:szCs w:val="3"/>
                <w:color w:val="auto"/>
              </w:rPr>
            </w:pPr>
          </w:p>
        </w:tc>
        <w:tc>
          <w:tcPr>
            <w:tcW w:w="840" w:type="dxa"/>
            <w:vAlign w:val="bottom"/>
          </w:tcPr>
          <w:p>
            <w:pPr>
              <w:spacing w:after="0"/>
              <w:rPr>
                <w:sz w:val="3"/>
                <w:szCs w:val="3"/>
                <w:color w:val="auto"/>
              </w:rPr>
            </w:pPr>
          </w:p>
        </w:tc>
        <w:tc>
          <w:tcPr>
            <w:tcW w:w="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9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69"/>
        </w:trPr>
        <w:tc>
          <w:tcPr>
            <w:tcW w:w="552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1"/>
                <w:szCs w:val="11"/>
                <w:color w:val="auto"/>
              </w:rPr>
              <w:t>Settlement liabilities</w:t>
            </w:r>
          </w:p>
        </w:tc>
        <w:tc>
          <w:tcPr>
            <w:tcW w:w="1860" w:type="dxa"/>
            <w:vAlign w:val="bottom"/>
            <w:tcBorders>
              <w:bottom w:val="single" w:sz="8" w:color="CCEEFF"/>
            </w:tcBorders>
            <w:shd w:val="clear" w:color="auto" w:fill="CCEEFF"/>
          </w:tcPr>
          <w:p>
            <w:pPr>
              <w:spacing w:after="0"/>
              <w:rPr>
                <w:sz w:val="14"/>
                <w:szCs w:val="14"/>
                <w:color w:val="auto"/>
              </w:rPr>
            </w:pPr>
          </w:p>
        </w:tc>
        <w:tc>
          <w:tcPr>
            <w:tcW w:w="840" w:type="dxa"/>
            <w:vAlign w:val="bottom"/>
            <w:tcBorders>
              <w:bottom w:val="single" w:sz="8" w:color="CCEEFF"/>
            </w:tcBorders>
            <w:shd w:val="clear" w:color="auto" w:fill="CCEEFF"/>
          </w:tcPr>
          <w:p>
            <w:pPr>
              <w:jc w:val="right"/>
              <w:ind w:right="5"/>
              <w:spacing w:after="0"/>
              <w:rPr>
                <w:sz w:val="20"/>
                <w:szCs w:val="20"/>
                <w:color w:val="auto"/>
              </w:rPr>
            </w:pPr>
            <w:r>
              <w:rPr>
                <w:rFonts w:ascii="Arial" w:cs="Arial" w:eastAsia="Arial" w:hAnsi="Arial"/>
                <w:sz w:val="11"/>
                <w:szCs w:val="11"/>
                <w:color w:val="auto"/>
              </w:rPr>
              <w:t>19,910</w:t>
            </w:r>
          </w:p>
        </w:tc>
        <w:tc>
          <w:tcPr>
            <w:tcW w:w="80" w:type="dxa"/>
            <w:vAlign w:val="bottom"/>
            <w:tcBorders>
              <w:bottom w:val="single" w:sz="8" w:color="CCEEFF"/>
            </w:tcBorders>
            <w:shd w:val="clear" w:color="auto" w:fill="CCEEFF"/>
          </w:tcPr>
          <w:p>
            <w:pPr>
              <w:spacing w:after="0"/>
              <w:rPr>
                <w:sz w:val="14"/>
                <w:szCs w:val="14"/>
                <w:color w:val="auto"/>
              </w:rPr>
            </w:pPr>
          </w:p>
        </w:tc>
        <w:tc>
          <w:tcPr>
            <w:tcW w:w="1040" w:type="dxa"/>
            <w:vAlign w:val="bottom"/>
            <w:tcBorders>
              <w:bottom w:val="single" w:sz="8" w:color="CCEEFF"/>
            </w:tcBorders>
            <w:shd w:val="clear" w:color="auto" w:fill="CCEEFF"/>
          </w:tcPr>
          <w:p>
            <w:pPr>
              <w:spacing w:after="0"/>
              <w:rPr>
                <w:sz w:val="14"/>
                <w:szCs w:val="14"/>
                <w:color w:val="auto"/>
              </w:rPr>
            </w:pPr>
          </w:p>
        </w:tc>
        <w:tc>
          <w:tcPr>
            <w:tcW w:w="1920" w:type="dxa"/>
            <w:vAlign w:val="bottom"/>
            <w:tcBorders>
              <w:bottom w:val="single" w:sz="8" w:color="CCEEFF"/>
            </w:tcBorders>
            <w:shd w:val="clear" w:color="auto" w:fill="CCEEFF"/>
          </w:tcPr>
          <w:p>
            <w:pPr>
              <w:jc w:val="right"/>
              <w:ind w:right="5"/>
              <w:spacing w:after="0"/>
              <w:rPr>
                <w:sz w:val="20"/>
                <w:szCs w:val="20"/>
                <w:color w:val="auto"/>
              </w:rPr>
            </w:pPr>
            <w:r>
              <w:rPr>
                <w:rFonts w:ascii="Arial" w:cs="Arial" w:eastAsia="Arial" w:hAnsi="Arial"/>
                <w:sz w:val="11"/>
                <w:szCs w:val="11"/>
                <w:color w:val="auto"/>
              </w:rPr>
              <w:t>7,101</w:t>
            </w:r>
          </w:p>
        </w:tc>
        <w:tc>
          <w:tcPr>
            <w:tcW w:w="0" w:type="dxa"/>
            <w:vAlign w:val="bottom"/>
          </w:tcPr>
          <w:p>
            <w:pPr>
              <w:spacing w:after="0"/>
              <w:rPr>
                <w:sz w:val="1"/>
                <w:szCs w:val="1"/>
                <w:color w:val="auto"/>
              </w:rPr>
            </w:pPr>
          </w:p>
        </w:tc>
      </w:tr>
      <w:tr>
        <w:trPr>
          <w:trHeight w:val="150"/>
        </w:trPr>
        <w:tc>
          <w:tcPr>
            <w:tcW w:w="5520" w:type="dxa"/>
            <w:vAlign w:val="bottom"/>
          </w:tcPr>
          <w:p>
            <w:pPr>
              <w:ind w:left="100"/>
              <w:spacing w:after="0"/>
              <w:rPr>
                <w:sz w:val="20"/>
                <w:szCs w:val="20"/>
                <w:color w:val="auto"/>
              </w:rPr>
            </w:pPr>
            <w:r>
              <w:rPr>
                <w:rFonts w:ascii="Arial" w:cs="Arial" w:eastAsia="Arial" w:hAnsi="Arial"/>
                <w:sz w:val="11"/>
                <w:szCs w:val="11"/>
                <w:color w:val="auto"/>
              </w:rPr>
              <w:t>Other liabilities</w:t>
            </w:r>
          </w:p>
        </w:tc>
        <w:tc>
          <w:tcPr>
            <w:tcW w:w="1860" w:type="dxa"/>
            <w:vAlign w:val="bottom"/>
          </w:tcPr>
          <w:p>
            <w:pPr>
              <w:spacing w:after="0"/>
              <w:rPr>
                <w:sz w:val="13"/>
                <w:szCs w:val="13"/>
                <w:color w:val="auto"/>
              </w:rPr>
            </w:pPr>
          </w:p>
        </w:tc>
        <w:tc>
          <w:tcPr>
            <w:tcW w:w="840" w:type="dxa"/>
            <w:vAlign w:val="bottom"/>
          </w:tcPr>
          <w:p>
            <w:pPr>
              <w:jc w:val="right"/>
              <w:ind w:right="5"/>
              <w:spacing w:after="0"/>
              <w:rPr>
                <w:sz w:val="20"/>
                <w:szCs w:val="20"/>
                <w:color w:val="auto"/>
              </w:rPr>
            </w:pPr>
            <w:r>
              <w:rPr>
                <w:rFonts w:ascii="Arial" w:cs="Arial" w:eastAsia="Arial" w:hAnsi="Arial"/>
                <w:sz w:val="11"/>
                <w:szCs w:val="11"/>
                <w:color w:val="auto"/>
              </w:rPr>
              <w:t>963</w:t>
            </w:r>
          </w:p>
        </w:tc>
        <w:tc>
          <w:tcPr>
            <w:tcW w:w="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920" w:type="dxa"/>
            <w:vAlign w:val="bottom"/>
          </w:tcPr>
          <w:p>
            <w:pPr>
              <w:jc w:val="right"/>
              <w:ind w:right="5"/>
              <w:spacing w:after="0"/>
              <w:rPr>
                <w:sz w:val="20"/>
                <w:szCs w:val="20"/>
                <w:color w:val="auto"/>
              </w:rPr>
            </w:pPr>
            <w:r>
              <w:rPr>
                <w:rFonts w:ascii="Arial" w:cs="Arial" w:eastAsia="Arial" w:hAnsi="Arial"/>
                <w:sz w:val="11"/>
                <w:szCs w:val="11"/>
                <w:color w:val="auto"/>
              </w:rPr>
              <w:t>472</w:t>
            </w:r>
          </w:p>
        </w:tc>
        <w:tc>
          <w:tcPr>
            <w:tcW w:w="0" w:type="dxa"/>
            <w:vAlign w:val="bottom"/>
          </w:tcPr>
          <w:p>
            <w:pPr>
              <w:spacing w:after="0"/>
              <w:rPr>
                <w:sz w:val="1"/>
                <w:szCs w:val="1"/>
                <w:color w:val="auto"/>
              </w:rPr>
            </w:pPr>
          </w:p>
        </w:tc>
      </w:tr>
      <w:tr>
        <w:trPr>
          <w:trHeight w:val="39"/>
        </w:trPr>
        <w:tc>
          <w:tcPr>
            <w:tcW w:w="5520" w:type="dxa"/>
            <w:vAlign w:val="bottom"/>
            <w:tcBorders>
              <w:bottom w:val="single" w:sz="8" w:color="CCEEFF"/>
            </w:tcBorders>
          </w:tcPr>
          <w:p>
            <w:pPr>
              <w:spacing w:after="0"/>
              <w:rPr>
                <w:sz w:val="3"/>
                <w:szCs w:val="3"/>
                <w:color w:val="auto"/>
              </w:rPr>
            </w:pPr>
          </w:p>
        </w:tc>
        <w:tc>
          <w:tcPr>
            <w:tcW w:w="1860" w:type="dxa"/>
            <w:vAlign w:val="bottom"/>
            <w:tcBorders>
              <w:bottom w:val="single" w:sz="8" w:color="auto"/>
            </w:tcBorders>
          </w:tcPr>
          <w:p>
            <w:pPr>
              <w:spacing w:after="0"/>
              <w:rPr>
                <w:sz w:val="3"/>
                <w:szCs w:val="3"/>
                <w:color w:val="auto"/>
              </w:rPr>
            </w:pPr>
          </w:p>
        </w:tc>
        <w:tc>
          <w:tcPr>
            <w:tcW w:w="84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040" w:type="dxa"/>
            <w:vAlign w:val="bottom"/>
            <w:tcBorders>
              <w:bottom w:val="single" w:sz="8" w:color="auto"/>
            </w:tcBorders>
          </w:tcPr>
          <w:p>
            <w:pPr>
              <w:spacing w:after="0"/>
              <w:rPr>
                <w:sz w:val="3"/>
                <w:szCs w:val="3"/>
                <w:color w:val="auto"/>
              </w:rPr>
            </w:pPr>
          </w:p>
        </w:tc>
        <w:tc>
          <w:tcPr>
            <w:tcW w:w="19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81"/>
        </w:trPr>
        <w:tc>
          <w:tcPr>
            <w:tcW w:w="55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1"/>
                <w:szCs w:val="11"/>
                <w:color w:val="auto"/>
              </w:rPr>
              <w:t>Net cash provided by operating activities</w:t>
            </w:r>
          </w:p>
        </w:tc>
        <w:tc>
          <w:tcPr>
            <w:tcW w:w="1860" w:type="dxa"/>
            <w:vAlign w:val="bottom"/>
            <w:tcBorders>
              <w:bottom w:val="single" w:sz="8" w:color="CCEEFF"/>
            </w:tcBorders>
            <w:shd w:val="clear" w:color="auto" w:fill="CCEEFF"/>
          </w:tcPr>
          <w:p>
            <w:pPr>
              <w:spacing w:after="0"/>
              <w:rPr>
                <w:sz w:val="15"/>
                <w:szCs w:val="15"/>
                <w:color w:val="auto"/>
              </w:rPr>
            </w:pPr>
          </w:p>
        </w:tc>
        <w:tc>
          <w:tcPr>
            <w:tcW w:w="840" w:type="dxa"/>
            <w:vAlign w:val="bottom"/>
            <w:tcBorders>
              <w:bottom w:val="single" w:sz="8" w:color="CCEEFF"/>
            </w:tcBorders>
            <w:shd w:val="clear" w:color="auto" w:fill="CCEEFF"/>
          </w:tcPr>
          <w:p>
            <w:pPr>
              <w:jc w:val="right"/>
              <w:ind w:right="5"/>
              <w:spacing w:after="0"/>
              <w:rPr>
                <w:sz w:val="20"/>
                <w:szCs w:val="20"/>
                <w:color w:val="auto"/>
              </w:rPr>
            </w:pPr>
            <w:r>
              <w:rPr>
                <w:rFonts w:ascii="Arial" w:cs="Arial" w:eastAsia="Arial" w:hAnsi="Arial"/>
                <w:sz w:val="11"/>
                <w:szCs w:val="11"/>
                <w:color w:val="auto"/>
              </w:rPr>
              <w:t>27,158</w:t>
            </w:r>
          </w:p>
        </w:tc>
        <w:tc>
          <w:tcPr>
            <w:tcW w:w="80" w:type="dxa"/>
            <w:vAlign w:val="bottom"/>
            <w:tcBorders>
              <w:bottom w:val="single" w:sz="8" w:color="CCEEFF"/>
            </w:tcBorders>
            <w:shd w:val="clear" w:color="auto" w:fill="CCEEFF"/>
          </w:tcPr>
          <w:p>
            <w:pPr>
              <w:spacing w:after="0"/>
              <w:rPr>
                <w:sz w:val="15"/>
                <w:szCs w:val="15"/>
                <w:color w:val="auto"/>
              </w:rPr>
            </w:pPr>
          </w:p>
        </w:tc>
        <w:tc>
          <w:tcPr>
            <w:tcW w:w="1040" w:type="dxa"/>
            <w:vAlign w:val="bottom"/>
            <w:tcBorders>
              <w:bottom w:val="single" w:sz="8" w:color="CCEEFF"/>
            </w:tcBorders>
            <w:shd w:val="clear" w:color="auto" w:fill="CCEEFF"/>
          </w:tcPr>
          <w:p>
            <w:pPr>
              <w:spacing w:after="0"/>
              <w:rPr>
                <w:sz w:val="15"/>
                <w:szCs w:val="15"/>
                <w:color w:val="auto"/>
              </w:rPr>
            </w:pPr>
          </w:p>
        </w:tc>
        <w:tc>
          <w:tcPr>
            <w:tcW w:w="1920" w:type="dxa"/>
            <w:vAlign w:val="bottom"/>
            <w:tcBorders>
              <w:bottom w:val="single" w:sz="8" w:color="CCEEFF"/>
            </w:tcBorders>
            <w:shd w:val="clear" w:color="auto" w:fill="CCEEFF"/>
          </w:tcPr>
          <w:p>
            <w:pPr>
              <w:jc w:val="right"/>
              <w:ind w:right="5"/>
              <w:spacing w:after="0"/>
              <w:rPr>
                <w:sz w:val="20"/>
                <w:szCs w:val="20"/>
                <w:color w:val="auto"/>
              </w:rPr>
            </w:pPr>
            <w:r>
              <w:rPr>
                <w:rFonts w:ascii="Arial" w:cs="Arial" w:eastAsia="Arial" w:hAnsi="Arial"/>
                <w:sz w:val="11"/>
                <w:szCs w:val="11"/>
                <w:color w:val="auto"/>
              </w:rPr>
              <w:t>24,213</w:t>
            </w:r>
          </w:p>
        </w:tc>
        <w:tc>
          <w:tcPr>
            <w:tcW w:w="0" w:type="dxa"/>
            <w:vAlign w:val="bottom"/>
          </w:tcPr>
          <w:p>
            <w:pPr>
              <w:spacing w:after="0"/>
              <w:rPr>
                <w:sz w:val="1"/>
                <w:szCs w:val="1"/>
                <w:color w:val="auto"/>
              </w:rPr>
            </w:pPr>
          </w:p>
        </w:tc>
      </w:tr>
      <w:tr>
        <w:trPr>
          <w:trHeight w:val="130"/>
        </w:trPr>
        <w:tc>
          <w:tcPr>
            <w:tcW w:w="5520" w:type="dxa"/>
            <w:vAlign w:val="bottom"/>
          </w:tcPr>
          <w:p>
            <w:pPr>
              <w:ind w:left="20"/>
              <w:spacing w:after="0"/>
              <w:rPr>
                <w:sz w:val="20"/>
                <w:szCs w:val="20"/>
                <w:color w:val="auto"/>
              </w:rPr>
            </w:pPr>
            <w:r>
              <w:rPr>
                <w:rFonts w:ascii="Arial" w:cs="Arial" w:eastAsia="Arial" w:hAnsi="Arial"/>
                <w:sz w:val="11"/>
                <w:szCs w:val="11"/>
                <w:color w:val="auto"/>
              </w:rPr>
              <w:t>Cash flows from investing activities:</w:t>
            </w:r>
          </w:p>
        </w:tc>
        <w:tc>
          <w:tcPr>
            <w:tcW w:w="1860" w:type="dxa"/>
            <w:vAlign w:val="bottom"/>
            <w:tcBorders>
              <w:top w:val="single" w:sz="8" w:color="auto"/>
            </w:tcBorders>
          </w:tcPr>
          <w:p>
            <w:pPr>
              <w:spacing w:after="0"/>
              <w:rPr>
                <w:sz w:val="11"/>
                <w:szCs w:val="11"/>
                <w:color w:val="auto"/>
              </w:rPr>
            </w:pPr>
          </w:p>
        </w:tc>
        <w:tc>
          <w:tcPr>
            <w:tcW w:w="840" w:type="dxa"/>
            <w:vAlign w:val="bottom"/>
            <w:tcBorders>
              <w:top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1040" w:type="dxa"/>
            <w:vAlign w:val="bottom"/>
            <w:tcBorders>
              <w:top w:val="single" w:sz="8" w:color="auto"/>
            </w:tcBorders>
          </w:tcPr>
          <w:p>
            <w:pPr>
              <w:spacing w:after="0"/>
              <w:rPr>
                <w:sz w:val="11"/>
                <w:szCs w:val="11"/>
                <w:color w:val="auto"/>
              </w:rPr>
            </w:pPr>
          </w:p>
        </w:tc>
        <w:tc>
          <w:tcPr>
            <w:tcW w:w="1920" w:type="dxa"/>
            <w:vAlign w:val="bottom"/>
            <w:tcBorders>
              <w:top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39"/>
        </w:trPr>
        <w:tc>
          <w:tcPr>
            <w:tcW w:w="5520" w:type="dxa"/>
            <w:vAlign w:val="bottom"/>
          </w:tcPr>
          <w:p>
            <w:pPr>
              <w:spacing w:after="0"/>
              <w:rPr>
                <w:sz w:val="3"/>
                <w:szCs w:val="3"/>
                <w:color w:val="auto"/>
              </w:rPr>
            </w:pPr>
          </w:p>
        </w:tc>
        <w:tc>
          <w:tcPr>
            <w:tcW w:w="1860" w:type="dxa"/>
            <w:vAlign w:val="bottom"/>
          </w:tcPr>
          <w:p>
            <w:pPr>
              <w:spacing w:after="0"/>
              <w:rPr>
                <w:sz w:val="3"/>
                <w:szCs w:val="3"/>
                <w:color w:val="auto"/>
              </w:rPr>
            </w:pPr>
          </w:p>
        </w:tc>
        <w:tc>
          <w:tcPr>
            <w:tcW w:w="840" w:type="dxa"/>
            <w:vAlign w:val="bottom"/>
          </w:tcPr>
          <w:p>
            <w:pPr>
              <w:spacing w:after="0"/>
              <w:rPr>
                <w:sz w:val="3"/>
                <w:szCs w:val="3"/>
                <w:color w:val="auto"/>
              </w:rPr>
            </w:pPr>
          </w:p>
        </w:tc>
        <w:tc>
          <w:tcPr>
            <w:tcW w:w="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9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69"/>
        </w:trPr>
        <w:tc>
          <w:tcPr>
            <w:tcW w:w="55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1"/>
                <w:szCs w:val="11"/>
                <w:color w:val="auto"/>
              </w:rPr>
              <w:t>Purchases of property and equipment</w:t>
            </w:r>
          </w:p>
        </w:tc>
        <w:tc>
          <w:tcPr>
            <w:tcW w:w="1860" w:type="dxa"/>
            <w:vAlign w:val="bottom"/>
            <w:tcBorders>
              <w:bottom w:val="single" w:sz="8" w:color="CCEEFF"/>
            </w:tcBorders>
            <w:shd w:val="clear" w:color="auto" w:fill="CCEEFF"/>
          </w:tcPr>
          <w:p>
            <w:pPr>
              <w:spacing w:after="0"/>
              <w:rPr>
                <w:sz w:val="14"/>
                <w:szCs w:val="14"/>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(267)</w:t>
            </w:r>
          </w:p>
        </w:tc>
        <w:tc>
          <w:tcPr>
            <w:tcW w:w="80" w:type="dxa"/>
            <w:vAlign w:val="bottom"/>
            <w:tcBorders>
              <w:bottom w:val="single" w:sz="8" w:color="CCEEFF"/>
            </w:tcBorders>
            <w:shd w:val="clear" w:color="auto" w:fill="CCEEFF"/>
          </w:tcPr>
          <w:p>
            <w:pPr>
              <w:spacing w:after="0"/>
              <w:rPr>
                <w:sz w:val="14"/>
                <w:szCs w:val="14"/>
                <w:color w:val="auto"/>
              </w:rPr>
            </w:pPr>
          </w:p>
        </w:tc>
        <w:tc>
          <w:tcPr>
            <w:tcW w:w="1040" w:type="dxa"/>
            <w:vAlign w:val="bottom"/>
            <w:tcBorders>
              <w:bottom w:val="single" w:sz="8" w:color="CCEEFF"/>
            </w:tcBorders>
            <w:shd w:val="clear" w:color="auto" w:fill="CCEEFF"/>
          </w:tcPr>
          <w:p>
            <w:pPr>
              <w:spacing w:after="0"/>
              <w:rPr>
                <w:sz w:val="14"/>
                <w:szCs w:val="14"/>
                <w:color w:val="auto"/>
              </w:rPr>
            </w:pPr>
          </w:p>
        </w:tc>
        <w:tc>
          <w:tcPr>
            <w:tcW w:w="1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(1,940)</w:t>
            </w:r>
          </w:p>
        </w:tc>
        <w:tc>
          <w:tcPr>
            <w:tcW w:w="0" w:type="dxa"/>
            <w:vAlign w:val="bottom"/>
          </w:tcPr>
          <w:p>
            <w:pPr>
              <w:spacing w:after="0"/>
              <w:rPr>
                <w:sz w:val="1"/>
                <w:szCs w:val="1"/>
                <w:color w:val="auto"/>
              </w:rPr>
            </w:pPr>
          </w:p>
        </w:tc>
      </w:tr>
      <w:tr>
        <w:trPr>
          <w:trHeight w:val="150"/>
        </w:trPr>
        <w:tc>
          <w:tcPr>
            <w:tcW w:w="5520" w:type="dxa"/>
            <w:vAlign w:val="bottom"/>
          </w:tcPr>
          <w:p>
            <w:pPr>
              <w:ind w:left="20"/>
              <w:spacing w:after="0"/>
              <w:rPr>
                <w:sz w:val="20"/>
                <w:szCs w:val="20"/>
                <w:color w:val="auto"/>
              </w:rPr>
            </w:pPr>
            <w:r>
              <w:rPr>
                <w:rFonts w:ascii="Arial" w:cs="Arial" w:eastAsia="Arial" w:hAnsi="Arial"/>
                <w:sz w:val="11"/>
                <w:szCs w:val="11"/>
                <w:color w:val="auto"/>
              </w:rPr>
              <w:t>Software development costs</w:t>
            </w:r>
          </w:p>
        </w:tc>
        <w:tc>
          <w:tcPr>
            <w:tcW w:w="1860" w:type="dxa"/>
            <w:vAlign w:val="bottom"/>
          </w:tcPr>
          <w:p>
            <w:pPr>
              <w:spacing w:after="0"/>
              <w:rPr>
                <w:sz w:val="13"/>
                <w:szCs w:val="13"/>
                <w:color w:val="auto"/>
              </w:rPr>
            </w:pPr>
          </w:p>
        </w:tc>
        <w:tc>
          <w:tcPr>
            <w:tcW w:w="840" w:type="dxa"/>
            <w:vAlign w:val="bottom"/>
          </w:tcPr>
          <w:p>
            <w:pPr>
              <w:jc w:val="right"/>
              <w:spacing w:after="0"/>
              <w:rPr>
                <w:sz w:val="20"/>
                <w:szCs w:val="20"/>
                <w:color w:val="auto"/>
              </w:rPr>
            </w:pPr>
            <w:r>
              <w:rPr>
                <w:rFonts w:ascii="Arial" w:cs="Arial" w:eastAsia="Arial" w:hAnsi="Arial"/>
                <w:sz w:val="11"/>
                <w:szCs w:val="11"/>
                <w:color w:val="auto"/>
              </w:rPr>
              <w:t>(468)</w:t>
            </w:r>
          </w:p>
        </w:tc>
        <w:tc>
          <w:tcPr>
            <w:tcW w:w="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920" w:type="dxa"/>
            <w:vAlign w:val="bottom"/>
          </w:tcPr>
          <w:p>
            <w:pPr>
              <w:jc w:val="right"/>
              <w:spacing w:after="0"/>
              <w:rPr>
                <w:sz w:val="20"/>
                <w:szCs w:val="20"/>
                <w:color w:val="auto"/>
              </w:rPr>
            </w:pPr>
            <w:r>
              <w:rPr>
                <w:rFonts w:ascii="Arial" w:cs="Arial" w:eastAsia="Arial" w:hAnsi="Arial"/>
                <w:sz w:val="11"/>
                <w:szCs w:val="11"/>
                <w:color w:val="auto"/>
              </w:rPr>
              <w:t>(1,353)</w:t>
            </w:r>
          </w:p>
        </w:tc>
        <w:tc>
          <w:tcPr>
            <w:tcW w:w="0" w:type="dxa"/>
            <w:vAlign w:val="bottom"/>
          </w:tcPr>
          <w:p>
            <w:pPr>
              <w:spacing w:after="0"/>
              <w:rPr>
                <w:sz w:val="1"/>
                <w:szCs w:val="1"/>
                <w:color w:val="auto"/>
              </w:rPr>
            </w:pPr>
          </w:p>
        </w:tc>
      </w:tr>
      <w:tr>
        <w:trPr>
          <w:trHeight w:val="39"/>
        </w:trPr>
        <w:tc>
          <w:tcPr>
            <w:tcW w:w="5520" w:type="dxa"/>
            <w:vAlign w:val="bottom"/>
            <w:tcBorders>
              <w:bottom w:val="single" w:sz="8" w:color="CCEEFF"/>
            </w:tcBorders>
          </w:tcPr>
          <w:p>
            <w:pPr>
              <w:spacing w:after="0"/>
              <w:rPr>
                <w:sz w:val="3"/>
                <w:szCs w:val="3"/>
                <w:color w:val="auto"/>
              </w:rPr>
            </w:pPr>
          </w:p>
        </w:tc>
        <w:tc>
          <w:tcPr>
            <w:tcW w:w="1860" w:type="dxa"/>
            <w:vAlign w:val="bottom"/>
            <w:tcBorders>
              <w:bottom w:val="single" w:sz="8" w:color="auto"/>
            </w:tcBorders>
          </w:tcPr>
          <w:p>
            <w:pPr>
              <w:spacing w:after="0"/>
              <w:rPr>
                <w:sz w:val="3"/>
                <w:szCs w:val="3"/>
                <w:color w:val="auto"/>
              </w:rPr>
            </w:pPr>
          </w:p>
        </w:tc>
        <w:tc>
          <w:tcPr>
            <w:tcW w:w="84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040" w:type="dxa"/>
            <w:vAlign w:val="bottom"/>
            <w:tcBorders>
              <w:bottom w:val="single" w:sz="8" w:color="auto"/>
            </w:tcBorders>
          </w:tcPr>
          <w:p>
            <w:pPr>
              <w:spacing w:after="0"/>
              <w:rPr>
                <w:sz w:val="3"/>
                <w:szCs w:val="3"/>
                <w:color w:val="auto"/>
              </w:rPr>
            </w:pPr>
          </w:p>
        </w:tc>
        <w:tc>
          <w:tcPr>
            <w:tcW w:w="19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81"/>
        </w:trPr>
        <w:tc>
          <w:tcPr>
            <w:tcW w:w="55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1"/>
                <w:szCs w:val="11"/>
                <w:color w:val="auto"/>
              </w:rPr>
              <w:t>Net cash used by investing activities</w:t>
            </w:r>
          </w:p>
        </w:tc>
        <w:tc>
          <w:tcPr>
            <w:tcW w:w="1860" w:type="dxa"/>
            <w:vAlign w:val="bottom"/>
            <w:tcBorders>
              <w:bottom w:val="single" w:sz="8" w:color="CCEEFF"/>
            </w:tcBorders>
            <w:shd w:val="clear" w:color="auto" w:fill="CCEEFF"/>
          </w:tcPr>
          <w:p>
            <w:pPr>
              <w:spacing w:after="0"/>
              <w:rPr>
                <w:sz w:val="15"/>
                <w:szCs w:val="15"/>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(735)</w:t>
            </w:r>
          </w:p>
        </w:tc>
        <w:tc>
          <w:tcPr>
            <w:tcW w:w="80" w:type="dxa"/>
            <w:vAlign w:val="bottom"/>
            <w:tcBorders>
              <w:bottom w:val="single" w:sz="8" w:color="CCEEFF"/>
            </w:tcBorders>
            <w:shd w:val="clear" w:color="auto" w:fill="CCEEFF"/>
          </w:tcPr>
          <w:p>
            <w:pPr>
              <w:spacing w:after="0"/>
              <w:rPr>
                <w:sz w:val="15"/>
                <w:szCs w:val="15"/>
                <w:color w:val="auto"/>
              </w:rPr>
            </w:pPr>
          </w:p>
        </w:tc>
        <w:tc>
          <w:tcPr>
            <w:tcW w:w="1040" w:type="dxa"/>
            <w:vAlign w:val="bottom"/>
            <w:tcBorders>
              <w:bottom w:val="single" w:sz="8" w:color="CCEEFF"/>
            </w:tcBorders>
            <w:shd w:val="clear" w:color="auto" w:fill="CCEEFF"/>
          </w:tcPr>
          <w:p>
            <w:pPr>
              <w:spacing w:after="0"/>
              <w:rPr>
                <w:sz w:val="15"/>
                <w:szCs w:val="15"/>
                <w:color w:val="auto"/>
              </w:rPr>
            </w:pPr>
          </w:p>
        </w:tc>
        <w:tc>
          <w:tcPr>
            <w:tcW w:w="1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(3,293)</w:t>
            </w:r>
          </w:p>
        </w:tc>
        <w:tc>
          <w:tcPr>
            <w:tcW w:w="0" w:type="dxa"/>
            <w:vAlign w:val="bottom"/>
          </w:tcPr>
          <w:p>
            <w:pPr>
              <w:spacing w:after="0"/>
              <w:rPr>
                <w:sz w:val="1"/>
                <w:szCs w:val="1"/>
                <w:color w:val="auto"/>
              </w:rPr>
            </w:pPr>
          </w:p>
        </w:tc>
      </w:tr>
      <w:tr>
        <w:trPr>
          <w:trHeight w:val="130"/>
        </w:trPr>
        <w:tc>
          <w:tcPr>
            <w:tcW w:w="5520" w:type="dxa"/>
            <w:vAlign w:val="bottom"/>
          </w:tcPr>
          <w:p>
            <w:pPr>
              <w:ind w:left="20"/>
              <w:spacing w:after="0"/>
              <w:rPr>
                <w:sz w:val="20"/>
                <w:szCs w:val="20"/>
                <w:color w:val="auto"/>
              </w:rPr>
            </w:pPr>
            <w:r>
              <w:rPr>
                <w:rFonts w:ascii="Arial" w:cs="Arial" w:eastAsia="Arial" w:hAnsi="Arial"/>
                <w:sz w:val="11"/>
                <w:szCs w:val="11"/>
                <w:color w:val="auto"/>
              </w:rPr>
              <w:t>Cash flows from financing activities:</w:t>
            </w:r>
          </w:p>
        </w:tc>
        <w:tc>
          <w:tcPr>
            <w:tcW w:w="1860" w:type="dxa"/>
            <w:vAlign w:val="bottom"/>
            <w:tcBorders>
              <w:top w:val="single" w:sz="8" w:color="auto"/>
            </w:tcBorders>
          </w:tcPr>
          <w:p>
            <w:pPr>
              <w:spacing w:after="0"/>
              <w:rPr>
                <w:sz w:val="11"/>
                <w:szCs w:val="11"/>
                <w:color w:val="auto"/>
              </w:rPr>
            </w:pPr>
          </w:p>
        </w:tc>
        <w:tc>
          <w:tcPr>
            <w:tcW w:w="840" w:type="dxa"/>
            <w:vAlign w:val="bottom"/>
            <w:tcBorders>
              <w:top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1040" w:type="dxa"/>
            <w:vAlign w:val="bottom"/>
            <w:tcBorders>
              <w:top w:val="single" w:sz="8" w:color="auto"/>
            </w:tcBorders>
          </w:tcPr>
          <w:p>
            <w:pPr>
              <w:spacing w:after="0"/>
              <w:rPr>
                <w:sz w:val="11"/>
                <w:szCs w:val="11"/>
                <w:color w:val="auto"/>
              </w:rPr>
            </w:pPr>
          </w:p>
        </w:tc>
        <w:tc>
          <w:tcPr>
            <w:tcW w:w="1920" w:type="dxa"/>
            <w:vAlign w:val="bottom"/>
            <w:tcBorders>
              <w:top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39"/>
        </w:trPr>
        <w:tc>
          <w:tcPr>
            <w:tcW w:w="5520" w:type="dxa"/>
            <w:vAlign w:val="bottom"/>
          </w:tcPr>
          <w:p>
            <w:pPr>
              <w:spacing w:after="0"/>
              <w:rPr>
                <w:sz w:val="3"/>
                <w:szCs w:val="3"/>
                <w:color w:val="auto"/>
              </w:rPr>
            </w:pPr>
          </w:p>
        </w:tc>
        <w:tc>
          <w:tcPr>
            <w:tcW w:w="1860" w:type="dxa"/>
            <w:vAlign w:val="bottom"/>
          </w:tcPr>
          <w:p>
            <w:pPr>
              <w:spacing w:after="0"/>
              <w:rPr>
                <w:sz w:val="3"/>
                <w:szCs w:val="3"/>
                <w:color w:val="auto"/>
              </w:rPr>
            </w:pPr>
          </w:p>
        </w:tc>
        <w:tc>
          <w:tcPr>
            <w:tcW w:w="840" w:type="dxa"/>
            <w:vAlign w:val="bottom"/>
          </w:tcPr>
          <w:p>
            <w:pPr>
              <w:spacing w:after="0"/>
              <w:rPr>
                <w:sz w:val="3"/>
                <w:szCs w:val="3"/>
                <w:color w:val="auto"/>
              </w:rPr>
            </w:pPr>
          </w:p>
        </w:tc>
        <w:tc>
          <w:tcPr>
            <w:tcW w:w="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9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69"/>
        </w:trPr>
        <w:tc>
          <w:tcPr>
            <w:tcW w:w="55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1"/>
                <w:szCs w:val="11"/>
                <w:color w:val="auto"/>
              </w:rPr>
              <w:t>Principal payments of finance leases</w:t>
            </w:r>
          </w:p>
        </w:tc>
        <w:tc>
          <w:tcPr>
            <w:tcW w:w="1860" w:type="dxa"/>
            <w:vAlign w:val="bottom"/>
            <w:tcBorders>
              <w:bottom w:val="single" w:sz="8" w:color="CCEEFF"/>
            </w:tcBorders>
            <w:shd w:val="clear" w:color="auto" w:fill="CCEEFF"/>
          </w:tcPr>
          <w:p>
            <w:pPr>
              <w:spacing w:after="0"/>
              <w:rPr>
                <w:sz w:val="14"/>
                <w:szCs w:val="14"/>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(394)</w:t>
            </w:r>
          </w:p>
        </w:tc>
        <w:tc>
          <w:tcPr>
            <w:tcW w:w="80" w:type="dxa"/>
            <w:vAlign w:val="bottom"/>
            <w:tcBorders>
              <w:bottom w:val="single" w:sz="8" w:color="CCEEFF"/>
            </w:tcBorders>
            <w:shd w:val="clear" w:color="auto" w:fill="CCEEFF"/>
          </w:tcPr>
          <w:p>
            <w:pPr>
              <w:spacing w:after="0"/>
              <w:rPr>
                <w:sz w:val="14"/>
                <w:szCs w:val="14"/>
                <w:color w:val="auto"/>
              </w:rPr>
            </w:pPr>
          </w:p>
        </w:tc>
        <w:tc>
          <w:tcPr>
            <w:tcW w:w="1040" w:type="dxa"/>
            <w:vAlign w:val="bottom"/>
            <w:tcBorders>
              <w:bottom w:val="single" w:sz="8" w:color="CCEEFF"/>
            </w:tcBorders>
            <w:shd w:val="clear" w:color="auto" w:fill="CCEEFF"/>
          </w:tcPr>
          <w:p>
            <w:pPr>
              <w:spacing w:after="0"/>
              <w:rPr>
                <w:sz w:val="14"/>
                <w:szCs w:val="14"/>
                <w:color w:val="auto"/>
              </w:rPr>
            </w:pPr>
          </w:p>
        </w:tc>
        <w:tc>
          <w:tcPr>
            <w:tcW w:w="1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(385)</w:t>
            </w:r>
          </w:p>
        </w:tc>
        <w:tc>
          <w:tcPr>
            <w:tcW w:w="0" w:type="dxa"/>
            <w:vAlign w:val="bottom"/>
          </w:tcPr>
          <w:p>
            <w:pPr>
              <w:spacing w:after="0"/>
              <w:rPr>
                <w:sz w:val="1"/>
                <w:szCs w:val="1"/>
                <w:color w:val="auto"/>
              </w:rPr>
            </w:pPr>
          </w:p>
        </w:tc>
      </w:tr>
      <w:tr>
        <w:trPr>
          <w:trHeight w:val="150"/>
        </w:trPr>
        <w:tc>
          <w:tcPr>
            <w:tcW w:w="5520" w:type="dxa"/>
            <w:vAlign w:val="bottom"/>
          </w:tcPr>
          <w:p>
            <w:pPr>
              <w:ind w:left="20"/>
              <w:spacing w:after="0"/>
              <w:rPr>
                <w:sz w:val="20"/>
                <w:szCs w:val="20"/>
                <w:color w:val="auto"/>
              </w:rPr>
            </w:pPr>
            <w:r>
              <w:rPr>
                <w:rFonts w:ascii="Arial" w:cs="Arial" w:eastAsia="Arial" w:hAnsi="Arial"/>
                <w:sz w:val="11"/>
                <w:szCs w:val="11"/>
                <w:color w:val="auto"/>
              </w:rPr>
              <w:t>Principal payments of term loan</w:t>
            </w:r>
          </w:p>
        </w:tc>
        <w:tc>
          <w:tcPr>
            <w:tcW w:w="1860" w:type="dxa"/>
            <w:vAlign w:val="bottom"/>
          </w:tcPr>
          <w:p>
            <w:pPr>
              <w:spacing w:after="0"/>
              <w:rPr>
                <w:sz w:val="13"/>
                <w:szCs w:val="13"/>
                <w:color w:val="auto"/>
              </w:rPr>
            </w:pPr>
          </w:p>
        </w:tc>
        <w:tc>
          <w:tcPr>
            <w:tcW w:w="840" w:type="dxa"/>
            <w:vAlign w:val="bottom"/>
          </w:tcPr>
          <w:p>
            <w:pPr>
              <w:jc w:val="right"/>
              <w:spacing w:after="0"/>
              <w:rPr>
                <w:sz w:val="20"/>
                <w:szCs w:val="20"/>
                <w:color w:val="auto"/>
              </w:rPr>
            </w:pPr>
            <w:r>
              <w:rPr>
                <w:rFonts w:ascii="Arial" w:cs="Arial" w:eastAsia="Arial" w:hAnsi="Arial"/>
                <w:sz w:val="11"/>
                <w:szCs w:val="11"/>
                <w:color w:val="auto"/>
              </w:rPr>
              <w:t>(297)</w:t>
            </w:r>
          </w:p>
        </w:tc>
        <w:tc>
          <w:tcPr>
            <w:tcW w:w="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920" w:type="dxa"/>
            <w:vAlign w:val="bottom"/>
          </w:tcPr>
          <w:p>
            <w:pPr>
              <w:jc w:val="right"/>
              <w:spacing w:after="0"/>
              <w:rPr>
                <w:sz w:val="20"/>
                <w:szCs w:val="20"/>
                <w:color w:val="auto"/>
              </w:rPr>
            </w:pPr>
            <w:r>
              <w:rPr>
                <w:rFonts w:ascii="Arial" w:cs="Arial" w:eastAsia="Arial" w:hAnsi="Arial"/>
                <w:sz w:val="11"/>
                <w:szCs w:val="11"/>
                <w:color w:val="auto"/>
              </w:rPr>
              <w:t>(1,231)</w:t>
            </w:r>
          </w:p>
        </w:tc>
        <w:tc>
          <w:tcPr>
            <w:tcW w:w="0" w:type="dxa"/>
            <w:vAlign w:val="bottom"/>
          </w:tcPr>
          <w:p>
            <w:pPr>
              <w:spacing w:after="0"/>
              <w:rPr>
                <w:sz w:val="1"/>
                <w:szCs w:val="1"/>
                <w:color w:val="auto"/>
              </w:rPr>
            </w:pPr>
          </w:p>
        </w:tc>
      </w:tr>
      <w:tr>
        <w:trPr>
          <w:trHeight w:val="39"/>
        </w:trPr>
        <w:tc>
          <w:tcPr>
            <w:tcW w:w="5520" w:type="dxa"/>
            <w:vAlign w:val="bottom"/>
          </w:tcPr>
          <w:p>
            <w:pPr>
              <w:spacing w:after="0"/>
              <w:rPr>
                <w:sz w:val="3"/>
                <w:szCs w:val="3"/>
                <w:color w:val="auto"/>
              </w:rPr>
            </w:pPr>
          </w:p>
        </w:tc>
        <w:tc>
          <w:tcPr>
            <w:tcW w:w="1860" w:type="dxa"/>
            <w:vAlign w:val="bottom"/>
          </w:tcPr>
          <w:p>
            <w:pPr>
              <w:spacing w:after="0"/>
              <w:rPr>
                <w:sz w:val="3"/>
                <w:szCs w:val="3"/>
                <w:color w:val="auto"/>
              </w:rPr>
            </w:pPr>
          </w:p>
        </w:tc>
        <w:tc>
          <w:tcPr>
            <w:tcW w:w="840" w:type="dxa"/>
            <w:vAlign w:val="bottom"/>
          </w:tcPr>
          <w:p>
            <w:pPr>
              <w:spacing w:after="0"/>
              <w:rPr>
                <w:sz w:val="3"/>
                <w:szCs w:val="3"/>
                <w:color w:val="auto"/>
              </w:rPr>
            </w:pPr>
          </w:p>
        </w:tc>
        <w:tc>
          <w:tcPr>
            <w:tcW w:w="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9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69"/>
        </w:trPr>
        <w:tc>
          <w:tcPr>
            <w:tcW w:w="55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1"/>
                <w:szCs w:val="11"/>
                <w:color w:val="auto"/>
              </w:rPr>
              <w:t>Repurchases of early exercised stock options</w:t>
            </w:r>
          </w:p>
        </w:tc>
        <w:tc>
          <w:tcPr>
            <w:tcW w:w="1860" w:type="dxa"/>
            <w:vAlign w:val="bottom"/>
            <w:tcBorders>
              <w:bottom w:val="single" w:sz="8" w:color="CCEEFF"/>
            </w:tcBorders>
            <w:shd w:val="clear" w:color="auto" w:fill="CCEEFF"/>
          </w:tcPr>
          <w:p>
            <w:pPr>
              <w:spacing w:after="0"/>
              <w:rPr>
                <w:sz w:val="14"/>
                <w:szCs w:val="14"/>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(20)</w:t>
            </w:r>
          </w:p>
        </w:tc>
        <w:tc>
          <w:tcPr>
            <w:tcW w:w="80" w:type="dxa"/>
            <w:vAlign w:val="bottom"/>
            <w:tcBorders>
              <w:bottom w:val="single" w:sz="8" w:color="CCEEFF"/>
            </w:tcBorders>
            <w:shd w:val="clear" w:color="auto" w:fill="CCEEFF"/>
          </w:tcPr>
          <w:p>
            <w:pPr>
              <w:spacing w:after="0"/>
              <w:rPr>
                <w:sz w:val="14"/>
                <w:szCs w:val="14"/>
                <w:color w:val="auto"/>
              </w:rPr>
            </w:pPr>
          </w:p>
        </w:tc>
        <w:tc>
          <w:tcPr>
            <w:tcW w:w="1040" w:type="dxa"/>
            <w:vAlign w:val="bottom"/>
            <w:tcBorders>
              <w:bottom w:val="single" w:sz="8" w:color="CCEEFF"/>
            </w:tcBorders>
            <w:shd w:val="clear" w:color="auto" w:fill="CCEEFF"/>
          </w:tcPr>
          <w:p>
            <w:pPr>
              <w:spacing w:after="0"/>
              <w:rPr>
                <w:sz w:val="14"/>
                <w:szCs w:val="14"/>
                <w:color w:val="auto"/>
              </w:rPr>
            </w:pPr>
          </w:p>
        </w:tc>
        <w:tc>
          <w:tcPr>
            <w:tcW w:w="1920" w:type="dxa"/>
            <w:vAlign w:val="bottom"/>
            <w:tcBorders>
              <w:bottom w:val="single" w:sz="8" w:color="CCEEFF"/>
            </w:tcBorders>
            <w:shd w:val="clear" w:color="auto" w:fill="CCEEFF"/>
          </w:tcPr>
          <w:p>
            <w:pPr>
              <w:jc w:val="right"/>
              <w:ind w:right="5"/>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50"/>
        </w:trPr>
        <w:tc>
          <w:tcPr>
            <w:tcW w:w="5520" w:type="dxa"/>
            <w:vAlign w:val="bottom"/>
          </w:tcPr>
          <w:p>
            <w:pPr>
              <w:ind w:left="20"/>
              <w:spacing w:after="0"/>
              <w:rPr>
                <w:sz w:val="20"/>
                <w:szCs w:val="20"/>
                <w:color w:val="auto"/>
              </w:rPr>
            </w:pPr>
            <w:r>
              <w:rPr>
                <w:rFonts w:ascii="Arial" w:cs="Arial" w:eastAsia="Arial" w:hAnsi="Arial"/>
                <w:sz w:val="11"/>
                <w:szCs w:val="11"/>
                <w:color w:val="auto"/>
              </w:rPr>
              <w:t>Proceeds from common stock purchased under Matching Plan</w:t>
            </w:r>
          </w:p>
        </w:tc>
        <w:tc>
          <w:tcPr>
            <w:tcW w:w="1860" w:type="dxa"/>
            <w:vAlign w:val="bottom"/>
          </w:tcPr>
          <w:p>
            <w:pPr>
              <w:spacing w:after="0"/>
              <w:rPr>
                <w:sz w:val="13"/>
                <w:szCs w:val="13"/>
                <w:color w:val="auto"/>
              </w:rPr>
            </w:pPr>
          </w:p>
        </w:tc>
        <w:tc>
          <w:tcPr>
            <w:tcW w:w="840" w:type="dxa"/>
            <w:vAlign w:val="bottom"/>
          </w:tcPr>
          <w:p>
            <w:pPr>
              <w:jc w:val="right"/>
              <w:ind w:right="5"/>
              <w:spacing w:after="0"/>
              <w:rPr>
                <w:sz w:val="20"/>
                <w:szCs w:val="20"/>
                <w:color w:val="auto"/>
              </w:rPr>
            </w:pPr>
            <w:r>
              <w:rPr>
                <w:rFonts w:ascii="Arial" w:cs="Arial" w:eastAsia="Arial" w:hAnsi="Arial"/>
                <w:sz w:val="11"/>
                <w:szCs w:val="11"/>
                <w:color w:val="auto"/>
              </w:rPr>
              <w:t>1,188</w:t>
            </w:r>
          </w:p>
        </w:tc>
        <w:tc>
          <w:tcPr>
            <w:tcW w:w="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920" w:type="dxa"/>
            <w:vAlign w:val="bottom"/>
          </w:tcPr>
          <w:p>
            <w:pPr>
              <w:jc w:val="right"/>
              <w:ind w:right="5"/>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39"/>
        </w:trPr>
        <w:tc>
          <w:tcPr>
            <w:tcW w:w="5520" w:type="dxa"/>
            <w:vAlign w:val="bottom"/>
          </w:tcPr>
          <w:p>
            <w:pPr>
              <w:spacing w:after="0"/>
              <w:rPr>
                <w:sz w:val="3"/>
                <w:szCs w:val="3"/>
                <w:color w:val="auto"/>
              </w:rPr>
            </w:pPr>
          </w:p>
        </w:tc>
        <w:tc>
          <w:tcPr>
            <w:tcW w:w="1860" w:type="dxa"/>
            <w:vAlign w:val="bottom"/>
          </w:tcPr>
          <w:p>
            <w:pPr>
              <w:spacing w:after="0"/>
              <w:rPr>
                <w:sz w:val="3"/>
                <w:szCs w:val="3"/>
                <w:color w:val="auto"/>
              </w:rPr>
            </w:pPr>
          </w:p>
        </w:tc>
        <w:tc>
          <w:tcPr>
            <w:tcW w:w="840" w:type="dxa"/>
            <w:vAlign w:val="bottom"/>
          </w:tcPr>
          <w:p>
            <w:pPr>
              <w:spacing w:after="0"/>
              <w:rPr>
                <w:sz w:val="3"/>
                <w:szCs w:val="3"/>
                <w:color w:val="auto"/>
              </w:rPr>
            </w:pPr>
          </w:p>
        </w:tc>
        <w:tc>
          <w:tcPr>
            <w:tcW w:w="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9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69"/>
        </w:trPr>
        <w:tc>
          <w:tcPr>
            <w:tcW w:w="55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1"/>
                <w:szCs w:val="11"/>
                <w:color w:val="auto"/>
              </w:rPr>
              <w:t>Payments of deferred offering costs</w:t>
            </w:r>
          </w:p>
        </w:tc>
        <w:tc>
          <w:tcPr>
            <w:tcW w:w="1860" w:type="dxa"/>
            <w:vAlign w:val="bottom"/>
            <w:tcBorders>
              <w:bottom w:val="single" w:sz="8" w:color="CCEEFF"/>
            </w:tcBorders>
            <w:shd w:val="clear" w:color="auto" w:fill="CCEEFF"/>
          </w:tcPr>
          <w:p>
            <w:pPr>
              <w:spacing w:after="0"/>
              <w:rPr>
                <w:sz w:val="14"/>
                <w:szCs w:val="14"/>
                <w:color w:val="auto"/>
              </w:rPr>
            </w:pPr>
          </w:p>
        </w:tc>
        <w:tc>
          <w:tcPr>
            <w:tcW w:w="9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1040" w:type="dxa"/>
            <w:vAlign w:val="bottom"/>
            <w:tcBorders>
              <w:bottom w:val="single" w:sz="8" w:color="CCEEFF"/>
            </w:tcBorders>
            <w:shd w:val="clear" w:color="auto" w:fill="CCEEFF"/>
          </w:tcPr>
          <w:p>
            <w:pPr>
              <w:spacing w:after="0"/>
              <w:rPr>
                <w:sz w:val="14"/>
                <w:szCs w:val="14"/>
                <w:color w:val="auto"/>
              </w:rPr>
            </w:pPr>
          </w:p>
        </w:tc>
        <w:tc>
          <w:tcPr>
            <w:tcW w:w="1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(3,343)</w:t>
            </w:r>
          </w:p>
        </w:tc>
        <w:tc>
          <w:tcPr>
            <w:tcW w:w="0" w:type="dxa"/>
            <w:vAlign w:val="bottom"/>
          </w:tcPr>
          <w:p>
            <w:pPr>
              <w:spacing w:after="0"/>
              <w:rPr>
                <w:sz w:val="1"/>
                <w:szCs w:val="1"/>
                <w:color w:val="auto"/>
              </w:rPr>
            </w:pPr>
          </w:p>
        </w:tc>
      </w:tr>
      <w:tr>
        <w:trPr>
          <w:trHeight w:val="150"/>
        </w:trPr>
        <w:tc>
          <w:tcPr>
            <w:tcW w:w="5520" w:type="dxa"/>
            <w:vAlign w:val="bottom"/>
          </w:tcPr>
          <w:p>
            <w:pPr>
              <w:ind w:left="20"/>
              <w:spacing w:after="0"/>
              <w:rPr>
                <w:sz w:val="20"/>
                <w:szCs w:val="20"/>
                <w:color w:val="auto"/>
              </w:rPr>
            </w:pPr>
            <w:r>
              <w:rPr>
                <w:rFonts w:ascii="Arial" w:cs="Arial" w:eastAsia="Arial" w:hAnsi="Arial"/>
                <w:sz w:val="11"/>
                <w:szCs w:val="11"/>
                <w:color w:val="auto"/>
              </w:rPr>
              <w:t>Proceeds from issuance of common stock on exercise of stock options</w:t>
            </w:r>
          </w:p>
        </w:tc>
        <w:tc>
          <w:tcPr>
            <w:tcW w:w="1860" w:type="dxa"/>
            <w:vAlign w:val="bottom"/>
          </w:tcPr>
          <w:p>
            <w:pPr>
              <w:spacing w:after="0"/>
              <w:rPr>
                <w:sz w:val="13"/>
                <w:szCs w:val="13"/>
                <w:color w:val="auto"/>
              </w:rPr>
            </w:pPr>
          </w:p>
        </w:tc>
        <w:tc>
          <w:tcPr>
            <w:tcW w:w="840" w:type="dxa"/>
            <w:vAlign w:val="bottom"/>
          </w:tcPr>
          <w:p>
            <w:pPr>
              <w:jc w:val="right"/>
              <w:ind w:right="5"/>
              <w:spacing w:after="0"/>
              <w:rPr>
                <w:sz w:val="20"/>
                <w:szCs w:val="20"/>
                <w:color w:val="auto"/>
              </w:rPr>
            </w:pPr>
            <w:r>
              <w:rPr>
                <w:rFonts w:ascii="Arial" w:cs="Arial" w:eastAsia="Arial" w:hAnsi="Arial"/>
                <w:sz w:val="11"/>
                <w:szCs w:val="11"/>
                <w:color w:val="auto"/>
              </w:rPr>
              <w:t>519</w:t>
            </w:r>
          </w:p>
        </w:tc>
        <w:tc>
          <w:tcPr>
            <w:tcW w:w="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920" w:type="dxa"/>
            <w:vAlign w:val="bottom"/>
          </w:tcPr>
          <w:p>
            <w:pPr>
              <w:jc w:val="right"/>
              <w:ind w:right="5"/>
              <w:spacing w:after="0"/>
              <w:rPr>
                <w:sz w:val="20"/>
                <w:szCs w:val="20"/>
                <w:color w:val="auto"/>
              </w:rPr>
            </w:pPr>
            <w:r>
              <w:rPr>
                <w:rFonts w:ascii="Arial" w:cs="Arial" w:eastAsia="Arial" w:hAnsi="Arial"/>
                <w:sz w:val="11"/>
                <w:szCs w:val="11"/>
                <w:color w:val="auto"/>
              </w:rPr>
              <w:t>971</w:t>
            </w:r>
          </w:p>
        </w:tc>
        <w:tc>
          <w:tcPr>
            <w:tcW w:w="0" w:type="dxa"/>
            <w:vAlign w:val="bottom"/>
          </w:tcPr>
          <w:p>
            <w:pPr>
              <w:spacing w:after="0"/>
              <w:rPr>
                <w:sz w:val="1"/>
                <w:szCs w:val="1"/>
                <w:color w:val="auto"/>
              </w:rPr>
            </w:pPr>
          </w:p>
        </w:tc>
      </w:tr>
      <w:tr>
        <w:trPr>
          <w:trHeight w:val="39"/>
        </w:trPr>
        <w:tc>
          <w:tcPr>
            <w:tcW w:w="5520" w:type="dxa"/>
            <w:vAlign w:val="bottom"/>
            <w:tcBorders>
              <w:bottom w:val="single" w:sz="8" w:color="CCEEFF"/>
            </w:tcBorders>
          </w:tcPr>
          <w:p>
            <w:pPr>
              <w:spacing w:after="0"/>
              <w:rPr>
                <w:sz w:val="3"/>
                <w:szCs w:val="3"/>
                <w:color w:val="auto"/>
              </w:rPr>
            </w:pPr>
          </w:p>
        </w:tc>
        <w:tc>
          <w:tcPr>
            <w:tcW w:w="1860" w:type="dxa"/>
            <w:vAlign w:val="bottom"/>
            <w:tcBorders>
              <w:bottom w:val="single" w:sz="8" w:color="auto"/>
            </w:tcBorders>
          </w:tcPr>
          <w:p>
            <w:pPr>
              <w:spacing w:after="0"/>
              <w:rPr>
                <w:sz w:val="3"/>
                <w:szCs w:val="3"/>
                <w:color w:val="auto"/>
              </w:rPr>
            </w:pPr>
          </w:p>
        </w:tc>
        <w:tc>
          <w:tcPr>
            <w:tcW w:w="84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040" w:type="dxa"/>
            <w:vAlign w:val="bottom"/>
            <w:tcBorders>
              <w:bottom w:val="single" w:sz="8" w:color="auto"/>
            </w:tcBorders>
          </w:tcPr>
          <w:p>
            <w:pPr>
              <w:spacing w:after="0"/>
              <w:rPr>
                <w:sz w:val="3"/>
                <w:szCs w:val="3"/>
                <w:color w:val="auto"/>
              </w:rPr>
            </w:pPr>
          </w:p>
        </w:tc>
        <w:tc>
          <w:tcPr>
            <w:tcW w:w="19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81"/>
        </w:trPr>
        <w:tc>
          <w:tcPr>
            <w:tcW w:w="55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1"/>
                <w:szCs w:val="11"/>
                <w:color w:val="auto"/>
              </w:rPr>
              <w:t>Net cash provided (used) by financing activities</w:t>
            </w:r>
          </w:p>
        </w:tc>
        <w:tc>
          <w:tcPr>
            <w:tcW w:w="1860" w:type="dxa"/>
            <w:vAlign w:val="bottom"/>
            <w:tcBorders>
              <w:bottom w:val="single" w:sz="8" w:color="CCEEFF"/>
            </w:tcBorders>
            <w:shd w:val="clear" w:color="auto" w:fill="CCEEFF"/>
          </w:tcPr>
          <w:p>
            <w:pPr>
              <w:spacing w:after="0"/>
              <w:rPr>
                <w:sz w:val="15"/>
                <w:szCs w:val="15"/>
                <w:color w:val="auto"/>
              </w:rPr>
            </w:pPr>
          </w:p>
        </w:tc>
        <w:tc>
          <w:tcPr>
            <w:tcW w:w="840" w:type="dxa"/>
            <w:vAlign w:val="bottom"/>
            <w:tcBorders>
              <w:bottom w:val="single" w:sz="8" w:color="CCEEFF"/>
            </w:tcBorders>
            <w:shd w:val="clear" w:color="auto" w:fill="CCEEFF"/>
          </w:tcPr>
          <w:p>
            <w:pPr>
              <w:jc w:val="right"/>
              <w:ind w:right="5"/>
              <w:spacing w:after="0"/>
              <w:rPr>
                <w:sz w:val="20"/>
                <w:szCs w:val="20"/>
                <w:color w:val="auto"/>
              </w:rPr>
            </w:pPr>
            <w:r>
              <w:rPr>
                <w:rFonts w:ascii="Arial" w:cs="Arial" w:eastAsia="Arial" w:hAnsi="Arial"/>
                <w:sz w:val="11"/>
                <w:szCs w:val="11"/>
                <w:color w:val="auto"/>
              </w:rPr>
              <w:t>996</w:t>
            </w:r>
          </w:p>
        </w:tc>
        <w:tc>
          <w:tcPr>
            <w:tcW w:w="80" w:type="dxa"/>
            <w:vAlign w:val="bottom"/>
            <w:tcBorders>
              <w:bottom w:val="single" w:sz="8" w:color="CCEEFF"/>
            </w:tcBorders>
            <w:shd w:val="clear" w:color="auto" w:fill="CCEEFF"/>
          </w:tcPr>
          <w:p>
            <w:pPr>
              <w:spacing w:after="0"/>
              <w:rPr>
                <w:sz w:val="15"/>
                <w:szCs w:val="15"/>
                <w:color w:val="auto"/>
              </w:rPr>
            </w:pPr>
          </w:p>
        </w:tc>
        <w:tc>
          <w:tcPr>
            <w:tcW w:w="1040" w:type="dxa"/>
            <w:vAlign w:val="bottom"/>
            <w:tcBorders>
              <w:bottom w:val="single" w:sz="8" w:color="CCEEFF"/>
            </w:tcBorders>
            <w:shd w:val="clear" w:color="auto" w:fill="CCEEFF"/>
          </w:tcPr>
          <w:p>
            <w:pPr>
              <w:spacing w:after="0"/>
              <w:rPr>
                <w:sz w:val="15"/>
                <w:szCs w:val="15"/>
                <w:color w:val="auto"/>
              </w:rPr>
            </w:pPr>
          </w:p>
        </w:tc>
        <w:tc>
          <w:tcPr>
            <w:tcW w:w="1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(3,988)</w:t>
            </w:r>
          </w:p>
        </w:tc>
        <w:tc>
          <w:tcPr>
            <w:tcW w:w="0" w:type="dxa"/>
            <w:vAlign w:val="bottom"/>
          </w:tcPr>
          <w:p>
            <w:pPr>
              <w:spacing w:after="0"/>
              <w:rPr>
                <w:sz w:val="1"/>
                <w:szCs w:val="1"/>
                <w:color w:val="auto"/>
              </w:rPr>
            </w:pPr>
          </w:p>
        </w:tc>
      </w:tr>
      <w:tr>
        <w:trPr>
          <w:trHeight w:val="142"/>
        </w:trPr>
        <w:tc>
          <w:tcPr>
            <w:tcW w:w="5520" w:type="dxa"/>
            <w:vAlign w:val="bottom"/>
          </w:tcPr>
          <w:p>
            <w:pPr>
              <w:ind w:left="20"/>
              <w:spacing w:after="0"/>
              <w:rPr>
                <w:sz w:val="20"/>
                <w:szCs w:val="20"/>
                <w:color w:val="auto"/>
              </w:rPr>
            </w:pPr>
            <w:r>
              <w:rPr>
                <w:rFonts w:ascii="Arial" w:cs="Arial" w:eastAsia="Arial" w:hAnsi="Arial"/>
                <w:sz w:val="11"/>
                <w:szCs w:val="11"/>
                <w:color w:val="auto"/>
              </w:rPr>
              <w:t>Net increase in cash and cash equivalents and restricted cash</w:t>
            </w:r>
          </w:p>
        </w:tc>
        <w:tc>
          <w:tcPr>
            <w:tcW w:w="1860" w:type="dxa"/>
            <w:vAlign w:val="bottom"/>
            <w:tcBorders>
              <w:top w:val="single" w:sz="8" w:color="auto"/>
            </w:tcBorders>
          </w:tcPr>
          <w:p>
            <w:pPr>
              <w:spacing w:after="0"/>
              <w:rPr>
                <w:sz w:val="12"/>
                <w:szCs w:val="12"/>
                <w:color w:val="auto"/>
              </w:rPr>
            </w:pPr>
          </w:p>
        </w:tc>
        <w:tc>
          <w:tcPr>
            <w:tcW w:w="840" w:type="dxa"/>
            <w:vAlign w:val="bottom"/>
            <w:tcBorders>
              <w:top w:val="single" w:sz="8" w:color="auto"/>
            </w:tcBorders>
          </w:tcPr>
          <w:p>
            <w:pPr>
              <w:jc w:val="right"/>
              <w:ind w:right="5"/>
              <w:spacing w:after="0"/>
              <w:rPr>
                <w:sz w:val="20"/>
                <w:szCs w:val="20"/>
                <w:color w:val="auto"/>
              </w:rPr>
            </w:pPr>
            <w:r>
              <w:rPr>
                <w:rFonts w:ascii="Arial" w:cs="Arial" w:eastAsia="Arial" w:hAnsi="Arial"/>
                <w:sz w:val="11"/>
                <w:szCs w:val="11"/>
                <w:color w:val="auto"/>
              </w:rPr>
              <w:t>27,419</w:t>
            </w:r>
          </w:p>
        </w:tc>
        <w:tc>
          <w:tcPr>
            <w:tcW w:w="80" w:type="dxa"/>
            <w:vAlign w:val="bottom"/>
          </w:tcPr>
          <w:p>
            <w:pPr>
              <w:spacing w:after="0"/>
              <w:rPr>
                <w:sz w:val="12"/>
                <w:szCs w:val="12"/>
                <w:color w:val="auto"/>
              </w:rPr>
            </w:pPr>
          </w:p>
        </w:tc>
        <w:tc>
          <w:tcPr>
            <w:tcW w:w="1040" w:type="dxa"/>
            <w:vAlign w:val="bottom"/>
            <w:tcBorders>
              <w:top w:val="single" w:sz="8" w:color="auto"/>
            </w:tcBorders>
          </w:tcPr>
          <w:p>
            <w:pPr>
              <w:spacing w:after="0"/>
              <w:rPr>
                <w:sz w:val="12"/>
                <w:szCs w:val="12"/>
                <w:color w:val="auto"/>
              </w:rPr>
            </w:pPr>
          </w:p>
        </w:tc>
        <w:tc>
          <w:tcPr>
            <w:tcW w:w="1920" w:type="dxa"/>
            <w:vAlign w:val="bottom"/>
            <w:tcBorders>
              <w:top w:val="single" w:sz="8" w:color="auto"/>
            </w:tcBorders>
          </w:tcPr>
          <w:p>
            <w:pPr>
              <w:jc w:val="right"/>
              <w:ind w:right="5"/>
              <w:spacing w:after="0"/>
              <w:rPr>
                <w:sz w:val="20"/>
                <w:szCs w:val="20"/>
                <w:color w:val="auto"/>
              </w:rPr>
            </w:pPr>
            <w:r>
              <w:rPr>
                <w:rFonts w:ascii="Arial" w:cs="Arial" w:eastAsia="Arial" w:hAnsi="Arial"/>
                <w:sz w:val="11"/>
                <w:szCs w:val="11"/>
                <w:color w:val="auto"/>
              </w:rPr>
              <w:t>16,932</w:t>
            </w:r>
          </w:p>
        </w:tc>
        <w:tc>
          <w:tcPr>
            <w:tcW w:w="0" w:type="dxa"/>
            <w:vAlign w:val="bottom"/>
          </w:tcPr>
          <w:p>
            <w:pPr>
              <w:spacing w:after="0"/>
              <w:rPr>
                <w:sz w:val="1"/>
                <w:szCs w:val="1"/>
                <w:color w:val="auto"/>
              </w:rPr>
            </w:pPr>
          </w:p>
        </w:tc>
      </w:tr>
      <w:tr>
        <w:trPr>
          <w:trHeight w:val="39"/>
        </w:trPr>
        <w:tc>
          <w:tcPr>
            <w:tcW w:w="5520" w:type="dxa"/>
            <w:vAlign w:val="bottom"/>
          </w:tcPr>
          <w:p>
            <w:pPr>
              <w:spacing w:after="0"/>
              <w:rPr>
                <w:sz w:val="3"/>
                <w:szCs w:val="3"/>
                <w:color w:val="auto"/>
              </w:rPr>
            </w:pPr>
          </w:p>
        </w:tc>
        <w:tc>
          <w:tcPr>
            <w:tcW w:w="1860" w:type="dxa"/>
            <w:vAlign w:val="bottom"/>
          </w:tcPr>
          <w:p>
            <w:pPr>
              <w:spacing w:after="0"/>
              <w:rPr>
                <w:sz w:val="3"/>
                <w:szCs w:val="3"/>
                <w:color w:val="auto"/>
              </w:rPr>
            </w:pPr>
          </w:p>
        </w:tc>
        <w:tc>
          <w:tcPr>
            <w:tcW w:w="840" w:type="dxa"/>
            <w:vAlign w:val="bottom"/>
          </w:tcPr>
          <w:p>
            <w:pPr>
              <w:spacing w:after="0"/>
              <w:rPr>
                <w:sz w:val="3"/>
                <w:szCs w:val="3"/>
                <w:color w:val="auto"/>
              </w:rPr>
            </w:pPr>
          </w:p>
        </w:tc>
        <w:tc>
          <w:tcPr>
            <w:tcW w:w="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9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89"/>
        </w:trPr>
        <w:tc>
          <w:tcPr>
            <w:tcW w:w="55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1"/>
                <w:szCs w:val="11"/>
                <w:color w:val="auto"/>
              </w:rPr>
              <w:t>Cash and cash equivalents and restricted cash, beginning of period</w:t>
            </w:r>
          </w:p>
        </w:tc>
        <w:tc>
          <w:tcPr>
            <w:tcW w:w="1860" w:type="dxa"/>
            <w:vAlign w:val="bottom"/>
            <w:tcBorders>
              <w:bottom w:val="single" w:sz="8" w:color="CCEEFF"/>
            </w:tcBorders>
            <w:shd w:val="clear" w:color="auto" w:fill="CCEEFF"/>
          </w:tcPr>
          <w:p>
            <w:pPr>
              <w:spacing w:after="0"/>
              <w:rPr>
                <w:sz w:val="16"/>
                <w:szCs w:val="16"/>
                <w:color w:val="auto"/>
              </w:rPr>
            </w:pPr>
          </w:p>
        </w:tc>
        <w:tc>
          <w:tcPr>
            <w:tcW w:w="840" w:type="dxa"/>
            <w:vAlign w:val="bottom"/>
            <w:tcBorders>
              <w:bottom w:val="single" w:sz="8" w:color="CCEEFF"/>
            </w:tcBorders>
            <w:shd w:val="clear" w:color="auto" w:fill="CCEEFF"/>
          </w:tcPr>
          <w:p>
            <w:pPr>
              <w:jc w:val="right"/>
              <w:ind w:right="5"/>
              <w:spacing w:after="0"/>
              <w:rPr>
                <w:sz w:val="20"/>
                <w:szCs w:val="20"/>
                <w:color w:val="auto"/>
              </w:rPr>
            </w:pPr>
            <w:r>
              <w:rPr>
                <w:rFonts w:ascii="Arial" w:cs="Arial" w:eastAsia="Arial" w:hAnsi="Arial"/>
                <w:sz w:val="11"/>
                <w:szCs w:val="11"/>
                <w:color w:val="auto"/>
              </w:rPr>
              <w:t>125,315</w:t>
            </w:r>
          </w:p>
        </w:tc>
        <w:tc>
          <w:tcPr>
            <w:tcW w:w="80" w:type="dxa"/>
            <w:vAlign w:val="bottom"/>
            <w:tcBorders>
              <w:bottom w:val="single" w:sz="8" w:color="CCEEFF"/>
            </w:tcBorders>
            <w:shd w:val="clear" w:color="auto" w:fill="CCEEFF"/>
          </w:tcPr>
          <w:p>
            <w:pPr>
              <w:spacing w:after="0"/>
              <w:rPr>
                <w:sz w:val="16"/>
                <w:szCs w:val="16"/>
                <w:color w:val="auto"/>
              </w:rPr>
            </w:pPr>
          </w:p>
        </w:tc>
        <w:tc>
          <w:tcPr>
            <w:tcW w:w="1040" w:type="dxa"/>
            <w:vAlign w:val="bottom"/>
            <w:tcBorders>
              <w:bottom w:val="single" w:sz="8" w:color="CCEEFF"/>
            </w:tcBorders>
            <w:shd w:val="clear" w:color="auto" w:fill="CCEEFF"/>
          </w:tcPr>
          <w:p>
            <w:pPr>
              <w:spacing w:after="0"/>
              <w:rPr>
                <w:sz w:val="16"/>
                <w:szCs w:val="16"/>
                <w:color w:val="auto"/>
              </w:rPr>
            </w:pPr>
          </w:p>
        </w:tc>
        <w:tc>
          <w:tcPr>
            <w:tcW w:w="1920" w:type="dxa"/>
            <w:vAlign w:val="bottom"/>
            <w:tcBorders>
              <w:bottom w:val="single" w:sz="8" w:color="CCEEFF"/>
            </w:tcBorders>
            <w:shd w:val="clear" w:color="auto" w:fill="CCEEFF"/>
          </w:tcPr>
          <w:p>
            <w:pPr>
              <w:jc w:val="right"/>
              <w:ind w:right="5"/>
              <w:spacing w:after="0"/>
              <w:rPr>
                <w:sz w:val="20"/>
                <w:szCs w:val="20"/>
                <w:color w:val="auto"/>
              </w:rPr>
            </w:pPr>
            <w:r>
              <w:rPr>
                <w:rFonts w:ascii="Arial" w:cs="Arial" w:eastAsia="Arial" w:hAnsi="Arial"/>
                <w:sz w:val="11"/>
                <w:szCs w:val="11"/>
                <w:color w:val="auto"/>
              </w:rPr>
              <w:t>46,878</w:t>
            </w:r>
          </w:p>
        </w:tc>
        <w:tc>
          <w:tcPr>
            <w:tcW w:w="0" w:type="dxa"/>
            <w:vAlign w:val="bottom"/>
          </w:tcPr>
          <w:p>
            <w:pPr>
              <w:spacing w:after="0"/>
              <w:rPr>
                <w:sz w:val="1"/>
                <w:szCs w:val="1"/>
                <w:color w:val="auto"/>
              </w:rPr>
            </w:pPr>
          </w:p>
        </w:tc>
      </w:tr>
      <w:tr>
        <w:trPr>
          <w:trHeight w:val="173"/>
        </w:trPr>
        <w:tc>
          <w:tcPr>
            <w:tcW w:w="5520" w:type="dxa"/>
            <w:vAlign w:val="bottom"/>
          </w:tcPr>
          <w:p>
            <w:pPr>
              <w:ind w:left="20"/>
              <w:spacing w:after="0"/>
              <w:rPr>
                <w:sz w:val="20"/>
                <w:szCs w:val="20"/>
                <w:color w:val="auto"/>
              </w:rPr>
            </w:pPr>
            <w:r>
              <w:rPr>
                <w:rFonts w:ascii="Arial" w:cs="Arial" w:eastAsia="Arial" w:hAnsi="Arial"/>
                <w:sz w:val="11"/>
                <w:szCs w:val="11"/>
                <w:color w:val="auto"/>
              </w:rPr>
              <w:t>Cash and cash equivalents and restricted cash, end of period</w:t>
            </w:r>
          </w:p>
        </w:tc>
        <w:tc>
          <w:tcPr>
            <w:tcW w:w="1860" w:type="dxa"/>
            <w:vAlign w:val="bottom"/>
            <w:tcBorders>
              <w:top w:val="single" w:sz="8" w:color="auto"/>
              <w:bottom w:val="single" w:sz="8" w:color="auto"/>
            </w:tcBorders>
          </w:tcPr>
          <w:p>
            <w:pPr>
              <w:jc w:val="right"/>
              <w:ind w:right="1725"/>
              <w:spacing w:after="0"/>
              <w:rPr>
                <w:sz w:val="20"/>
                <w:szCs w:val="20"/>
                <w:color w:val="auto"/>
              </w:rPr>
            </w:pPr>
            <w:r>
              <w:rPr>
                <w:rFonts w:ascii="Arial" w:cs="Arial" w:eastAsia="Arial" w:hAnsi="Arial"/>
                <w:sz w:val="11"/>
                <w:szCs w:val="11"/>
                <w:color w:val="auto"/>
                <w:w w:val="97"/>
              </w:rPr>
              <w:t>$</w:t>
            </w:r>
          </w:p>
        </w:tc>
        <w:tc>
          <w:tcPr>
            <w:tcW w:w="840" w:type="dxa"/>
            <w:vAlign w:val="bottom"/>
            <w:tcBorders>
              <w:top w:val="single" w:sz="8" w:color="auto"/>
              <w:bottom w:val="single" w:sz="8" w:color="auto"/>
            </w:tcBorders>
          </w:tcPr>
          <w:p>
            <w:pPr>
              <w:jc w:val="right"/>
              <w:ind w:right="5"/>
              <w:spacing w:after="0"/>
              <w:rPr>
                <w:sz w:val="20"/>
                <w:szCs w:val="20"/>
                <w:color w:val="auto"/>
              </w:rPr>
            </w:pPr>
            <w:r>
              <w:rPr>
                <w:rFonts w:ascii="Arial" w:cs="Arial" w:eastAsia="Arial" w:hAnsi="Arial"/>
                <w:sz w:val="11"/>
                <w:szCs w:val="11"/>
                <w:color w:val="auto"/>
              </w:rPr>
              <w:t>152,734</w:t>
            </w:r>
          </w:p>
        </w:tc>
        <w:tc>
          <w:tcPr>
            <w:tcW w:w="80" w:type="dxa"/>
            <w:vAlign w:val="bottom"/>
          </w:tcPr>
          <w:p>
            <w:pPr>
              <w:spacing w:after="0"/>
              <w:rPr>
                <w:sz w:val="15"/>
                <w:szCs w:val="15"/>
                <w:color w:val="auto"/>
              </w:rPr>
            </w:pPr>
          </w:p>
        </w:tc>
        <w:tc>
          <w:tcPr>
            <w:tcW w:w="1040" w:type="dxa"/>
            <w:vAlign w:val="bottom"/>
            <w:tcBorders>
              <w:top w:val="single" w:sz="8" w:color="auto"/>
              <w:bottom w:val="single" w:sz="8" w:color="auto"/>
            </w:tcBorders>
          </w:tcPr>
          <w:p>
            <w:pPr>
              <w:jc w:val="right"/>
              <w:ind w:right="905"/>
              <w:spacing w:after="0"/>
              <w:rPr>
                <w:sz w:val="20"/>
                <w:szCs w:val="20"/>
                <w:color w:val="auto"/>
              </w:rPr>
            </w:pPr>
            <w:r>
              <w:rPr>
                <w:rFonts w:ascii="Arial" w:cs="Arial" w:eastAsia="Arial" w:hAnsi="Arial"/>
                <w:sz w:val="11"/>
                <w:szCs w:val="11"/>
                <w:color w:val="auto"/>
                <w:w w:val="97"/>
              </w:rPr>
              <w:t>$</w:t>
            </w:r>
          </w:p>
        </w:tc>
        <w:tc>
          <w:tcPr>
            <w:tcW w:w="1920" w:type="dxa"/>
            <w:vAlign w:val="bottom"/>
            <w:tcBorders>
              <w:top w:val="single" w:sz="8" w:color="auto"/>
              <w:bottom w:val="single" w:sz="8" w:color="auto"/>
            </w:tcBorders>
          </w:tcPr>
          <w:p>
            <w:pPr>
              <w:jc w:val="right"/>
              <w:ind w:right="5"/>
              <w:spacing w:after="0"/>
              <w:rPr>
                <w:sz w:val="20"/>
                <w:szCs w:val="20"/>
                <w:color w:val="auto"/>
              </w:rPr>
            </w:pPr>
            <w:r>
              <w:rPr>
                <w:rFonts w:ascii="Arial" w:cs="Arial" w:eastAsia="Arial" w:hAnsi="Arial"/>
                <w:sz w:val="11"/>
                <w:szCs w:val="11"/>
                <w:color w:val="auto"/>
              </w:rPr>
              <w:t>63,810</w:t>
            </w:r>
          </w:p>
        </w:tc>
        <w:tc>
          <w:tcPr>
            <w:tcW w:w="0" w:type="dxa"/>
            <w:vAlign w:val="bottom"/>
          </w:tcPr>
          <w:p>
            <w:pPr>
              <w:spacing w:after="0"/>
              <w:rPr>
                <w:sz w:val="1"/>
                <w:szCs w:val="1"/>
                <w:color w:val="auto"/>
              </w:rPr>
            </w:pPr>
          </w:p>
        </w:tc>
      </w:tr>
      <w:tr>
        <w:trPr>
          <w:trHeight w:val="20"/>
        </w:trPr>
        <w:tc>
          <w:tcPr>
            <w:tcW w:w="5520" w:type="dxa"/>
            <w:vAlign w:val="bottom"/>
            <w:tcBorders>
              <w:bottom w:val="single" w:sz="8" w:color="CCEEFF"/>
            </w:tcBorders>
          </w:tcPr>
          <w:p>
            <w:pPr>
              <w:spacing w:after="0" w:line="20" w:lineRule="exact"/>
              <w:rPr>
                <w:sz w:val="1"/>
                <w:szCs w:val="1"/>
                <w:color w:val="auto"/>
              </w:rPr>
            </w:pPr>
          </w:p>
        </w:tc>
        <w:tc>
          <w:tcPr>
            <w:tcW w:w="18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1"/>
        </w:trPr>
        <w:tc>
          <w:tcPr>
            <w:tcW w:w="5520" w:type="dxa"/>
            <w:vAlign w:val="bottom"/>
            <w:tcBorders>
              <w:bottom w:val="single" w:sz="8" w:color="CCEEFF"/>
            </w:tcBorders>
            <w:shd w:val="clear" w:color="auto" w:fill="CCEEFF"/>
          </w:tcPr>
          <w:p>
            <w:pPr>
              <w:ind w:left="20"/>
              <w:spacing w:after="0" w:line="122" w:lineRule="exact"/>
              <w:rPr>
                <w:sz w:val="20"/>
                <w:szCs w:val="20"/>
                <w:color w:val="auto"/>
              </w:rPr>
            </w:pPr>
            <w:r>
              <w:rPr>
                <w:rFonts w:ascii="Arial" w:cs="Arial" w:eastAsia="Arial" w:hAnsi="Arial"/>
                <w:sz w:val="11"/>
                <w:szCs w:val="11"/>
                <w:color w:val="auto"/>
              </w:rPr>
              <w:t>Supplemental disclosure of cash flow information:</w:t>
            </w:r>
          </w:p>
        </w:tc>
        <w:tc>
          <w:tcPr>
            <w:tcW w:w="1860" w:type="dxa"/>
            <w:vAlign w:val="bottom"/>
            <w:tcBorders>
              <w:bottom w:val="single" w:sz="8" w:color="CCEEFF"/>
            </w:tcBorders>
            <w:shd w:val="clear" w:color="auto" w:fill="CCEEFF"/>
          </w:tcPr>
          <w:p>
            <w:pPr>
              <w:spacing w:after="0"/>
              <w:rPr>
                <w:sz w:val="12"/>
                <w:szCs w:val="12"/>
                <w:color w:val="auto"/>
              </w:rPr>
            </w:pPr>
          </w:p>
        </w:tc>
        <w:tc>
          <w:tcPr>
            <w:tcW w:w="84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1040" w:type="dxa"/>
            <w:vAlign w:val="bottom"/>
            <w:tcBorders>
              <w:bottom w:val="single" w:sz="8" w:color="CCEEFF"/>
            </w:tcBorders>
            <w:shd w:val="clear" w:color="auto" w:fill="CCEEFF"/>
          </w:tcPr>
          <w:p>
            <w:pPr>
              <w:spacing w:after="0"/>
              <w:rPr>
                <w:sz w:val="12"/>
                <w:szCs w:val="12"/>
                <w:color w:val="auto"/>
              </w:rPr>
            </w:pPr>
          </w:p>
        </w:tc>
        <w:tc>
          <w:tcPr>
            <w:tcW w:w="1920" w:type="dxa"/>
            <w:vAlign w:val="bottom"/>
            <w:tcBorders>
              <w:bottom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0"/>
        </w:trPr>
        <w:tc>
          <w:tcPr>
            <w:tcW w:w="5520" w:type="dxa"/>
            <w:vAlign w:val="bottom"/>
          </w:tcPr>
          <w:p>
            <w:pPr>
              <w:ind w:left="20"/>
              <w:spacing w:after="0"/>
              <w:rPr>
                <w:sz w:val="20"/>
                <w:szCs w:val="20"/>
                <w:color w:val="auto"/>
              </w:rPr>
            </w:pPr>
            <w:r>
              <w:rPr>
                <w:rFonts w:ascii="Arial" w:cs="Arial" w:eastAsia="Arial" w:hAnsi="Arial"/>
                <w:sz w:val="11"/>
                <w:szCs w:val="11"/>
                <w:color w:val="auto"/>
              </w:rPr>
              <w:t>Cash paid for interest</w:t>
            </w:r>
          </w:p>
        </w:tc>
        <w:tc>
          <w:tcPr>
            <w:tcW w:w="1860" w:type="dxa"/>
            <w:vAlign w:val="bottom"/>
          </w:tcPr>
          <w:p>
            <w:pPr>
              <w:jc w:val="right"/>
              <w:ind w:right="1725"/>
              <w:spacing w:after="0"/>
              <w:rPr>
                <w:sz w:val="20"/>
                <w:szCs w:val="20"/>
                <w:color w:val="auto"/>
              </w:rPr>
            </w:pPr>
            <w:r>
              <w:rPr>
                <w:rFonts w:ascii="Arial" w:cs="Arial" w:eastAsia="Arial" w:hAnsi="Arial"/>
                <w:sz w:val="11"/>
                <w:szCs w:val="11"/>
                <w:color w:val="auto"/>
                <w:w w:val="97"/>
              </w:rPr>
              <w:t>$</w:t>
            </w:r>
          </w:p>
        </w:tc>
        <w:tc>
          <w:tcPr>
            <w:tcW w:w="840" w:type="dxa"/>
            <w:vAlign w:val="bottom"/>
          </w:tcPr>
          <w:p>
            <w:pPr>
              <w:jc w:val="right"/>
              <w:ind w:right="5"/>
              <w:spacing w:after="0"/>
              <w:rPr>
                <w:sz w:val="20"/>
                <w:szCs w:val="20"/>
                <w:color w:val="auto"/>
              </w:rPr>
            </w:pPr>
            <w:r>
              <w:rPr>
                <w:rFonts w:ascii="Arial" w:cs="Arial" w:eastAsia="Arial" w:hAnsi="Arial"/>
                <w:sz w:val="11"/>
                <w:szCs w:val="11"/>
                <w:color w:val="auto"/>
              </w:rPr>
              <w:t>1,750</w:t>
            </w:r>
          </w:p>
        </w:tc>
        <w:tc>
          <w:tcPr>
            <w:tcW w:w="80" w:type="dxa"/>
            <w:vAlign w:val="bottom"/>
          </w:tcPr>
          <w:p>
            <w:pPr>
              <w:spacing w:after="0"/>
              <w:rPr>
                <w:sz w:val="13"/>
                <w:szCs w:val="13"/>
                <w:color w:val="auto"/>
              </w:rPr>
            </w:pPr>
          </w:p>
        </w:tc>
        <w:tc>
          <w:tcPr>
            <w:tcW w:w="1040" w:type="dxa"/>
            <w:vAlign w:val="bottom"/>
          </w:tcPr>
          <w:p>
            <w:pPr>
              <w:jc w:val="right"/>
              <w:ind w:right="905"/>
              <w:spacing w:after="0"/>
              <w:rPr>
                <w:sz w:val="20"/>
                <w:szCs w:val="20"/>
                <w:color w:val="auto"/>
              </w:rPr>
            </w:pPr>
            <w:r>
              <w:rPr>
                <w:rFonts w:ascii="Arial" w:cs="Arial" w:eastAsia="Arial" w:hAnsi="Arial"/>
                <w:sz w:val="11"/>
                <w:szCs w:val="11"/>
                <w:color w:val="auto"/>
                <w:w w:val="97"/>
              </w:rPr>
              <w:t>$</w:t>
            </w:r>
          </w:p>
        </w:tc>
        <w:tc>
          <w:tcPr>
            <w:tcW w:w="1920" w:type="dxa"/>
            <w:vAlign w:val="bottom"/>
          </w:tcPr>
          <w:p>
            <w:pPr>
              <w:jc w:val="right"/>
              <w:ind w:right="5"/>
              <w:spacing w:after="0"/>
              <w:rPr>
                <w:sz w:val="20"/>
                <w:szCs w:val="20"/>
                <w:color w:val="auto"/>
              </w:rPr>
            </w:pPr>
            <w:r>
              <w:rPr>
                <w:rFonts w:ascii="Arial" w:cs="Arial" w:eastAsia="Arial" w:hAnsi="Arial"/>
                <w:sz w:val="11"/>
                <w:szCs w:val="11"/>
                <w:color w:val="auto"/>
              </w:rPr>
              <w:t>1,445</w:t>
            </w:r>
          </w:p>
        </w:tc>
        <w:tc>
          <w:tcPr>
            <w:tcW w:w="0" w:type="dxa"/>
            <w:vAlign w:val="bottom"/>
          </w:tcPr>
          <w:p>
            <w:pPr>
              <w:spacing w:after="0"/>
              <w:rPr>
                <w:sz w:val="1"/>
                <w:szCs w:val="1"/>
                <w:color w:val="auto"/>
              </w:rPr>
            </w:pPr>
          </w:p>
        </w:tc>
      </w:tr>
      <w:tr>
        <w:trPr>
          <w:trHeight w:val="39"/>
        </w:trPr>
        <w:tc>
          <w:tcPr>
            <w:tcW w:w="5520" w:type="dxa"/>
            <w:vAlign w:val="bottom"/>
          </w:tcPr>
          <w:p>
            <w:pPr>
              <w:spacing w:after="0"/>
              <w:rPr>
                <w:sz w:val="3"/>
                <w:szCs w:val="3"/>
                <w:color w:val="auto"/>
              </w:rPr>
            </w:pPr>
          </w:p>
        </w:tc>
        <w:tc>
          <w:tcPr>
            <w:tcW w:w="1860" w:type="dxa"/>
            <w:vAlign w:val="bottom"/>
          </w:tcPr>
          <w:p>
            <w:pPr>
              <w:spacing w:after="0"/>
              <w:rPr>
                <w:sz w:val="3"/>
                <w:szCs w:val="3"/>
                <w:color w:val="auto"/>
              </w:rPr>
            </w:pPr>
          </w:p>
        </w:tc>
        <w:tc>
          <w:tcPr>
            <w:tcW w:w="840" w:type="dxa"/>
            <w:vAlign w:val="bottom"/>
          </w:tcPr>
          <w:p>
            <w:pPr>
              <w:spacing w:after="0"/>
              <w:rPr>
                <w:sz w:val="3"/>
                <w:szCs w:val="3"/>
                <w:color w:val="auto"/>
              </w:rPr>
            </w:pPr>
          </w:p>
        </w:tc>
        <w:tc>
          <w:tcPr>
            <w:tcW w:w="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9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69"/>
        </w:trPr>
        <w:tc>
          <w:tcPr>
            <w:tcW w:w="55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1"/>
                <w:szCs w:val="11"/>
                <w:color w:val="auto"/>
              </w:rPr>
              <w:t>Cash paid for income taxes</w:t>
            </w:r>
          </w:p>
        </w:tc>
        <w:tc>
          <w:tcPr>
            <w:tcW w:w="1860" w:type="dxa"/>
            <w:vAlign w:val="bottom"/>
            <w:tcBorders>
              <w:bottom w:val="single" w:sz="8" w:color="CCEEFF"/>
            </w:tcBorders>
            <w:shd w:val="clear" w:color="auto" w:fill="CCEEFF"/>
          </w:tcPr>
          <w:p>
            <w:pPr>
              <w:jc w:val="right"/>
              <w:ind w:right="1725"/>
              <w:spacing w:after="0"/>
              <w:rPr>
                <w:sz w:val="20"/>
                <w:szCs w:val="20"/>
                <w:color w:val="auto"/>
              </w:rPr>
            </w:pPr>
            <w:r>
              <w:rPr>
                <w:rFonts w:ascii="Arial" w:cs="Arial" w:eastAsia="Arial" w:hAnsi="Arial"/>
                <w:sz w:val="11"/>
                <w:szCs w:val="11"/>
                <w:color w:val="auto"/>
                <w:w w:val="97"/>
              </w:rPr>
              <w:t>$</w:t>
            </w:r>
          </w:p>
        </w:tc>
        <w:tc>
          <w:tcPr>
            <w:tcW w:w="840" w:type="dxa"/>
            <w:vAlign w:val="bottom"/>
            <w:tcBorders>
              <w:bottom w:val="single" w:sz="8" w:color="CCEEFF"/>
            </w:tcBorders>
            <w:shd w:val="clear" w:color="auto" w:fill="CCEEFF"/>
          </w:tcPr>
          <w:p>
            <w:pPr>
              <w:jc w:val="right"/>
              <w:ind w:right="5"/>
              <w:spacing w:after="0"/>
              <w:rPr>
                <w:sz w:val="20"/>
                <w:szCs w:val="20"/>
                <w:color w:val="auto"/>
              </w:rPr>
            </w:pPr>
            <w:r>
              <w:rPr>
                <w:rFonts w:ascii="Arial" w:cs="Arial" w:eastAsia="Arial" w:hAnsi="Arial"/>
                <w:sz w:val="11"/>
                <w:szCs w:val="11"/>
                <w:color w:val="auto"/>
              </w:rPr>
              <w:t>606</w:t>
            </w:r>
          </w:p>
        </w:tc>
        <w:tc>
          <w:tcPr>
            <w:tcW w:w="80" w:type="dxa"/>
            <w:vAlign w:val="bottom"/>
            <w:tcBorders>
              <w:bottom w:val="single" w:sz="8" w:color="CCEEFF"/>
            </w:tcBorders>
            <w:shd w:val="clear" w:color="auto" w:fill="CCEEFF"/>
          </w:tcPr>
          <w:p>
            <w:pPr>
              <w:spacing w:after="0"/>
              <w:rPr>
                <w:sz w:val="14"/>
                <w:szCs w:val="14"/>
                <w:color w:val="auto"/>
              </w:rPr>
            </w:pPr>
          </w:p>
        </w:tc>
        <w:tc>
          <w:tcPr>
            <w:tcW w:w="1040" w:type="dxa"/>
            <w:vAlign w:val="bottom"/>
            <w:tcBorders>
              <w:bottom w:val="single" w:sz="8" w:color="CCEEFF"/>
            </w:tcBorders>
            <w:shd w:val="clear" w:color="auto" w:fill="CCEEFF"/>
          </w:tcPr>
          <w:p>
            <w:pPr>
              <w:jc w:val="right"/>
              <w:ind w:right="905"/>
              <w:spacing w:after="0"/>
              <w:rPr>
                <w:sz w:val="20"/>
                <w:szCs w:val="20"/>
                <w:color w:val="auto"/>
              </w:rPr>
            </w:pPr>
            <w:r>
              <w:rPr>
                <w:rFonts w:ascii="Arial" w:cs="Arial" w:eastAsia="Arial" w:hAnsi="Arial"/>
                <w:sz w:val="11"/>
                <w:szCs w:val="11"/>
                <w:color w:val="auto"/>
                <w:w w:val="97"/>
              </w:rPr>
              <w:t>$</w:t>
            </w:r>
          </w:p>
        </w:tc>
        <w:tc>
          <w:tcPr>
            <w:tcW w:w="1920" w:type="dxa"/>
            <w:vAlign w:val="bottom"/>
            <w:tcBorders>
              <w:bottom w:val="single" w:sz="8" w:color="CCEEFF"/>
            </w:tcBorders>
            <w:shd w:val="clear" w:color="auto" w:fill="CCEEFF"/>
          </w:tcPr>
          <w:p>
            <w:pPr>
              <w:jc w:val="right"/>
              <w:ind w:right="5"/>
              <w:spacing w:after="0"/>
              <w:rPr>
                <w:sz w:val="20"/>
                <w:szCs w:val="20"/>
                <w:color w:val="auto"/>
              </w:rPr>
            </w:pPr>
            <w:r>
              <w:rPr>
                <w:rFonts w:ascii="Arial" w:cs="Arial" w:eastAsia="Arial" w:hAnsi="Arial"/>
                <w:sz w:val="11"/>
                <w:szCs w:val="11"/>
                <w:color w:val="auto"/>
              </w:rPr>
              <w:t>5,122</w:t>
            </w:r>
          </w:p>
        </w:tc>
        <w:tc>
          <w:tcPr>
            <w:tcW w:w="0" w:type="dxa"/>
            <w:vAlign w:val="bottom"/>
          </w:tcPr>
          <w:p>
            <w:pPr>
              <w:spacing w:after="0"/>
              <w:rPr>
                <w:sz w:val="1"/>
                <w:szCs w:val="1"/>
                <w:color w:val="auto"/>
              </w:rPr>
            </w:pPr>
          </w:p>
        </w:tc>
      </w:tr>
      <w:tr>
        <w:trPr>
          <w:trHeight w:val="150"/>
        </w:trPr>
        <w:tc>
          <w:tcPr>
            <w:tcW w:w="5520" w:type="dxa"/>
            <w:vAlign w:val="bottom"/>
          </w:tcPr>
          <w:p>
            <w:pPr>
              <w:ind w:left="20"/>
              <w:spacing w:after="0"/>
              <w:rPr>
                <w:sz w:val="20"/>
                <w:szCs w:val="20"/>
                <w:color w:val="auto"/>
              </w:rPr>
            </w:pPr>
            <w:r>
              <w:rPr>
                <w:rFonts w:ascii="Arial" w:cs="Arial" w:eastAsia="Arial" w:hAnsi="Arial"/>
                <w:sz w:val="11"/>
                <w:szCs w:val="11"/>
                <w:color w:val="auto"/>
              </w:rPr>
              <w:t>Noncash investing and financing items:</w:t>
            </w:r>
          </w:p>
        </w:tc>
        <w:tc>
          <w:tcPr>
            <w:tcW w:w="18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9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9"/>
        </w:trPr>
        <w:tc>
          <w:tcPr>
            <w:tcW w:w="5520" w:type="dxa"/>
            <w:vAlign w:val="bottom"/>
          </w:tcPr>
          <w:p>
            <w:pPr>
              <w:spacing w:after="0"/>
              <w:rPr>
                <w:sz w:val="3"/>
                <w:szCs w:val="3"/>
                <w:color w:val="auto"/>
              </w:rPr>
            </w:pPr>
          </w:p>
        </w:tc>
        <w:tc>
          <w:tcPr>
            <w:tcW w:w="1860" w:type="dxa"/>
            <w:vAlign w:val="bottom"/>
          </w:tcPr>
          <w:p>
            <w:pPr>
              <w:spacing w:after="0"/>
              <w:rPr>
                <w:sz w:val="3"/>
                <w:szCs w:val="3"/>
                <w:color w:val="auto"/>
              </w:rPr>
            </w:pPr>
          </w:p>
        </w:tc>
        <w:tc>
          <w:tcPr>
            <w:tcW w:w="840" w:type="dxa"/>
            <w:vAlign w:val="bottom"/>
          </w:tcPr>
          <w:p>
            <w:pPr>
              <w:spacing w:after="0"/>
              <w:rPr>
                <w:sz w:val="3"/>
                <w:szCs w:val="3"/>
                <w:color w:val="auto"/>
              </w:rPr>
            </w:pPr>
          </w:p>
        </w:tc>
        <w:tc>
          <w:tcPr>
            <w:tcW w:w="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9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69"/>
        </w:trPr>
        <w:tc>
          <w:tcPr>
            <w:tcW w:w="55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1"/>
                <w:szCs w:val="11"/>
                <w:color w:val="auto"/>
              </w:rPr>
              <w:t>Accrued deferred offering costs</w:t>
            </w:r>
          </w:p>
        </w:tc>
        <w:tc>
          <w:tcPr>
            <w:tcW w:w="1860" w:type="dxa"/>
            <w:vAlign w:val="bottom"/>
            <w:tcBorders>
              <w:bottom w:val="single" w:sz="8" w:color="CCEEFF"/>
            </w:tcBorders>
            <w:shd w:val="clear" w:color="auto" w:fill="CCEEFF"/>
          </w:tcPr>
          <w:p>
            <w:pPr>
              <w:jc w:val="right"/>
              <w:ind w:right="1725"/>
              <w:spacing w:after="0"/>
              <w:rPr>
                <w:sz w:val="20"/>
                <w:szCs w:val="20"/>
                <w:color w:val="auto"/>
              </w:rPr>
            </w:pPr>
            <w:r>
              <w:rPr>
                <w:rFonts w:ascii="Arial" w:cs="Arial" w:eastAsia="Arial" w:hAnsi="Arial"/>
                <w:sz w:val="11"/>
                <w:szCs w:val="11"/>
                <w:color w:val="auto"/>
                <w:w w:val="97"/>
              </w:rPr>
              <w:t>$</w:t>
            </w:r>
          </w:p>
        </w:tc>
        <w:tc>
          <w:tcPr>
            <w:tcW w:w="9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1040" w:type="dxa"/>
            <w:vAlign w:val="bottom"/>
            <w:tcBorders>
              <w:bottom w:val="single" w:sz="8" w:color="CCEEFF"/>
            </w:tcBorders>
            <w:shd w:val="clear" w:color="auto" w:fill="CCEEFF"/>
          </w:tcPr>
          <w:p>
            <w:pPr>
              <w:jc w:val="right"/>
              <w:ind w:right="905"/>
              <w:spacing w:after="0"/>
              <w:rPr>
                <w:sz w:val="20"/>
                <w:szCs w:val="20"/>
                <w:color w:val="auto"/>
              </w:rPr>
            </w:pPr>
            <w:r>
              <w:rPr>
                <w:rFonts w:ascii="Arial" w:cs="Arial" w:eastAsia="Arial" w:hAnsi="Arial"/>
                <w:sz w:val="11"/>
                <w:szCs w:val="11"/>
                <w:color w:val="auto"/>
                <w:w w:val="97"/>
              </w:rPr>
              <w:t>$</w:t>
            </w:r>
          </w:p>
        </w:tc>
        <w:tc>
          <w:tcPr>
            <w:tcW w:w="1920" w:type="dxa"/>
            <w:vAlign w:val="bottom"/>
            <w:tcBorders>
              <w:bottom w:val="single" w:sz="8" w:color="CCEEFF"/>
            </w:tcBorders>
            <w:shd w:val="clear" w:color="auto" w:fill="CCEEFF"/>
          </w:tcPr>
          <w:p>
            <w:pPr>
              <w:jc w:val="right"/>
              <w:ind w:right="5"/>
              <w:spacing w:after="0"/>
              <w:rPr>
                <w:sz w:val="20"/>
                <w:szCs w:val="20"/>
                <w:color w:val="auto"/>
              </w:rPr>
            </w:pPr>
            <w:r>
              <w:rPr>
                <w:rFonts w:ascii="Arial" w:cs="Arial" w:eastAsia="Arial" w:hAnsi="Arial"/>
                <w:sz w:val="11"/>
                <w:szCs w:val="11"/>
                <w:color w:val="auto"/>
              </w:rPr>
              <w:t>821</w:t>
            </w:r>
          </w:p>
        </w:tc>
        <w:tc>
          <w:tcPr>
            <w:tcW w:w="0" w:type="dxa"/>
            <w:vAlign w:val="bottom"/>
          </w:tcPr>
          <w:p>
            <w:pPr>
              <w:spacing w:after="0"/>
              <w:rPr>
                <w:sz w:val="1"/>
                <w:szCs w:val="1"/>
                <w:color w:val="auto"/>
              </w:rPr>
            </w:pPr>
          </w:p>
        </w:tc>
      </w:tr>
      <w:tr>
        <w:trPr>
          <w:trHeight w:val="150"/>
        </w:trPr>
        <w:tc>
          <w:tcPr>
            <w:tcW w:w="5520" w:type="dxa"/>
            <w:vAlign w:val="bottom"/>
          </w:tcPr>
          <w:p>
            <w:pPr>
              <w:ind w:left="20"/>
              <w:spacing w:after="0"/>
              <w:rPr>
                <w:sz w:val="20"/>
                <w:szCs w:val="20"/>
                <w:color w:val="auto"/>
              </w:rPr>
            </w:pPr>
            <w:r>
              <w:rPr>
                <w:rFonts w:ascii="Arial" w:cs="Arial" w:eastAsia="Arial" w:hAnsi="Arial"/>
                <w:sz w:val="11"/>
                <w:szCs w:val="11"/>
                <w:color w:val="auto"/>
              </w:rPr>
              <w:t>Reconciliation of cash, cash equivalents and restricted cash to the condensed consolidated balance sheets</w:t>
            </w:r>
          </w:p>
        </w:tc>
        <w:tc>
          <w:tcPr>
            <w:tcW w:w="18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9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9"/>
        </w:trPr>
        <w:tc>
          <w:tcPr>
            <w:tcW w:w="5520" w:type="dxa"/>
            <w:vAlign w:val="bottom"/>
          </w:tcPr>
          <w:p>
            <w:pPr>
              <w:spacing w:after="0"/>
              <w:rPr>
                <w:sz w:val="3"/>
                <w:szCs w:val="3"/>
                <w:color w:val="auto"/>
              </w:rPr>
            </w:pPr>
          </w:p>
        </w:tc>
        <w:tc>
          <w:tcPr>
            <w:tcW w:w="1860" w:type="dxa"/>
            <w:vAlign w:val="bottom"/>
          </w:tcPr>
          <w:p>
            <w:pPr>
              <w:spacing w:after="0"/>
              <w:rPr>
                <w:sz w:val="3"/>
                <w:szCs w:val="3"/>
                <w:color w:val="auto"/>
              </w:rPr>
            </w:pPr>
          </w:p>
        </w:tc>
        <w:tc>
          <w:tcPr>
            <w:tcW w:w="840" w:type="dxa"/>
            <w:vAlign w:val="bottom"/>
          </w:tcPr>
          <w:p>
            <w:pPr>
              <w:spacing w:after="0"/>
              <w:rPr>
                <w:sz w:val="3"/>
                <w:szCs w:val="3"/>
                <w:color w:val="auto"/>
              </w:rPr>
            </w:pPr>
          </w:p>
        </w:tc>
        <w:tc>
          <w:tcPr>
            <w:tcW w:w="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9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69"/>
        </w:trPr>
        <w:tc>
          <w:tcPr>
            <w:tcW w:w="55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1"/>
                <w:szCs w:val="11"/>
                <w:color w:val="auto"/>
              </w:rPr>
              <w:t>Cash and cash equivalents</w:t>
            </w:r>
          </w:p>
        </w:tc>
        <w:tc>
          <w:tcPr>
            <w:tcW w:w="1860" w:type="dxa"/>
            <w:vAlign w:val="bottom"/>
            <w:tcBorders>
              <w:bottom w:val="single" w:sz="8" w:color="CCEEFF"/>
            </w:tcBorders>
            <w:shd w:val="clear" w:color="auto" w:fill="CCEEFF"/>
          </w:tcPr>
          <w:p>
            <w:pPr>
              <w:jc w:val="right"/>
              <w:ind w:right="1725"/>
              <w:spacing w:after="0"/>
              <w:rPr>
                <w:sz w:val="20"/>
                <w:szCs w:val="20"/>
                <w:color w:val="auto"/>
              </w:rPr>
            </w:pPr>
            <w:r>
              <w:rPr>
                <w:rFonts w:ascii="Arial" w:cs="Arial" w:eastAsia="Arial" w:hAnsi="Arial"/>
                <w:sz w:val="11"/>
                <w:szCs w:val="11"/>
                <w:color w:val="auto"/>
                <w:w w:val="97"/>
              </w:rPr>
              <w:t>$</w:t>
            </w:r>
          </w:p>
        </w:tc>
        <w:tc>
          <w:tcPr>
            <w:tcW w:w="840" w:type="dxa"/>
            <w:vAlign w:val="bottom"/>
            <w:tcBorders>
              <w:bottom w:val="single" w:sz="8" w:color="CCEEFF"/>
            </w:tcBorders>
            <w:shd w:val="clear" w:color="auto" w:fill="CCEEFF"/>
          </w:tcPr>
          <w:p>
            <w:pPr>
              <w:jc w:val="right"/>
              <w:ind w:right="5"/>
              <w:spacing w:after="0"/>
              <w:rPr>
                <w:sz w:val="20"/>
                <w:szCs w:val="20"/>
                <w:color w:val="auto"/>
              </w:rPr>
            </w:pPr>
            <w:r>
              <w:rPr>
                <w:rFonts w:ascii="Arial" w:cs="Arial" w:eastAsia="Arial" w:hAnsi="Arial"/>
                <w:sz w:val="11"/>
                <w:szCs w:val="11"/>
                <w:color w:val="auto"/>
              </w:rPr>
              <w:t>105,537</w:t>
            </w:r>
          </w:p>
        </w:tc>
        <w:tc>
          <w:tcPr>
            <w:tcW w:w="80" w:type="dxa"/>
            <w:vAlign w:val="bottom"/>
            <w:tcBorders>
              <w:bottom w:val="single" w:sz="8" w:color="CCEEFF"/>
            </w:tcBorders>
            <w:shd w:val="clear" w:color="auto" w:fill="CCEEFF"/>
          </w:tcPr>
          <w:p>
            <w:pPr>
              <w:spacing w:after="0"/>
              <w:rPr>
                <w:sz w:val="14"/>
                <w:szCs w:val="14"/>
                <w:color w:val="auto"/>
              </w:rPr>
            </w:pPr>
          </w:p>
        </w:tc>
        <w:tc>
          <w:tcPr>
            <w:tcW w:w="1040" w:type="dxa"/>
            <w:vAlign w:val="bottom"/>
            <w:tcBorders>
              <w:bottom w:val="single" w:sz="8" w:color="CCEEFF"/>
            </w:tcBorders>
            <w:shd w:val="clear" w:color="auto" w:fill="CCEEFF"/>
          </w:tcPr>
          <w:p>
            <w:pPr>
              <w:jc w:val="right"/>
              <w:ind w:right="905"/>
              <w:spacing w:after="0"/>
              <w:rPr>
                <w:sz w:val="20"/>
                <w:szCs w:val="20"/>
                <w:color w:val="auto"/>
              </w:rPr>
            </w:pPr>
            <w:r>
              <w:rPr>
                <w:rFonts w:ascii="Arial" w:cs="Arial" w:eastAsia="Arial" w:hAnsi="Arial"/>
                <w:sz w:val="11"/>
                <w:szCs w:val="11"/>
                <w:color w:val="auto"/>
                <w:w w:val="97"/>
              </w:rPr>
              <w:t>$</w:t>
            </w:r>
          </w:p>
        </w:tc>
        <w:tc>
          <w:tcPr>
            <w:tcW w:w="1920" w:type="dxa"/>
            <w:vAlign w:val="bottom"/>
            <w:tcBorders>
              <w:bottom w:val="single" w:sz="8" w:color="CCEEFF"/>
            </w:tcBorders>
            <w:shd w:val="clear" w:color="auto" w:fill="CCEEFF"/>
          </w:tcPr>
          <w:p>
            <w:pPr>
              <w:jc w:val="right"/>
              <w:ind w:right="5"/>
              <w:spacing w:after="0"/>
              <w:rPr>
                <w:sz w:val="20"/>
                <w:szCs w:val="20"/>
                <w:color w:val="auto"/>
              </w:rPr>
            </w:pPr>
            <w:r>
              <w:rPr>
                <w:rFonts w:ascii="Arial" w:cs="Arial" w:eastAsia="Arial" w:hAnsi="Arial"/>
                <w:sz w:val="11"/>
                <w:szCs w:val="11"/>
                <w:color w:val="auto"/>
              </w:rPr>
              <w:t>45,429</w:t>
            </w:r>
          </w:p>
        </w:tc>
        <w:tc>
          <w:tcPr>
            <w:tcW w:w="0" w:type="dxa"/>
            <w:vAlign w:val="bottom"/>
          </w:tcPr>
          <w:p>
            <w:pPr>
              <w:spacing w:after="0"/>
              <w:rPr>
                <w:sz w:val="1"/>
                <w:szCs w:val="1"/>
                <w:color w:val="auto"/>
              </w:rPr>
            </w:pPr>
          </w:p>
        </w:tc>
      </w:tr>
      <w:tr>
        <w:trPr>
          <w:trHeight w:val="150"/>
        </w:trPr>
        <w:tc>
          <w:tcPr>
            <w:tcW w:w="5520" w:type="dxa"/>
            <w:vAlign w:val="bottom"/>
          </w:tcPr>
          <w:p>
            <w:pPr>
              <w:ind w:left="20"/>
              <w:spacing w:after="0"/>
              <w:rPr>
                <w:sz w:val="20"/>
                <w:szCs w:val="20"/>
                <w:color w:val="auto"/>
              </w:rPr>
            </w:pPr>
            <w:r>
              <w:rPr>
                <w:rFonts w:ascii="Arial" w:cs="Arial" w:eastAsia="Arial" w:hAnsi="Arial"/>
                <w:sz w:val="11"/>
                <w:szCs w:val="11"/>
                <w:color w:val="auto"/>
              </w:rPr>
              <w:t>Restricted cash included in other current assets</w:t>
            </w:r>
          </w:p>
        </w:tc>
        <w:tc>
          <w:tcPr>
            <w:tcW w:w="1860" w:type="dxa"/>
            <w:vAlign w:val="bottom"/>
          </w:tcPr>
          <w:p>
            <w:pPr>
              <w:spacing w:after="0"/>
              <w:rPr>
                <w:sz w:val="13"/>
                <w:szCs w:val="13"/>
                <w:color w:val="auto"/>
              </w:rPr>
            </w:pPr>
          </w:p>
        </w:tc>
        <w:tc>
          <w:tcPr>
            <w:tcW w:w="840" w:type="dxa"/>
            <w:vAlign w:val="bottom"/>
          </w:tcPr>
          <w:p>
            <w:pPr>
              <w:jc w:val="right"/>
              <w:ind w:right="5"/>
              <w:spacing w:after="0"/>
              <w:rPr>
                <w:sz w:val="20"/>
                <w:szCs w:val="20"/>
                <w:color w:val="auto"/>
              </w:rPr>
            </w:pPr>
            <w:r>
              <w:rPr>
                <w:rFonts w:ascii="Arial" w:cs="Arial" w:eastAsia="Arial" w:hAnsi="Arial"/>
                <w:sz w:val="11"/>
                <w:szCs w:val="11"/>
                <w:color w:val="auto"/>
              </w:rPr>
              <w:t>16,077</w:t>
            </w:r>
          </w:p>
        </w:tc>
        <w:tc>
          <w:tcPr>
            <w:tcW w:w="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920" w:type="dxa"/>
            <w:vAlign w:val="bottom"/>
          </w:tcPr>
          <w:p>
            <w:pPr>
              <w:jc w:val="right"/>
              <w:ind w:right="5"/>
              <w:spacing w:after="0"/>
              <w:rPr>
                <w:sz w:val="20"/>
                <w:szCs w:val="20"/>
                <w:color w:val="auto"/>
              </w:rPr>
            </w:pPr>
            <w:r>
              <w:rPr>
                <w:rFonts w:ascii="Arial" w:cs="Arial" w:eastAsia="Arial" w:hAnsi="Arial"/>
                <w:sz w:val="11"/>
                <w:szCs w:val="11"/>
                <w:color w:val="auto"/>
              </w:rPr>
              <w:t>3,652</w:t>
            </w:r>
          </w:p>
        </w:tc>
        <w:tc>
          <w:tcPr>
            <w:tcW w:w="0" w:type="dxa"/>
            <w:vAlign w:val="bottom"/>
          </w:tcPr>
          <w:p>
            <w:pPr>
              <w:spacing w:after="0"/>
              <w:rPr>
                <w:sz w:val="1"/>
                <w:szCs w:val="1"/>
                <w:color w:val="auto"/>
              </w:rPr>
            </w:pPr>
          </w:p>
        </w:tc>
      </w:tr>
      <w:tr>
        <w:trPr>
          <w:trHeight w:val="39"/>
        </w:trPr>
        <w:tc>
          <w:tcPr>
            <w:tcW w:w="5520" w:type="dxa"/>
            <w:vAlign w:val="bottom"/>
          </w:tcPr>
          <w:p>
            <w:pPr>
              <w:spacing w:after="0"/>
              <w:rPr>
                <w:sz w:val="3"/>
                <w:szCs w:val="3"/>
                <w:color w:val="auto"/>
              </w:rPr>
            </w:pPr>
          </w:p>
        </w:tc>
        <w:tc>
          <w:tcPr>
            <w:tcW w:w="1860" w:type="dxa"/>
            <w:vAlign w:val="bottom"/>
          </w:tcPr>
          <w:p>
            <w:pPr>
              <w:spacing w:after="0"/>
              <w:rPr>
                <w:sz w:val="3"/>
                <w:szCs w:val="3"/>
                <w:color w:val="auto"/>
              </w:rPr>
            </w:pPr>
          </w:p>
        </w:tc>
        <w:tc>
          <w:tcPr>
            <w:tcW w:w="840" w:type="dxa"/>
            <w:vAlign w:val="bottom"/>
          </w:tcPr>
          <w:p>
            <w:pPr>
              <w:spacing w:after="0"/>
              <w:rPr>
                <w:sz w:val="3"/>
                <w:szCs w:val="3"/>
                <w:color w:val="auto"/>
              </w:rPr>
            </w:pPr>
          </w:p>
        </w:tc>
        <w:tc>
          <w:tcPr>
            <w:tcW w:w="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9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69"/>
        </w:trPr>
        <w:tc>
          <w:tcPr>
            <w:tcW w:w="55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1"/>
                <w:szCs w:val="11"/>
                <w:color w:val="auto"/>
              </w:rPr>
              <w:t>Restricted cash included in other assets</w:t>
            </w:r>
          </w:p>
        </w:tc>
        <w:tc>
          <w:tcPr>
            <w:tcW w:w="1860" w:type="dxa"/>
            <w:vAlign w:val="bottom"/>
            <w:tcBorders>
              <w:bottom w:val="single" w:sz="8" w:color="CCEEFF"/>
            </w:tcBorders>
            <w:shd w:val="clear" w:color="auto" w:fill="CCEEFF"/>
          </w:tcPr>
          <w:p>
            <w:pPr>
              <w:spacing w:after="0"/>
              <w:rPr>
                <w:sz w:val="14"/>
                <w:szCs w:val="14"/>
                <w:color w:val="auto"/>
              </w:rPr>
            </w:pPr>
          </w:p>
        </w:tc>
        <w:tc>
          <w:tcPr>
            <w:tcW w:w="9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1040" w:type="dxa"/>
            <w:vAlign w:val="bottom"/>
            <w:tcBorders>
              <w:bottom w:val="single" w:sz="8" w:color="CCEEFF"/>
            </w:tcBorders>
            <w:shd w:val="clear" w:color="auto" w:fill="CCEEFF"/>
          </w:tcPr>
          <w:p>
            <w:pPr>
              <w:spacing w:after="0"/>
              <w:rPr>
                <w:sz w:val="14"/>
                <w:szCs w:val="14"/>
                <w:color w:val="auto"/>
              </w:rPr>
            </w:pPr>
          </w:p>
        </w:tc>
        <w:tc>
          <w:tcPr>
            <w:tcW w:w="1920" w:type="dxa"/>
            <w:vAlign w:val="bottom"/>
            <w:tcBorders>
              <w:bottom w:val="single" w:sz="8" w:color="CCEEFF"/>
            </w:tcBorders>
            <w:shd w:val="clear" w:color="auto" w:fill="CCEEFF"/>
          </w:tcPr>
          <w:p>
            <w:pPr>
              <w:jc w:val="right"/>
              <w:ind w:right="5"/>
              <w:spacing w:after="0"/>
              <w:rPr>
                <w:sz w:val="20"/>
                <w:szCs w:val="20"/>
                <w:color w:val="auto"/>
              </w:rPr>
            </w:pPr>
            <w:r>
              <w:rPr>
                <w:rFonts w:ascii="Arial" w:cs="Arial" w:eastAsia="Arial" w:hAnsi="Arial"/>
                <w:sz w:val="11"/>
                <w:szCs w:val="11"/>
                <w:color w:val="auto"/>
              </w:rPr>
              <w:t>49</w:t>
            </w:r>
          </w:p>
        </w:tc>
        <w:tc>
          <w:tcPr>
            <w:tcW w:w="0" w:type="dxa"/>
            <w:vAlign w:val="bottom"/>
          </w:tcPr>
          <w:p>
            <w:pPr>
              <w:spacing w:after="0"/>
              <w:rPr>
                <w:sz w:val="1"/>
                <w:szCs w:val="1"/>
                <w:color w:val="auto"/>
              </w:rPr>
            </w:pPr>
          </w:p>
        </w:tc>
      </w:tr>
      <w:tr>
        <w:trPr>
          <w:trHeight w:val="150"/>
        </w:trPr>
        <w:tc>
          <w:tcPr>
            <w:tcW w:w="5520" w:type="dxa"/>
            <w:vAlign w:val="bottom"/>
          </w:tcPr>
          <w:p>
            <w:pPr>
              <w:ind w:left="20"/>
              <w:spacing w:after="0"/>
              <w:rPr>
                <w:sz w:val="20"/>
                <w:szCs w:val="20"/>
                <w:color w:val="auto"/>
              </w:rPr>
            </w:pPr>
            <w:r>
              <w:rPr>
                <w:rFonts w:ascii="Arial" w:cs="Arial" w:eastAsia="Arial" w:hAnsi="Arial"/>
                <w:sz w:val="11"/>
                <w:szCs w:val="11"/>
                <w:color w:val="auto"/>
              </w:rPr>
              <w:t>Restricted cash included in settlement assets</w:t>
            </w:r>
          </w:p>
        </w:tc>
        <w:tc>
          <w:tcPr>
            <w:tcW w:w="1860" w:type="dxa"/>
            <w:vAlign w:val="bottom"/>
          </w:tcPr>
          <w:p>
            <w:pPr>
              <w:spacing w:after="0"/>
              <w:rPr>
                <w:sz w:val="13"/>
                <w:szCs w:val="13"/>
                <w:color w:val="auto"/>
              </w:rPr>
            </w:pPr>
          </w:p>
        </w:tc>
        <w:tc>
          <w:tcPr>
            <w:tcW w:w="840" w:type="dxa"/>
            <w:vAlign w:val="bottom"/>
          </w:tcPr>
          <w:p>
            <w:pPr>
              <w:jc w:val="right"/>
              <w:ind w:right="5"/>
              <w:spacing w:after="0"/>
              <w:rPr>
                <w:sz w:val="20"/>
                <w:szCs w:val="20"/>
                <w:color w:val="auto"/>
              </w:rPr>
            </w:pPr>
            <w:r>
              <w:rPr>
                <w:rFonts w:ascii="Arial" w:cs="Arial" w:eastAsia="Arial" w:hAnsi="Arial"/>
                <w:sz w:val="11"/>
                <w:szCs w:val="11"/>
                <w:color w:val="auto"/>
              </w:rPr>
              <w:t>31,120</w:t>
            </w:r>
          </w:p>
        </w:tc>
        <w:tc>
          <w:tcPr>
            <w:tcW w:w="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920" w:type="dxa"/>
            <w:vAlign w:val="bottom"/>
          </w:tcPr>
          <w:p>
            <w:pPr>
              <w:jc w:val="right"/>
              <w:ind w:right="5"/>
              <w:spacing w:after="0"/>
              <w:rPr>
                <w:sz w:val="20"/>
                <w:szCs w:val="20"/>
                <w:color w:val="auto"/>
              </w:rPr>
            </w:pPr>
            <w:r>
              <w:rPr>
                <w:rFonts w:ascii="Arial" w:cs="Arial" w:eastAsia="Arial" w:hAnsi="Arial"/>
                <w:sz w:val="11"/>
                <w:szCs w:val="11"/>
                <w:color w:val="auto"/>
              </w:rPr>
              <w:t>14,680</w:t>
            </w:r>
          </w:p>
        </w:tc>
        <w:tc>
          <w:tcPr>
            <w:tcW w:w="0" w:type="dxa"/>
            <w:vAlign w:val="bottom"/>
          </w:tcPr>
          <w:p>
            <w:pPr>
              <w:spacing w:after="0"/>
              <w:rPr>
                <w:sz w:val="1"/>
                <w:szCs w:val="1"/>
                <w:color w:val="auto"/>
              </w:rPr>
            </w:pPr>
          </w:p>
        </w:tc>
      </w:tr>
      <w:tr>
        <w:trPr>
          <w:trHeight w:val="39"/>
        </w:trPr>
        <w:tc>
          <w:tcPr>
            <w:tcW w:w="5520" w:type="dxa"/>
            <w:vAlign w:val="bottom"/>
            <w:tcBorders>
              <w:bottom w:val="single" w:sz="8" w:color="CCEEFF"/>
            </w:tcBorders>
          </w:tcPr>
          <w:p>
            <w:pPr>
              <w:spacing w:after="0"/>
              <w:rPr>
                <w:sz w:val="3"/>
                <w:szCs w:val="3"/>
                <w:color w:val="auto"/>
              </w:rPr>
            </w:pPr>
          </w:p>
        </w:tc>
        <w:tc>
          <w:tcPr>
            <w:tcW w:w="1860" w:type="dxa"/>
            <w:vAlign w:val="bottom"/>
            <w:tcBorders>
              <w:bottom w:val="single" w:sz="8" w:color="auto"/>
            </w:tcBorders>
          </w:tcPr>
          <w:p>
            <w:pPr>
              <w:spacing w:after="0"/>
              <w:rPr>
                <w:sz w:val="3"/>
                <w:szCs w:val="3"/>
                <w:color w:val="auto"/>
              </w:rPr>
            </w:pPr>
          </w:p>
        </w:tc>
        <w:tc>
          <w:tcPr>
            <w:tcW w:w="84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040" w:type="dxa"/>
            <w:vAlign w:val="bottom"/>
            <w:tcBorders>
              <w:bottom w:val="single" w:sz="8" w:color="auto"/>
            </w:tcBorders>
          </w:tcPr>
          <w:p>
            <w:pPr>
              <w:spacing w:after="0"/>
              <w:rPr>
                <w:sz w:val="3"/>
                <w:szCs w:val="3"/>
                <w:color w:val="auto"/>
              </w:rPr>
            </w:pPr>
          </w:p>
        </w:tc>
        <w:tc>
          <w:tcPr>
            <w:tcW w:w="19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98"/>
        </w:trPr>
        <w:tc>
          <w:tcPr>
            <w:tcW w:w="55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1"/>
                <w:szCs w:val="11"/>
                <w:color w:val="auto"/>
              </w:rPr>
              <w:t>Total cash, cash equivalents and restricted cash</w:t>
            </w:r>
          </w:p>
        </w:tc>
        <w:tc>
          <w:tcPr>
            <w:tcW w:w="1860" w:type="dxa"/>
            <w:vAlign w:val="bottom"/>
            <w:tcBorders>
              <w:bottom w:val="single" w:sz="8" w:color="auto"/>
            </w:tcBorders>
            <w:shd w:val="clear" w:color="auto" w:fill="CCEEFF"/>
          </w:tcPr>
          <w:p>
            <w:pPr>
              <w:jc w:val="right"/>
              <w:ind w:right="1725"/>
              <w:spacing w:after="0"/>
              <w:rPr>
                <w:sz w:val="20"/>
                <w:szCs w:val="20"/>
                <w:color w:val="auto"/>
              </w:rPr>
            </w:pPr>
            <w:r>
              <w:rPr>
                <w:rFonts w:ascii="Arial" w:cs="Arial" w:eastAsia="Arial" w:hAnsi="Arial"/>
                <w:sz w:val="11"/>
                <w:szCs w:val="11"/>
                <w:color w:val="auto"/>
                <w:w w:val="97"/>
              </w:rPr>
              <w:t>$</w:t>
            </w:r>
          </w:p>
        </w:tc>
        <w:tc>
          <w:tcPr>
            <w:tcW w:w="840" w:type="dxa"/>
            <w:vAlign w:val="bottom"/>
            <w:tcBorders>
              <w:bottom w:val="single" w:sz="8" w:color="auto"/>
            </w:tcBorders>
            <w:shd w:val="clear" w:color="auto" w:fill="CCEEFF"/>
          </w:tcPr>
          <w:p>
            <w:pPr>
              <w:jc w:val="right"/>
              <w:ind w:right="5"/>
              <w:spacing w:after="0"/>
              <w:rPr>
                <w:sz w:val="20"/>
                <w:szCs w:val="20"/>
                <w:color w:val="auto"/>
              </w:rPr>
            </w:pPr>
            <w:r>
              <w:rPr>
                <w:rFonts w:ascii="Arial" w:cs="Arial" w:eastAsia="Arial" w:hAnsi="Arial"/>
                <w:sz w:val="11"/>
                <w:szCs w:val="11"/>
                <w:color w:val="auto"/>
              </w:rPr>
              <w:t>152,734</w:t>
            </w:r>
          </w:p>
        </w:tc>
        <w:tc>
          <w:tcPr>
            <w:tcW w:w="80" w:type="dxa"/>
            <w:vAlign w:val="bottom"/>
            <w:tcBorders>
              <w:bottom w:val="single" w:sz="8" w:color="CCEEFF"/>
            </w:tcBorders>
            <w:shd w:val="clear" w:color="auto" w:fill="CCEEFF"/>
          </w:tcPr>
          <w:p>
            <w:pPr>
              <w:spacing w:after="0"/>
              <w:rPr>
                <w:sz w:val="16"/>
                <w:szCs w:val="16"/>
                <w:color w:val="auto"/>
              </w:rPr>
            </w:pPr>
          </w:p>
        </w:tc>
        <w:tc>
          <w:tcPr>
            <w:tcW w:w="1040" w:type="dxa"/>
            <w:vAlign w:val="bottom"/>
            <w:tcBorders>
              <w:bottom w:val="single" w:sz="8" w:color="auto"/>
            </w:tcBorders>
            <w:shd w:val="clear" w:color="auto" w:fill="CCEEFF"/>
          </w:tcPr>
          <w:p>
            <w:pPr>
              <w:jc w:val="right"/>
              <w:ind w:right="905"/>
              <w:spacing w:after="0"/>
              <w:rPr>
                <w:sz w:val="20"/>
                <w:szCs w:val="20"/>
                <w:color w:val="auto"/>
              </w:rPr>
            </w:pPr>
            <w:r>
              <w:rPr>
                <w:rFonts w:ascii="Arial" w:cs="Arial" w:eastAsia="Arial" w:hAnsi="Arial"/>
                <w:sz w:val="11"/>
                <w:szCs w:val="11"/>
                <w:color w:val="auto"/>
                <w:w w:val="97"/>
              </w:rPr>
              <w:t>$</w:t>
            </w:r>
          </w:p>
        </w:tc>
        <w:tc>
          <w:tcPr>
            <w:tcW w:w="1920" w:type="dxa"/>
            <w:vAlign w:val="bottom"/>
            <w:tcBorders>
              <w:bottom w:val="single" w:sz="8" w:color="auto"/>
            </w:tcBorders>
            <w:shd w:val="clear" w:color="auto" w:fill="CCEEFF"/>
          </w:tcPr>
          <w:p>
            <w:pPr>
              <w:jc w:val="right"/>
              <w:ind w:right="5"/>
              <w:spacing w:after="0"/>
              <w:rPr>
                <w:sz w:val="20"/>
                <w:szCs w:val="20"/>
                <w:color w:val="auto"/>
              </w:rPr>
            </w:pPr>
            <w:r>
              <w:rPr>
                <w:rFonts w:ascii="Arial" w:cs="Arial" w:eastAsia="Arial" w:hAnsi="Arial"/>
                <w:sz w:val="11"/>
                <w:szCs w:val="11"/>
                <w:color w:val="auto"/>
              </w:rPr>
              <w:t>63,810</w:t>
            </w:r>
          </w:p>
        </w:tc>
        <w:tc>
          <w:tcPr>
            <w:tcW w:w="0" w:type="dxa"/>
            <w:vAlign w:val="bottom"/>
          </w:tcPr>
          <w:p>
            <w:pPr>
              <w:spacing w:after="0"/>
              <w:rPr>
                <w:sz w:val="1"/>
                <w:szCs w:val="1"/>
                <w:color w:val="auto"/>
              </w:rPr>
            </w:pPr>
          </w:p>
        </w:tc>
      </w:tr>
      <w:tr>
        <w:trPr>
          <w:trHeight w:val="20"/>
        </w:trPr>
        <w:tc>
          <w:tcPr>
            <w:tcW w:w="5520" w:type="dxa"/>
            <w:vAlign w:val="bottom"/>
            <w:tcBorders>
              <w:top w:val="single" w:sz="8" w:color="CCEEFF"/>
            </w:tcBorders>
          </w:tcPr>
          <w:p>
            <w:pPr>
              <w:spacing w:after="0" w:line="20" w:lineRule="exact"/>
              <w:rPr>
                <w:sz w:val="1"/>
                <w:szCs w:val="1"/>
                <w:color w:val="auto"/>
              </w:rPr>
            </w:pPr>
          </w:p>
        </w:tc>
        <w:tc>
          <w:tcPr>
            <w:tcW w:w="186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9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5520" w:type="dxa"/>
            <w:vAlign w:val="bottom"/>
            <w:tcBorders>
              <w:bottom w:val="single" w:sz="8" w:color="auto"/>
            </w:tcBorders>
          </w:tcPr>
          <w:p>
            <w:pPr>
              <w:spacing w:after="0" w:line="20" w:lineRule="exact"/>
              <w:rPr>
                <w:sz w:val="1"/>
                <w:szCs w:val="1"/>
                <w:color w:val="auto"/>
              </w:rPr>
            </w:pPr>
          </w:p>
        </w:tc>
        <w:tc>
          <w:tcPr>
            <w:tcW w:w="18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11260"/>
          </w:cols>
          <w:pgMar w:left="320" w:top="339" w:right="319" w:bottom="1440" w:gutter="0" w:footer="0" w:header="0"/>
        </w:sectPr>
      </w:pPr>
    </w:p>
    <w:bookmarkStart w:id="10" w:name="page11"/>
    <w:bookmarkEnd w:id="10"/>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8020" w:type="dxa"/>
            <w:vAlign w:val="bottom"/>
          </w:tcPr>
          <w:p>
            <w:pPr>
              <w:jc w:val="center"/>
              <w:ind w:left="3134"/>
              <w:spacing w:after="0"/>
              <w:rPr>
                <w:sz w:val="20"/>
                <w:szCs w:val="20"/>
                <w:color w:val="auto"/>
              </w:rPr>
            </w:pPr>
            <w:r>
              <w:rPr>
                <w:rFonts w:ascii="Arial" w:cs="Arial" w:eastAsia="Arial" w:hAnsi="Arial"/>
                <w:sz w:val="19"/>
                <w:szCs w:val="19"/>
                <w:b w:val="1"/>
                <w:bCs w:val="1"/>
                <w:color w:val="auto"/>
                <w:w w:val="90"/>
              </w:rPr>
              <w:t>Expensify, Inc.</w:t>
            </w:r>
          </w:p>
        </w:tc>
        <w:tc>
          <w:tcPr>
            <w:tcW w:w="460" w:type="dxa"/>
            <w:vAlign w:val="bottom"/>
          </w:tcPr>
          <w:p>
            <w:pPr>
              <w:spacing w:after="0"/>
              <w:rPr>
                <w:sz w:val="20"/>
                <w:szCs w:val="20"/>
                <w:color w:val="auto"/>
              </w:rPr>
            </w:pPr>
          </w:p>
        </w:tc>
        <w:tc>
          <w:tcPr>
            <w:tcW w:w="2780" w:type="dxa"/>
            <w:vAlign w:val="bottom"/>
          </w:tcPr>
          <w:p>
            <w:pPr>
              <w:spacing w:after="0"/>
              <w:rPr>
                <w:sz w:val="20"/>
                <w:szCs w:val="20"/>
                <w:color w:val="auto"/>
              </w:rPr>
            </w:pPr>
          </w:p>
        </w:tc>
      </w:tr>
      <w:tr>
        <w:trPr>
          <w:trHeight w:val="237"/>
        </w:trPr>
        <w:tc>
          <w:tcPr>
            <w:tcW w:w="8020" w:type="dxa"/>
            <w:vAlign w:val="bottom"/>
          </w:tcPr>
          <w:p>
            <w:pPr>
              <w:jc w:val="center"/>
              <w:ind w:left="3134"/>
              <w:spacing w:after="0"/>
              <w:rPr>
                <w:sz w:val="20"/>
                <w:szCs w:val="20"/>
                <w:color w:val="auto"/>
              </w:rPr>
            </w:pPr>
            <w:r>
              <w:rPr>
                <w:rFonts w:ascii="Arial" w:cs="Arial" w:eastAsia="Arial" w:hAnsi="Arial"/>
                <w:sz w:val="19"/>
                <w:szCs w:val="19"/>
                <w:b w:val="1"/>
                <w:bCs w:val="1"/>
                <w:color w:val="auto"/>
                <w:w w:val="91"/>
              </w:rPr>
              <w:t>Reconciliation of GAAP to Non-GAAP Financial Measures</w:t>
            </w:r>
          </w:p>
        </w:tc>
        <w:tc>
          <w:tcPr>
            <w:tcW w:w="460" w:type="dxa"/>
            <w:vAlign w:val="bottom"/>
          </w:tcPr>
          <w:p>
            <w:pPr>
              <w:spacing w:after="0"/>
              <w:rPr>
                <w:sz w:val="20"/>
                <w:szCs w:val="20"/>
                <w:color w:val="auto"/>
              </w:rPr>
            </w:pPr>
          </w:p>
        </w:tc>
        <w:tc>
          <w:tcPr>
            <w:tcW w:w="2780" w:type="dxa"/>
            <w:vAlign w:val="bottom"/>
          </w:tcPr>
          <w:p>
            <w:pPr>
              <w:spacing w:after="0"/>
              <w:rPr>
                <w:sz w:val="20"/>
                <w:szCs w:val="20"/>
                <w:color w:val="auto"/>
              </w:rPr>
            </w:pPr>
          </w:p>
        </w:tc>
      </w:tr>
      <w:tr>
        <w:trPr>
          <w:trHeight w:val="200"/>
        </w:trPr>
        <w:tc>
          <w:tcPr>
            <w:tcW w:w="8020" w:type="dxa"/>
            <w:vAlign w:val="bottom"/>
          </w:tcPr>
          <w:p>
            <w:pPr>
              <w:jc w:val="center"/>
              <w:ind w:left="3134"/>
              <w:spacing w:after="0"/>
              <w:rPr>
                <w:sz w:val="20"/>
                <w:szCs w:val="20"/>
                <w:color w:val="auto"/>
              </w:rPr>
            </w:pPr>
            <w:r>
              <w:rPr>
                <w:rFonts w:ascii="Arial" w:cs="Arial" w:eastAsia="Arial" w:hAnsi="Arial"/>
                <w:sz w:val="16"/>
                <w:szCs w:val="16"/>
                <w:color w:val="auto"/>
                <w:w w:val="87"/>
              </w:rPr>
              <w:t>(unaudited, in thousands, except percentages)</w:t>
            </w:r>
          </w:p>
        </w:tc>
        <w:tc>
          <w:tcPr>
            <w:tcW w:w="460" w:type="dxa"/>
            <w:vAlign w:val="bottom"/>
          </w:tcPr>
          <w:p>
            <w:pPr>
              <w:spacing w:after="0"/>
              <w:rPr>
                <w:sz w:val="17"/>
                <w:szCs w:val="17"/>
                <w:color w:val="auto"/>
              </w:rPr>
            </w:pPr>
          </w:p>
        </w:tc>
        <w:tc>
          <w:tcPr>
            <w:tcW w:w="2780" w:type="dxa"/>
            <w:vAlign w:val="bottom"/>
          </w:tcPr>
          <w:p>
            <w:pPr>
              <w:spacing w:after="0"/>
              <w:rPr>
                <w:sz w:val="17"/>
                <w:szCs w:val="17"/>
                <w:color w:val="auto"/>
              </w:rPr>
            </w:pPr>
          </w:p>
        </w:tc>
      </w:tr>
      <w:tr>
        <w:trPr>
          <w:trHeight w:val="449"/>
        </w:trPr>
        <w:tc>
          <w:tcPr>
            <w:tcW w:w="8020" w:type="dxa"/>
            <w:vAlign w:val="bottom"/>
          </w:tcPr>
          <w:p>
            <w:pPr>
              <w:spacing w:after="0"/>
              <w:rPr>
                <w:sz w:val="20"/>
                <w:szCs w:val="20"/>
                <w:color w:val="auto"/>
              </w:rPr>
            </w:pPr>
            <w:r>
              <w:rPr>
                <w:rFonts w:ascii="Arial" w:cs="Arial" w:eastAsia="Arial" w:hAnsi="Arial"/>
                <w:sz w:val="16"/>
                <w:szCs w:val="16"/>
                <w:i w:val="1"/>
                <w:iCs w:val="1"/>
                <w:color w:val="auto"/>
              </w:rPr>
              <w:t>Adjusted EBITDA and Adjusted EBITDA Margin</w:t>
            </w:r>
          </w:p>
        </w:tc>
        <w:tc>
          <w:tcPr>
            <w:tcW w:w="460" w:type="dxa"/>
            <w:vAlign w:val="bottom"/>
          </w:tcPr>
          <w:p>
            <w:pPr>
              <w:spacing w:after="0"/>
              <w:rPr>
                <w:sz w:val="24"/>
                <w:szCs w:val="24"/>
                <w:color w:val="auto"/>
              </w:rPr>
            </w:pPr>
          </w:p>
        </w:tc>
        <w:tc>
          <w:tcPr>
            <w:tcW w:w="2780" w:type="dxa"/>
            <w:vAlign w:val="bottom"/>
          </w:tcPr>
          <w:p>
            <w:pPr>
              <w:spacing w:after="0"/>
              <w:rPr>
                <w:sz w:val="24"/>
                <w:szCs w:val="24"/>
                <w:color w:val="auto"/>
              </w:rPr>
            </w:pPr>
          </w:p>
        </w:tc>
      </w:tr>
      <w:tr>
        <w:trPr>
          <w:trHeight w:val="40"/>
        </w:trPr>
        <w:tc>
          <w:tcPr>
            <w:tcW w:w="8020" w:type="dxa"/>
            <w:vAlign w:val="bottom"/>
            <w:tcBorders>
              <w:bottom w:val="single" w:sz="8" w:color="auto"/>
            </w:tcBorders>
          </w:tcPr>
          <w:p>
            <w:pPr>
              <w:spacing w:after="0"/>
              <w:rPr>
                <w:sz w:val="3"/>
                <w:szCs w:val="3"/>
                <w:color w:val="auto"/>
              </w:rPr>
            </w:pPr>
          </w:p>
        </w:tc>
        <w:tc>
          <w:tcPr>
            <w:tcW w:w="460" w:type="dxa"/>
            <w:vAlign w:val="bottom"/>
            <w:tcBorders>
              <w:bottom w:val="single" w:sz="8" w:color="auto"/>
            </w:tcBorders>
          </w:tcPr>
          <w:p>
            <w:pPr>
              <w:spacing w:after="0"/>
              <w:rPr>
                <w:sz w:val="3"/>
                <w:szCs w:val="3"/>
                <w:color w:val="auto"/>
              </w:rPr>
            </w:pPr>
          </w:p>
        </w:tc>
        <w:tc>
          <w:tcPr>
            <w:tcW w:w="2780" w:type="dxa"/>
            <w:vAlign w:val="bottom"/>
            <w:tcBorders>
              <w:bottom w:val="single" w:sz="8" w:color="auto"/>
            </w:tcBorders>
          </w:tcPr>
          <w:p>
            <w:pPr>
              <w:spacing w:after="0"/>
              <w:rPr>
                <w:sz w:val="3"/>
                <w:szCs w:val="3"/>
                <w:color w:val="auto"/>
              </w:rPr>
            </w:pPr>
          </w:p>
        </w:tc>
      </w:tr>
      <w:tr>
        <w:trPr>
          <w:trHeight w:val="180"/>
        </w:trPr>
        <w:tc>
          <w:tcPr>
            <w:tcW w:w="80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2780" w:type="dxa"/>
            <w:vAlign w:val="bottom"/>
          </w:tcPr>
          <w:p>
            <w:pPr>
              <w:jc w:val="center"/>
              <w:ind w:right="379"/>
              <w:spacing w:after="0"/>
              <w:rPr>
                <w:sz w:val="20"/>
                <w:szCs w:val="20"/>
                <w:color w:val="auto"/>
              </w:rPr>
            </w:pPr>
            <w:r>
              <w:rPr>
                <w:rFonts w:ascii="Arial" w:cs="Arial" w:eastAsia="Arial" w:hAnsi="Arial"/>
                <w:sz w:val="13"/>
                <w:szCs w:val="13"/>
                <w:b w:val="1"/>
                <w:bCs w:val="1"/>
                <w:color w:val="auto"/>
                <w:w w:val="87"/>
              </w:rPr>
              <w:t>Three months ended June 30,</w:t>
            </w:r>
          </w:p>
        </w:tc>
      </w:tr>
      <w:tr>
        <w:trPr>
          <w:trHeight w:val="21"/>
        </w:trPr>
        <w:tc>
          <w:tcPr>
            <w:tcW w:w="80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2780" w:type="dxa"/>
            <w:vAlign w:val="bottom"/>
            <w:tcBorders>
              <w:bottom w:val="single" w:sz="8" w:color="auto"/>
            </w:tcBorders>
          </w:tcPr>
          <w:p>
            <w:pPr>
              <w:spacing w:after="0" w:line="20" w:lineRule="exact"/>
              <w:rPr>
                <w:sz w:val="1"/>
                <w:szCs w:val="1"/>
                <w:color w:val="auto"/>
              </w:rPr>
            </w:pPr>
          </w:p>
        </w:tc>
      </w:tr>
      <w:tr>
        <w:trPr>
          <w:trHeight w:val="172"/>
        </w:trPr>
        <w:tc>
          <w:tcPr>
            <w:tcW w:w="80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780" w:type="dxa"/>
            <w:vAlign w:val="bottom"/>
          </w:tcPr>
          <w:p>
            <w:pPr>
              <w:jc w:val="center"/>
              <w:ind w:right="379"/>
              <w:spacing w:after="0"/>
              <w:rPr>
                <w:sz w:val="20"/>
                <w:szCs w:val="20"/>
                <w:color w:val="auto"/>
              </w:rPr>
            </w:pPr>
            <w:r>
              <w:rPr>
                <w:rFonts w:ascii="Arial" w:cs="Arial" w:eastAsia="Arial" w:hAnsi="Arial"/>
                <w:sz w:val="13"/>
                <w:szCs w:val="13"/>
                <w:b w:val="1"/>
                <w:bCs w:val="1"/>
                <w:color w:val="auto"/>
                <w:w w:val="82"/>
              </w:rPr>
              <w:t>2022</w:t>
            </w:r>
          </w:p>
        </w:tc>
      </w:tr>
      <w:tr>
        <w:trPr>
          <w:trHeight w:val="21"/>
        </w:trPr>
        <w:tc>
          <w:tcPr>
            <w:tcW w:w="802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2780" w:type="dxa"/>
            <w:vAlign w:val="bottom"/>
            <w:tcBorders>
              <w:bottom w:val="single" w:sz="8" w:color="auto"/>
            </w:tcBorders>
          </w:tcPr>
          <w:p>
            <w:pPr>
              <w:spacing w:after="0" w:line="20" w:lineRule="exact"/>
              <w:rPr>
                <w:sz w:val="1"/>
                <w:szCs w:val="1"/>
                <w:color w:val="auto"/>
              </w:rPr>
            </w:pPr>
          </w:p>
        </w:tc>
      </w:tr>
      <w:tr>
        <w:trPr>
          <w:trHeight w:val="252"/>
        </w:trPr>
        <w:tc>
          <w:tcPr>
            <w:tcW w:w="8020" w:type="dxa"/>
            <w:vAlign w:val="bottom"/>
            <w:shd w:val="clear" w:color="auto" w:fill="CCEEFF"/>
          </w:tcPr>
          <w:p>
            <w:pPr>
              <w:ind w:left="20"/>
              <w:spacing w:after="0"/>
              <w:rPr>
                <w:sz w:val="20"/>
                <w:szCs w:val="20"/>
                <w:color w:val="auto"/>
              </w:rPr>
            </w:pPr>
            <w:r>
              <w:rPr>
                <w:rFonts w:ascii="Arial" w:cs="Arial" w:eastAsia="Arial" w:hAnsi="Arial"/>
                <w:sz w:val="17"/>
                <w:szCs w:val="17"/>
                <w:color w:val="auto"/>
              </w:rPr>
              <w:t>Net (loss) income</w:t>
            </w:r>
          </w:p>
        </w:tc>
        <w:tc>
          <w:tcPr>
            <w:tcW w:w="460" w:type="dxa"/>
            <w:vAlign w:val="bottom"/>
            <w:shd w:val="clear" w:color="auto" w:fill="CCEEFF"/>
          </w:tcPr>
          <w:p>
            <w:pPr>
              <w:jc w:val="right"/>
              <w:ind w:right="273"/>
              <w:spacing w:after="0"/>
              <w:rPr>
                <w:sz w:val="20"/>
                <w:szCs w:val="20"/>
                <w:color w:val="auto"/>
              </w:rPr>
            </w:pPr>
            <w:r>
              <w:rPr>
                <w:rFonts w:ascii="Arial" w:cs="Arial" w:eastAsia="Arial" w:hAnsi="Arial"/>
                <w:sz w:val="17"/>
                <w:szCs w:val="17"/>
                <w:color w:val="auto"/>
                <w:w w:val="84"/>
              </w:rPr>
              <w:t>$</w:t>
            </w:r>
          </w:p>
        </w:tc>
        <w:tc>
          <w:tcPr>
            <w:tcW w:w="2780" w:type="dxa"/>
            <w:vAlign w:val="bottom"/>
            <w:shd w:val="clear" w:color="auto" w:fill="CCEEFF"/>
          </w:tcPr>
          <w:p>
            <w:pPr>
              <w:jc w:val="right"/>
              <w:ind w:right="99"/>
              <w:spacing w:after="0"/>
              <w:rPr>
                <w:sz w:val="20"/>
                <w:szCs w:val="20"/>
                <w:color w:val="auto"/>
              </w:rPr>
            </w:pPr>
            <w:r>
              <w:rPr>
                <w:rFonts w:ascii="Arial" w:cs="Arial" w:eastAsia="Arial" w:hAnsi="Arial"/>
                <w:sz w:val="17"/>
                <w:szCs w:val="17"/>
                <w:color w:val="auto"/>
              </w:rPr>
              <w:t>(7,994)</w:t>
            </w:r>
          </w:p>
        </w:tc>
      </w:tr>
      <w:tr>
        <w:trPr>
          <w:trHeight w:val="251"/>
        </w:trPr>
        <w:tc>
          <w:tcPr>
            <w:tcW w:w="8020" w:type="dxa"/>
            <w:vAlign w:val="bottom"/>
          </w:tcPr>
          <w:p>
            <w:pPr>
              <w:ind w:left="20"/>
              <w:spacing w:after="0"/>
              <w:rPr>
                <w:sz w:val="20"/>
                <w:szCs w:val="20"/>
                <w:color w:val="auto"/>
              </w:rPr>
            </w:pPr>
            <w:r>
              <w:rPr>
                <w:rFonts w:ascii="Arial" w:cs="Arial" w:eastAsia="Arial" w:hAnsi="Arial"/>
                <w:sz w:val="17"/>
                <w:szCs w:val="17"/>
                <w:color w:val="auto"/>
              </w:rPr>
              <w:t>Net (loss) income margin</w:t>
            </w:r>
          </w:p>
        </w:tc>
        <w:tc>
          <w:tcPr>
            <w:tcW w:w="460" w:type="dxa"/>
            <w:vAlign w:val="bottom"/>
          </w:tcPr>
          <w:p>
            <w:pPr>
              <w:spacing w:after="0"/>
              <w:rPr>
                <w:sz w:val="21"/>
                <w:szCs w:val="21"/>
                <w:color w:val="auto"/>
              </w:rPr>
            </w:pPr>
          </w:p>
        </w:tc>
        <w:tc>
          <w:tcPr>
            <w:tcW w:w="2780" w:type="dxa"/>
            <w:vAlign w:val="bottom"/>
          </w:tcPr>
          <w:p>
            <w:pPr>
              <w:jc w:val="right"/>
              <w:spacing w:after="0"/>
              <w:rPr>
                <w:sz w:val="20"/>
                <w:szCs w:val="20"/>
                <w:color w:val="auto"/>
              </w:rPr>
            </w:pPr>
            <w:r>
              <w:rPr>
                <w:rFonts w:ascii="Arial" w:cs="Arial" w:eastAsia="Arial" w:hAnsi="Arial"/>
                <w:sz w:val="17"/>
                <w:szCs w:val="17"/>
                <w:color w:val="auto"/>
              </w:rPr>
              <w:t>(19)%</w:t>
            </w:r>
          </w:p>
        </w:tc>
      </w:tr>
      <w:tr>
        <w:trPr>
          <w:trHeight w:val="270"/>
        </w:trPr>
        <w:tc>
          <w:tcPr>
            <w:tcW w:w="8020" w:type="dxa"/>
            <w:vAlign w:val="bottom"/>
            <w:shd w:val="clear" w:color="auto" w:fill="CCEEFF"/>
          </w:tcPr>
          <w:p>
            <w:pPr>
              <w:ind w:left="20"/>
              <w:spacing w:after="0"/>
              <w:rPr>
                <w:sz w:val="20"/>
                <w:szCs w:val="20"/>
                <w:color w:val="auto"/>
              </w:rPr>
            </w:pPr>
            <w:r>
              <w:rPr>
                <w:rFonts w:ascii="Arial" w:cs="Arial" w:eastAsia="Arial" w:hAnsi="Arial"/>
                <w:sz w:val="17"/>
                <w:szCs w:val="17"/>
                <w:color w:val="auto"/>
              </w:rPr>
              <w:t>Add:</w:t>
            </w:r>
          </w:p>
        </w:tc>
        <w:tc>
          <w:tcPr>
            <w:tcW w:w="460" w:type="dxa"/>
            <w:vAlign w:val="bottom"/>
            <w:shd w:val="clear" w:color="auto" w:fill="CCEEFF"/>
          </w:tcPr>
          <w:p>
            <w:pPr>
              <w:spacing w:after="0"/>
              <w:rPr>
                <w:sz w:val="23"/>
                <w:szCs w:val="23"/>
                <w:color w:val="auto"/>
              </w:rPr>
            </w:pPr>
          </w:p>
        </w:tc>
        <w:tc>
          <w:tcPr>
            <w:tcW w:w="2780" w:type="dxa"/>
            <w:vAlign w:val="bottom"/>
            <w:shd w:val="clear" w:color="auto" w:fill="CCEEFF"/>
          </w:tcPr>
          <w:p>
            <w:pPr>
              <w:spacing w:after="0"/>
              <w:rPr>
                <w:sz w:val="23"/>
                <w:szCs w:val="23"/>
                <w:color w:val="auto"/>
              </w:rPr>
            </w:pPr>
          </w:p>
        </w:tc>
      </w:tr>
      <w:tr>
        <w:trPr>
          <w:trHeight w:val="251"/>
        </w:trPr>
        <w:tc>
          <w:tcPr>
            <w:tcW w:w="8020" w:type="dxa"/>
            <w:vAlign w:val="bottom"/>
          </w:tcPr>
          <w:p>
            <w:pPr>
              <w:ind w:left="20"/>
              <w:spacing w:after="0"/>
              <w:rPr>
                <w:sz w:val="20"/>
                <w:szCs w:val="20"/>
                <w:color w:val="auto"/>
              </w:rPr>
            </w:pPr>
            <w:r>
              <w:rPr>
                <w:rFonts w:ascii="Arial" w:cs="Arial" w:eastAsia="Arial" w:hAnsi="Arial"/>
                <w:sz w:val="17"/>
                <w:szCs w:val="17"/>
                <w:color w:val="auto"/>
              </w:rPr>
              <w:t>Provision for income taxes</w:t>
            </w:r>
          </w:p>
        </w:tc>
        <w:tc>
          <w:tcPr>
            <w:tcW w:w="460" w:type="dxa"/>
            <w:vAlign w:val="bottom"/>
          </w:tcPr>
          <w:p>
            <w:pPr>
              <w:spacing w:after="0"/>
              <w:rPr>
                <w:sz w:val="21"/>
                <w:szCs w:val="21"/>
                <w:color w:val="auto"/>
              </w:rPr>
            </w:pPr>
          </w:p>
        </w:tc>
        <w:tc>
          <w:tcPr>
            <w:tcW w:w="2780" w:type="dxa"/>
            <w:vAlign w:val="bottom"/>
          </w:tcPr>
          <w:p>
            <w:pPr>
              <w:jc w:val="right"/>
              <w:ind w:right="139"/>
              <w:spacing w:after="0"/>
              <w:rPr>
                <w:sz w:val="20"/>
                <w:szCs w:val="20"/>
                <w:color w:val="auto"/>
              </w:rPr>
            </w:pPr>
            <w:r>
              <w:rPr>
                <w:rFonts w:ascii="Arial" w:cs="Arial" w:eastAsia="Arial" w:hAnsi="Arial"/>
                <w:sz w:val="17"/>
                <w:szCs w:val="17"/>
                <w:color w:val="auto"/>
              </w:rPr>
              <w:t>2,065</w:t>
            </w:r>
          </w:p>
        </w:tc>
      </w:tr>
      <w:tr>
        <w:trPr>
          <w:trHeight w:val="270"/>
        </w:trPr>
        <w:tc>
          <w:tcPr>
            <w:tcW w:w="8020" w:type="dxa"/>
            <w:vAlign w:val="bottom"/>
            <w:shd w:val="clear" w:color="auto" w:fill="CCEEFF"/>
          </w:tcPr>
          <w:p>
            <w:pPr>
              <w:ind w:left="20"/>
              <w:spacing w:after="0"/>
              <w:rPr>
                <w:sz w:val="20"/>
                <w:szCs w:val="20"/>
                <w:color w:val="auto"/>
              </w:rPr>
            </w:pPr>
            <w:r>
              <w:rPr>
                <w:rFonts w:ascii="Arial" w:cs="Arial" w:eastAsia="Arial" w:hAnsi="Arial"/>
                <w:sz w:val="17"/>
                <w:szCs w:val="17"/>
                <w:color w:val="auto"/>
              </w:rPr>
              <w:t>Interest and other expenses, net</w:t>
            </w:r>
          </w:p>
        </w:tc>
        <w:tc>
          <w:tcPr>
            <w:tcW w:w="460" w:type="dxa"/>
            <w:vAlign w:val="bottom"/>
            <w:shd w:val="clear" w:color="auto" w:fill="CCEEFF"/>
          </w:tcPr>
          <w:p>
            <w:pPr>
              <w:spacing w:after="0"/>
              <w:rPr>
                <w:sz w:val="23"/>
                <w:szCs w:val="23"/>
                <w:color w:val="auto"/>
              </w:rPr>
            </w:pPr>
          </w:p>
        </w:tc>
        <w:tc>
          <w:tcPr>
            <w:tcW w:w="2780" w:type="dxa"/>
            <w:vAlign w:val="bottom"/>
            <w:shd w:val="clear" w:color="auto" w:fill="CCEEFF"/>
          </w:tcPr>
          <w:p>
            <w:pPr>
              <w:jc w:val="right"/>
              <w:ind w:right="139"/>
              <w:spacing w:after="0"/>
              <w:rPr>
                <w:sz w:val="20"/>
                <w:szCs w:val="20"/>
                <w:color w:val="auto"/>
              </w:rPr>
            </w:pPr>
            <w:r>
              <w:rPr>
                <w:rFonts w:ascii="Arial" w:cs="Arial" w:eastAsia="Arial" w:hAnsi="Arial"/>
                <w:sz w:val="17"/>
                <w:szCs w:val="17"/>
                <w:color w:val="auto"/>
              </w:rPr>
              <w:t>1,955</w:t>
            </w:r>
          </w:p>
        </w:tc>
      </w:tr>
      <w:tr>
        <w:trPr>
          <w:trHeight w:val="251"/>
        </w:trPr>
        <w:tc>
          <w:tcPr>
            <w:tcW w:w="8020" w:type="dxa"/>
            <w:vAlign w:val="bottom"/>
          </w:tcPr>
          <w:p>
            <w:pPr>
              <w:ind w:left="20"/>
              <w:spacing w:after="0"/>
              <w:rPr>
                <w:sz w:val="20"/>
                <w:szCs w:val="20"/>
                <w:color w:val="auto"/>
              </w:rPr>
            </w:pPr>
            <w:r>
              <w:rPr>
                <w:rFonts w:ascii="Arial" w:cs="Arial" w:eastAsia="Arial" w:hAnsi="Arial"/>
                <w:sz w:val="17"/>
                <w:szCs w:val="17"/>
                <w:color w:val="auto"/>
              </w:rPr>
              <w:t>Depreciation and amortization</w:t>
            </w:r>
          </w:p>
        </w:tc>
        <w:tc>
          <w:tcPr>
            <w:tcW w:w="460" w:type="dxa"/>
            <w:vAlign w:val="bottom"/>
          </w:tcPr>
          <w:p>
            <w:pPr>
              <w:spacing w:after="0"/>
              <w:rPr>
                <w:sz w:val="21"/>
                <w:szCs w:val="21"/>
                <w:color w:val="auto"/>
              </w:rPr>
            </w:pPr>
          </w:p>
        </w:tc>
        <w:tc>
          <w:tcPr>
            <w:tcW w:w="2780" w:type="dxa"/>
            <w:vAlign w:val="bottom"/>
          </w:tcPr>
          <w:p>
            <w:pPr>
              <w:jc w:val="right"/>
              <w:ind w:right="139"/>
              <w:spacing w:after="0"/>
              <w:rPr>
                <w:sz w:val="20"/>
                <w:szCs w:val="20"/>
                <w:color w:val="auto"/>
              </w:rPr>
            </w:pPr>
            <w:r>
              <w:rPr>
                <w:rFonts w:ascii="Arial" w:cs="Arial" w:eastAsia="Arial" w:hAnsi="Arial"/>
                <w:sz w:val="17"/>
                <w:szCs w:val="17"/>
                <w:color w:val="auto"/>
              </w:rPr>
              <w:t>1,582</w:t>
            </w:r>
          </w:p>
        </w:tc>
      </w:tr>
      <w:tr>
        <w:trPr>
          <w:trHeight w:val="261"/>
        </w:trPr>
        <w:tc>
          <w:tcPr>
            <w:tcW w:w="8020" w:type="dxa"/>
            <w:vAlign w:val="bottom"/>
            <w:shd w:val="clear" w:color="auto" w:fill="CCEEFF"/>
          </w:tcPr>
          <w:p>
            <w:pPr>
              <w:ind w:left="20"/>
              <w:spacing w:after="0"/>
              <w:rPr>
                <w:sz w:val="20"/>
                <w:szCs w:val="20"/>
                <w:color w:val="auto"/>
              </w:rPr>
            </w:pPr>
            <w:r>
              <w:rPr>
                <w:rFonts w:ascii="Arial" w:cs="Arial" w:eastAsia="Arial" w:hAnsi="Arial"/>
                <w:sz w:val="17"/>
                <w:szCs w:val="17"/>
                <w:color w:val="auto"/>
              </w:rPr>
              <w:t>Stock-based compensation</w:t>
            </w:r>
          </w:p>
        </w:tc>
        <w:tc>
          <w:tcPr>
            <w:tcW w:w="460" w:type="dxa"/>
            <w:vAlign w:val="bottom"/>
            <w:tcBorders>
              <w:bottom w:val="single" w:sz="8" w:color="auto"/>
            </w:tcBorders>
            <w:shd w:val="clear" w:color="auto" w:fill="CCEEFF"/>
          </w:tcPr>
          <w:p>
            <w:pPr>
              <w:spacing w:after="0"/>
              <w:rPr>
                <w:sz w:val="22"/>
                <w:szCs w:val="22"/>
                <w:color w:val="auto"/>
              </w:rPr>
            </w:pPr>
          </w:p>
        </w:tc>
        <w:tc>
          <w:tcPr>
            <w:tcW w:w="278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7"/>
                <w:szCs w:val="17"/>
                <w:color w:val="auto"/>
              </w:rPr>
              <w:t>14,048</w:t>
            </w:r>
          </w:p>
        </w:tc>
      </w:tr>
      <w:tr>
        <w:trPr>
          <w:trHeight w:val="252"/>
        </w:trPr>
        <w:tc>
          <w:tcPr>
            <w:tcW w:w="802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Adjusted EBITDA</w:t>
            </w:r>
          </w:p>
        </w:tc>
        <w:tc>
          <w:tcPr>
            <w:tcW w:w="460" w:type="dxa"/>
            <w:vAlign w:val="bottom"/>
            <w:tcBorders>
              <w:bottom w:val="single" w:sz="8" w:color="auto"/>
            </w:tcBorders>
          </w:tcPr>
          <w:p>
            <w:pPr>
              <w:jc w:val="right"/>
              <w:ind w:right="273"/>
              <w:spacing w:after="0"/>
              <w:rPr>
                <w:sz w:val="20"/>
                <w:szCs w:val="20"/>
                <w:color w:val="auto"/>
              </w:rPr>
            </w:pPr>
            <w:r>
              <w:rPr>
                <w:rFonts w:ascii="Arial" w:cs="Arial" w:eastAsia="Arial" w:hAnsi="Arial"/>
                <w:sz w:val="17"/>
                <w:szCs w:val="17"/>
                <w:color w:val="auto"/>
                <w:w w:val="84"/>
              </w:rPr>
              <w:t>$</w:t>
            </w:r>
          </w:p>
        </w:tc>
        <w:tc>
          <w:tcPr>
            <w:tcW w:w="2780" w:type="dxa"/>
            <w:vAlign w:val="bottom"/>
            <w:tcBorders>
              <w:bottom w:val="single" w:sz="8" w:color="auto"/>
            </w:tcBorders>
          </w:tcPr>
          <w:p>
            <w:pPr>
              <w:jc w:val="right"/>
              <w:ind w:right="139"/>
              <w:spacing w:after="0"/>
              <w:rPr>
                <w:sz w:val="20"/>
                <w:szCs w:val="20"/>
                <w:color w:val="auto"/>
              </w:rPr>
            </w:pPr>
            <w:r>
              <w:rPr>
                <w:rFonts w:ascii="Arial" w:cs="Arial" w:eastAsia="Arial" w:hAnsi="Arial"/>
                <w:sz w:val="17"/>
                <w:szCs w:val="17"/>
                <w:color w:val="auto"/>
              </w:rPr>
              <w:t>11,656</w:t>
            </w:r>
          </w:p>
        </w:tc>
      </w:tr>
      <w:tr>
        <w:trPr>
          <w:trHeight w:val="285"/>
        </w:trPr>
        <w:tc>
          <w:tcPr>
            <w:tcW w:w="8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Adjusted EBITDA margin</w:t>
            </w:r>
          </w:p>
        </w:tc>
        <w:tc>
          <w:tcPr>
            <w:tcW w:w="460" w:type="dxa"/>
            <w:vAlign w:val="bottom"/>
            <w:tcBorders>
              <w:bottom w:val="single" w:sz="8" w:color="auto"/>
            </w:tcBorders>
            <w:shd w:val="clear" w:color="auto" w:fill="CCEEFF"/>
          </w:tcPr>
          <w:p>
            <w:pPr>
              <w:spacing w:after="0"/>
              <w:rPr>
                <w:sz w:val="24"/>
                <w:szCs w:val="24"/>
                <w:color w:val="auto"/>
              </w:rPr>
            </w:pPr>
          </w:p>
        </w:tc>
        <w:tc>
          <w:tcPr>
            <w:tcW w:w="2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27 %</w:t>
            </w:r>
          </w:p>
        </w:tc>
      </w:tr>
      <w:tr>
        <w:trPr>
          <w:trHeight w:val="20"/>
        </w:trPr>
        <w:tc>
          <w:tcPr>
            <w:tcW w:w="802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2780" w:type="dxa"/>
            <w:vAlign w:val="bottom"/>
            <w:tcBorders>
              <w:top w:val="single" w:sz="8" w:color="CCEEFF"/>
              <w:bottom w:val="single" w:sz="8" w:color="auto"/>
            </w:tcBorders>
          </w:tcPr>
          <w:p>
            <w:pPr>
              <w:spacing w:after="0" w:line="20" w:lineRule="exact"/>
              <w:rPr>
                <w:sz w:val="1"/>
                <w:szCs w:val="1"/>
                <w:color w:val="auto"/>
              </w:rPr>
            </w:pPr>
          </w:p>
        </w:tc>
      </w:tr>
      <w:tr>
        <w:trPr>
          <w:trHeight w:val="20"/>
        </w:trPr>
        <w:tc>
          <w:tcPr>
            <w:tcW w:w="80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2780" w:type="dxa"/>
            <w:vAlign w:val="bottom"/>
            <w:tcBorders>
              <w:bottom w:val="single" w:sz="8" w:color="auto"/>
            </w:tcBorders>
          </w:tcPr>
          <w:p>
            <w:pPr>
              <w:spacing w:after="0" w:line="20" w:lineRule="exact"/>
              <w:rPr>
                <w:sz w:val="1"/>
                <w:szCs w:val="1"/>
                <w:color w:val="auto"/>
              </w:rPr>
            </w:pPr>
          </w:p>
        </w:tc>
      </w:tr>
      <w:tr>
        <w:trPr>
          <w:trHeight w:val="446"/>
        </w:trPr>
        <w:tc>
          <w:tcPr>
            <w:tcW w:w="8020" w:type="dxa"/>
            <w:vAlign w:val="bottom"/>
          </w:tcPr>
          <w:p>
            <w:pPr>
              <w:spacing w:after="0"/>
              <w:rPr>
                <w:sz w:val="20"/>
                <w:szCs w:val="20"/>
                <w:color w:val="auto"/>
              </w:rPr>
            </w:pPr>
            <w:r>
              <w:rPr>
                <w:rFonts w:ascii="Arial" w:cs="Arial" w:eastAsia="Arial" w:hAnsi="Arial"/>
                <w:sz w:val="16"/>
                <w:szCs w:val="16"/>
                <w:i w:val="1"/>
                <w:iCs w:val="1"/>
                <w:color w:val="auto"/>
              </w:rPr>
              <w:t>Non-GAAP Net Income and Non-GAAP Net Income Margin</w:t>
            </w:r>
          </w:p>
        </w:tc>
        <w:tc>
          <w:tcPr>
            <w:tcW w:w="460" w:type="dxa"/>
            <w:vAlign w:val="bottom"/>
          </w:tcPr>
          <w:p>
            <w:pPr>
              <w:spacing w:after="0"/>
              <w:rPr>
                <w:sz w:val="24"/>
                <w:szCs w:val="24"/>
                <w:color w:val="auto"/>
              </w:rPr>
            </w:pPr>
          </w:p>
        </w:tc>
        <w:tc>
          <w:tcPr>
            <w:tcW w:w="2780" w:type="dxa"/>
            <w:vAlign w:val="bottom"/>
          </w:tcPr>
          <w:p>
            <w:pPr>
              <w:spacing w:after="0"/>
              <w:rPr>
                <w:sz w:val="24"/>
                <w:szCs w:val="24"/>
                <w:color w:val="auto"/>
              </w:rPr>
            </w:pPr>
          </w:p>
        </w:tc>
      </w:tr>
      <w:tr>
        <w:trPr>
          <w:trHeight w:val="29"/>
        </w:trPr>
        <w:tc>
          <w:tcPr>
            <w:tcW w:w="802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2780" w:type="dxa"/>
            <w:vAlign w:val="bottom"/>
            <w:tcBorders>
              <w:bottom w:val="single" w:sz="8" w:color="auto"/>
            </w:tcBorders>
          </w:tcPr>
          <w:p>
            <w:pPr>
              <w:spacing w:after="0"/>
              <w:rPr>
                <w:sz w:val="2"/>
                <w:szCs w:val="2"/>
                <w:color w:val="auto"/>
              </w:rPr>
            </w:pPr>
          </w:p>
        </w:tc>
      </w:tr>
      <w:tr>
        <w:trPr>
          <w:trHeight w:val="180"/>
        </w:trPr>
        <w:tc>
          <w:tcPr>
            <w:tcW w:w="80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2780" w:type="dxa"/>
            <w:vAlign w:val="bottom"/>
          </w:tcPr>
          <w:p>
            <w:pPr>
              <w:jc w:val="center"/>
              <w:ind w:right="379"/>
              <w:spacing w:after="0"/>
              <w:rPr>
                <w:sz w:val="20"/>
                <w:szCs w:val="20"/>
                <w:color w:val="auto"/>
              </w:rPr>
            </w:pPr>
            <w:r>
              <w:rPr>
                <w:rFonts w:ascii="Arial" w:cs="Arial" w:eastAsia="Arial" w:hAnsi="Arial"/>
                <w:sz w:val="13"/>
                <w:szCs w:val="13"/>
                <w:b w:val="1"/>
                <w:bCs w:val="1"/>
                <w:color w:val="auto"/>
                <w:w w:val="87"/>
              </w:rPr>
              <w:t>Three months ended June 30,</w:t>
            </w:r>
          </w:p>
        </w:tc>
      </w:tr>
      <w:tr>
        <w:trPr>
          <w:trHeight w:val="21"/>
        </w:trPr>
        <w:tc>
          <w:tcPr>
            <w:tcW w:w="80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2780" w:type="dxa"/>
            <w:vAlign w:val="bottom"/>
            <w:tcBorders>
              <w:bottom w:val="single" w:sz="8" w:color="auto"/>
            </w:tcBorders>
          </w:tcPr>
          <w:p>
            <w:pPr>
              <w:spacing w:after="0" w:line="20" w:lineRule="exact"/>
              <w:rPr>
                <w:sz w:val="1"/>
                <w:szCs w:val="1"/>
                <w:color w:val="auto"/>
              </w:rPr>
            </w:pPr>
          </w:p>
        </w:tc>
      </w:tr>
      <w:tr>
        <w:trPr>
          <w:trHeight w:val="172"/>
        </w:trPr>
        <w:tc>
          <w:tcPr>
            <w:tcW w:w="80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780" w:type="dxa"/>
            <w:vAlign w:val="bottom"/>
          </w:tcPr>
          <w:p>
            <w:pPr>
              <w:jc w:val="center"/>
              <w:ind w:right="379"/>
              <w:spacing w:after="0"/>
              <w:rPr>
                <w:sz w:val="20"/>
                <w:szCs w:val="20"/>
                <w:color w:val="auto"/>
              </w:rPr>
            </w:pPr>
            <w:r>
              <w:rPr>
                <w:rFonts w:ascii="Arial" w:cs="Arial" w:eastAsia="Arial" w:hAnsi="Arial"/>
                <w:sz w:val="13"/>
                <w:szCs w:val="13"/>
                <w:b w:val="1"/>
                <w:bCs w:val="1"/>
                <w:color w:val="auto"/>
                <w:w w:val="82"/>
              </w:rPr>
              <w:t>2022</w:t>
            </w:r>
          </w:p>
        </w:tc>
      </w:tr>
      <w:tr>
        <w:trPr>
          <w:trHeight w:val="21"/>
        </w:trPr>
        <w:tc>
          <w:tcPr>
            <w:tcW w:w="802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2780" w:type="dxa"/>
            <w:vAlign w:val="bottom"/>
            <w:tcBorders>
              <w:bottom w:val="single" w:sz="8" w:color="auto"/>
            </w:tcBorders>
          </w:tcPr>
          <w:p>
            <w:pPr>
              <w:spacing w:after="0" w:line="20" w:lineRule="exact"/>
              <w:rPr>
                <w:sz w:val="1"/>
                <w:szCs w:val="1"/>
                <w:color w:val="auto"/>
              </w:rPr>
            </w:pPr>
          </w:p>
        </w:tc>
      </w:tr>
      <w:tr>
        <w:trPr>
          <w:trHeight w:val="252"/>
        </w:trPr>
        <w:tc>
          <w:tcPr>
            <w:tcW w:w="8020" w:type="dxa"/>
            <w:vAlign w:val="bottom"/>
            <w:shd w:val="clear" w:color="auto" w:fill="CCEEFF"/>
          </w:tcPr>
          <w:p>
            <w:pPr>
              <w:ind w:left="20"/>
              <w:spacing w:after="0"/>
              <w:rPr>
                <w:sz w:val="20"/>
                <w:szCs w:val="20"/>
                <w:color w:val="auto"/>
              </w:rPr>
            </w:pPr>
            <w:r>
              <w:rPr>
                <w:rFonts w:ascii="Arial" w:cs="Arial" w:eastAsia="Arial" w:hAnsi="Arial"/>
                <w:sz w:val="17"/>
                <w:szCs w:val="17"/>
                <w:color w:val="auto"/>
              </w:rPr>
              <w:t>Net (loss) income</w:t>
            </w:r>
          </w:p>
        </w:tc>
        <w:tc>
          <w:tcPr>
            <w:tcW w:w="460" w:type="dxa"/>
            <w:vAlign w:val="bottom"/>
            <w:shd w:val="clear" w:color="auto" w:fill="CCEEFF"/>
          </w:tcPr>
          <w:p>
            <w:pPr>
              <w:jc w:val="right"/>
              <w:ind w:right="273"/>
              <w:spacing w:after="0"/>
              <w:rPr>
                <w:sz w:val="20"/>
                <w:szCs w:val="20"/>
                <w:color w:val="auto"/>
              </w:rPr>
            </w:pPr>
            <w:r>
              <w:rPr>
                <w:rFonts w:ascii="Arial" w:cs="Arial" w:eastAsia="Arial" w:hAnsi="Arial"/>
                <w:sz w:val="17"/>
                <w:szCs w:val="17"/>
                <w:color w:val="auto"/>
                <w:w w:val="84"/>
              </w:rPr>
              <w:t>$</w:t>
            </w:r>
          </w:p>
        </w:tc>
        <w:tc>
          <w:tcPr>
            <w:tcW w:w="2780" w:type="dxa"/>
            <w:vAlign w:val="bottom"/>
            <w:shd w:val="clear" w:color="auto" w:fill="CCEEFF"/>
          </w:tcPr>
          <w:p>
            <w:pPr>
              <w:jc w:val="right"/>
              <w:ind w:right="99"/>
              <w:spacing w:after="0"/>
              <w:rPr>
                <w:sz w:val="20"/>
                <w:szCs w:val="20"/>
                <w:color w:val="auto"/>
              </w:rPr>
            </w:pPr>
            <w:r>
              <w:rPr>
                <w:rFonts w:ascii="Arial" w:cs="Arial" w:eastAsia="Arial" w:hAnsi="Arial"/>
                <w:sz w:val="17"/>
                <w:szCs w:val="17"/>
                <w:color w:val="auto"/>
              </w:rPr>
              <w:t>(7,994)</w:t>
            </w:r>
          </w:p>
        </w:tc>
      </w:tr>
      <w:tr>
        <w:trPr>
          <w:trHeight w:val="251"/>
        </w:trPr>
        <w:tc>
          <w:tcPr>
            <w:tcW w:w="8020" w:type="dxa"/>
            <w:vAlign w:val="bottom"/>
          </w:tcPr>
          <w:p>
            <w:pPr>
              <w:ind w:left="20"/>
              <w:spacing w:after="0"/>
              <w:rPr>
                <w:sz w:val="20"/>
                <w:szCs w:val="20"/>
                <w:color w:val="auto"/>
              </w:rPr>
            </w:pPr>
            <w:r>
              <w:rPr>
                <w:rFonts w:ascii="Arial" w:cs="Arial" w:eastAsia="Arial" w:hAnsi="Arial"/>
                <w:sz w:val="17"/>
                <w:szCs w:val="17"/>
                <w:color w:val="auto"/>
              </w:rPr>
              <w:t>Net (loss) income margin</w:t>
            </w:r>
          </w:p>
        </w:tc>
        <w:tc>
          <w:tcPr>
            <w:tcW w:w="460" w:type="dxa"/>
            <w:vAlign w:val="bottom"/>
          </w:tcPr>
          <w:p>
            <w:pPr>
              <w:spacing w:after="0"/>
              <w:rPr>
                <w:sz w:val="21"/>
                <w:szCs w:val="21"/>
                <w:color w:val="auto"/>
              </w:rPr>
            </w:pPr>
          </w:p>
        </w:tc>
        <w:tc>
          <w:tcPr>
            <w:tcW w:w="2780" w:type="dxa"/>
            <w:vAlign w:val="bottom"/>
          </w:tcPr>
          <w:p>
            <w:pPr>
              <w:jc w:val="right"/>
              <w:spacing w:after="0"/>
              <w:rPr>
                <w:sz w:val="20"/>
                <w:szCs w:val="20"/>
                <w:color w:val="auto"/>
              </w:rPr>
            </w:pPr>
            <w:r>
              <w:rPr>
                <w:rFonts w:ascii="Arial" w:cs="Arial" w:eastAsia="Arial" w:hAnsi="Arial"/>
                <w:sz w:val="17"/>
                <w:szCs w:val="17"/>
                <w:color w:val="auto"/>
              </w:rPr>
              <w:t>(19)%</w:t>
            </w:r>
          </w:p>
        </w:tc>
      </w:tr>
      <w:tr>
        <w:trPr>
          <w:trHeight w:val="270"/>
        </w:trPr>
        <w:tc>
          <w:tcPr>
            <w:tcW w:w="8020" w:type="dxa"/>
            <w:vAlign w:val="bottom"/>
            <w:shd w:val="clear" w:color="auto" w:fill="CCEEFF"/>
          </w:tcPr>
          <w:p>
            <w:pPr>
              <w:ind w:left="20"/>
              <w:spacing w:after="0"/>
              <w:rPr>
                <w:sz w:val="20"/>
                <w:szCs w:val="20"/>
                <w:color w:val="auto"/>
              </w:rPr>
            </w:pPr>
            <w:r>
              <w:rPr>
                <w:rFonts w:ascii="Arial" w:cs="Arial" w:eastAsia="Arial" w:hAnsi="Arial"/>
                <w:sz w:val="17"/>
                <w:szCs w:val="17"/>
                <w:color w:val="auto"/>
              </w:rPr>
              <w:t>Add:</w:t>
            </w:r>
          </w:p>
        </w:tc>
        <w:tc>
          <w:tcPr>
            <w:tcW w:w="460" w:type="dxa"/>
            <w:vAlign w:val="bottom"/>
            <w:shd w:val="clear" w:color="auto" w:fill="CCEEFF"/>
          </w:tcPr>
          <w:p>
            <w:pPr>
              <w:spacing w:after="0"/>
              <w:rPr>
                <w:sz w:val="23"/>
                <w:szCs w:val="23"/>
                <w:color w:val="auto"/>
              </w:rPr>
            </w:pPr>
          </w:p>
        </w:tc>
        <w:tc>
          <w:tcPr>
            <w:tcW w:w="2780" w:type="dxa"/>
            <w:vAlign w:val="bottom"/>
            <w:shd w:val="clear" w:color="auto" w:fill="CCEEFF"/>
          </w:tcPr>
          <w:p>
            <w:pPr>
              <w:spacing w:after="0"/>
              <w:rPr>
                <w:sz w:val="23"/>
                <w:szCs w:val="23"/>
                <w:color w:val="auto"/>
              </w:rPr>
            </w:pPr>
          </w:p>
        </w:tc>
      </w:tr>
      <w:tr>
        <w:trPr>
          <w:trHeight w:val="251"/>
        </w:trPr>
        <w:tc>
          <w:tcPr>
            <w:tcW w:w="8020" w:type="dxa"/>
            <w:vAlign w:val="bottom"/>
          </w:tcPr>
          <w:p>
            <w:pPr>
              <w:ind w:left="20"/>
              <w:spacing w:after="0"/>
              <w:rPr>
                <w:sz w:val="20"/>
                <w:szCs w:val="20"/>
                <w:color w:val="auto"/>
              </w:rPr>
            </w:pPr>
            <w:r>
              <w:rPr>
                <w:rFonts w:ascii="Arial" w:cs="Arial" w:eastAsia="Arial" w:hAnsi="Arial"/>
                <w:sz w:val="17"/>
                <w:szCs w:val="17"/>
                <w:color w:val="auto"/>
              </w:rPr>
              <w:t>Stock-based compensation</w:t>
            </w:r>
          </w:p>
        </w:tc>
        <w:tc>
          <w:tcPr>
            <w:tcW w:w="460" w:type="dxa"/>
            <w:vAlign w:val="bottom"/>
          </w:tcPr>
          <w:p>
            <w:pPr>
              <w:spacing w:after="0"/>
              <w:rPr>
                <w:sz w:val="21"/>
                <w:szCs w:val="21"/>
                <w:color w:val="auto"/>
              </w:rPr>
            </w:pPr>
          </w:p>
        </w:tc>
        <w:tc>
          <w:tcPr>
            <w:tcW w:w="2780" w:type="dxa"/>
            <w:vAlign w:val="bottom"/>
          </w:tcPr>
          <w:p>
            <w:pPr>
              <w:jc w:val="right"/>
              <w:ind w:right="139"/>
              <w:spacing w:after="0"/>
              <w:rPr>
                <w:sz w:val="20"/>
                <w:szCs w:val="20"/>
                <w:color w:val="auto"/>
              </w:rPr>
            </w:pPr>
            <w:r>
              <w:rPr>
                <w:rFonts w:ascii="Arial" w:cs="Arial" w:eastAsia="Arial" w:hAnsi="Arial"/>
                <w:sz w:val="17"/>
                <w:szCs w:val="17"/>
                <w:color w:val="auto"/>
              </w:rPr>
              <w:t>14,048</w:t>
            </w:r>
          </w:p>
        </w:tc>
      </w:tr>
      <w:tr>
        <w:trPr>
          <w:trHeight w:val="261"/>
        </w:trPr>
        <w:tc>
          <w:tcPr>
            <w:tcW w:w="8020" w:type="dxa"/>
            <w:vAlign w:val="bottom"/>
            <w:shd w:val="clear" w:color="auto" w:fill="CCEEFF"/>
          </w:tcPr>
          <w:p>
            <w:pPr>
              <w:ind w:left="20"/>
              <w:spacing w:after="0"/>
              <w:rPr>
                <w:sz w:val="20"/>
                <w:szCs w:val="20"/>
                <w:color w:val="auto"/>
              </w:rPr>
            </w:pPr>
            <w:r>
              <w:rPr>
                <w:rFonts w:ascii="Arial" w:cs="Arial" w:eastAsia="Arial" w:hAnsi="Arial"/>
                <w:sz w:val="17"/>
                <w:szCs w:val="17"/>
                <w:color w:val="auto"/>
              </w:rPr>
              <w:t>IPO-related bonus expense</w:t>
            </w:r>
          </w:p>
        </w:tc>
        <w:tc>
          <w:tcPr>
            <w:tcW w:w="460" w:type="dxa"/>
            <w:vAlign w:val="bottom"/>
            <w:tcBorders>
              <w:bottom w:val="single" w:sz="8" w:color="auto"/>
            </w:tcBorders>
            <w:shd w:val="clear" w:color="auto" w:fill="CCEEFF"/>
          </w:tcPr>
          <w:p>
            <w:pPr>
              <w:spacing w:after="0"/>
              <w:rPr>
                <w:sz w:val="22"/>
                <w:szCs w:val="22"/>
                <w:color w:val="auto"/>
              </w:rPr>
            </w:pPr>
          </w:p>
        </w:tc>
        <w:tc>
          <w:tcPr>
            <w:tcW w:w="278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7"/>
                <w:szCs w:val="17"/>
                <w:color w:val="auto"/>
              </w:rPr>
              <w:t>—</w:t>
            </w:r>
          </w:p>
        </w:tc>
      </w:tr>
      <w:tr>
        <w:trPr>
          <w:trHeight w:val="252"/>
        </w:trPr>
        <w:tc>
          <w:tcPr>
            <w:tcW w:w="802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Non-GAAP net income</w:t>
            </w:r>
          </w:p>
        </w:tc>
        <w:tc>
          <w:tcPr>
            <w:tcW w:w="460" w:type="dxa"/>
            <w:vAlign w:val="bottom"/>
            <w:tcBorders>
              <w:bottom w:val="single" w:sz="8" w:color="auto"/>
            </w:tcBorders>
          </w:tcPr>
          <w:p>
            <w:pPr>
              <w:jc w:val="right"/>
              <w:ind w:right="273"/>
              <w:spacing w:after="0"/>
              <w:rPr>
                <w:sz w:val="20"/>
                <w:szCs w:val="20"/>
                <w:color w:val="auto"/>
              </w:rPr>
            </w:pPr>
            <w:r>
              <w:rPr>
                <w:rFonts w:ascii="Arial" w:cs="Arial" w:eastAsia="Arial" w:hAnsi="Arial"/>
                <w:sz w:val="17"/>
                <w:szCs w:val="17"/>
                <w:color w:val="auto"/>
                <w:w w:val="84"/>
              </w:rPr>
              <w:t>$</w:t>
            </w:r>
          </w:p>
        </w:tc>
        <w:tc>
          <w:tcPr>
            <w:tcW w:w="2780" w:type="dxa"/>
            <w:vAlign w:val="bottom"/>
            <w:tcBorders>
              <w:bottom w:val="single" w:sz="8" w:color="auto"/>
            </w:tcBorders>
          </w:tcPr>
          <w:p>
            <w:pPr>
              <w:jc w:val="right"/>
              <w:ind w:right="139"/>
              <w:spacing w:after="0"/>
              <w:rPr>
                <w:sz w:val="20"/>
                <w:szCs w:val="20"/>
                <w:color w:val="auto"/>
              </w:rPr>
            </w:pPr>
            <w:r>
              <w:rPr>
                <w:rFonts w:ascii="Arial" w:cs="Arial" w:eastAsia="Arial" w:hAnsi="Arial"/>
                <w:sz w:val="17"/>
                <w:szCs w:val="17"/>
                <w:color w:val="auto"/>
              </w:rPr>
              <w:t>6,054</w:t>
            </w:r>
          </w:p>
        </w:tc>
      </w:tr>
      <w:tr>
        <w:trPr>
          <w:trHeight w:val="285"/>
        </w:trPr>
        <w:tc>
          <w:tcPr>
            <w:tcW w:w="8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Non-GAAP net income margin</w:t>
            </w:r>
          </w:p>
        </w:tc>
        <w:tc>
          <w:tcPr>
            <w:tcW w:w="460" w:type="dxa"/>
            <w:vAlign w:val="bottom"/>
            <w:tcBorders>
              <w:bottom w:val="single" w:sz="8" w:color="auto"/>
            </w:tcBorders>
            <w:shd w:val="clear" w:color="auto" w:fill="CCEEFF"/>
          </w:tcPr>
          <w:p>
            <w:pPr>
              <w:spacing w:after="0"/>
              <w:rPr>
                <w:sz w:val="24"/>
                <w:szCs w:val="24"/>
                <w:color w:val="auto"/>
              </w:rPr>
            </w:pPr>
          </w:p>
        </w:tc>
        <w:tc>
          <w:tcPr>
            <w:tcW w:w="2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14 %</w:t>
            </w:r>
          </w:p>
        </w:tc>
      </w:tr>
      <w:tr>
        <w:trPr>
          <w:trHeight w:val="20"/>
        </w:trPr>
        <w:tc>
          <w:tcPr>
            <w:tcW w:w="802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2780" w:type="dxa"/>
            <w:vAlign w:val="bottom"/>
            <w:tcBorders>
              <w:top w:val="single" w:sz="8" w:color="CCEEFF"/>
              <w:bottom w:val="single" w:sz="8" w:color="auto"/>
            </w:tcBorders>
          </w:tcPr>
          <w:p>
            <w:pPr>
              <w:spacing w:after="0" w:line="20" w:lineRule="exact"/>
              <w:rPr>
                <w:sz w:val="1"/>
                <w:szCs w:val="1"/>
                <w:color w:val="auto"/>
              </w:rPr>
            </w:pPr>
          </w:p>
        </w:tc>
      </w:tr>
      <w:tr>
        <w:trPr>
          <w:trHeight w:val="20"/>
        </w:trPr>
        <w:tc>
          <w:tcPr>
            <w:tcW w:w="80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2780" w:type="dxa"/>
            <w:vAlign w:val="bottom"/>
            <w:tcBorders>
              <w:bottom w:val="single" w:sz="8" w:color="auto"/>
            </w:tcBorders>
          </w:tcPr>
          <w:p>
            <w:pPr>
              <w:spacing w:after="0" w:line="20" w:lineRule="exact"/>
              <w:rPr>
                <w:sz w:val="1"/>
                <w:szCs w:val="1"/>
                <w:color w:val="auto"/>
              </w:rPr>
            </w:pPr>
          </w:p>
        </w:tc>
      </w:tr>
    </w:tbl>
    <w:p>
      <w:pPr>
        <w:sectPr>
          <w:pgSz w:w="11900" w:h="16838" w:orient="portrait"/>
          <w:cols w:equalWidth="0" w:num="1">
            <w:col w:w="11260"/>
          </w:cols>
          <w:pgMar w:left="320" w:top="339" w:right="319" w:bottom="1440" w:gutter="0" w:footer="0" w:header="0"/>
        </w:sectPr>
      </w:pPr>
    </w:p>
    <w:bookmarkStart w:id="11" w:name="page12"/>
    <w:bookmarkEnd w:id="11"/>
    <w:p>
      <w:pPr>
        <w:jc w:val="right"/>
        <w:spacing w:after="0"/>
        <w:rPr>
          <w:sz w:val="20"/>
          <w:szCs w:val="20"/>
          <w:color w:val="auto"/>
        </w:rPr>
      </w:pPr>
      <w:r>
        <w:rPr>
          <w:rFonts w:ascii="Arial" w:cs="Arial" w:eastAsia="Arial" w:hAnsi="Arial"/>
          <w:sz w:val="19"/>
          <w:szCs w:val="19"/>
          <w:b w:val="1"/>
          <w:bCs w:val="1"/>
          <w:color w:val="auto"/>
        </w:rPr>
        <w:t>Exhibit 99.2</w:t>
      </w:r>
    </w:p>
    <w:p>
      <w:pPr>
        <w:spacing w:after="0" w:line="28" w:lineRule="exact"/>
        <w:rPr>
          <w:sz w:val="20"/>
          <w:szCs w:val="20"/>
          <w:color w:val="auto"/>
        </w:rPr>
      </w:pPr>
    </w:p>
    <w:p>
      <w:pPr>
        <w:jc w:val="center"/>
        <w:ind w:right="1120"/>
        <w:spacing w:after="0"/>
        <w:rPr>
          <w:sz w:val="20"/>
          <w:szCs w:val="20"/>
          <w:color w:val="auto"/>
        </w:rPr>
      </w:pPr>
      <w:r>
        <w:rPr>
          <w:rFonts w:ascii="Arial" w:cs="Arial" w:eastAsia="Arial" w:hAnsi="Arial"/>
          <w:sz w:val="19"/>
          <w:szCs w:val="19"/>
          <w:b w:val="1"/>
          <w:bCs w:val="1"/>
          <w:color w:val="auto"/>
        </w:rPr>
        <w:t>Expensify, Inc.</w:t>
      </w:r>
    </w:p>
    <w:p>
      <w:pPr>
        <w:spacing w:after="0" w:line="6" w:lineRule="exact"/>
        <w:rPr>
          <w:sz w:val="20"/>
          <w:szCs w:val="20"/>
          <w:color w:val="auto"/>
        </w:rPr>
      </w:pPr>
    </w:p>
    <w:p>
      <w:pPr>
        <w:jc w:val="center"/>
        <w:ind w:right="1120"/>
        <w:spacing w:after="0"/>
        <w:rPr>
          <w:sz w:val="20"/>
          <w:szCs w:val="20"/>
          <w:color w:val="auto"/>
        </w:rPr>
      </w:pPr>
      <w:r>
        <w:rPr>
          <w:rFonts w:ascii="Arial" w:cs="Arial" w:eastAsia="Arial" w:hAnsi="Arial"/>
          <w:sz w:val="17"/>
          <w:szCs w:val="17"/>
          <w:b w:val="1"/>
          <w:bCs w:val="1"/>
          <w:color w:val="auto"/>
        </w:rPr>
        <w:t>Investor Presentation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-713740</wp:posOffset>
            </wp:positionH>
            <wp:positionV relativeFrom="paragraph">
              <wp:posOffset>441325</wp:posOffset>
            </wp:positionV>
            <wp:extent cx="7204075" cy="405511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04075" cy="40551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ind w:left="4460"/>
        <w:spacing w:after="0"/>
        <w:rPr>
          <w:sz w:val="20"/>
          <w:szCs w:val="20"/>
          <w:color w:val="auto"/>
        </w:rPr>
      </w:pPr>
      <w:r>
        <w:rPr>
          <w:rFonts w:ascii="Arial" w:cs="Arial" w:eastAsia="Arial" w:hAnsi="Arial"/>
          <w:sz w:val="19"/>
          <w:szCs w:val="19"/>
          <w:color w:val="auto"/>
        </w:rPr>
        <w:t>1</w:t>
      </w:r>
    </w:p>
    <w:p>
      <w:pPr>
        <w:sectPr>
          <w:pgSz w:w="11900" w:h="16838" w:orient="portrait"/>
          <w:cols w:equalWidth="0" w:num="1">
            <w:col w:w="10140"/>
          </w:cols>
          <w:pgMar w:left="1440" w:top="126" w:right="319" w:bottom="1440" w:gutter="0" w:footer="0" w:header="0"/>
        </w:sectPr>
      </w:pPr>
    </w:p>
    <w:bookmarkStart w:id="12" w:name="page13"/>
    <w:bookmarkEnd w:id="12"/>
    <w:p>
      <w:pPr>
        <w:jc w:val="right"/>
        <w:spacing w:after="0"/>
        <w:rPr>
          <w:sz w:val="20"/>
          <w:szCs w:val="20"/>
          <w:color w:val="auto"/>
        </w:rPr>
      </w:pPr>
      <w:r>
        <w:rPr>
          <w:rFonts w:ascii="Arial" w:cs="Arial" w:eastAsia="Arial" w:hAnsi="Arial"/>
          <w:sz w:val="19"/>
          <w:szCs w:val="19"/>
          <w:b w:val="1"/>
          <w:bCs w:val="1"/>
          <w:color w:val="auto"/>
        </w:rPr>
        <w:t>Exhibit 99.2</w:t>
      </w:r>
    </w:p>
    <w:p>
      <w:pPr>
        <w:spacing w:after="0" w:line="28" w:lineRule="exact"/>
        <w:rPr>
          <w:sz w:val="20"/>
          <w:szCs w:val="20"/>
          <w:color w:val="auto"/>
        </w:rPr>
      </w:pPr>
    </w:p>
    <w:p>
      <w:pPr>
        <w:jc w:val="center"/>
        <w:ind w:right="1120"/>
        <w:spacing w:after="0"/>
        <w:rPr>
          <w:sz w:val="20"/>
          <w:szCs w:val="20"/>
          <w:color w:val="auto"/>
        </w:rPr>
      </w:pPr>
      <w:r>
        <w:rPr>
          <w:rFonts w:ascii="Arial" w:cs="Arial" w:eastAsia="Arial" w:hAnsi="Arial"/>
          <w:sz w:val="19"/>
          <w:szCs w:val="19"/>
          <w:b w:val="1"/>
          <w:bCs w:val="1"/>
          <w:color w:val="auto"/>
        </w:rPr>
        <w:t>Expensify, Inc.</w:t>
      </w:r>
    </w:p>
    <w:p>
      <w:pPr>
        <w:spacing w:after="0" w:line="6" w:lineRule="exact"/>
        <w:rPr>
          <w:sz w:val="20"/>
          <w:szCs w:val="20"/>
          <w:color w:val="auto"/>
        </w:rPr>
      </w:pPr>
    </w:p>
    <w:p>
      <w:pPr>
        <w:jc w:val="center"/>
        <w:ind w:right="1120"/>
        <w:spacing w:after="0"/>
        <w:rPr>
          <w:sz w:val="20"/>
          <w:szCs w:val="20"/>
          <w:color w:val="auto"/>
        </w:rPr>
      </w:pPr>
      <w:r>
        <w:rPr>
          <w:rFonts w:ascii="Arial" w:cs="Arial" w:eastAsia="Arial" w:hAnsi="Arial"/>
          <w:sz w:val="17"/>
          <w:szCs w:val="17"/>
          <w:b w:val="1"/>
          <w:bCs w:val="1"/>
          <w:color w:val="auto"/>
        </w:rPr>
        <w:t>Investor Presentation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-713740</wp:posOffset>
            </wp:positionH>
            <wp:positionV relativeFrom="paragraph">
              <wp:posOffset>576580</wp:posOffset>
            </wp:positionV>
            <wp:extent cx="7204075" cy="405511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04075" cy="40551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ind w:left="4460"/>
        <w:spacing w:after="0"/>
        <w:rPr>
          <w:sz w:val="20"/>
          <w:szCs w:val="20"/>
          <w:color w:val="auto"/>
        </w:rPr>
      </w:pPr>
      <w:r>
        <w:rPr>
          <w:rFonts w:ascii="Arial" w:cs="Arial" w:eastAsia="Arial" w:hAnsi="Arial"/>
          <w:sz w:val="19"/>
          <w:szCs w:val="19"/>
          <w:color w:val="auto"/>
        </w:rPr>
        <w:t>2</w:t>
      </w:r>
    </w:p>
    <w:p>
      <w:pPr>
        <w:sectPr>
          <w:pgSz w:w="11900" w:h="16838" w:orient="portrait"/>
          <w:cols w:equalWidth="0" w:num="1">
            <w:col w:w="10140"/>
          </w:cols>
          <w:pgMar w:left="1440" w:top="126" w:right="319" w:bottom="1440" w:gutter="0" w:footer="0" w:header="0"/>
        </w:sectPr>
      </w:pPr>
    </w:p>
    <w:bookmarkStart w:id="13" w:name="page14"/>
    <w:bookmarkEnd w:id="13"/>
    <w:p>
      <w:pPr>
        <w:jc w:val="right"/>
        <w:spacing w:after="0"/>
        <w:rPr>
          <w:sz w:val="20"/>
          <w:szCs w:val="20"/>
          <w:color w:val="auto"/>
        </w:rPr>
      </w:pPr>
      <w:r>
        <w:rPr>
          <w:rFonts w:ascii="Arial" w:cs="Arial" w:eastAsia="Arial" w:hAnsi="Arial"/>
          <w:sz w:val="19"/>
          <w:szCs w:val="19"/>
          <w:b w:val="1"/>
          <w:bCs w:val="1"/>
          <w:color w:val="auto"/>
        </w:rPr>
        <w:t>Exhibit 99.2</w:t>
      </w:r>
    </w:p>
    <w:p>
      <w:pPr>
        <w:spacing w:after="0" w:line="28" w:lineRule="exact"/>
        <w:rPr>
          <w:sz w:val="20"/>
          <w:szCs w:val="20"/>
          <w:color w:val="auto"/>
        </w:rPr>
      </w:pPr>
    </w:p>
    <w:p>
      <w:pPr>
        <w:jc w:val="center"/>
        <w:ind w:right="1120"/>
        <w:spacing w:after="0"/>
        <w:rPr>
          <w:sz w:val="20"/>
          <w:szCs w:val="20"/>
          <w:color w:val="auto"/>
        </w:rPr>
      </w:pPr>
      <w:r>
        <w:rPr>
          <w:rFonts w:ascii="Arial" w:cs="Arial" w:eastAsia="Arial" w:hAnsi="Arial"/>
          <w:sz w:val="19"/>
          <w:szCs w:val="19"/>
          <w:b w:val="1"/>
          <w:bCs w:val="1"/>
          <w:color w:val="auto"/>
        </w:rPr>
        <w:t>Expensify, Inc.</w:t>
      </w:r>
    </w:p>
    <w:p>
      <w:pPr>
        <w:spacing w:after="0" w:line="6" w:lineRule="exact"/>
        <w:rPr>
          <w:sz w:val="20"/>
          <w:szCs w:val="20"/>
          <w:color w:val="auto"/>
        </w:rPr>
      </w:pPr>
    </w:p>
    <w:p>
      <w:pPr>
        <w:jc w:val="center"/>
        <w:ind w:right="1120"/>
        <w:spacing w:after="0"/>
        <w:rPr>
          <w:sz w:val="20"/>
          <w:szCs w:val="20"/>
          <w:color w:val="auto"/>
        </w:rPr>
      </w:pPr>
      <w:r>
        <w:rPr>
          <w:rFonts w:ascii="Arial" w:cs="Arial" w:eastAsia="Arial" w:hAnsi="Arial"/>
          <w:sz w:val="17"/>
          <w:szCs w:val="17"/>
          <w:b w:val="1"/>
          <w:bCs w:val="1"/>
          <w:color w:val="auto"/>
        </w:rPr>
        <w:t>Investor Presentation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-713740</wp:posOffset>
            </wp:positionH>
            <wp:positionV relativeFrom="paragraph">
              <wp:posOffset>576580</wp:posOffset>
            </wp:positionV>
            <wp:extent cx="7204075" cy="405511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04075" cy="40551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ind w:left="4460"/>
        <w:spacing w:after="0"/>
        <w:rPr>
          <w:sz w:val="20"/>
          <w:szCs w:val="20"/>
          <w:color w:val="auto"/>
        </w:rPr>
      </w:pPr>
      <w:r>
        <w:rPr>
          <w:rFonts w:ascii="Arial" w:cs="Arial" w:eastAsia="Arial" w:hAnsi="Arial"/>
          <w:sz w:val="19"/>
          <w:szCs w:val="19"/>
          <w:color w:val="auto"/>
        </w:rPr>
        <w:t>3</w:t>
      </w:r>
    </w:p>
    <w:p>
      <w:pPr>
        <w:sectPr>
          <w:pgSz w:w="11900" w:h="16838" w:orient="portrait"/>
          <w:cols w:equalWidth="0" w:num="1">
            <w:col w:w="10140"/>
          </w:cols>
          <w:pgMar w:left="1440" w:top="126" w:right="319" w:bottom="1440" w:gutter="0" w:footer="0" w:header="0"/>
        </w:sectPr>
      </w:pPr>
    </w:p>
    <w:bookmarkStart w:id="14" w:name="page15"/>
    <w:bookmarkEnd w:id="14"/>
    <w:p>
      <w:pPr>
        <w:jc w:val="right"/>
        <w:spacing w:after="0"/>
        <w:rPr>
          <w:sz w:val="20"/>
          <w:szCs w:val="20"/>
          <w:color w:val="auto"/>
        </w:rPr>
      </w:pPr>
      <w:r>
        <w:rPr>
          <w:rFonts w:ascii="Arial" w:cs="Arial" w:eastAsia="Arial" w:hAnsi="Arial"/>
          <w:sz w:val="19"/>
          <w:szCs w:val="19"/>
          <w:b w:val="1"/>
          <w:bCs w:val="1"/>
          <w:color w:val="auto"/>
        </w:rPr>
        <w:t>Exhibit 99.2</w:t>
      </w:r>
    </w:p>
    <w:p>
      <w:pPr>
        <w:spacing w:after="0" w:line="28" w:lineRule="exact"/>
        <w:rPr>
          <w:sz w:val="20"/>
          <w:szCs w:val="20"/>
          <w:color w:val="auto"/>
        </w:rPr>
      </w:pPr>
    </w:p>
    <w:p>
      <w:pPr>
        <w:jc w:val="center"/>
        <w:ind w:right="1120"/>
        <w:spacing w:after="0"/>
        <w:rPr>
          <w:sz w:val="20"/>
          <w:szCs w:val="20"/>
          <w:color w:val="auto"/>
        </w:rPr>
      </w:pPr>
      <w:r>
        <w:rPr>
          <w:rFonts w:ascii="Arial" w:cs="Arial" w:eastAsia="Arial" w:hAnsi="Arial"/>
          <w:sz w:val="19"/>
          <w:szCs w:val="19"/>
          <w:b w:val="1"/>
          <w:bCs w:val="1"/>
          <w:color w:val="auto"/>
        </w:rPr>
        <w:t>Expensify, Inc.</w:t>
      </w:r>
    </w:p>
    <w:p>
      <w:pPr>
        <w:spacing w:after="0" w:line="6" w:lineRule="exact"/>
        <w:rPr>
          <w:sz w:val="20"/>
          <w:szCs w:val="20"/>
          <w:color w:val="auto"/>
        </w:rPr>
      </w:pPr>
    </w:p>
    <w:p>
      <w:pPr>
        <w:jc w:val="center"/>
        <w:ind w:right="1120"/>
        <w:spacing w:after="0"/>
        <w:rPr>
          <w:sz w:val="20"/>
          <w:szCs w:val="20"/>
          <w:color w:val="auto"/>
        </w:rPr>
      </w:pPr>
      <w:r>
        <w:rPr>
          <w:rFonts w:ascii="Arial" w:cs="Arial" w:eastAsia="Arial" w:hAnsi="Arial"/>
          <w:sz w:val="17"/>
          <w:szCs w:val="17"/>
          <w:b w:val="1"/>
          <w:bCs w:val="1"/>
          <w:color w:val="auto"/>
        </w:rPr>
        <w:t>Investor Presentation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-713740</wp:posOffset>
            </wp:positionH>
            <wp:positionV relativeFrom="paragraph">
              <wp:posOffset>576580</wp:posOffset>
            </wp:positionV>
            <wp:extent cx="7204075" cy="405511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04075" cy="40551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ind w:left="4460"/>
        <w:spacing w:after="0"/>
        <w:rPr>
          <w:sz w:val="20"/>
          <w:szCs w:val="20"/>
          <w:color w:val="auto"/>
        </w:rPr>
      </w:pPr>
      <w:r>
        <w:rPr>
          <w:rFonts w:ascii="Arial" w:cs="Arial" w:eastAsia="Arial" w:hAnsi="Arial"/>
          <w:sz w:val="19"/>
          <w:szCs w:val="19"/>
          <w:color w:val="auto"/>
        </w:rPr>
        <w:t>4</w:t>
      </w:r>
    </w:p>
    <w:p>
      <w:pPr>
        <w:sectPr>
          <w:pgSz w:w="11900" w:h="16838" w:orient="portrait"/>
          <w:cols w:equalWidth="0" w:num="1">
            <w:col w:w="10140"/>
          </w:cols>
          <w:pgMar w:left="1440" w:top="126" w:right="319" w:bottom="1440" w:gutter="0" w:footer="0" w:header="0"/>
        </w:sectPr>
      </w:pPr>
    </w:p>
    <w:bookmarkStart w:id="15" w:name="page16"/>
    <w:bookmarkEnd w:id="15"/>
    <w:p>
      <w:pPr>
        <w:jc w:val="right"/>
        <w:spacing w:after="0"/>
        <w:rPr>
          <w:sz w:val="20"/>
          <w:szCs w:val="20"/>
          <w:color w:val="auto"/>
        </w:rPr>
      </w:pPr>
      <w:r>
        <w:rPr>
          <w:rFonts w:ascii="Arial" w:cs="Arial" w:eastAsia="Arial" w:hAnsi="Arial"/>
          <w:sz w:val="19"/>
          <w:szCs w:val="19"/>
          <w:b w:val="1"/>
          <w:bCs w:val="1"/>
          <w:color w:val="auto"/>
        </w:rPr>
        <w:t>Exhibit 99.2</w:t>
      </w:r>
    </w:p>
    <w:p>
      <w:pPr>
        <w:spacing w:after="0" w:line="28" w:lineRule="exact"/>
        <w:rPr>
          <w:sz w:val="20"/>
          <w:szCs w:val="20"/>
          <w:color w:val="auto"/>
        </w:rPr>
      </w:pPr>
    </w:p>
    <w:p>
      <w:pPr>
        <w:jc w:val="center"/>
        <w:ind w:right="1120"/>
        <w:spacing w:after="0"/>
        <w:rPr>
          <w:sz w:val="20"/>
          <w:szCs w:val="20"/>
          <w:color w:val="auto"/>
        </w:rPr>
      </w:pPr>
      <w:r>
        <w:rPr>
          <w:rFonts w:ascii="Arial" w:cs="Arial" w:eastAsia="Arial" w:hAnsi="Arial"/>
          <w:sz w:val="19"/>
          <w:szCs w:val="19"/>
          <w:b w:val="1"/>
          <w:bCs w:val="1"/>
          <w:color w:val="auto"/>
        </w:rPr>
        <w:t>Expensify, Inc.</w:t>
      </w:r>
    </w:p>
    <w:p>
      <w:pPr>
        <w:spacing w:after="0" w:line="6" w:lineRule="exact"/>
        <w:rPr>
          <w:sz w:val="20"/>
          <w:szCs w:val="20"/>
          <w:color w:val="auto"/>
        </w:rPr>
      </w:pPr>
    </w:p>
    <w:p>
      <w:pPr>
        <w:jc w:val="center"/>
        <w:ind w:right="1120"/>
        <w:spacing w:after="0"/>
        <w:rPr>
          <w:sz w:val="20"/>
          <w:szCs w:val="20"/>
          <w:color w:val="auto"/>
        </w:rPr>
      </w:pPr>
      <w:r>
        <w:rPr>
          <w:rFonts w:ascii="Arial" w:cs="Arial" w:eastAsia="Arial" w:hAnsi="Arial"/>
          <w:sz w:val="17"/>
          <w:szCs w:val="17"/>
          <w:b w:val="1"/>
          <w:bCs w:val="1"/>
          <w:color w:val="auto"/>
        </w:rPr>
        <w:t>Investor Presentation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-713740</wp:posOffset>
            </wp:positionH>
            <wp:positionV relativeFrom="paragraph">
              <wp:posOffset>576580</wp:posOffset>
            </wp:positionV>
            <wp:extent cx="7204075" cy="405511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04075" cy="40551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ind w:left="4460"/>
        <w:spacing w:after="0"/>
        <w:rPr>
          <w:sz w:val="20"/>
          <w:szCs w:val="20"/>
          <w:color w:val="auto"/>
        </w:rPr>
      </w:pPr>
      <w:r>
        <w:rPr>
          <w:rFonts w:ascii="Arial" w:cs="Arial" w:eastAsia="Arial" w:hAnsi="Arial"/>
          <w:sz w:val="19"/>
          <w:szCs w:val="19"/>
          <w:color w:val="auto"/>
        </w:rPr>
        <w:t>5</w:t>
      </w:r>
    </w:p>
    <w:p>
      <w:pPr>
        <w:sectPr>
          <w:pgSz w:w="11900" w:h="16838" w:orient="portrait"/>
          <w:cols w:equalWidth="0" w:num="1">
            <w:col w:w="10140"/>
          </w:cols>
          <w:pgMar w:left="1440" w:top="126" w:right="319" w:bottom="1440" w:gutter="0" w:footer="0" w:header="0"/>
        </w:sectPr>
      </w:pPr>
    </w:p>
    <w:bookmarkStart w:id="16" w:name="page17"/>
    <w:bookmarkEnd w:id="16"/>
    <w:p>
      <w:pPr>
        <w:jc w:val="right"/>
        <w:spacing w:after="0"/>
        <w:rPr>
          <w:sz w:val="20"/>
          <w:szCs w:val="20"/>
          <w:color w:val="auto"/>
        </w:rPr>
      </w:pPr>
      <w:r>
        <w:rPr>
          <w:rFonts w:ascii="Arial" w:cs="Arial" w:eastAsia="Arial" w:hAnsi="Arial"/>
          <w:sz w:val="19"/>
          <w:szCs w:val="19"/>
          <w:b w:val="1"/>
          <w:bCs w:val="1"/>
          <w:color w:val="auto"/>
        </w:rPr>
        <w:t>Exhibit 99.2</w:t>
      </w:r>
    </w:p>
    <w:p>
      <w:pPr>
        <w:spacing w:after="0" w:line="28" w:lineRule="exact"/>
        <w:rPr>
          <w:sz w:val="20"/>
          <w:szCs w:val="20"/>
          <w:color w:val="auto"/>
        </w:rPr>
      </w:pPr>
    </w:p>
    <w:p>
      <w:pPr>
        <w:jc w:val="center"/>
        <w:ind w:right="1120"/>
        <w:spacing w:after="0"/>
        <w:rPr>
          <w:sz w:val="20"/>
          <w:szCs w:val="20"/>
          <w:color w:val="auto"/>
        </w:rPr>
      </w:pPr>
      <w:r>
        <w:rPr>
          <w:rFonts w:ascii="Arial" w:cs="Arial" w:eastAsia="Arial" w:hAnsi="Arial"/>
          <w:sz w:val="19"/>
          <w:szCs w:val="19"/>
          <w:b w:val="1"/>
          <w:bCs w:val="1"/>
          <w:color w:val="auto"/>
        </w:rPr>
        <w:t>Expensify, Inc.</w:t>
      </w:r>
    </w:p>
    <w:p>
      <w:pPr>
        <w:spacing w:after="0" w:line="6" w:lineRule="exact"/>
        <w:rPr>
          <w:sz w:val="20"/>
          <w:szCs w:val="20"/>
          <w:color w:val="auto"/>
        </w:rPr>
      </w:pPr>
    </w:p>
    <w:p>
      <w:pPr>
        <w:jc w:val="center"/>
        <w:ind w:right="1120"/>
        <w:spacing w:after="0"/>
        <w:rPr>
          <w:sz w:val="20"/>
          <w:szCs w:val="20"/>
          <w:color w:val="auto"/>
        </w:rPr>
      </w:pPr>
      <w:r>
        <w:rPr>
          <w:rFonts w:ascii="Arial" w:cs="Arial" w:eastAsia="Arial" w:hAnsi="Arial"/>
          <w:sz w:val="17"/>
          <w:szCs w:val="17"/>
          <w:b w:val="1"/>
          <w:bCs w:val="1"/>
          <w:color w:val="auto"/>
        </w:rPr>
        <w:t>Investor Presentation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-713740</wp:posOffset>
            </wp:positionH>
            <wp:positionV relativeFrom="paragraph">
              <wp:posOffset>576580</wp:posOffset>
            </wp:positionV>
            <wp:extent cx="7204075" cy="405511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04075" cy="40551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ind w:left="4460"/>
        <w:spacing w:after="0"/>
        <w:rPr>
          <w:sz w:val="20"/>
          <w:szCs w:val="20"/>
          <w:color w:val="auto"/>
        </w:rPr>
      </w:pPr>
      <w:r>
        <w:rPr>
          <w:rFonts w:ascii="Arial" w:cs="Arial" w:eastAsia="Arial" w:hAnsi="Arial"/>
          <w:sz w:val="19"/>
          <w:szCs w:val="19"/>
          <w:color w:val="auto"/>
        </w:rPr>
        <w:t>6</w:t>
      </w:r>
    </w:p>
    <w:p>
      <w:pPr>
        <w:sectPr>
          <w:pgSz w:w="11900" w:h="16838" w:orient="portrait"/>
          <w:cols w:equalWidth="0" w:num="1">
            <w:col w:w="10140"/>
          </w:cols>
          <w:pgMar w:left="1440" w:top="126" w:right="319" w:bottom="1440" w:gutter="0" w:footer="0" w:header="0"/>
        </w:sectPr>
      </w:pPr>
    </w:p>
    <w:bookmarkStart w:id="17" w:name="page18"/>
    <w:bookmarkEnd w:id="17"/>
    <w:p>
      <w:pPr>
        <w:jc w:val="right"/>
        <w:spacing w:after="0"/>
        <w:rPr>
          <w:sz w:val="20"/>
          <w:szCs w:val="20"/>
          <w:color w:val="auto"/>
        </w:rPr>
      </w:pPr>
      <w:r>
        <w:rPr>
          <w:rFonts w:ascii="Arial" w:cs="Arial" w:eastAsia="Arial" w:hAnsi="Arial"/>
          <w:sz w:val="19"/>
          <w:szCs w:val="19"/>
          <w:b w:val="1"/>
          <w:bCs w:val="1"/>
          <w:color w:val="auto"/>
        </w:rPr>
        <w:t>Exhibit 99.2</w:t>
      </w:r>
    </w:p>
    <w:p>
      <w:pPr>
        <w:spacing w:after="0" w:line="28" w:lineRule="exact"/>
        <w:rPr>
          <w:sz w:val="20"/>
          <w:szCs w:val="20"/>
          <w:color w:val="auto"/>
        </w:rPr>
      </w:pPr>
    </w:p>
    <w:p>
      <w:pPr>
        <w:jc w:val="center"/>
        <w:ind w:right="1120"/>
        <w:spacing w:after="0"/>
        <w:rPr>
          <w:sz w:val="20"/>
          <w:szCs w:val="20"/>
          <w:color w:val="auto"/>
        </w:rPr>
      </w:pPr>
      <w:r>
        <w:rPr>
          <w:rFonts w:ascii="Arial" w:cs="Arial" w:eastAsia="Arial" w:hAnsi="Arial"/>
          <w:sz w:val="19"/>
          <w:szCs w:val="19"/>
          <w:b w:val="1"/>
          <w:bCs w:val="1"/>
          <w:color w:val="auto"/>
        </w:rPr>
        <w:t>Expensify, Inc.</w:t>
      </w:r>
    </w:p>
    <w:p>
      <w:pPr>
        <w:spacing w:after="0" w:line="6" w:lineRule="exact"/>
        <w:rPr>
          <w:sz w:val="20"/>
          <w:szCs w:val="20"/>
          <w:color w:val="auto"/>
        </w:rPr>
      </w:pPr>
    </w:p>
    <w:p>
      <w:pPr>
        <w:jc w:val="center"/>
        <w:ind w:right="1120"/>
        <w:spacing w:after="0"/>
        <w:rPr>
          <w:sz w:val="20"/>
          <w:szCs w:val="20"/>
          <w:color w:val="auto"/>
        </w:rPr>
      </w:pPr>
      <w:r>
        <w:rPr>
          <w:rFonts w:ascii="Arial" w:cs="Arial" w:eastAsia="Arial" w:hAnsi="Arial"/>
          <w:sz w:val="17"/>
          <w:szCs w:val="17"/>
          <w:b w:val="1"/>
          <w:bCs w:val="1"/>
          <w:color w:val="auto"/>
        </w:rPr>
        <w:t>Investor Presentation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-713740</wp:posOffset>
            </wp:positionH>
            <wp:positionV relativeFrom="paragraph">
              <wp:posOffset>576580</wp:posOffset>
            </wp:positionV>
            <wp:extent cx="7204075" cy="405511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04075" cy="40551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ind w:left="4460"/>
        <w:spacing w:after="0"/>
        <w:rPr>
          <w:sz w:val="20"/>
          <w:szCs w:val="20"/>
          <w:color w:val="auto"/>
        </w:rPr>
      </w:pPr>
      <w:r>
        <w:rPr>
          <w:rFonts w:ascii="Arial" w:cs="Arial" w:eastAsia="Arial" w:hAnsi="Arial"/>
          <w:sz w:val="19"/>
          <w:szCs w:val="19"/>
          <w:color w:val="auto"/>
        </w:rPr>
        <w:t>7</w:t>
      </w:r>
    </w:p>
    <w:p>
      <w:pPr>
        <w:sectPr>
          <w:pgSz w:w="11900" w:h="16838" w:orient="portrait"/>
          <w:cols w:equalWidth="0" w:num="1">
            <w:col w:w="10140"/>
          </w:cols>
          <w:pgMar w:left="1440" w:top="126" w:right="319" w:bottom="1440" w:gutter="0" w:footer="0" w:header="0"/>
        </w:sectPr>
      </w:pPr>
    </w:p>
    <w:bookmarkStart w:id="18" w:name="page19"/>
    <w:bookmarkEnd w:id="18"/>
    <w:p>
      <w:pPr>
        <w:jc w:val="right"/>
        <w:spacing w:after="0"/>
        <w:rPr>
          <w:sz w:val="20"/>
          <w:szCs w:val="20"/>
          <w:color w:val="auto"/>
        </w:rPr>
      </w:pPr>
      <w:r>
        <w:rPr>
          <w:rFonts w:ascii="Arial" w:cs="Arial" w:eastAsia="Arial" w:hAnsi="Arial"/>
          <w:sz w:val="19"/>
          <w:szCs w:val="19"/>
          <w:b w:val="1"/>
          <w:bCs w:val="1"/>
          <w:color w:val="auto"/>
        </w:rPr>
        <w:t>Exhibit 99.2</w:t>
      </w:r>
    </w:p>
    <w:p>
      <w:pPr>
        <w:spacing w:after="0" w:line="28" w:lineRule="exact"/>
        <w:rPr>
          <w:sz w:val="20"/>
          <w:szCs w:val="20"/>
          <w:color w:val="auto"/>
        </w:rPr>
      </w:pPr>
    </w:p>
    <w:p>
      <w:pPr>
        <w:jc w:val="center"/>
        <w:ind w:right="1120"/>
        <w:spacing w:after="0"/>
        <w:rPr>
          <w:sz w:val="20"/>
          <w:szCs w:val="20"/>
          <w:color w:val="auto"/>
        </w:rPr>
      </w:pPr>
      <w:r>
        <w:rPr>
          <w:rFonts w:ascii="Arial" w:cs="Arial" w:eastAsia="Arial" w:hAnsi="Arial"/>
          <w:sz w:val="19"/>
          <w:szCs w:val="19"/>
          <w:b w:val="1"/>
          <w:bCs w:val="1"/>
          <w:color w:val="auto"/>
        </w:rPr>
        <w:t>Expensify, Inc.</w:t>
      </w:r>
    </w:p>
    <w:p>
      <w:pPr>
        <w:spacing w:after="0" w:line="6" w:lineRule="exact"/>
        <w:rPr>
          <w:sz w:val="20"/>
          <w:szCs w:val="20"/>
          <w:color w:val="auto"/>
        </w:rPr>
      </w:pPr>
    </w:p>
    <w:p>
      <w:pPr>
        <w:jc w:val="center"/>
        <w:ind w:right="1120"/>
        <w:spacing w:after="0"/>
        <w:rPr>
          <w:sz w:val="20"/>
          <w:szCs w:val="20"/>
          <w:color w:val="auto"/>
        </w:rPr>
      </w:pPr>
      <w:r>
        <w:rPr>
          <w:rFonts w:ascii="Arial" w:cs="Arial" w:eastAsia="Arial" w:hAnsi="Arial"/>
          <w:sz w:val="17"/>
          <w:szCs w:val="17"/>
          <w:b w:val="1"/>
          <w:bCs w:val="1"/>
          <w:color w:val="auto"/>
        </w:rPr>
        <w:t>Investor Presentation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-713740</wp:posOffset>
            </wp:positionH>
            <wp:positionV relativeFrom="paragraph">
              <wp:posOffset>576580</wp:posOffset>
            </wp:positionV>
            <wp:extent cx="7204075" cy="405511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04075" cy="40551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ind w:left="4460"/>
        <w:spacing w:after="0"/>
        <w:rPr>
          <w:sz w:val="20"/>
          <w:szCs w:val="20"/>
          <w:color w:val="auto"/>
        </w:rPr>
      </w:pPr>
      <w:r>
        <w:rPr>
          <w:rFonts w:ascii="Arial" w:cs="Arial" w:eastAsia="Arial" w:hAnsi="Arial"/>
          <w:sz w:val="19"/>
          <w:szCs w:val="19"/>
          <w:color w:val="auto"/>
        </w:rPr>
        <w:t>8</w:t>
      </w:r>
    </w:p>
    <w:p>
      <w:pPr>
        <w:sectPr>
          <w:pgSz w:w="11900" w:h="16838" w:orient="portrait"/>
          <w:cols w:equalWidth="0" w:num="1">
            <w:col w:w="10140"/>
          </w:cols>
          <w:pgMar w:left="1440" w:top="126" w:right="319" w:bottom="1440" w:gutter="0" w:footer="0" w:header="0"/>
        </w:sectPr>
      </w:pPr>
    </w:p>
    <w:bookmarkStart w:id="19" w:name="page20"/>
    <w:bookmarkEnd w:id="19"/>
    <w:p>
      <w:pPr>
        <w:jc w:val="right"/>
        <w:spacing w:after="0"/>
        <w:rPr>
          <w:sz w:val="20"/>
          <w:szCs w:val="20"/>
          <w:color w:val="auto"/>
        </w:rPr>
      </w:pPr>
      <w:r>
        <w:rPr>
          <w:rFonts w:ascii="Arial" w:cs="Arial" w:eastAsia="Arial" w:hAnsi="Arial"/>
          <w:sz w:val="19"/>
          <w:szCs w:val="19"/>
          <w:b w:val="1"/>
          <w:bCs w:val="1"/>
          <w:color w:val="auto"/>
        </w:rPr>
        <w:t>Exhibit 99.2</w:t>
      </w:r>
    </w:p>
    <w:p>
      <w:pPr>
        <w:spacing w:after="0" w:line="28" w:lineRule="exact"/>
        <w:rPr>
          <w:sz w:val="20"/>
          <w:szCs w:val="20"/>
          <w:color w:val="auto"/>
        </w:rPr>
      </w:pPr>
    </w:p>
    <w:p>
      <w:pPr>
        <w:jc w:val="center"/>
        <w:ind w:right="1120"/>
        <w:spacing w:after="0"/>
        <w:rPr>
          <w:sz w:val="20"/>
          <w:szCs w:val="20"/>
          <w:color w:val="auto"/>
        </w:rPr>
      </w:pPr>
      <w:r>
        <w:rPr>
          <w:rFonts w:ascii="Arial" w:cs="Arial" w:eastAsia="Arial" w:hAnsi="Arial"/>
          <w:sz w:val="19"/>
          <w:szCs w:val="19"/>
          <w:b w:val="1"/>
          <w:bCs w:val="1"/>
          <w:color w:val="auto"/>
        </w:rPr>
        <w:t>Expensify, Inc.</w:t>
      </w:r>
    </w:p>
    <w:p>
      <w:pPr>
        <w:spacing w:after="0" w:line="6" w:lineRule="exact"/>
        <w:rPr>
          <w:sz w:val="20"/>
          <w:szCs w:val="20"/>
          <w:color w:val="auto"/>
        </w:rPr>
      </w:pPr>
    </w:p>
    <w:p>
      <w:pPr>
        <w:jc w:val="center"/>
        <w:ind w:right="1120"/>
        <w:spacing w:after="0"/>
        <w:rPr>
          <w:sz w:val="20"/>
          <w:szCs w:val="20"/>
          <w:color w:val="auto"/>
        </w:rPr>
      </w:pPr>
      <w:r>
        <w:rPr>
          <w:rFonts w:ascii="Arial" w:cs="Arial" w:eastAsia="Arial" w:hAnsi="Arial"/>
          <w:sz w:val="17"/>
          <w:szCs w:val="17"/>
          <w:b w:val="1"/>
          <w:bCs w:val="1"/>
          <w:color w:val="auto"/>
        </w:rPr>
        <w:t>Investor Presentation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-713740</wp:posOffset>
            </wp:positionH>
            <wp:positionV relativeFrom="paragraph">
              <wp:posOffset>576580</wp:posOffset>
            </wp:positionV>
            <wp:extent cx="7204075" cy="405511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04075" cy="40551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ind w:left="4460"/>
        <w:spacing w:after="0"/>
        <w:rPr>
          <w:sz w:val="20"/>
          <w:szCs w:val="20"/>
          <w:color w:val="auto"/>
        </w:rPr>
      </w:pPr>
      <w:r>
        <w:rPr>
          <w:rFonts w:ascii="Arial" w:cs="Arial" w:eastAsia="Arial" w:hAnsi="Arial"/>
          <w:sz w:val="19"/>
          <w:szCs w:val="19"/>
          <w:color w:val="auto"/>
        </w:rPr>
        <w:t>9</w:t>
      </w:r>
    </w:p>
    <w:p>
      <w:pPr>
        <w:sectPr>
          <w:pgSz w:w="11900" w:h="16838" w:orient="portrait"/>
          <w:cols w:equalWidth="0" w:num="1">
            <w:col w:w="10140"/>
          </w:cols>
          <w:pgMar w:left="1440" w:top="126" w:right="319" w:bottom="1440" w:gutter="0" w:footer="0" w:header="0"/>
        </w:sectPr>
      </w:pPr>
    </w:p>
    <w:bookmarkStart w:id="20" w:name="page21"/>
    <w:bookmarkEnd w:id="20"/>
    <w:p>
      <w:pPr>
        <w:jc w:val="right"/>
        <w:spacing w:after="0"/>
        <w:rPr>
          <w:sz w:val="20"/>
          <w:szCs w:val="20"/>
          <w:color w:val="auto"/>
        </w:rPr>
      </w:pPr>
      <w:r>
        <w:rPr>
          <w:rFonts w:ascii="Arial" w:cs="Arial" w:eastAsia="Arial" w:hAnsi="Arial"/>
          <w:sz w:val="19"/>
          <w:szCs w:val="19"/>
          <w:b w:val="1"/>
          <w:bCs w:val="1"/>
          <w:color w:val="auto"/>
        </w:rPr>
        <w:t>Exhibit 99.2</w:t>
      </w:r>
    </w:p>
    <w:p>
      <w:pPr>
        <w:spacing w:after="0" w:line="28" w:lineRule="exact"/>
        <w:rPr>
          <w:sz w:val="20"/>
          <w:szCs w:val="20"/>
          <w:color w:val="auto"/>
        </w:rPr>
      </w:pPr>
    </w:p>
    <w:p>
      <w:pPr>
        <w:jc w:val="center"/>
        <w:ind w:right="1120"/>
        <w:spacing w:after="0"/>
        <w:rPr>
          <w:sz w:val="20"/>
          <w:szCs w:val="20"/>
          <w:color w:val="auto"/>
        </w:rPr>
      </w:pPr>
      <w:r>
        <w:rPr>
          <w:rFonts w:ascii="Arial" w:cs="Arial" w:eastAsia="Arial" w:hAnsi="Arial"/>
          <w:sz w:val="19"/>
          <w:szCs w:val="19"/>
          <w:b w:val="1"/>
          <w:bCs w:val="1"/>
          <w:color w:val="auto"/>
        </w:rPr>
        <w:t>Expensify, Inc.</w:t>
      </w:r>
    </w:p>
    <w:p>
      <w:pPr>
        <w:spacing w:after="0" w:line="6" w:lineRule="exact"/>
        <w:rPr>
          <w:sz w:val="20"/>
          <w:szCs w:val="20"/>
          <w:color w:val="auto"/>
        </w:rPr>
      </w:pPr>
    </w:p>
    <w:p>
      <w:pPr>
        <w:jc w:val="center"/>
        <w:ind w:right="1120"/>
        <w:spacing w:after="0"/>
        <w:rPr>
          <w:sz w:val="20"/>
          <w:szCs w:val="20"/>
          <w:color w:val="auto"/>
        </w:rPr>
      </w:pPr>
      <w:r>
        <w:rPr>
          <w:rFonts w:ascii="Arial" w:cs="Arial" w:eastAsia="Arial" w:hAnsi="Arial"/>
          <w:sz w:val="17"/>
          <w:szCs w:val="17"/>
          <w:b w:val="1"/>
          <w:bCs w:val="1"/>
          <w:color w:val="auto"/>
        </w:rPr>
        <w:t>Investor Presentation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-713740</wp:posOffset>
            </wp:positionH>
            <wp:positionV relativeFrom="paragraph">
              <wp:posOffset>576580</wp:posOffset>
            </wp:positionV>
            <wp:extent cx="7204075" cy="405511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04075" cy="40551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ind w:left="4400"/>
        <w:spacing w:after="0"/>
        <w:rPr>
          <w:sz w:val="20"/>
          <w:szCs w:val="20"/>
          <w:color w:val="auto"/>
        </w:rPr>
      </w:pPr>
      <w:r>
        <w:rPr>
          <w:rFonts w:ascii="Arial" w:cs="Arial" w:eastAsia="Arial" w:hAnsi="Arial"/>
          <w:sz w:val="19"/>
          <w:szCs w:val="19"/>
          <w:color w:val="auto"/>
        </w:rPr>
        <w:t>10</w:t>
      </w:r>
    </w:p>
    <w:p>
      <w:pPr>
        <w:sectPr>
          <w:pgSz w:w="11900" w:h="16838" w:orient="portrait"/>
          <w:cols w:equalWidth="0" w:num="1">
            <w:col w:w="10140"/>
          </w:cols>
          <w:pgMar w:left="1440" w:top="126" w:right="319" w:bottom="1440" w:gutter="0" w:footer="0" w:header="0"/>
        </w:sectPr>
      </w:pPr>
    </w:p>
    <w:bookmarkStart w:id="21" w:name="page22"/>
    <w:bookmarkEnd w:id="21"/>
    <w:p>
      <w:pPr>
        <w:jc w:val="right"/>
        <w:spacing w:after="0"/>
        <w:rPr>
          <w:sz w:val="20"/>
          <w:szCs w:val="20"/>
          <w:color w:val="auto"/>
        </w:rPr>
      </w:pPr>
      <w:r>
        <w:rPr>
          <w:rFonts w:ascii="Arial" w:cs="Arial" w:eastAsia="Arial" w:hAnsi="Arial"/>
          <w:sz w:val="19"/>
          <w:szCs w:val="19"/>
          <w:b w:val="1"/>
          <w:bCs w:val="1"/>
          <w:color w:val="auto"/>
        </w:rPr>
        <w:t>Exhibit 99.2</w:t>
      </w:r>
    </w:p>
    <w:p>
      <w:pPr>
        <w:spacing w:after="0" w:line="28" w:lineRule="exact"/>
        <w:rPr>
          <w:sz w:val="20"/>
          <w:szCs w:val="20"/>
          <w:color w:val="auto"/>
        </w:rPr>
      </w:pPr>
    </w:p>
    <w:p>
      <w:pPr>
        <w:jc w:val="center"/>
        <w:ind w:right="1120"/>
        <w:spacing w:after="0"/>
        <w:rPr>
          <w:sz w:val="20"/>
          <w:szCs w:val="20"/>
          <w:color w:val="auto"/>
        </w:rPr>
      </w:pPr>
      <w:r>
        <w:rPr>
          <w:rFonts w:ascii="Arial" w:cs="Arial" w:eastAsia="Arial" w:hAnsi="Arial"/>
          <w:sz w:val="19"/>
          <w:szCs w:val="19"/>
          <w:b w:val="1"/>
          <w:bCs w:val="1"/>
          <w:color w:val="auto"/>
        </w:rPr>
        <w:t>Expensify, Inc.</w:t>
      </w:r>
    </w:p>
    <w:p>
      <w:pPr>
        <w:spacing w:after="0" w:line="6" w:lineRule="exact"/>
        <w:rPr>
          <w:sz w:val="20"/>
          <w:szCs w:val="20"/>
          <w:color w:val="auto"/>
        </w:rPr>
      </w:pPr>
    </w:p>
    <w:p>
      <w:pPr>
        <w:jc w:val="center"/>
        <w:ind w:right="1120"/>
        <w:spacing w:after="0"/>
        <w:rPr>
          <w:sz w:val="20"/>
          <w:szCs w:val="20"/>
          <w:color w:val="auto"/>
        </w:rPr>
      </w:pPr>
      <w:r>
        <w:rPr>
          <w:rFonts w:ascii="Arial" w:cs="Arial" w:eastAsia="Arial" w:hAnsi="Arial"/>
          <w:sz w:val="17"/>
          <w:szCs w:val="17"/>
          <w:b w:val="1"/>
          <w:bCs w:val="1"/>
          <w:color w:val="auto"/>
        </w:rPr>
        <w:t>Investor Presentation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-713740</wp:posOffset>
            </wp:positionH>
            <wp:positionV relativeFrom="paragraph">
              <wp:posOffset>576580</wp:posOffset>
            </wp:positionV>
            <wp:extent cx="7204075" cy="405511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04075" cy="40551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ind w:left="4420"/>
        <w:spacing w:after="0"/>
        <w:rPr>
          <w:sz w:val="20"/>
          <w:szCs w:val="20"/>
          <w:color w:val="auto"/>
        </w:rPr>
      </w:pPr>
      <w:r>
        <w:rPr>
          <w:rFonts w:ascii="Arial" w:cs="Arial" w:eastAsia="Arial" w:hAnsi="Arial"/>
          <w:sz w:val="19"/>
          <w:szCs w:val="19"/>
          <w:color w:val="auto"/>
        </w:rPr>
        <w:t>11</w:t>
      </w:r>
    </w:p>
    <w:p>
      <w:pPr>
        <w:sectPr>
          <w:pgSz w:w="11900" w:h="16838" w:orient="portrait"/>
          <w:cols w:equalWidth="0" w:num="1">
            <w:col w:w="10140"/>
          </w:cols>
          <w:pgMar w:left="1440" w:top="126" w:right="319" w:bottom="1440" w:gutter="0" w:footer="0" w:header="0"/>
        </w:sectPr>
      </w:pPr>
    </w:p>
    <w:bookmarkStart w:id="22" w:name="page23"/>
    <w:bookmarkEnd w:id="22"/>
    <w:p>
      <w:pPr>
        <w:jc w:val="right"/>
        <w:spacing w:after="0"/>
        <w:rPr>
          <w:sz w:val="20"/>
          <w:szCs w:val="20"/>
          <w:color w:val="auto"/>
        </w:rPr>
      </w:pPr>
      <w:r>
        <w:rPr>
          <w:rFonts w:ascii="Arial" w:cs="Arial" w:eastAsia="Arial" w:hAnsi="Arial"/>
          <w:sz w:val="19"/>
          <w:szCs w:val="19"/>
          <w:b w:val="1"/>
          <w:bCs w:val="1"/>
          <w:color w:val="auto"/>
        </w:rPr>
        <w:t>Exhibit 99.2</w:t>
      </w:r>
    </w:p>
    <w:p>
      <w:pPr>
        <w:spacing w:after="0" w:line="28" w:lineRule="exact"/>
        <w:rPr>
          <w:sz w:val="20"/>
          <w:szCs w:val="20"/>
          <w:color w:val="auto"/>
        </w:rPr>
      </w:pPr>
    </w:p>
    <w:p>
      <w:pPr>
        <w:jc w:val="center"/>
        <w:ind w:right="1120"/>
        <w:spacing w:after="0"/>
        <w:rPr>
          <w:sz w:val="20"/>
          <w:szCs w:val="20"/>
          <w:color w:val="auto"/>
        </w:rPr>
      </w:pPr>
      <w:r>
        <w:rPr>
          <w:rFonts w:ascii="Arial" w:cs="Arial" w:eastAsia="Arial" w:hAnsi="Arial"/>
          <w:sz w:val="19"/>
          <w:szCs w:val="19"/>
          <w:b w:val="1"/>
          <w:bCs w:val="1"/>
          <w:color w:val="auto"/>
        </w:rPr>
        <w:t>Expensify, Inc.</w:t>
      </w:r>
    </w:p>
    <w:p>
      <w:pPr>
        <w:spacing w:after="0" w:line="6" w:lineRule="exact"/>
        <w:rPr>
          <w:sz w:val="20"/>
          <w:szCs w:val="20"/>
          <w:color w:val="auto"/>
        </w:rPr>
      </w:pPr>
    </w:p>
    <w:p>
      <w:pPr>
        <w:jc w:val="center"/>
        <w:ind w:right="1120"/>
        <w:spacing w:after="0"/>
        <w:rPr>
          <w:sz w:val="20"/>
          <w:szCs w:val="20"/>
          <w:color w:val="auto"/>
        </w:rPr>
      </w:pPr>
      <w:r>
        <w:rPr>
          <w:rFonts w:ascii="Arial" w:cs="Arial" w:eastAsia="Arial" w:hAnsi="Arial"/>
          <w:sz w:val="17"/>
          <w:szCs w:val="17"/>
          <w:b w:val="1"/>
          <w:bCs w:val="1"/>
          <w:color w:val="auto"/>
        </w:rPr>
        <w:t>Investor Presentation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-713740</wp:posOffset>
            </wp:positionH>
            <wp:positionV relativeFrom="paragraph">
              <wp:posOffset>575945</wp:posOffset>
            </wp:positionV>
            <wp:extent cx="7204075" cy="405511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04075" cy="40551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ind w:left="4400"/>
        <w:spacing w:after="0"/>
        <w:rPr>
          <w:sz w:val="20"/>
          <w:szCs w:val="20"/>
          <w:color w:val="auto"/>
        </w:rPr>
      </w:pPr>
      <w:r>
        <w:rPr>
          <w:rFonts w:ascii="Arial" w:cs="Arial" w:eastAsia="Arial" w:hAnsi="Arial"/>
          <w:sz w:val="19"/>
          <w:szCs w:val="19"/>
          <w:color w:val="auto"/>
        </w:rPr>
        <w:t>12</w:t>
      </w:r>
    </w:p>
    <w:p>
      <w:pPr>
        <w:sectPr>
          <w:pgSz w:w="11900" w:h="16838" w:orient="portrait"/>
          <w:cols w:equalWidth="0" w:num="1">
            <w:col w:w="10140"/>
          </w:cols>
          <w:pgMar w:left="1440" w:top="126" w:right="319" w:bottom="1440" w:gutter="0" w:footer="0" w:header="0"/>
        </w:sectPr>
      </w:pPr>
    </w:p>
    <w:bookmarkStart w:id="23" w:name="page24"/>
    <w:bookmarkEnd w:id="23"/>
    <w:p>
      <w:pPr>
        <w:jc w:val="right"/>
        <w:spacing w:after="0"/>
        <w:rPr>
          <w:sz w:val="20"/>
          <w:szCs w:val="20"/>
          <w:color w:val="auto"/>
        </w:rPr>
      </w:pPr>
      <w:r>
        <w:rPr>
          <w:rFonts w:ascii="Arial" w:cs="Arial" w:eastAsia="Arial" w:hAnsi="Arial"/>
          <w:sz w:val="19"/>
          <w:szCs w:val="19"/>
          <w:b w:val="1"/>
          <w:bCs w:val="1"/>
          <w:color w:val="auto"/>
        </w:rPr>
        <w:t>Exhibit 99.2</w:t>
      </w:r>
    </w:p>
    <w:p>
      <w:pPr>
        <w:spacing w:after="0" w:line="28" w:lineRule="exact"/>
        <w:rPr>
          <w:sz w:val="20"/>
          <w:szCs w:val="20"/>
          <w:color w:val="auto"/>
        </w:rPr>
      </w:pPr>
    </w:p>
    <w:p>
      <w:pPr>
        <w:jc w:val="center"/>
        <w:ind w:right="1120"/>
        <w:spacing w:after="0"/>
        <w:rPr>
          <w:sz w:val="20"/>
          <w:szCs w:val="20"/>
          <w:color w:val="auto"/>
        </w:rPr>
      </w:pPr>
      <w:r>
        <w:rPr>
          <w:rFonts w:ascii="Arial" w:cs="Arial" w:eastAsia="Arial" w:hAnsi="Arial"/>
          <w:sz w:val="19"/>
          <w:szCs w:val="19"/>
          <w:b w:val="1"/>
          <w:bCs w:val="1"/>
          <w:color w:val="auto"/>
        </w:rPr>
        <w:t>Expensify, Inc.</w:t>
      </w:r>
    </w:p>
    <w:p>
      <w:pPr>
        <w:spacing w:after="0" w:line="6" w:lineRule="exact"/>
        <w:rPr>
          <w:sz w:val="20"/>
          <w:szCs w:val="20"/>
          <w:color w:val="auto"/>
        </w:rPr>
      </w:pPr>
    </w:p>
    <w:p>
      <w:pPr>
        <w:jc w:val="center"/>
        <w:ind w:right="1120"/>
        <w:spacing w:after="0"/>
        <w:rPr>
          <w:sz w:val="20"/>
          <w:szCs w:val="20"/>
          <w:color w:val="auto"/>
        </w:rPr>
      </w:pPr>
      <w:r>
        <w:rPr>
          <w:rFonts w:ascii="Arial" w:cs="Arial" w:eastAsia="Arial" w:hAnsi="Arial"/>
          <w:sz w:val="17"/>
          <w:szCs w:val="17"/>
          <w:b w:val="1"/>
          <w:bCs w:val="1"/>
          <w:color w:val="auto"/>
        </w:rPr>
        <w:t>Investor Presentation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-713740</wp:posOffset>
            </wp:positionH>
            <wp:positionV relativeFrom="paragraph">
              <wp:posOffset>575945</wp:posOffset>
            </wp:positionV>
            <wp:extent cx="7204075" cy="405511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04075" cy="40551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ind w:left="4400"/>
        <w:spacing w:after="0"/>
        <w:rPr>
          <w:sz w:val="20"/>
          <w:szCs w:val="20"/>
          <w:color w:val="auto"/>
        </w:rPr>
      </w:pPr>
      <w:r>
        <w:rPr>
          <w:rFonts w:ascii="Arial" w:cs="Arial" w:eastAsia="Arial" w:hAnsi="Arial"/>
          <w:sz w:val="19"/>
          <w:szCs w:val="19"/>
          <w:color w:val="auto"/>
        </w:rPr>
        <w:t>13</w:t>
      </w:r>
    </w:p>
    <w:p>
      <w:pPr>
        <w:sectPr>
          <w:pgSz w:w="11900" w:h="16838" w:orient="portrait"/>
          <w:cols w:equalWidth="0" w:num="1">
            <w:col w:w="10140"/>
          </w:cols>
          <w:pgMar w:left="1440" w:top="126" w:right="319" w:bottom="1440" w:gutter="0" w:footer="0" w:header="0"/>
        </w:sectPr>
      </w:pPr>
    </w:p>
    <w:bookmarkStart w:id="24" w:name="page25"/>
    <w:bookmarkEnd w:id="24"/>
    <w:p>
      <w:pPr>
        <w:jc w:val="right"/>
        <w:spacing w:after="0"/>
        <w:rPr>
          <w:sz w:val="20"/>
          <w:szCs w:val="20"/>
          <w:color w:val="auto"/>
        </w:rPr>
      </w:pPr>
      <w:r>
        <w:rPr>
          <w:rFonts w:ascii="Arial" w:cs="Arial" w:eastAsia="Arial" w:hAnsi="Arial"/>
          <w:sz w:val="19"/>
          <w:szCs w:val="19"/>
          <w:b w:val="1"/>
          <w:bCs w:val="1"/>
          <w:color w:val="auto"/>
        </w:rPr>
        <w:t>Exhibit 99.2</w:t>
      </w:r>
    </w:p>
    <w:p>
      <w:pPr>
        <w:spacing w:after="0" w:line="28" w:lineRule="exact"/>
        <w:rPr>
          <w:sz w:val="20"/>
          <w:szCs w:val="20"/>
          <w:color w:val="auto"/>
        </w:rPr>
      </w:pPr>
    </w:p>
    <w:p>
      <w:pPr>
        <w:jc w:val="center"/>
        <w:ind w:right="1120"/>
        <w:spacing w:after="0"/>
        <w:rPr>
          <w:sz w:val="20"/>
          <w:szCs w:val="20"/>
          <w:color w:val="auto"/>
        </w:rPr>
      </w:pPr>
      <w:r>
        <w:rPr>
          <w:rFonts w:ascii="Arial" w:cs="Arial" w:eastAsia="Arial" w:hAnsi="Arial"/>
          <w:sz w:val="19"/>
          <w:szCs w:val="19"/>
          <w:b w:val="1"/>
          <w:bCs w:val="1"/>
          <w:color w:val="auto"/>
        </w:rPr>
        <w:t>Expensify, Inc.</w:t>
      </w:r>
    </w:p>
    <w:p>
      <w:pPr>
        <w:spacing w:after="0" w:line="6" w:lineRule="exact"/>
        <w:rPr>
          <w:sz w:val="20"/>
          <w:szCs w:val="20"/>
          <w:color w:val="auto"/>
        </w:rPr>
      </w:pPr>
    </w:p>
    <w:p>
      <w:pPr>
        <w:jc w:val="center"/>
        <w:ind w:right="1120"/>
        <w:spacing w:after="0"/>
        <w:rPr>
          <w:sz w:val="20"/>
          <w:szCs w:val="20"/>
          <w:color w:val="auto"/>
        </w:rPr>
      </w:pPr>
      <w:r>
        <w:rPr>
          <w:rFonts w:ascii="Arial" w:cs="Arial" w:eastAsia="Arial" w:hAnsi="Arial"/>
          <w:sz w:val="17"/>
          <w:szCs w:val="17"/>
          <w:b w:val="1"/>
          <w:bCs w:val="1"/>
          <w:color w:val="auto"/>
        </w:rPr>
        <w:t>Investor Presentation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-713740</wp:posOffset>
            </wp:positionH>
            <wp:positionV relativeFrom="paragraph">
              <wp:posOffset>575945</wp:posOffset>
            </wp:positionV>
            <wp:extent cx="7204075" cy="405511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04075" cy="40551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ind w:left="4400"/>
        <w:spacing w:after="0"/>
        <w:rPr>
          <w:sz w:val="20"/>
          <w:szCs w:val="20"/>
          <w:color w:val="auto"/>
        </w:rPr>
      </w:pPr>
      <w:r>
        <w:rPr>
          <w:rFonts w:ascii="Arial" w:cs="Arial" w:eastAsia="Arial" w:hAnsi="Arial"/>
          <w:sz w:val="19"/>
          <w:szCs w:val="19"/>
          <w:color w:val="auto"/>
        </w:rPr>
        <w:t>14</w:t>
      </w:r>
    </w:p>
    <w:p>
      <w:pPr>
        <w:sectPr>
          <w:pgSz w:w="11900" w:h="16838" w:orient="portrait"/>
          <w:cols w:equalWidth="0" w:num="1">
            <w:col w:w="10140"/>
          </w:cols>
          <w:pgMar w:left="1440" w:top="126" w:right="319" w:bottom="1440" w:gutter="0" w:footer="0" w:header="0"/>
        </w:sectPr>
      </w:pPr>
    </w:p>
    <w:bookmarkStart w:id="25" w:name="page26"/>
    <w:bookmarkEnd w:id="25"/>
    <w:p>
      <w:pPr>
        <w:jc w:val="right"/>
        <w:spacing w:after="0"/>
        <w:rPr>
          <w:sz w:val="20"/>
          <w:szCs w:val="20"/>
          <w:color w:val="auto"/>
        </w:rPr>
      </w:pPr>
      <w:r>
        <w:rPr>
          <w:rFonts w:ascii="Arial" w:cs="Arial" w:eastAsia="Arial" w:hAnsi="Arial"/>
          <w:sz w:val="19"/>
          <w:szCs w:val="19"/>
          <w:b w:val="1"/>
          <w:bCs w:val="1"/>
          <w:color w:val="auto"/>
        </w:rPr>
        <w:t>Exhibit 99.2</w:t>
      </w:r>
    </w:p>
    <w:p>
      <w:pPr>
        <w:spacing w:after="0" w:line="28" w:lineRule="exact"/>
        <w:rPr>
          <w:sz w:val="20"/>
          <w:szCs w:val="20"/>
          <w:color w:val="auto"/>
        </w:rPr>
      </w:pPr>
    </w:p>
    <w:p>
      <w:pPr>
        <w:jc w:val="center"/>
        <w:ind w:right="1120"/>
        <w:spacing w:after="0"/>
        <w:rPr>
          <w:sz w:val="20"/>
          <w:szCs w:val="20"/>
          <w:color w:val="auto"/>
        </w:rPr>
      </w:pPr>
      <w:r>
        <w:rPr>
          <w:rFonts w:ascii="Arial" w:cs="Arial" w:eastAsia="Arial" w:hAnsi="Arial"/>
          <w:sz w:val="19"/>
          <w:szCs w:val="19"/>
          <w:b w:val="1"/>
          <w:bCs w:val="1"/>
          <w:color w:val="auto"/>
        </w:rPr>
        <w:t>Expensify, Inc.</w:t>
      </w:r>
    </w:p>
    <w:p>
      <w:pPr>
        <w:spacing w:after="0" w:line="6" w:lineRule="exact"/>
        <w:rPr>
          <w:sz w:val="20"/>
          <w:szCs w:val="20"/>
          <w:color w:val="auto"/>
        </w:rPr>
      </w:pPr>
    </w:p>
    <w:p>
      <w:pPr>
        <w:jc w:val="center"/>
        <w:ind w:right="1120"/>
        <w:spacing w:after="0"/>
        <w:rPr>
          <w:sz w:val="20"/>
          <w:szCs w:val="20"/>
          <w:color w:val="auto"/>
        </w:rPr>
      </w:pPr>
      <w:r>
        <w:rPr>
          <w:rFonts w:ascii="Arial" w:cs="Arial" w:eastAsia="Arial" w:hAnsi="Arial"/>
          <w:sz w:val="17"/>
          <w:szCs w:val="17"/>
          <w:b w:val="1"/>
          <w:bCs w:val="1"/>
          <w:color w:val="auto"/>
        </w:rPr>
        <w:t>Investor Presentation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-713740</wp:posOffset>
            </wp:positionH>
            <wp:positionV relativeFrom="paragraph">
              <wp:posOffset>575945</wp:posOffset>
            </wp:positionV>
            <wp:extent cx="7204075" cy="405511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04075" cy="40551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ind w:left="4400"/>
        <w:spacing w:after="0"/>
        <w:rPr>
          <w:sz w:val="20"/>
          <w:szCs w:val="20"/>
          <w:color w:val="auto"/>
        </w:rPr>
      </w:pPr>
      <w:r>
        <w:rPr>
          <w:rFonts w:ascii="Arial" w:cs="Arial" w:eastAsia="Arial" w:hAnsi="Arial"/>
          <w:sz w:val="19"/>
          <w:szCs w:val="19"/>
          <w:color w:val="auto"/>
        </w:rPr>
        <w:t>15</w:t>
      </w:r>
    </w:p>
    <w:p>
      <w:pPr>
        <w:sectPr>
          <w:pgSz w:w="11900" w:h="16838" w:orient="portrait"/>
          <w:cols w:equalWidth="0" w:num="1">
            <w:col w:w="10140"/>
          </w:cols>
          <w:pgMar w:left="1440" w:top="126" w:right="319" w:bottom="1440" w:gutter="0" w:footer="0" w:header="0"/>
        </w:sectPr>
      </w:pPr>
    </w:p>
    <w:bookmarkStart w:id="26" w:name="page27"/>
    <w:bookmarkEnd w:id="26"/>
    <w:p>
      <w:pPr>
        <w:jc w:val="right"/>
        <w:spacing w:after="0"/>
        <w:rPr>
          <w:sz w:val="20"/>
          <w:szCs w:val="20"/>
          <w:color w:val="auto"/>
        </w:rPr>
      </w:pPr>
      <w:r>
        <w:rPr>
          <w:rFonts w:ascii="Arial" w:cs="Arial" w:eastAsia="Arial" w:hAnsi="Arial"/>
          <w:sz w:val="19"/>
          <w:szCs w:val="19"/>
          <w:b w:val="1"/>
          <w:bCs w:val="1"/>
          <w:color w:val="auto"/>
        </w:rPr>
        <w:t>Exhibit 99.2</w:t>
      </w:r>
    </w:p>
    <w:p>
      <w:pPr>
        <w:spacing w:after="0" w:line="28" w:lineRule="exact"/>
        <w:rPr>
          <w:sz w:val="20"/>
          <w:szCs w:val="20"/>
          <w:color w:val="auto"/>
        </w:rPr>
      </w:pPr>
    </w:p>
    <w:p>
      <w:pPr>
        <w:jc w:val="center"/>
        <w:ind w:right="1120"/>
        <w:spacing w:after="0"/>
        <w:rPr>
          <w:sz w:val="20"/>
          <w:szCs w:val="20"/>
          <w:color w:val="auto"/>
        </w:rPr>
      </w:pPr>
      <w:r>
        <w:rPr>
          <w:rFonts w:ascii="Arial" w:cs="Arial" w:eastAsia="Arial" w:hAnsi="Arial"/>
          <w:sz w:val="19"/>
          <w:szCs w:val="19"/>
          <w:b w:val="1"/>
          <w:bCs w:val="1"/>
          <w:color w:val="auto"/>
        </w:rPr>
        <w:t>Expensify, Inc.</w:t>
      </w:r>
    </w:p>
    <w:p>
      <w:pPr>
        <w:spacing w:after="0" w:line="6" w:lineRule="exact"/>
        <w:rPr>
          <w:sz w:val="20"/>
          <w:szCs w:val="20"/>
          <w:color w:val="auto"/>
        </w:rPr>
      </w:pPr>
    </w:p>
    <w:p>
      <w:pPr>
        <w:jc w:val="center"/>
        <w:ind w:right="1120"/>
        <w:spacing w:after="0"/>
        <w:rPr>
          <w:sz w:val="20"/>
          <w:szCs w:val="20"/>
          <w:color w:val="auto"/>
        </w:rPr>
      </w:pPr>
      <w:r>
        <w:rPr>
          <w:rFonts w:ascii="Arial" w:cs="Arial" w:eastAsia="Arial" w:hAnsi="Arial"/>
          <w:sz w:val="17"/>
          <w:szCs w:val="17"/>
          <w:b w:val="1"/>
          <w:bCs w:val="1"/>
          <w:color w:val="auto"/>
        </w:rPr>
        <w:t>Investor Presentation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-713740</wp:posOffset>
            </wp:positionH>
            <wp:positionV relativeFrom="paragraph">
              <wp:posOffset>575945</wp:posOffset>
            </wp:positionV>
            <wp:extent cx="7204075" cy="405511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04075" cy="40551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ind w:left="4400"/>
        <w:spacing w:after="0"/>
        <w:rPr>
          <w:sz w:val="20"/>
          <w:szCs w:val="20"/>
          <w:color w:val="auto"/>
        </w:rPr>
      </w:pPr>
      <w:r>
        <w:rPr>
          <w:rFonts w:ascii="Arial" w:cs="Arial" w:eastAsia="Arial" w:hAnsi="Arial"/>
          <w:sz w:val="19"/>
          <w:szCs w:val="19"/>
          <w:color w:val="auto"/>
        </w:rPr>
        <w:t>16</w:t>
      </w:r>
    </w:p>
    <w:p>
      <w:pPr>
        <w:sectPr>
          <w:pgSz w:w="11900" w:h="16838" w:orient="portrait"/>
          <w:cols w:equalWidth="0" w:num="1">
            <w:col w:w="10140"/>
          </w:cols>
          <w:pgMar w:left="1440" w:top="126" w:right="319" w:bottom="1440" w:gutter="0" w:footer="0" w:header="0"/>
        </w:sectPr>
      </w:pPr>
    </w:p>
    <w:bookmarkStart w:id="27" w:name="page28"/>
    <w:bookmarkEnd w:id="27"/>
    <w:p>
      <w:pPr>
        <w:jc w:val="right"/>
        <w:spacing w:after="0"/>
        <w:rPr>
          <w:sz w:val="20"/>
          <w:szCs w:val="20"/>
          <w:color w:val="auto"/>
        </w:rPr>
      </w:pPr>
      <w:r>
        <w:rPr>
          <w:rFonts w:ascii="Arial" w:cs="Arial" w:eastAsia="Arial" w:hAnsi="Arial"/>
          <w:sz w:val="19"/>
          <w:szCs w:val="19"/>
          <w:b w:val="1"/>
          <w:bCs w:val="1"/>
          <w:color w:val="auto"/>
        </w:rPr>
        <w:t>Exhibit 99.2</w:t>
      </w:r>
    </w:p>
    <w:p>
      <w:pPr>
        <w:spacing w:after="0" w:line="28" w:lineRule="exact"/>
        <w:rPr>
          <w:sz w:val="20"/>
          <w:szCs w:val="20"/>
          <w:color w:val="auto"/>
        </w:rPr>
      </w:pPr>
    </w:p>
    <w:p>
      <w:pPr>
        <w:jc w:val="center"/>
        <w:ind w:right="1120"/>
        <w:spacing w:after="0"/>
        <w:rPr>
          <w:sz w:val="20"/>
          <w:szCs w:val="20"/>
          <w:color w:val="auto"/>
        </w:rPr>
      </w:pPr>
      <w:r>
        <w:rPr>
          <w:rFonts w:ascii="Arial" w:cs="Arial" w:eastAsia="Arial" w:hAnsi="Arial"/>
          <w:sz w:val="19"/>
          <w:szCs w:val="19"/>
          <w:b w:val="1"/>
          <w:bCs w:val="1"/>
          <w:color w:val="auto"/>
        </w:rPr>
        <w:t>Expensify, Inc.</w:t>
      </w:r>
    </w:p>
    <w:p>
      <w:pPr>
        <w:spacing w:after="0" w:line="6" w:lineRule="exact"/>
        <w:rPr>
          <w:sz w:val="20"/>
          <w:szCs w:val="20"/>
          <w:color w:val="auto"/>
        </w:rPr>
      </w:pPr>
    </w:p>
    <w:p>
      <w:pPr>
        <w:jc w:val="center"/>
        <w:ind w:right="1120"/>
        <w:spacing w:after="0"/>
        <w:rPr>
          <w:sz w:val="20"/>
          <w:szCs w:val="20"/>
          <w:color w:val="auto"/>
        </w:rPr>
      </w:pPr>
      <w:r>
        <w:rPr>
          <w:rFonts w:ascii="Arial" w:cs="Arial" w:eastAsia="Arial" w:hAnsi="Arial"/>
          <w:sz w:val="17"/>
          <w:szCs w:val="17"/>
          <w:b w:val="1"/>
          <w:bCs w:val="1"/>
          <w:color w:val="auto"/>
        </w:rPr>
        <w:t>Investor Presentation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-713740</wp:posOffset>
            </wp:positionH>
            <wp:positionV relativeFrom="paragraph">
              <wp:posOffset>575945</wp:posOffset>
            </wp:positionV>
            <wp:extent cx="7204075" cy="405511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04075" cy="40551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ind w:left="4400"/>
        <w:spacing w:after="0"/>
        <w:rPr>
          <w:sz w:val="20"/>
          <w:szCs w:val="20"/>
          <w:color w:val="auto"/>
        </w:rPr>
      </w:pPr>
      <w:r>
        <w:rPr>
          <w:rFonts w:ascii="Arial" w:cs="Arial" w:eastAsia="Arial" w:hAnsi="Arial"/>
          <w:sz w:val="19"/>
          <w:szCs w:val="19"/>
          <w:color w:val="auto"/>
        </w:rPr>
        <w:t>17</w:t>
      </w:r>
    </w:p>
    <w:p>
      <w:pPr>
        <w:sectPr>
          <w:pgSz w:w="11900" w:h="16838" w:orient="portrait"/>
          <w:cols w:equalWidth="0" w:num="1">
            <w:col w:w="10140"/>
          </w:cols>
          <w:pgMar w:left="1440" w:top="126" w:right="319" w:bottom="1440" w:gutter="0" w:footer="0" w:header="0"/>
        </w:sectPr>
      </w:pPr>
    </w:p>
    <w:bookmarkStart w:id="28" w:name="page29"/>
    <w:bookmarkEnd w:id="28"/>
    <w:p>
      <w:pPr>
        <w:jc w:val="right"/>
        <w:spacing w:after="0"/>
        <w:rPr>
          <w:sz w:val="20"/>
          <w:szCs w:val="20"/>
          <w:color w:val="auto"/>
        </w:rPr>
      </w:pPr>
      <w:r>
        <w:rPr>
          <w:rFonts w:ascii="Arial" w:cs="Arial" w:eastAsia="Arial" w:hAnsi="Arial"/>
          <w:sz w:val="19"/>
          <w:szCs w:val="19"/>
          <w:b w:val="1"/>
          <w:bCs w:val="1"/>
          <w:color w:val="auto"/>
        </w:rPr>
        <w:t>Exhibit 99.2</w:t>
      </w:r>
    </w:p>
    <w:p>
      <w:pPr>
        <w:spacing w:after="0" w:line="28" w:lineRule="exact"/>
        <w:rPr>
          <w:sz w:val="20"/>
          <w:szCs w:val="20"/>
          <w:color w:val="auto"/>
        </w:rPr>
      </w:pPr>
    </w:p>
    <w:p>
      <w:pPr>
        <w:jc w:val="center"/>
        <w:ind w:right="1120"/>
        <w:spacing w:after="0"/>
        <w:rPr>
          <w:sz w:val="20"/>
          <w:szCs w:val="20"/>
          <w:color w:val="auto"/>
        </w:rPr>
      </w:pPr>
      <w:r>
        <w:rPr>
          <w:rFonts w:ascii="Arial" w:cs="Arial" w:eastAsia="Arial" w:hAnsi="Arial"/>
          <w:sz w:val="19"/>
          <w:szCs w:val="19"/>
          <w:b w:val="1"/>
          <w:bCs w:val="1"/>
          <w:color w:val="auto"/>
        </w:rPr>
        <w:t>Expensify, Inc.</w:t>
      </w:r>
    </w:p>
    <w:p>
      <w:pPr>
        <w:spacing w:after="0" w:line="6" w:lineRule="exact"/>
        <w:rPr>
          <w:sz w:val="20"/>
          <w:szCs w:val="20"/>
          <w:color w:val="auto"/>
        </w:rPr>
      </w:pPr>
    </w:p>
    <w:p>
      <w:pPr>
        <w:jc w:val="center"/>
        <w:ind w:right="1120"/>
        <w:spacing w:after="0"/>
        <w:rPr>
          <w:sz w:val="20"/>
          <w:szCs w:val="20"/>
          <w:color w:val="auto"/>
        </w:rPr>
      </w:pPr>
      <w:r>
        <w:rPr>
          <w:rFonts w:ascii="Arial" w:cs="Arial" w:eastAsia="Arial" w:hAnsi="Arial"/>
          <w:sz w:val="17"/>
          <w:szCs w:val="17"/>
          <w:b w:val="1"/>
          <w:bCs w:val="1"/>
          <w:color w:val="auto"/>
        </w:rPr>
        <w:t>Investor Presentation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-713740</wp:posOffset>
            </wp:positionH>
            <wp:positionV relativeFrom="paragraph">
              <wp:posOffset>575945</wp:posOffset>
            </wp:positionV>
            <wp:extent cx="7204075" cy="405511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04075" cy="40551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ind w:left="4400"/>
        <w:spacing w:after="0"/>
        <w:rPr>
          <w:sz w:val="20"/>
          <w:szCs w:val="20"/>
          <w:color w:val="auto"/>
        </w:rPr>
      </w:pPr>
      <w:r>
        <w:rPr>
          <w:rFonts w:ascii="Arial" w:cs="Arial" w:eastAsia="Arial" w:hAnsi="Arial"/>
          <w:sz w:val="19"/>
          <w:szCs w:val="19"/>
          <w:color w:val="auto"/>
        </w:rPr>
        <w:t>18</w:t>
      </w:r>
    </w:p>
    <w:p>
      <w:pPr>
        <w:sectPr>
          <w:pgSz w:w="11900" w:h="16838" w:orient="portrait"/>
          <w:cols w:equalWidth="0" w:num="1">
            <w:col w:w="10140"/>
          </w:cols>
          <w:pgMar w:left="1440" w:top="126" w:right="319" w:bottom="1440" w:gutter="0" w:footer="0" w:header="0"/>
        </w:sectPr>
      </w:pPr>
    </w:p>
    <w:bookmarkStart w:id="29" w:name="page30"/>
    <w:bookmarkEnd w:id="29"/>
    <w:p>
      <w:pPr>
        <w:jc w:val="right"/>
        <w:spacing w:after="0"/>
        <w:rPr>
          <w:sz w:val="20"/>
          <w:szCs w:val="20"/>
          <w:color w:val="auto"/>
        </w:rPr>
      </w:pPr>
      <w:r>
        <w:rPr>
          <w:rFonts w:ascii="Arial" w:cs="Arial" w:eastAsia="Arial" w:hAnsi="Arial"/>
          <w:sz w:val="19"/>
          <w:szCs w:val="19"/>
          <w:b w:val="1"/>
          <w:bCs w:val="1"/>
          <w:color w:val="auto"/>
        </w:rPr>
        <w:t>Exhibit 99.2</w:t>
      </w:r>
    </w:p>
    <w:p>
      <w:pPr>
        <w:spacing w:after="0" w:line="28" w:lineRule="exact"/>
        <w:rPr>
          <w:sz w:val="20"/>
          <w:szCs w:val="20"/>
          <w:color w:val="auto"/>
        </w:rPr>
      </w:pPr>
    </w:p>
    <w:p>
      <w:pPr>
        <w:jc w:val="center"/>
        <w:ind w:right="1120"/>
        <w:spacing w:after="0"/>
        <w:rPr>
          <w:sz w:val="20"/>
          <w:szCs w:val="20"/>
          <w:color w:val="auto"/>
        </w:rPr>
      </w:pPr>
      <w:r>
        <w:rPr>
          <w:rFonts w:ascii="Arial" w:cs="Arial" w:eastAsia="Arial" w:hAnsi="Arial"/>
          <w:sz w:val="19"/>
          <w:szCs w:val="19"/>
          <w:b w:val="1"/>
          <w:bCs w:val="1"/>
          <w:color w:val="auto"/>
        </w:rPr>
        <w:t>Expensify, Inc.</w:t>
      </w:r>
    </w:p>
    <w:p>
      <w:pPr>
        <w:spacing w:after="0" w:line="6" w:lineRule="exact"/>
        <w:rPr>
          <w:sz w:val="20"/>
          <w:szCs w:val="20"/>
          <w:color w:val="auto"/>
        </w:rPr>
      </w:pPr>
    </w:p>
    <w:p>
      <w:pPr>
        <w:jc w:val="center"/>
        <w:ind w:right="1120"/>
        <w:spacing w:after="0"/>
        <w:rPr>
          <w:sz w:val="20"/>
          <w:szCs w:val="20"/>
          <w:color w:val="auto"/>
        </w:rPr>
      </w:pPr>
      <w:r>
        <w:rPr>
          <w:rFonts w:ascii="Arial" w:cs="Arial" w:eastAsia="Arial" w:hAnsi="Arial"/>
          <w:sz w:val="17"/>
          <w:szCs w:val="17"/>
          <w:b w:val="1"/>
          <w:bCs w:val="1"/>
          <w:color w:val="auto"/>
        </w:rPr>
        <w:t>Investor Presentation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-713740</wp:posOffset>
            </wp:positionH>
            <wp:positionV relativeFrom="paragraph">
              <wp:posOffset>575945</wp:posOffset>
            </wp:positionV>
            <wp:extent cx="7204075" cy="405511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04075" cy="40551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ind w:left="4400"/>
        <w:spacing w:after="0"/>
        <w:rPr>
          <w:sz w:val="20"/>
          <w:szCs w:val="20"/>
          <w:color w:val="auto"/>
        </w:rPr>
      </w:pPr>
      <w:r>
        <w:rPr>
          <w:rFonts w:ascii="Arial" w:cs="Arial" w:eastAsia="Arial" w:hAnsi="Arial"/>
          <w:sz w:val="19"/>
          <w:szCs w:val="19"/>
          <w:color w:val="auto"/>
        </w:rPr>
        <w:t>19</w:t>
      </w:r>
    </w:p>
    <w:p>
      <w:pPr>
        <w:sectPr>
          <w:pgSz w:w="11900" w:h="16838" w:orient="portrait"/>
          <w:cols w:equalWidth="0" w:num="1">
            <w:col w:w="10140"/>
          </w:cols>
          <w:pgMar w:left="1440" w:top="126" w:right="319" w:bottom="1440" w:gutter="0" w:footer="0" w:header="0"/>
        </w:sectPr>
      </w:pPr>
    </w:p>
    <w:bookmarkStart w:id="30" w:name="page31"/>
    <w:bookmarkEnd w:id="30"/>
    <w:p>
      <w:pPr>
        <w:jc w:val="right"/>
        <w:spacing w:after="0"/>
        <w:rPr>
          <w:sz w:val="20"/>
          <w:szCs w:val="20"/>
          <w:color w:val="auto"/>
        </w:rPr>
      </w:pPr>
      <w:r>
        <w:rPr>
          <w:rFonts w:ascii="Arial" w:cs="Arial" w:eastAsia="Arial" w:hAnsi="Arial"/>
          <w:sz w:val="19"/>
          <w:szCs w:val="19"/>
          <w:b w:val="1"/>
          <w:bCs w:val="1"/>
          <w:color w:val="auto"/>
        </w:rPr>
        <w:t>Exhibit 99.2</w:t>
      </w:r>
    </w:p>
    <w:p>
      <w:pPr>
        <w:spacing w:after="0" w:line="28" w:lineRule="exact"/>
        <w:rPr>
          <w:sz w:val="20"/>
          <w:szCs w:val="20"/>
          <w:color w:val="auto"/>
        </w:rPr>
      </w:pPr>
    </w:p>
    <w:p>
      <w:pPr>
        <w:jc w:val="center"/>
        <w:ind w:right="1120"/>
        <w:spacing w:after="0"/>
        <w:rPr>
          <w:sz w:val="20"/>
          <w:szCs w:val="20"/>
          <w:color w:val="auto"/>
        </w:rPr>
      </w:pPr>
      <w:r>
        <w:rPr>
          <w:rFonts w:ascii="Arial" w:cs="Arial" w:eastAsia="Arial" w:hAnsi="Arial"/>
          <w:sz w:val="19"/>
          <w:szCs w:val="19"/>
          <w:b w:val="1"/>
          <w:bCs w:val="1"/>
          <w:color w:val="auto"/>
        </w:rPr>
        <w:t>Expensify, Inc.</w:t>
      </w:r>
    </w:p>
    <w:p>
      <w:pPr>
        <w:spacing w:after="0" w:line="6" w:lineRule="exact"/>
        <w:rPr>
          <w:sz w:val="20"/>
          <w:szCs w:val="20"/>
          <w:color w:val="auto"/>
        </w:rPr>
      </w:pPr>
    </w:p>
    <w:p>
      <w:pPr>
        <w:jc w:val="center"/>
        <w:ind w:right="1120"/>
        <w:spacing w:after="0"/>
        <w:rPr>
          <w:sz w:val="20"/>
          <w:szCs w:val="20"/>
          <w:color w:val="auto"/>
        </w:rPr>
      </w:pPr>
      <w:r>
        <w:rPr>
          <w:rFonts w:ascii="Arial" w:cs="Arial" w:eastAsia="Arial" w:hAnsi="Arial"/>
          <w:sz w:val="17"/>
          <w:szCs w:val="17"/>
          <w:b w:val="1"/>
          <w:bCs w:val="1"/>
          <w:color w:val="auto"/>
        </w:rPr>
        <w:t>Investor Presentation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-713740</wp:posOffset>
            </wp:positionH>
            <wp:positionV relativeFrom="paragraph">
              <wp:posOffset>576580</wp:posOffset>
            </wp:positionV>
            <wp:extent cx="7204075" cy="405511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04075" cy="40551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ind w:left="4400"/>
        <w:spacing w:after="0"/>
        <w:rPr>
          <w:sz w:val="20"/>
          <w:szCs w:val="20"/>
          <w:color w:val="auto"/>
        </w:rPr>
      </w:pPr>
      <w:r>
        <w:rPr>
          <w:rFonts w:ascii="Arial" w:cs="Arial" w:eastAsia="Arial" w:hAnsi="Arial"/>
          <w:sz w:val="19"/>
          <w:szCs w:val="19"/>
          <w:color w:val="auto"/>
        </w:rPr>
        <w:t>20</w:t>
      </w:r>
    </w:p>
    <w:p>
      <w:pPr>
        <w:sectPr>
          <w:pgSz w:w="11900" w:h="16838" w:orient="portrait"/>
          <w:cols w:equalWidth="0" w:num="1">
            <w:col w:w="10140"/>
          </w:cols>
          <w:pgMar w:left="1440" w:top="126" w:right="319" w:bottom="1440" w:gutter="0" w:footer="0" w:header="0"/>
        </w:sectPr>
      </w:pPr>
    </w:p>
    <w:bookmarkStart w:id="31" w:name="page32"/>
    <w:bookmarkEnd w:id="31"/>
    <w:p>
      <w:pPr>
        <w:jc w:val="right"/>
        <w:spacing w:after="0"/>
        <w:rPr>
          <w:sz w:val="20"/>
          <w:szCs w:val="20"/>
          <w:color w:val="auto"/>
        </w:rPr>
      </w:pPr>
      <w:r>
        <w:rPr>
          <w:rFonts w:ascii="Arial" w:cs="Arial" w:eastAsia="Arial" w:hAnsi="Arial"/>
          <w:sz w:val="19"/>
          <w:szCs w:val="19"/>
          <w:b w:val="1"/>
          <w:bCs w:val="1"/>
          <w:color w:val="auto"/>
        </w:rPr>
        <w:t>Exhibit 99.2</w:t>
      </w:r>
    </w:p>
    <w:p>
      <w:pPr>
        <w:spacing w:after="0" w:line="28" w:lineRule="exact"/>
        <w:rPr>
          <w:sz w:val="20"/>
          <w:szCs w:val="20"/>
          <w:color w:val="auto"/>
        </w:rPr>
      </w:pPr>
    </w:p>
    <w:p>
      <w:pPr>
        <w:jc w:val="center"/>
        <w:ind w:right="1120"/>
        <w:spacing w:after="0"/>
        <w:rPr>
          <w:sz w:val="20"/>
          <w:szCs w:val="20"/>
          <w:color w:val="auto"/>
        </w:rPr>
      </w:pPr>
      <w:r>
        <w:rPr>
          <w:rFonts w:ascii="Arial" w:cs="Arial" w:eastAsia="Arial" w:hAnsi="Arial"/>
          <w:sz w:val="19"/>
          <w:szCs w:val="19"/>
          <w:b w:val="1"/>
          <w:bCs w:val="1"/>
          <w:color w:val="auto"/>
        </w:rPr>
        <w:t>Expensify, Inc.</w:t>
      </w:r>
    </w:p>
    <w:p>
      <w:pPr>
        <w:spacing w:after="0" w:line="6" w:lineRule="exact"/>
        <w:rPr>
          <w:sz w:val="20"/>
          <w:szCs w:val="20"/>
          <w:color w:val="auto"/>
        </w:rPr>
      </w:pPr>
    </w:p>
    <w:p>
      <w:pPr>
        <w:jc w:val="center"/>
        <w:ind w:right="1120"/>
        <w:spacing w:after="0"/>
        <w:rPr>
          <w:sz w:val="20"/>
          <w:szCs w:val="20"/>
          <w:color w:val="auto"/>
        </w:rPr>
      </w:pPr>
      <w:r>
        <w:rPr>
          <w:rFonts w:ascii="Arial" w:cs="Arial" w:eastAsia="Arial" w:hAnsi="Arial"/>
          <w:sz w:val="17"/>
          <w:szCs w:val="17"/>
          <w:b w:val="1"/>
          <w:bCs w:val="1"/>
          <w:color w:val="auto"/>
        </w:rPr>
        <w:t>Investor Presentation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-713740</wp:posOffset>
            </wp:positionH>
            <wp:positionV relativeFrom="paragraph">
              <wp:posOffset>576580</wp:posOffset>
            </wp:positionV>
            <wp:extent cx="7204075" cy="405511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04075" cy="40551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ind w:left="4400"/>
        <w:spacing w:after="0"/>
        <w:rPr>
          <w:sz w:val="20"/>
          <w:szCs w:val="20"/>
          <w:color w:val="auto"/>
        </w:rPr>
      </w:pPr>
      <w:r>
        <w:rPr>
          <w:rFonts w:ascii="Arial" w:cs="Arial" w:eastAsia="Arial" w:hAnsi="Arial"/>
          <w:sz w:val="19"/>
          <w:szCs w:val="19"/>
          <w:color w:val="auto"/>
        </w:rPr>
        <w:t>21</w:t>
      </w:r>
    </w:p>
    <w:p>
      <w:pPr>
        <w:sectPr>
          <w:pgSz w:w="11900" w:h="16838" w:orient="portrait"/>
          <w:cols w:equalWidth="0" w:num="1">
            <w:col w:w="10140"/>
          </w:cols>
          <w:pgMar w:left="1440" w:top="126" w:right="319" w:bottom="1440" w:gutter="0" w:footer="0" w:header="0"/>
        </w:sectPr>
      </w:pPr>
    </w:p>
    <w:bookmarkStart w:id="32" w:name="page33"/>
    <w:bookmarkEnd w:id="32"/>
    <w:p>
      <w:pPr>
        <w:jc w:val="right"/>
        <w:spacing w:after="0"/>
        <w:rPr>
          <w:sz w:val="20"/>
          <w:szCs w:val="20"/>
          <w:color w:val="auto"/>
        </w:rPr>
      </w:pPr>
      <w:r>
        <w:rPr>
          <w:rFonts w:ascii="Arial" w:cs="Arial" w:eastAsia="Arial" w:hAnsi="Arial"/>
          <w:sz w:val="19"/>
          <w:szCs w:val="19"/>
          <w:b w:val="1"/>
          <w:bCs w:val="1"/>
          <w:color w:val="auto"/>
        </w:rPr>
        <w:t>Exhibit 99.2</w:t>
      </w:r>
    </w:p>
    <w:p>
      <w:pPr>
        <w:spacing w:after="0" w:line="28" w:lineRule="exact"/>
        <w:rPr>
          <w:sz w:val="20"/>
          <w:szCs w:val="20"/>
          <w:color w:val="auto"/>
        </w:rPr>
      </w:pPr>
    </w:p>
    <w:p>
      <w:pPr>
        <w:jc w:val="center"/>
        <w:ind w:right="1120"/>
        <w:spacing w:after="0"/>
        <w:rPr>
          <w:sz w:val="20"/>
          <w:szCs w:val="20"/>
          <w:color w:val="auto"/>
        </w:rPr>
      </w:pPr>
      <w:r>
        <w:rPr>
          <w:rFonts w:ascii="Arial" w:cs="Arial" w:eastAsia="Arial" w:hAnsi="Arial"/>
          <w:sz w:val="19"/>
          <w:szCs w:val="19"/>
          <w:b w:val="1"/>
          <w:bCs w:val="1"/>
          <w:color w:val="auto"/>
        </w:rPr>
        <w:t>Expensify, Inc.</w:t>
      </w:r>
    </w:p>
    <w:p>
      <w:pPr>
        <w:spacing w:after="0" w:line="6" w:lineRule="exact"/>
        <w:rPr>
          <w:sz w:val="20"/>
          <w:szCs w:val="20"/>
          <w:color w:val="auto"/>
        </w:rPr>
      </w:pPr>
    </w:p>
    <w:p>
      <w:pPr>
        <w:jc w:val="center"/>
        <w:ind w:right="1120"/>
        <w:spacing w:after="0"/>
        <w:rPr>
          <w:sz w:val="20"/>
          <w:szCs w:val="20"/>
          <w:color w:val="auto"/>
        </w:rPr>
      </w:pPr>
      <w:r>
        <w:rPr>
          <w:rFonts w:ascii="Arial" w:cs="Arial" w:eastAsia="Arial" w:hAnsi="Arial"/>
          <w:sz w:val="17"/>
          <w:szCs w:val="17"/>
          <w:b w:val="1"/>
          <w:bCs w:val="1"/>
          <w:color w:val="auto"/>
        </w:rPr>
        <w:t>Investor Presentation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-713740</wp:posOffset>
            </wp:positionH>
            <wp:positionV relativeFrom="paragraph">
              <wp:posOffset>576580</wp:posOffset>
            </wp:positionV>
            <wp:extent cx="7204075" cy="405511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04075" cy="40551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ind w:left="4400"/>
        <w:spacing w:after="0"/>
        <w:rPr>
          <w:sz w:val="20"/>
          <w:szCs w:val="20"/>
          <w:color w:val="auto"/>
        </w:rPr>
      </w:pPr>
      <w:r>
        <w:rPr>
          <w:rFonts w:ascii="Arial" w:cs="Arial" w:eastAsia="Arial" w:hAnsi="Arial"/>
          <w:sz w:val="19"/>
          <w:szCs w:val="19"/>
          <w:color w:val="auto"/>
        </w:rPr>
        <w:t>22</w:t>
      </w:r>
    </w:p>
    <w:p>
      <w:pPr>
        <w:sectPr>
          <w:pgSz w:w="11900" w:h="16838" w:orient="portrait"/>
          <w:cols w:equalWidth="0" w:num="1">
            <w:col w:w="10140"/>
          </w:cols>
          <w:pgMar w:left="1440" w:top="126" w:right="319" w:bottom="1440" w:gutter="0" w:footer="0" w:header="0"/>
        </w:sectPr>
      </w:pPr>
    </w:p>
    <w:bookmarkStart w:id="33" w:name="page34"/>
    <w:bookmarkEnd w:id="33"/>
    <w:p>
      <w:pPr>
        <w:jc w:val="right"/>
        <w:spacing w:after="0"/>
        <w:rPr>
          <w:sz w:val="20"/>
          <w:szCs w:val="20"/>
          <w:color w:val="auto"/>
        </w:rPr>
      </w:pPr>
      <w:r>
        <w:rPr>
          <w:rFonts w:ascii="Arial" w:cs="Arial" w:eastAsia="Arial" w:hAnsi="Arial"/>
          <w:sz w:val="19"/>
          <w:szCs w:val="19"/>
          <w:b w:val="1"/>
          <w:bCs w:val="1"/>
          <w:color w:val="auto"/>
        </w:rPr>
        <w:t>Exhibit 99.2</w:t>
      </w:r>
    </w:p>
    <w:p>
      <w:pPr>
        <w:spacing w:after="0" w:line="28" w:lineRule="exact"/>
        <w:rPr>
          <w:sz w:val="20"/>
          <w:szCs w:val="20"/>
          <w:color w:val="auto"/>
        </w:rPr>
      </w:pPr>
    </w:p>
    <w:p>
      <w:pPr>
        <w:jc w:val="center"/>
        <w:ind w:right="1120"/>
        <w:spacing w:after="0"/>
        <w:rPr>
          <w:sz w:val="20"/>
          <w:szCs w:val="20"/>
          <w:color w:val="auto"/>
        </w:rPr>
      </w:pPr>
      <w:r>
        <w:rPr>
          <w:rFonts w:ascii="Arial" w:cs="Arial" w:eastAsia="Arial" w:hAnsi="Arial"/>
          <w:sz w:val="19"/>
          <w:szCs w:val="19"/>
          <w:b w:val="1"/>
          <w:bCs w:val="1"/>
          <w:color w:val="auto"/>
        </w:rPr>
        <w:t>Expensify, Inc.</w:t>
      </w:r>
    </w:p>
    <w:p>
      <w:pPr>
        <w:spacing w:after="0" w:line="6" w:lineRule="exact"/>
        <w:rPr>
          <w:sz w:val="20"/>
          <w:szCs w:val="20"/>
          <w:color w:val="auto"/>
        </w:rPr>
      </w:pPr>
    </w:p>
    <w:p>
      <w:pPr>
        <w:jc w:val="center"/>
        <w:ind w:right="1120"/>
        <w:spacing w:after="0"/>
        <w:rPr>
          <w:sz w:val="20"/>
          <w:szCs w:val="20"/>
          <w:color w:val="auto"/>
        </w:rPr>
      </w:pPr>
      <w:r>
        <w:rPr>
          <w:rFonts w:ascii="Arial" w:cs="Arial" w:eastAsia="Arial" w:hAnsi="Arial"/>
          <w:sz w:val="17"/>
          <w:szCs w:val="17"/>
          <w:b w:val="1"/>
          <w:bCs w:val="1"/>
          <w:color w:val="auto"/>
        </w:rPr>
        <w:t>Investor Presentation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-713740</wp:posOffset>
            </wp:positionH>
            <wp:positionV relativeFrom="paragraph">
              <wp:posOffset>576580</wp:posOffset>
            </wp:positionV>
            <wp:extent cx="7204075" cy="405511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04075" cy="40551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ind w:left="4400"/>
        <w:spacing w:after="0"/>
        <w:rPr>
          <w:sz w:val="20"/>
          <w:szCs w:val="20"/>
          <w:color w:val="auto"/>
        </w:rPr>
      </w:pPr>
      <w:r>
        <w:rPr>
          <w:rFonts w:ascii="Arial" w:cs="Arial" w:eastAsia="Arial" w:hAnsi="Arial"/>
          <w:sz w:val="19"/>
          <w:szCs w:val="19"/>
          <w:color w:val="auto"/>
        </w:rPr>
        <w:t>23</w:t>
      </w:r>
    </w:p>
    <w:p>
      <w:pPr>
        <w:sectPr>
          <w:pgSz w:w="11900" w:h="16838" w:orient="portrait"/>
          <w:cols w:equalWidth="0" w:num="1">
            <w:col w:w="10140"/>
          </w:cols>
          <w:pgMar w:left="1440" w:top="126" w:right="319" w:bottom="1440" w:gutter="0" w:footer="0" w:header="0"/>
        </w:sectPr>
      </w:pPr>
    </w:p>
    <w:bookmarkStart w:id="34" w:name="page35"/>
    <w:bookmarkEnd w:id="34"/>
    <w:p>
      <w:pPr>
        <w:jc w:val="right"/>
        <w:spacing w:after="0"/>
        <w:rPr>
          <w:sz w:val="20"/>
          <w:szCs w:val="20"/>
          <w:color w:val="auto"/>
        </w:rPr>
      </w:pPr>
      <w:r>
        <w:rPr>
          <w:rFonts w:ascii="Arial" w:cs="Arial" w:eastAsia="Arial" w:hAnsi="Arial"/>
          <w:sz w:val="19"/>
          <w:szCs w:val="19"/>
          <w:b w:val="1"/>
          <w:bCs w:val="1"/>
          <w:color w:val="auto"/>
        </w:rPr>
        <w:t>Exhibit 99.2</w:t>
      </w:r>
    </w:p>
    <w:p>
      <w:pPr>
        <w:spacing w:after="0" w:line="28" w:lineRule="exact"/>
        <w:rPr>
          <w:sz w:val="20"/>
          <w:szCs w:val="20"/>
          <w:color w:val="auto"/>
        </w:rPr>
      </w:pPr>
    </w:p>
    <w:p>
      <w:pPr>
        <w:jc w:val="center"/>
        <w:ind w:right="1120"/>
        <w:spacing w:after="0"/>
        <w:rPr>
          <w:sz w:val="20"/>
          <w:szCs w:val="20"/>
          <w:color w:val="auto"/>
        </w:rPr>
      </w:pPr>
      <w:r>
        <w:rPr>
          <w:rFonts w:ascii="Arial" w:cs="Arial" w:eastAsia="Arial" w:hAnsi="Arial"/>
          <w:sz w:val="19"/>
          <w:szCs w:val="19"/>
          <w:b w:val="1"/>
          <w:bCs w:val="1"/>
          <w:color w:val="auto"/>
        </w:rPr>
        <w:t>Expensify, Inc.</w:t>
      </w:r>
    </w:p>
    <w:p>
      <w:pPr>
        <w:spacing w:after="0" w:line="6" w:lineRule="exact"/>
        <w:rPr>
          <w:sz w:val="20"/>
          <w:szCs w:val="20"/>
          <w:color w:val="auto"/>
        </w:rPr>
      </w:pPr>
    </w:p>
    <w:p>
      <w:pPr>
        <w:jc w:val="center"/>
        <w:ind w:right="1120"/>
        <w:spacing w:after="0"/>
        <w:rPr>
          <w:sz w:val="20"/>
          <w:szCs w:val="20"/>
          <w:color w:val="auto"/>
        </w:rPr>
      </w:pPr>
      <w:r>
        <w:rPr>
          <w:rFonts w:ascii="Arial" w:cs="Arial" w:eastAsia="Arial" w:hAnsi="Arial"/>
          <w:sz w:val="17"/>
          <w:szCs w:val="17"/>
          <w:b w:val="1"/>
          <w:bCs w:val="1"/>
          <w:color w:val="auto"/>
        </w:rPr>
        <w:t>Investor Presentation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-713740</wp:posOffset>
            </wp:positionH>
            <wp:positionV relativeFrom="paragraph">
              <wp:posOffset>576580</wp:posOffset>
            </wp:positionV>
            <wp:extent cx="7204075" cy="405511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04075" cy="40551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ind w:left="4400"/>
        <w:spacing w:after="0"/>
        <w:rPr>
          <w:sz w:val="20"/>
          <w:szCs w:val="20"/>
          <w:color w:val="auto"/>
        </w:rPr>
      </w:pPr>
      <w:r>
        <w:rPr>
          <w:rFonts w:ascii="Arial" w:cs="Arial" w:eastAsia="Arial" w:hAnsi="Arial"/>
          <w:sz w:val="19"/>
          <w:szCs w:val="19"/>
          <w:color w:val="auto"/>
        </w:rPr>
        <w:t>24</w:t>
      </w:r>
    </w:p>
    <w:p>
      <w:pPr>
        <w:sectPr>
          <w:pgSz w:w="11900" w:h="16838" w:orient="portrait"/>
          <w:cols w:equalWidth="0" w:num="1">
            <w:col w:w="10140"/>
          </w:cols>
          <w:pgMar w:left="1440" w:top="126" w:right="319" w:bottom="1440" w:gutter="0" w:footer="0" w:header="0"/>
        </w:sectPr>
      </w:pPr>
    </w:p>
    <w:bookmarkStart w:id="35" w:name="page36"/>
    <w:bookmarkEnd w:id="35"/>
    <w:p>
      <w:pPr>
        <w:jc w:val="right"/>
        <w:spacing w:after="0"/>
        <w:rPr>
          <w:sz w:val="20"/>
          <w:szCs w:val="20"/>
          <w:color w:val="auto"/>
        </w:rPr>
      </w:pPr>
      <w:r>
        <w:rPr>
          <w:rFonts w:ascii="Arial" w:cs="Arial" w:eastAsia="Arial" w:hAnsi="Arial"/>
          <w:sz w:val="19"/>
          <w:szCs w:val="19"/>
          <w:b w:val="1"/>
          <w:bCs w:val="1"/>
          <w:color w:val="auto"/>
        </w:rPr>
        <w:t>Exhibit 99.2</w:t>
      </w:r>
    </w:p>
    <w:p>
      <w:pPr>
        <w:spacing w:after="0" w:line="28" w:lineRule="exact"/>
        <w:rPr>
          <w:sz w:val="20"/>
          <w:szCs w:val="20"/>
          <w:color w:val="auto"/>
        </w:rPr>
      </w:pPr>
    </w:p>
    <w:p>
      <w:pPr>
        <w:jc w:val="center"/>
        <w:ind w:right="1120"/>
        <w:spacing w:after="0"/>
        <w:rPr>
          <w:sz w:val="20"/>
          <w:szCs w:val="20"/>
          <w:color w:val="auto"/>
        </w:rPr>
      </w:pPr>
      <w:r>
        <w:rPr>
          <w:rFonts w:ascii="Arial" w:cs="Arial" w:eastAsia="Arial" w:hAnsi="Arial"/>
          <w:sz w:val="19"/>
          <w:szCs w:val="19"/>
          <w:b w:val="1"/>
          <w:bCs w:val="1"/>
          <w:color w:val="auto"/>
        </w:rPr>
        <w:t>Expensify, Inc.</w:t>
      </w:r>
    </w:p>
    <w:p>
      <w:pPr>
        <w:spacing w:after="0" w:line="6" w:lineRule="exact"/>
        <w:rPr>
          <w:sz w:val="20"/>
          <w:szCs w:val="20"/>
          <w:color w:val="auto"/>
        </w:rPr>
      </w:pPr>
    </w:p>
    <w:p>
      <w:pPr>
        <w:jc w:val="center"/>
        <w:ind w:right="1120"/>
        <w:spacing w:after="0"/>
        <w:rPr>
          <w:sz w:val="20"/>
          <w:szCs w:val="20"/>
          <w:color w:val="auto"/>
        </w:rPr>
      </w:pPr>
      <w:r>
        <w:rPr>
          <w:rFonts w:ascii="Arial" w:cs="Arial" w:eastAsia="Arial" w:hAnsi="Arial"/>
          <w:sz w:val="17"/>
          <w:szCs w:val="17"/>
          <w:b w:val="1"/>
          <w:bCs w:val="1"/>
          <w:color w:val="auto"/>
        </w:rPr>
        <w:t>Investor Presentation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-713740</wp:posOffset>
            </wp:positionH>
            <wp:positionV relativeFrom="paragraph">
              <wp:posOffset>576580</wp:posOffset>
            </wp:positionV>
            <wp:extent cx="7204075" cy="405511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04075" cy="40551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ind w:left="4400"/>
        <w:spacing w:after="0"/>
        <w:rPr>
          <w:sz w:val="20"/>
          <w:szCs w:val="20"/>
          <w:color w:val="auto"/>
        </w:rPr>
      </w:pPr>
      <w:r>
        <w:rPr>
          <w:rFonts w:ascii="Arial" w:cs="Arial" w:eastAsia="Arial" w:hAnsi="Arial"/>
          <w:sz w:val="19"/>
          <w:szCs w:val="19"/>
          <w:color w:val="auto"/>
        </w:rPr>
        <w:t>25</w:t>
      </w:r>
    </w:p>
    <w:p>
      <w:pPr>
        <w:sectPr>
          <w:pgSz w:w="11900" w:h="16838" w:orient="portrait"/>
          <w:cols w:equalWidth="0" w:num="1">
            <w:col w:w="10140"/>
          </w:cols>
          <w:pgMar w:left="1440" w:top="126" w:right="319" w:bottom="1440" w:gutter="0" w:footer="0" w:header="0"/>
        </w:sectPr>
      </w:pPr>
    </w:p>
    <w:bookmarkStart w:id="36" w:name="page37"/>
    <w:bookmarkEnd w:id="36"/>
    <w:p>
      <w:pPr>
        <w:jc w:val="right"/>
        <w:spacing w:after="0"/>
        <w:rPr>
          <w:sz w:val="20"/>
          <w:szCs w:val="20"/>
          <w:color w:val="auto"/>
        </w:rPr>
      </w:pPr>
      <w:r>
        <w:rPr>
          <w:rFonts w:ascii="Arial" w:cs="Arial" w:eastAsia="Arial" w:hAnsi="Arial"/>
          <w:sz w:val="19"/>
          <w:szCs w:val="19"/>
          <w:b w:val="1"/>
          <w:bCs w:val="1"/>
          <w:color w:val="auto"/>
        </w:rPr>
        <w:t>Exhibit 99.2</w:t>
      </w:r>
    </w:p>
    <w:p>
      <w:pPr>
        <w:spacing w:after="0" w:line="28" w:lineRule="exact"/>
        <w:rPr>
          <w:sz w:val="20"/>
          <w:szCs w:val="20"/>
          <w:color w:val="auto"/>
        </w:rPr>
      </w:pPr>
    </w:p>
    <w:p>
      <w:pPr>
        <w:jc w:val="center"/>
        <w:ind w:right="1120"/>
        <w:spacing w:after="0"/>
        <w:rPr>
          <w:sz w:val="20"/>
          <w:szCs w:val="20"/>
          <w:color w:val="auto"/>
        </w:rPr>
      </w:pPr>
      <w:r>
        <w:rPr>
          <w:rFonts w:ascii="Arial" w:cs="Arial" w:eastAsia="Arial" w:hAnsi="Arial"/>
          <w:sz w:val="19"/>
          <w:szCs w:val="19"/>
          <w:b w:val="1"/>
          <w:bCs w:val="1"/>
          <w:color w:val="auto"/>
        </w:rPr>
        <w:t>Expensify, Inc.</w:t>
      </w:r>
    </w:p>
    <w:p>
      <w:pPr>
        <w:spacing w:after="0" w:line="6" w:lineRule="exact"/>
        <w:rPr>
          <w:sz w:val="20"/>
          <w:szCs w:val="20"/>
          <w:color w:val="auto"/>
        </w:rPr>
      </w:pPr>
    </w:p>
    <w:p>
      <w:pPr>
        <w:jc w:val="center"/>
        <w:ind w:right="1120"/>
        <w:spacing w:after="0"/>
        <w:rPr>
          <w:sz w:val="20"/>
          <w:szCs w:val="20"/>
          <w:color w:val="auto"/>
        </w:rPr>
      </w:pPr>
      <w:r>
        <w:rPr>
          <w:rFonts w:ascii="Arial" w:cs="Arial" w:eastAsia="Arial" w:hAnsi="Arial"/>
          <w:sz w:val="17"/>
          <w:szCs w:val="17"/>
          <w:b w:val="1"/>
          <w:bCs w:val="1"/>
          <w:color w:val="auto"/>
        </w:rPr>
        <w:t>Investor Presentation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-713740</wp:posOffset>
            </wp:positionH>
            <wp:positionV relativeFrom="paragraph">
              <wp:posOffset>576580</wp:posOffset>
            </wp:positionV>
            <wp:extent cx="7204075" cy="405511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04075" cy="40551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ind w:left="4400"/>
        <w:spacing w:after="0"/>
        <w:rPr>
          <w:sz w:val="20"/>
          <w:szCs w:val="20"/>
          <w:color w:val="auto"/>
        </w:rPr>
      </w:pPr>
      <w:r>
        <w:rPr>
          <w:rFonts w:ascii="Arial" w:cs="Arial" w:eastAsia="Arial" w:hAnsi="Arial"/>
          <w:sz w:val="19"/>
          <w:szCs w:val="19"/>
          <w:color w:val="auto"/>
        </w:rPr>
        <w:t>26</w:t>
      </w:r>
    </w:p>
    <w:p>
      <w:pPr>
        <w:sectPr>
          <w:pgSz w:w="11900" w:h="16838" w:orient="portrait"/>
          <w:cols w:equalWidth="0" w:num="1">
            <w:col w:w="10140"/>
          </w:cols>
          <w:pgMar w:left="1440" w:top="126" w:right="319" w:bottom="1440" w:gutter="0" w:footer="0" w:header="0"/>
        </w:sectPr>
      </w:pPr>
    </w:p>
    <w:bookmarkStart w:id="37" w:name="page38"/>
    <w:bookmarkEnd w:id="37"/>
    <w:p>
      <w:pPr>
        <w:jc w:val="right"/>
        <w:spacing w:after="0"/>
        <w:rPr>
          <w:sz w:val="20"/>
          <w:szCs w:val="20"/>
          <w:color w:val="auto"/>
        </w:rPr>
      </w:pPr>
      <w:r>
        <w:rPr>
          <w:rFonts w:ascii="Arial" w:cs="Arial" w:eastAsia="Arial" w:hAnsi="Arial"/>
          <w:sz w:val="19"/>
          <w:szCs w:val="19"/>
          <w:b w:val="1"/>
          <w:bCs w:val="1"/>
          <w:color w:val="auto"/>
        </w:rPr>
        <w:t>Exhibit 99.2</w:t>
      </w:r>
    </w:p>
    <w:p>
      <w:pPr>
        <w:spacing w:after="0" w:line="28" w:lineRule="exact"/>
        <w:rPr>
          <w:sz w:val="20"/>
          <w:szCs w:val="20"/>
          <w:color w:val="auto"/>
        </w:rPr>
      </w:pPr>
    </w:p>
    <w:p>
      <w:pPr>
        <w:jc w:val="center"/>
        <w:ind w:right="1120"/>
        <w:spacing w:after="0"/>
        <w:rPr>
          <w:sz w:val="20"/>
          <w:szCs w:val="20"/>
          <w:color w:val="auto"/>
        </w:rPr>
      </w:pPr>
      <w:r>
        <w:rPr>
          <w:rFonts w:ascii="Arial" w:cs="Arial" w:eastAsia="Arial" w:hAnsi="Arial"/>
          <w:sz w:val="19"/>
          <w:szCs w:val="19"/>
          <w:b w:val="1"/>
          <w:bCs w:val="1"/>
          <w:color w:val="auto"/>
        </w:rPr>
        <w:t>Expensify, Inc.</w:t>
      </w:r>
    </w:p>
    <w:p>
      <w:pPr>
        <w:spacing w:after="0" w:line="6" w:lineRule="exact"/>
        <w:rPr>
          <w:sz w:val="20"/>
          <w:szCs w:val="20"/>
          <w:color w:val="auto"/>
        </w:rPr>
      </w:pPr>
    </w:p>
    <w:p>
      <w:pPr>
        <w:jc w:val="center"/>
        <w:ind w:right="1120"/>
        <w:spacing w:after="0"/>
        <w:rPr>
          <w:sz w:val="20"/>
          <w:szCs w:val="20"/>
          <w:color w:val="auto"/>
        </w:rPr>
      </w:pPr>
      <w:r>
        <w:rPr>
          <w:rFonts w:ascii="Arial" w:cs="Arial" w:eastAsia="Arial" w:hAnsi="Arial"/>
          <w:sz w:val="17"/>
          <w:szCs w:val="17"/>
          <w:b w:val="1"/>
          <w:bCs w:val="1"/>
          <w:color w:val="auto"/>
        </w:rPr>
        <w:t>Investor Presentation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-713740</wp:posOffset>
            </wp:positionH>
            <wp:positionV relativeFrom="paragraph">
              <wp:posOffset>576580</wp:posOffset>
            </wp:positionV>
            <wp:extent cx="7204075" cy="405511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04075" cy="40551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ind w:left="4400"/>
        <w:spacing w:after="0"/>
        <w:rPr>
          <w:sz w:val="20"/>
          <w:szCs w:val="20"/>
          <w:color w:val="auto"/>
        </w:rPr>
      </w:pPr>
      <w:r>
        <w:rPr>
          <w:rFonts w:ascii="Arial" w:cs="Arial" w:eastAsia="Arial" w:hAnsi="Arial"/>
          <w:sz w:val="19"/>
          <w:szCs w:val="19"/>
          <w:color w:val="auto"/>
        </w:rPr>
        <w:t>27</w:t>
      </w:r>
    </w:p>
    <w:p>
      <w:pPr>
        <w:sectPr>
          <w:pgSz w:w="11900" w:h="16838" w:orient="portrait"/>
          <w:cols w:equalWidth="0" w:num="1">
            <w:col w:w="10140"/>
          </w:cols>
          <w:pgMar w:left="1440" w:top="126" w:right="319" w:bottom="1440" w:gutter="0" w:footer="0" w:header="0"/>
        </w:sectPr>
      </w:pPr>
    </w:p>
    <w:bookmarkStart w:id="38" w:name="page39"/>
    <w:bookmarkEnd w:id="38"/>
    <w:p>
      <w:pPr>
        <w:jc w:val="right"/>
        <w:spacing w:after="0"/>
        <w:rPr>
          <w:sz w:val="20"/>
          <w:szCs w:val="20"/>
          <w:color w:val="auto"/>
        </w:rPr>
      </w:pPr>
      <w:r>
        <w:rPr>
          <w:rFonts w:ascii="Arial" w:cs="Arial" w:eastAsia="Arial" w:hAnsi="Arial"/>
          <w:sz w:val="19"/>
          <w:szCs w:val="19"/>
          <w:b w:val="1"/>
          <w:bCs w:val="1"/>
          <w:color w:val="auto"/>
        </w:rPr>
        <w:t>Exhibit 99.2</w:t>
      </w:r>
    </w:p>
    <w:p>
      <w:pPr>
        <w:spacing w:after="0" w:line="28" w:lineRule="exact"/>
        <w:rPr>
          <w:sz w:val="20"/>
          <w:szCs w:val="20"/>
          <w:color w:val="auto"/>
        </w:rPr>
      </w:pPr>
    </w:p>
    <w:p>
      <w:pPr>
        <w:jc w:val="center"/>
        <w:ind w:right="1120"/>
        <w:spacing w:after="0"/>
        <w:rPr>
          <w:sz w:val="20"/>
          <w:szCs w:val="20"/>
          <w:color w:val="auto"/>
        </w:rPr>
      </w:pPr>
      <w:r>
        <w:rPr>
          <w:rFonts w:ascii="Arial" w:cs="Arial" w:eastAsia="Arial" w:hAnsi="Arial"/>
          <w:sz w:val="19"/>
          <w:szCs w:val="19"/>
          <w:b w:val="1"/>
          <w:bCs w:val="1"/>
          <w:color w:val="auto"/>
        </w:rPr>
        <w:t>Expensify, Inc.</w:t>
      </w:r>
    </w:p>
    <w:p>
      <w:pPr>
        <w:spacing w:after="0" w:line="6" w:lineRule="exact"/>
        <w:rPr>
          <w:sz w:val="20"/>
          <w:szCs w:val="20"/>
          <w:color w:val="auto"/>
        </w:rPr>
      </w:pPr>
    </w:p>
    <w:p>
      <w:pPr>
        <w:jc w:val="center"/>
        <w:ind w:right="1120"/>
        <w:spacing w:after="0"/>
        <w:rPr>
          <w:sz w:val="20"/>
          <w:szCs w:val="20"/>
          <w:color w:val="auto"/>
        </w:rPr>
      </w:pPr>
      <w:r>
        <w:rPr>
          <w:rFonts w:ascii="Arial" w:cs="Arial" w:eastAsia="Arial" w:hAnsi="Arial"/>
          <w:sz w:val="17"/>
          <w:szCs w:val="17"/>
          <w:b w:val="1"/>
          <w:bCs w:val="1"/>
          <w:color w:val="auto"/>
        </w:rPr>
        <w:t>Investor Presentation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-713740</wp:posOffset>
            </wp:positionH>
            <wp:positionV relativeFrom="paragraph">
              <wp:posOffset>576580</wp:posOffset>
            </wp:positionV>
            <wp:extent cx="7204075" cy="405511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04075" cy="40551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ind w:left="4400"/>
        <w:spacing w:after="0"/>
        <w:rPr>
          <w:sz w:val="20"/>
          <w:szCs w:val="20"/>
          <w:color w:val="auto"/>
        </w:rPr>
      </w:pPr>
      <w:r>
        <w:rPr>
          <w:rFonts w:ascii="Arial" w:cs="Arial" w:eastAsia="Arial" w:hAnsi="Arial"/>
          <w:sz w:val="19"/>
          <w:szCs w:val="19"/>
          <w:color w:val="auto"/>
        </w:rPr>
        <w:t>28</w:t>
      </w:r>
    </w:p>
    <w:p>
      <w:pPr>
        <w:sectPr>
          <w:pgSz w:w="11900" w:h="16838" w:orient="portrait"/>
          <w:cols w:equalWidth="0" w:num="1">
            <w:col w:w="10140"/>
          </w:cols>
          <w:pgMar w:left="1440" w:top="126" w:right="319" w:bottom="1440" w:gutter="0" w:footer="0" w:header="0"/>
        </w:sectPr>
      </w:pPr>
    </w:p>
    <w:bookmarkStart w:id="39" w:name="page40"/>
    <w:bookmarkEnd w:id="39"/>
    <w:p>
      <w:pPr>
        <w:jc w:val="right"/>
        <w:spacing w:after="0"/>
        <w:rPr>
          <w:sz w:val="20"/>
          <w:szCs w:val="20"/>
          <w:color w:val="auto"/>
        </w:rPr>
      </w:pPr>
      <w:r>
        <w:rPr>
          <w:rFonts w:ascii="Arial" w:cs="Arial" w:eastAsia="Arial" w:hAnsi="Arial"/>
          <w:sz w:val="19"/>
          <w:szCs w:val="19"/>
          <w:b w:val="1"/>
          <w:bCs w:val="1"/>
          <w:color w:val="auto"/>
        </w:rPr>
        <w:t>Exhibit 99.2</w:t>
      </w:r>
    </w:p>
    <w:p>
      <w:pPr>
        <w:spacing w:after="0" w:line="28" w:lineRule="exact"/>
        <w:rPr>
          <w:sz w:val="20"/>
          <w:szCs w:val="20"/>
          <w:color w:val="auto"/>
        </w:rPr>
      </w:pPr>
    </w:p>
    <w:p>
      <w:pPr>
        <w:jc w:val="center"/>
        <w:ind w:right="1120"/>
        <w:spacing w:after="0"/>
        <w:rPr>
          <w:sz w:val="20"/>
          <w:szCs w:val="20"/>
          <w:color w:val="auto"/>
        </w:rPr>
      </w:pPr>
      <w:r>
        <w:rPr>
          <w:rFonts w:ascii="Arial" w:cs="Arial" w:eastAsia="Arial" w:hAnsi="Arial"/>
          <w:sz w:val="19"/>
          <w:szCs w:val="19"/>
          <w:b w:val="1"/>
          <w:bCs w:val="1"/>
          <w:color w:val="auto"/>
        </w:rPr>
        <w:t>Expensify, Inc.</w:t>
      </w:r>
    </w:p>
    <w:p>
      <w:pPr>
        <w:spacing w:after="0" w:line="6" w:lineRule="exact"/>
        <w:rPr>
          <w:sz w:val="20"/>
          <w:szCs w:val="20"/>
          <w:color w:val="auto"/>
        </w:rPr>
      </w:pPr>
    </w:p>
    <w:p>
      <w:pPr>
        <w:jc w:val="center"/>
        <w:ind w:right="1120"/>
        <w:spacing w:after="0"/>
        <w:rPr>
          <w:sz w:val="20"/>
          <w:szCs w:val="20"/>
          <w:color w:val="auto"/>
        </w:rPr>
      </w:pPr>
      <w:r>
        <w:rPr>
          <w:rFonts w:ascii="Arial" w:cs="Arial" w:eastAsia="Arial" w:hAnsi="Arial"/>
          <w:sz w:val="17"/>
          <w:szCs w:val="17"/>
          <w:b w:val="1"/>
          <w:bCs w:val="1"/>
          <w:color w:val="auto"/>
        </w:rPr>
        <w:t>Investor Presentation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-713740</wp:posOffset>
            </wp:positionH>
            <wp:positionV relativeFrom="paragraph">
              <wp:posOffset>576580</wp:posOffset>
            </wp:positionV>
            <wp:extent cx="7204075" cy="405511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04075" cy="40551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ind w:left="4400"/>
        <w:spacing w:after="0"/>
        <w:rPr>
          <w:sz w:val="20"/>
          <w:szCs w:val="20"/>
          <w:color w:val="auto"/>
        </w:rPr>
      </w:pPr>
      <w:r>
        <w:rPr>
          <w:rFonts w:ascii="Arial" w:cs="Arial" w:eastAsia="Arial" w:hAnsi="Arial"/>
          <w:sz w:val="19"/>
          <w:szCs w:val="19"/>
          <w:color w:val="auto"/>
        </w:rPr>
        <w:t>29</w:t>
      </w:r>
    </w:p>
    <w:p>
      <w:pPr>
        <w:sectPr>
          <w:pgSz w:w="11900" w:h="16838" w:orient="portrait"/>
          <w:cols w:equalWidth="0" w:num="1">
            <w:col w:w="10140"/>
          </w:cols>
          <w:pgMar w:left="1440" w:top="126" w:right="319" w:bottom="1440" w:gutter="0" w:footer="0" w:header="0"/>
        </w:sectPr>
      </w:pPr>
    </w:p>
    <w:bookmarkStart w:id="40" w:name="page41"/>
    <w:bookmarkEnd w:id="40"/>
    <w:p>
      <w:pPr>
        <w:jc w:val="right"/>
        <w:spacing w:after="0"/>
        <w:rPr>
          <w:sz w:val="20"/>
          <w:szCs w:val="20"/>
          <w:color w:val="auto"/>
        </w:rPr>
      </w:pPr>
      <w:r>
        <w:rPr>
          <w:rFonts w:ascii="Arial" w:cs="Arial" w:eastAsia="Arial" w:hAnsi="Arial"/>
          <w:sz w:val="19"/>
          <w:szCs w:val="19"/>
          <w:b w:val="1"/>
          <w:bCs w:val="1"/>
          <w:color w:val="auto"/>
        </w:rPr>
        <w:t>Exhibit 99.2</w:t>
      </w:r>
    </w:p>
    <w:p>
      <w:pPr>
        <w:spacing w:after="0" w:line="28" w:lineRule="exact"/>
        <w:rPr>
          <w:sz w:val="20"/>
          <w:szCs w:val="20"/>
          <w:color w:val="auto"/>
        </w:rPr>
      </w:pPr>
    </w:p>
    <w:p>
      <w:pPr>
        <w:jc w:val="center"/>
        <w:ind w:right="1120"/>
        <w:spacing w:after="0"/>
        <w:rPr>
          <w:sz w:val="20"/>
          <w:szCs w:val="20"/>
          <w:color w:val="auto"/>
        </w:rPr>
      </w:pPr>
      <w:r>
        <w:rPr>
          <w:rFonts w:ascii="Arial" w:cs="Arial" w:eastAsia="Arial" w:hAnsi="Arial"/>
          <w:sz w:val="19"/>
          <w:szCs w:val="19"/>
          <w:b w:val="1"/>
          <w:bCs w:val="1"/>
          <w:color w:val="auto"/>
        </w:rPr>
        <w:t>Expensify, Inc.</w:t>
      </w:r>
    </w:p>
    <w:p>
      <w:pPr>
        <w:spacing w:after="0" w:line="6" w:lineRule="exact"/>
        <w:rPr>
          <w:sz w:val="20"/>
          <w:szCs w:val="20"/>
          <w:color w:val="auto"/>
        </w:rPr>
      </w:pPr>
    </w:p>
    <w:p>
      <w:pPr>
        <w:jc w:val="center"/>
        <w:ind w:right="1120"/>
        <w:spacing w:after="0"/>
        <w:rPr>
          <w:sz w:val="20"/>
          <w:szCs w:val="20"/>
          <w:color w:val="auto"/>
        </w:rPr>
      </w:pPr>
      <w:r>
        <w:rPr>
          <w:rFonts w:ascii="Arial" w:cs="Arial" w:eastAsia="Arial" w:hAnsi="Arial"/>
          <w:sz w:val="17"/>
          <w:szCs w:val="17"/>
          <w:b w:val="1"/>
          <w:bCs w:val="1"/>
          <w:color w:val="auto"/>
        </w:rPr>
        <w:t>Investor Presentation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-713740</wp:posOffset>
            </wp:positionH>
            <wp:positionV relativeFrom="paragraph">
              <wp:posOffset>576580</wp:posOffset>
            </wp:positionV>
            <wp:extent cx="7204075" cy="405511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04075" cy="40551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ind w:left="4400"/>
        <w:spacing w:after="0"/>
        <w:rPr>
          <w:sz w:val="20"/>
          <w:szCs w:val="20"/>
          <w:color w:val="auto"/>
        </w:rPr>
      </w:pPr>
      <w:r>
        <w:rPr>
          <w:rFonts w:ascii="Arial" w:cs="Arial" w:eastAsia="Arial" w:hAnsi="Arial"/>
          <w:sz w:val="19"/>
          <w:szCs w:val="19"/>
          <w:color w:val="auto"/>
        </w:rPr>
        <w:t>30</w:t>
      </w:r>
    </w:p>
    <w:sectPr>
      <w:pgSz w:w="11900" w:h="16838" w:orient="portrait"/>
      <w:cols w:equalWidth="0" w:num="1">
        <w:col w:w="10140"/>
      </w:cols>
      <w:pgMar w:left="1440" w:top="126" w:right="3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AE8944A"/>
    <w:multiLevelType w:val="hybridMultilevel"/>
    <w:lvl w:ilvl="0">
      <w:lvlJc w:val="left"/>
      <w:lvlText w:val="☐"/>
      <w:numFmt w:val="bullet"/>
      <w:start w:val="1"/>
    </w:lvl>
  </w:abstractNum>
  <w:abstractNum w:abstractNumId="1">
    <w:nsid w:val="625558EC"/>
    <w:multiLevelType w:val="hybridMultilevel"/>
    <w:lvl w:ilvl="0">
      <w:lvlJc w:val="left"/>
      <w:lvlText w:val="(%1)"/>
      <w:numFmt w:val="lowerLetter"/>
      <w:start w:val="4"/>
    </w:lvl>
  </w:abstractNum>
  <w:abstractNum w:abstractNumId="2">
    <w:nsid w:val="238E1F29"/>
    <w:multiLevelType w:val="hybridMultilevel"/>
    <w:lvl w:ilvl="0">
      <w:lvlJc w:val="left"/>
      <w:lvlText w:val="•"/>
      <w:numFmt w:val="bullet"/>
      <w:start w:val="1"/>
    </w:lvl>
    <w:lvl w:ilvl="1">
      <w:lvlJc w:val="left"/>
      <w:lvlText w:val="◦"/>
      <w:numFmt w:val="bullet"/>
      <w:start w:val="1"/>
    </w:lvl>
  </w:abstractNum>
  <w:abstractNum w:abstractNumId="3">
    <w:nsid w:val="46E87CCD"/>
    <w:multiLevelType w:val="hybridMultilevel"/>
    <w:lvl w:ilvl="0">
      <w:lvlJc w:val="left"/>
      <w:lvlText w:val="•"/>
      <w:numFmt w:val="bullet"/>
      <w:start w:val="1"/>
    </w:lvl>
  </w:abstractNum>
  <w:abstractNum w:abstractNumId="4">
    <w:nsid w:val="3D1B58BA"/>
    <w:multiLevelType w:val="hybridMultilevel"/>
    <w:lvl w:ilvl="0">
      <w:lvlJc w:val="left"/>
      <w:lvlText w:val="•"/>
      <w:numFmt w:val="bullet"/>
      <w:start w:val="1"/>
    </w:lvl>
    <w:lvl w:ilvl="1">
      <w:lvlJc w:val="left"/>
      <w:lvlText w:val="◦"/>
      <w:numFmt w:val="bullet"/>
      <w:start w:val="1"/>
    </w:lvl>
  </w:abstractNum>
  <w:abstractNum w:abstractNumId="5">
    <w:nsid w:val="507ED7AB"/>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jpe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 Id="rId33" Type="http://schemas.openxmlformats.org/officeDocument/2006/relationships/image" Target="media/image26.jpeg"/><Relationship Id="rId34" Type="http://schemas.openxmlformats.org/officeDocument/2006/relationships/image" Target="media/image27.jpeg"/><Relationship Id="rId35" Type="http://schemas.openxmlformats.org/officeDocument/2006/relationships/image" Target="media/image28.jpeg"/><Relationship Id="rId36" Type="http://schemas.openxmlformats.org/officeDocument/2006/relationships/image" Target="media/image29.jpeg"/><Relationship Id="rId37" Type="http://schemas.openxmlformats.org/officeDocument/2006/relationships/image" Target="media/image30.jpeg"/><Relationship Id="rId38" Type="http://schemas.openxmlformats.org/officeDocument/2006/relationships/image" Target="media/image31.jpeg"/><Relationship Id="rId39" Type="http://schemas.openxmlformats.org/officeDocument/2006/relationships/image" Target="media/image32.jpeg"/><Relationship Id="rId40" Type="http://schemas.openxmlformats.org/officeDocument/2006/relationships/image" Target="media/image33.jpeg"/><Relationship Id="rId41" Type="http://schemas.openxmlformats.org/officeDocument/2006/relationships/image" Target="media/image34.jpeg"/><Relationship Id="rId42" Type="http://schemas.openxmlformats.org/officeDocument/2006/relationships/image" Target="media/image35.jpeg"/><Relationship Id="rId43" Type="http://schemas.openxmlformats.org/officeDocument/2006/relationships/image" Target="media/image36.jpeg"/><Relationship Id="rId44" Type="http://schemas.openxmlformats.org/officeDocument/2006/relationships/image" Target="media/image37.jpeg"/><Relationship Id="rId45" Type="http://schemas.openxmlformats.org/officeDocument/2006/relationships/image" Target="media/image38.jpeg"/><Relationship Id="rId46" Type="http://schemas.openxmlformats.org/officeDocument/2006/relationships/image" Target="media/image39.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2022-08-12T14:32:24Z</dcterms:created>
  <dcterms:modified xsi:type="dcterms:W3CDTF">2022-08-12T14:32:24Z</dcterms:modified>
</cp:coreProperties>
</file>