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0001891862</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3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3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Expensify,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001-41043</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360" w:type="dxa"/>
            <w:vAlign w:val="bottom"/>
          </w:tcPr>
          <w:p>
            <w:pPr>
              <w:spacing w:after="0"/>
              <w:rPr>
                <w:sz w:val="22"/>
                <w:szCs w:val="22"/>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w w:val="95"/>
              </w:rPr>
              <w:t>401 SW 5th Ave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360" w:type="dxa"/>
            <w:vAlign w:val="bottom"/>
          </w:tcPr>
          <w:p>
            <w:pPr>
              <w:spacing w:after="0"/>
              <w:rPr>
                <w:sz w:val="21"/>
                <w:szCs w:val="21"/>
                <w:color w:val="auto"/>
              </w:rPr>
            </w:pPr>
          </w:p>
        </w:tc>
        <w:tc>
          <w:tcPr>
            <w:tcW w:w="3020" w:type="dxa"/>
            <w:vAlign w:val="bottom"/>
          </w:tcPr>
          <w:p>
            <w:pPr>
              <w:ind w:left="1600"/>
              <w:spacing w:after="0" w:line="243" w:lineRule="exact"/>
              <w:rPr>
                <w:sz w:val="20"/>
                <w:szCs w:val="20"/>
                <w:color w:val="auto"/>
              </w:rPr>
            </w:pPr>
            <w:r>
              <w:rPr>
                <w:rFonts w:ascii="Times New Roman" w:cs="Times New Roman" w:eastAsia="Times New Roman" w:hAnsi="Times New Roman"/>
                <w:sz w:val="22"/>
                <w:szCs w:val="22"/>
                <w:color w:val="auto"/>
              </w:rPr>
              <w:t>Portland</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360" w:type="dxa"/>
            <w:vAlign w:val="bottom"/>
          </w:tcPr>
          <w:p>
            <w:pPr>
              <w:spacing w:after="0"/>
              <w:rPr>
                <w:sz w:val="13"/>
                <w:szCs w:val="13"/>
                <w:color w:val="auto"/>
              </w:rPr>
            </w:pPr>
          </w:p>
        </w:tc>
        <w:tc>
          <w:tcPr>
            <w:tcW w:w="3020" w:type="dxa"/>
            <w:vAlign w:val="bottom"/>
            <w:vMerge w:val="restart"/>
          </w:tcPr>
          <w:p>
            <w:pPr>
              <w:ind w:left="1600"/>
              <w:spacing w:after="0" w:line="243" w:lineRule="exact"/>
              <w:rPr>
                <w:sz w:val="20"/>
                <w:szCs w:val="20"/>
                <w:color w:val="auto"/>
              </w:rPr>
            </w:pPr>
            <w:r>
              <w:rPr>
                <w:rFonts w:ascii="Times New Roman" w:cs="Times New Roman" w:eastAsia="Times New Roman" w:hAnsi="Times New Roman"/>
                <w:sz w:val="22"/>
                <w:szCs w:val="22"/>
                <w:color w:val="auto"/>
              </w:rPr>
              <w:t>OREGON</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360" w:type="dxa"/>
            <w:vAlign w:val="bottom"/>
          </w:tcPr>
          <w:p>
            <w:pPr>
              <w:spacing w:after="0"/>
              <w:rPr>
                <w:sz w:val="7"/>
                <w:szCs w:val="7"/>
                <w:color w:val="auto"/>
              </w:rPr>
            </w:pPr>
          </w:p>
        </w:tc>
        <w:tc>
          <w:tcPr>
            <w:tcW w:w="3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97204</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971-365-3939</w:t>
            </w:r>
          </w:p>
        </w:tc>
        <w:tc>
          <w:tcPr>
            <w:tcW w:w="0" w:type="dxa"/>
            <w:vAlign w:val="bottom"/>
          </w:tcPr>
          <w:p>
            <w:pPr>
              <w:spacing w:after="0"/>
              <w:rPr>
                <w:sz w:val="1"/>
                <w:szCs w:val="1"/>
                <w:color w:val="auto"/>
              </w:rPr>
            </w:pPr>
          </w:p>
        </w:tc>
      </w:tr>
      <w:tr>
        <w:trPr>
          <w:trHeight w:val="297"/>
        </w:trPr>
        <w:tc>
          <w:tcPr>
            <w:tcW w:w="73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Daniel Vidal</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6215</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14853.85</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120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1120" w:type="dxa"/>
            <w:vAlign w:val="bottom"/>
          </w:tcPr>
          <w:p>
            <w:pPr>
              <w:ind w:left="220"/>
              <w:spacing w:after="0" w:line="221"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44"/>
        </w:trPr>
        <w:tc>
          <w:tcPr>
            <w:tcW w:w="1200" w:type="dxa"/>
            <w:vAlign w:val="bottom"/>
          </w:tcPr>
          <w:p>
            <w:pPr>
              <w:jc w:val="center"/>
              <w:spacing w:after="0" w:line="144" w:lineRule="exact"/>
              <w:rPr>
                <w:sz w:val="20"/>
                <w:szCs w:val="20"/>
                <w:color w:val="auto"/>
              </w:rPr>
            </w:pPr>
            <w:r>
              <w:rPr>
                <w:rFonts w:ascii="Times New Roman" w:cs="Times New Roman" w:eastAsia="Times New Roman" w:hAnsi="Times New Roman"/>
                <w:sz w:val="16"/>
                <w:szCs w:val="16"/>
                <w:b w:val="1"/>
                <w:bCs w:val="1"/>
                <w:color w:val="auto"/>
              </w:rPr>
              <w:t>Other Units</w:t>
            </w:r>
          </w:p>
        </w:tc>
        <w:tc>
          <w:tcPr>
            <w:tcW w:w="1280" w:type="dxa"/>
            <w:vAlign w:val="bottom"/>
          </w:tcPr>
          <w:p>
            <w:pPr>
              <w:ind w:left="100"/>
              <w:spacing w:after="0" w:line="144" w:lineRule="exact"/>
              <w:rPr>
                <w:sz w:val="20"/>
                <w:szCs w:val="20"/>
                <w:color w:val="auto"/>
              </w:rPr>
            </w:pPr>
            <w:r>
              <w:rPr>
                <w:rFonts w:ascii="Times New Roman" w:cs="Times New Roman" w:eastAsia="Times New Roman" w:hAnsi="Times New Roman"/>
                <w:sz w:val="16"/>
                <w:szCs w:val="16"/>
                <w:b w:val="1"/>
                <w:bCs w:val="1"/>
                <w:color w:val="auto"/>
              </w:rPr>
              <w:t>Date of Sale</w:t>
            </w: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7"/>
              <w:spacing w:after="0"/>
              <w:rPr>
                <w:sz w:val="20"/>
                <w:szCs w:val="20"/>
                <w:color w:val="auto"/>
              </w:rPr>
            </w:pPr>
            <w:r>
              <w:rPr>
                <w:rFonts w:ascii="Times New Roman" w:cs="Times New Roman" w:eastAsia="Times New Roman" w:hAnsi="Times New Roman"/>
                <w:sz w:val="22"/>
                <w:szCs w:val="22"/>
                <w:color w:val="auto"/>
                <w:w w:val="95"/>
              </w:rPr>
              <w:t>69194671</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11/28/2023</w:t>
            </w:r>
          </w:p>
        </w:tc>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6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7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72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11/28/2023</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SPMP</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Expensify, Inc.</w:t>
            </w:r>
          </w:p>
        </w:tc>
        <w:tc>
          <w:tcPr>
            <w:tcW w:w="272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6215</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11/28/2023 Compensation</w:t>
            </w: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Contribution</w:t>
            </w:r>
          </w:p>
        </w:tc>
        <w:tc>
          <w:tcPr>
            <w:tcW w:w="156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Daniel Vidal</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09/01/2023 5000</w:t>
            </w:r>
          </w:p>
        </w:tc>
        <w:tc>
          <w:tcPr>
            <w:tcW w:w="1580" w:type="dxa"/>
            <w:vAlign w:val="bottom"/>
          </w:tcPr>
          <w:p>
            <w:pPr>
              <w:jc w:val="right"/>
              <w:ind w:right="832"/>
              <w:spacing w:after="0" w:line="243" w:lineRule="exact"/>
              <w:rPr>
                <w:sz w:val="20"/>
                <w:szCs w:val="20"/>
                <w:color w:val="auto"/>
              </w:rPr>
            </w:pPr>
            <w:r>
              <w:rPr>
                <w:rFonts w:ascii="Times New Roman" w:cs="Times New Roman" w:eastAsia="Times New Roman" w:hAnsi="Times New Roman"/>
                <w:sz w:val="22"/>
                <w:szCs w:val="22"/>
                <w:color w:val="auto"/>
              </w:rPr>
              <w:t>21950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Portland  OR  97209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4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7"/>
              </w:rPr>
              <w:t>Note for 3(e): As of November 3, 2023, as stated in Issuer's quarterly report on Form 10-Q for the quarterly period</w:t>
            </w:r>
          </w:p>
        </w:tc>
        <w:tc>
          <w:tcPr>
            <w:tcW w:w="0" w:type="dxa"/>
            <w:vAlign w:val="bottom"/>
          </w:tcPr>
          <w:p>
            <w:pPr>
              <w:spacing w:after="0"/>
              <w:rPr>
                <w:sz w:val="1"/>
                <w:szCs w:val="1"/>
                <w:color w:val="auto"/>
              </w:rPr>
            </w:pPr>
          </w:p>
        </w:tc>
      </w:tr>
      <w:tr>
        <w:trPr>
          <w:trHeight w:val="161"/>
        </w:trPr>
        <w:tc>
          <w:tcPr>
            <w:tcW w:w="940" w:type="dxa"/>
            <w:vAlign w:val="bottom"/>
            <w:vMerge w:val="continue"/>
          </w:tcPr>
          <w:p>
            <w:pPr>
              <w:spacing w:after="0"/>
              <w:rPr>
                <w:sz w:val="13"/>
                <w:szCs w:val="13"/>
                <w:color w:val="auto"/>
              </w:rPr>
            </w:pPr>
          </w:p>
        </w:tc>
        <w:tc>
          <w:tcPr>
            <w:tcW w:w="100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ending September 30, 2023.</w:t>
            </w:r>
          </w:p>
        </w:tc>
        <w:tc>
          <w:tcPr>
            <w:tcW w:w="0" w:type="dxa"/>
            <w:vAlign w:val="bottom"/>
          </w:tcPr>
          <w:p>
            <w:pPr>
              <w:spacing w:after="0"/>
              <w:rPr>
                <w:sz w:val="1"/>
                <w:szCs w:val="1"/>
                <w:color w:val="auto"/>
              </w:rPr>
            </w:pPr>
          </w:p>
        </w:tc>
      </w:tr>
      <w:tr>
        <w:trPr>
          <w:trHeight w:val="121"/>
        </w:trPr>
        <w:tc>
          <w:tcPr>
            <w:tcW w:w="940" w:type="dxa"/>
            <w:vAlign w:val="bottom"/>
          </w:tcPr>
          <w:p>
            <w:pPr>
              <w:spacing w:after="0"/>
              <w:rPr>
                <w:sz w:val="10"/>
                <w:szCs w:val="10"/>
                <w:color w:val="auto"/>
              </w:rPr>
            </w:pPr>
          </w:p>
        </w:tc>
        <w:tc>
          <w:tcPr>
            <w:tcW w:w="10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4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11/29/2023</w:t>
            </w:r>
          </w:p>
        </w:tc>
        <w:tc>
          <w:tcPr>
            <w:tcW w:w="0" w:type="dxa"/>
            <w:vAlign w:val="bottom"/>
          </w:tcPr>
          <w:p>
            <w:pPr>
              <w:spacing w:after="0"/>
              <w:rPr>
                <w:sz w:val="1"/>
                <w:szCs w:val="1"/>
                <w:color w:val="auto"/>
              </w:rPr>
            </w:pPr>
          </w:p>
        </w:tc>
      </w:tr>
      <w:tr>
        <w:trPr>
          <w:trHeight w:val="161"/>
        </w:trPr>
        <w:tc>
          <w:tcPr>
            <w:tcW w:w="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40" w:type="dxa"/>
            <w:vAlign w:val="bottom"/>
            <w:vMerge w:val="continue"/>
          </w:tcPr>
          <w:p>
            <w:pPr>
              <w:spacing w:after="0"/>
              <w:rPr>
                <w:sz w:val="10"/>
                <w:szCs w:val="10"/>
                <w:color w:val="auto"/>
              </w:rPr>
            </w:pPr>
          </w:p>
        </w:tc>
        <w:tc>
          <w:tcPr>
            <w:tcW w:w="10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9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100" w:val="left"/>
        </w:tabs>
        <w:rPr>
          <w:sz w:val="20"/>
          <w:szCs w:val="20"/>
          <w:color w:val="auto"/>
        </w:rPr>
      </w:pPr>
      <w:r>
        <w:rPr>
          <w:rFonts w:ascii="Times New Roman" w:cs="Times New Roman" w:eastAsia="Times New Roman" w:hAnsi="Times New Roman"/>
          <w:sz w:val="22"/>
          <w:szCs w:val="22"/>
          <w:color w:val="auto"/>
        </w:rPr>
        <w:t>Signature</w:t>
        <w:tab/>
        <w:t>/s/ Cole Eason as attorney-in-fact</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98"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144</w:t>
      </w:r>
    </w:p>
    <w:p>
      <w:pPr>
        <w:spacing w:after="0" w:line="19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With respect to holdings of and transactions in securities issued by Expensify,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the undersigned hereby constitutes and appoints Ryan Schaffer, Chief Financial Officer of the Company, and Cole Eason, Secretary of the Company, each in their respective capacities as such, and each of their respective successors in such offices, and each of them, as the undersigned’s true and lawful attorneys-in-fact and agents, with full power of substitution and resubstitution, for the undersigned and in the undersigned’s name, place and stead, in any and all capacities, to:</w:t>
      </w:r>
    </w:p>
    <w:p>
      <w:pPr>
        <w:spacing w:after="0" w:line="204" w:lineRule="exact"/>
        <w:rPr>
          <w:sz w:val="20"/>
          <w:szCs w:val="20"/>
          <w:color w:val="auto"/>
        </w:rPr>
      </w:pPr>
    </w:p>
    <w:p>
      <w:pPr>
        <w:ind w:left="660" w:hanging="328"/>
        <w:spacing w:after="0" w:line="27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an electronic Notice of Proposed Sale of Securities Pursuant to Rule 144 (</w:t>
      </w:r>
      <w:r>
        <w:rPr>
          <w:rFonts w:ascii="Times New Roman" w:cs="Times New Roman" w:eastAsia="Times New Roman" w:hAnsi="Times New Roman"/>
          <w:sz w:val="18"/>
          <w:szCs w:val="18"/>
          <w:b w:val="1"/>
          <w:bCs w:val="1"/>
          <w:i w:val="1"/>
          <w:iCs w:val="1"/>
          <w:color w:val="auto"/>
        </w:rPr>
        <w:t>“Form 144”</w:t>
      </w:r>
      <w:r>
        <w:rPr>
          <w:rFonts w:ascii="Times New Roman" w:cs="Times New Roman" w:eastAsia="Times New Roman" w:hAnsi="Times New Roman"/>
          <w:sz w:val="18"/>
          <w:szCs w:val="18"/>
          <w:color w:val="auto"/>
        </w:rPr>
        <w:t>) relating to such sales, in accordance with the requirements of Rule 144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and</w:t>
      </w:r>
    </w:p>
    <w:p>
      <w:pPr>
        <w:spacing w:after="0" w:line="184"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which may be necessary or desirable to complete and execute any such Form 144 complete and execute any amendment or amendments thereto, and to timely file the Form 144, and any amendment thereto, with the United States Securities and Exchange Commission and any stock exchange or similar authority.</w:t>
      </w:r>
    </w:p>
    <w:p>
      <w:pPr>
        <w:spacing w:after="0" w:line="20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21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undersigned acknowledges that the foregoing attorneys-in-fact, in serving in such capacity at the request of the undersigned, are not assuming, nor is the Company assuming, any of the undersigned’s responsibilities to comply with the requirements of Rule 144 under the Securities Act.</w:t>
      </w:r>
    </w:p>
    <w:p>
      <w:pPr>
        <w:spacing w:after="0" w:line="18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Form 144 with respect to the undersigned’s transactions in securities issued by the Company, unless earlier revoked by the undersigned in a signed writing delivered to the foregoing attorneys-in-fact.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as of this 28th day of November, 2023.</w:t>
      </w:r>
    </w:p>
    <w:p>
      <w:pPr>
        <w:spacing w:after="0" w:line="200" w:lineRule="exact"/>
        <w:rPr>
          <w:sz w:val="20"/>
          <w:szCs w:val="20"/>
          <w:color w:val="auto"/>
        </w:rPr>
      </w:pPr>
    </w:p>
    <w:p>
      <w:pPr>
        <w:spacing w:after="0" w:line="33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/s/ Daniel Vidal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17145</wp:posOffset>
            </wp:positionV>
            <wp:extent cx="28289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1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Daniel Vidal</w:t>
      </w:r>
    </w:p>
    <w:sectPr>
      <w:pgSz w:w="11900" w:h="16838" w:orient="portrait"/>
      <w:cols w:equalWidth="0" w:num="1">
        <w:col w:w="11240"/>
      </w:cols>
      <w:pgMar w:left="320" w:top="14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2023-11-29T19:42:37Z</dcterms:created>
  <dcterms:modified xsi:type="dcterms:W3CDTF">2023-11-29T19:42:37Z</dcterms:modified>
</cp:coreProperties>
</file>