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1 )*</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Expensify,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30219Q106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17145</wp:posOffset>
            </wp:positionV>
            <wp:extent cx="1928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November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60" w:hanging="893"/>
        <w:spacing w:after="0"/>
        <w:tabs>
          <w:tab w:leader="none" w:pos="1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360" w:hanging="893"/>
        <w:spacing w:after="0"/>
        <w:tabs>
          <w:tab w:leader="none" w:pos="1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60" w:hanging="893"/>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4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5" w:right="3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CUSIP No. 30219Q106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186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18604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vMerge w:val="restart"/>
          </w:tcPr>
          <w:p>
            <w:pPr>
              <w:jc w:val="right"/>
              <w:ind w:right="113"/>
              <w:spacing w:after="0"/>
              <w:rPr>
                <w:sz w:val="20"/>
                <w:szCs w:val="20"/>
                <w:color w:val="auto"/>
              </w:rPr>
            </w:pPr>
            <w:r>
              <w:rPr>
                <w:rFonts w:ascii="Arial" w:cs="Arial" w:eastAsia="Arial" w:hAnsi="Arial"/>
                <w:sz w:val="32"/>
                <w:szCs w:val="32"/>
                <w:b w:val="1"/>
                <w:bCs w:val="1"/>
                <w:color w:val="auto"/>
              </w:rPr>
              <w:t>1</w:t>
            </w:r>
          </w:p>
        </w:tc>
        <w:tc>
          <w:tcPr>
            <w:tcW w:w="7420" w:type="dxa"/>
            <w:vAlign w:val="bottom"/>
          </w:tcPr>
          <w:p>
            <w:pPr>
              <w:ind w:left="260"/>
              <w:spacing w:after="0"/>
              <w:rPr>
                <w:sz w:val="20"/>
                <w:szCs w:val="20"/>
                <w:color w:val="auto"/>
              </w:rPr>
            </w:pPr>
            <w:r>
              <w:rPr>
                <w:rFonts w:ascii="Arial" w:cs="Arial" w:eastAsia="Arial" w:hAnsi="Arial"/>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Octopus Head, Inc.</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00" w:type="dxa"/>
            <w:vAlign w:val="bottom"/>
          </w:tcPr>
          <w:p>
            <w:pPr>
              <w:jc w:val="right"/>
              <w:ind w:right="113"/>
              <w:spacing w:after="0" w:line="162" w:lineRule="exact"/>
              <w:rPr>
                <w:sz w:val="20"/>
                <w:szCs w:val="20"/>
                <w:color w:val="auto"/>
              </w:rPr>
            </w:pPr>
            <w:r>
              <w:rPr>
                <w:rFonts w:ascii="Arial" w:cs="Arial" w:eastAsia="Arial" w:hAnsi="Arial"/>
                <w:sz w:val="18"/>
                <w:szCs w:val="18"/>
                <w:b w:val="1"/>
                <w:bCs w:val="1"/>
                <w:color w:val="auto"/>
              </w:rPr>
              <w:t>2</w:t>
            </w:r>
          </w:p>
        </w:tc>
        <w:tc>
          <w:tcPr>
            <w:tcW w:w="7420" w:type="dxa"/>
            <w:vAlign w:val="bottom"/>
          </w:tcPr>
          <w:p>
            <w:pPr>
              <w:ind w:left="26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2940" w:type="dxa"/>
            <w:vAlign w:val="bottom"/>
          </w:tcPr>
          <w:p>
            <w:pPr>
              <w:ind w:left="9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940" w:type="dxa"/>
            <w:vAlign w:val="bottom"/>
          </w:tcPr>
          <w:p>
            <w:pPr>
              <w:ind w:left="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160" w:hanging="659"/>
        <w:spacing w:after="0" w:line="181" w:lineRule="auto"/>
        <w:tabs>
          <w:tab w:leader="none" w:pos="1160" w:val="left"/>
        </w:tabs>
        <w:numPr>
          <w:ilvl w:val="0"/>
          <w:numId w:val="3"/>
        </w:numPr>
        <w:rPr>
          <w:rFonts w:ascii="Arial" w:cs="Arial" w:eastAsia="Arial" w:hAnsi="Arial"/>
          <w:sz w:val="49"/>
          <w:szCs w:val="49"/>
          <w:b w:val="1"/>
          <w:bCs w:val="1"/>
          <w:color w:val="auto"/>
          <w:vertAlign w:val="subscript"/>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32" w:lineRule="exact"/>
        <w:rPr>
          <w:sz w:val="20"/>
          <w:szCs w:val="20"/>
          <w:color w:val="auto"/>
        </w:rPr>
      </w:pPr>
    </w:p>
    <w:p>
      <w:pPr>
        <w:ind w:left="1160" w:right="6440" w:hanging="659"/>
        <w:spacing w:after="0" w:line="181" w:lineRule="auto"/>
        <w:tabs>
          <w:tab w:leader="none" w:pos="1160" w:val="left"/>
        </w:tabs>
        <w:numPr>
          <w:ilvl w:val="0"/>
          <w:numId w:val="4"/>
        </w:numPr>
        <w:rPr>
          <w:rFonts w:ascii="Arial" w:cs="Arial" w:eastAsia="Arial" w:hAnsi="Arial"/>
          <w:sz w:val="59"/>
          <w:szCs w:val="59"/>
          <w:b w:val="1"/>
          <w:bCs w:val="1"/>
          <w:color w:val="auto"/>
          <w:vertAlign w:val="subscript"/>
        </w:rPr>
      </w:pPr>
      <w:r>
        <w:rPr>
          <w:rFonts w:ascii="Arial" w:cs="Arial" w:eastAsia="Arial" w:hAnsi="Arial"/>
          <w:sz w:val="17"/>
          <w:szCs w:val="17"/>
          <w:color w:val="auto"/>
        </w:rPr>
        <w:t>CITIZENSHIP OR PLACE OF ORGANIZATION Seychelles</w:t>
      </w:r>
    </w:p>
    <w:p>
      <w:pPr>
        <w:ind w:left="3500" w:hanging="698"/>
        <w:spacing w:after="0" w:line="186" w:lineRule="auto"/>
        <w:tabs>
          <w:tab w:leader="none" w:pos="3500" w:val="left"/>
        </w:tabs>
        <w:numPr>
          <w:ilvl w:val="0"/>
          <w:numId w:val="5"/>
        </w:numPr>
        <w:rPr>
          <w:rFonts w:ascii="Arial" w:cs="Arial" w:eastAsia="Arial" w:hAnsi="Arial"/>
          <w:sz w:val="26"/>
          <w:szCs w:val="26"/>
          <w:b w:val="1"/>
          <w:bCs w:val="1"/>
          <w:color w:val="auto"/>
          <w:vertAlign w:val="subscript"/>
        </w:rPr>
      </w:pPr>
      <w:r>
        <w:rPr>
          <w:rFonts w:ascii="Arial" w:cs="Arial" w:eastAsia="Arial" w:hAnsi="Arial"/>
          <w:sz w:val="14"/>
          <w:szCs w:val="14"/>
          <w:color w:val="auto"/>
        </w:rPr>
        <w:t>SOLE VOTING POWER</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NUMBER OF</w:t>
            </w:r>
          </w:p>
        </w:tc>
        <w:tc>
          <w:tcPr>
            <w:tcW w:w="1100" w:type="dxa"/>
            <w:vAlign w:val="bottom"/>
          </w:tcPr>
          <w:p>
            <w:pPr>
              <w:spacing w:after="0"/>
              <w:rPr>
                <w:sz w:val="21"/>
                <w:szCs w:val="21"/>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SHARES</w:t>
            </w:r>
          </w:p>
        </w:tc>
        <w:tc>
          <w:tcPr>
            <w:tcW w:w="1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6,456,400*</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OWNED BY</w:t>
            </w:r>
          </w:p>
        </w:tc>
        <w:tc>
          <w:tcPr>
            <w:tcW w:w="1100" w:type="dxa"/>
            <w:vAlign w:val="bottom"/>
          </w:tcPr>
          <w:p>
            <w:pPr>
              <w:spacing w:after="0"/>
              <w:rPr>
                <w:sz w:val="15"/>
                <w:szCs w:val="15"/>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PERSON WITH:</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6,456,400*</w:t>
            </w:r>
          </w:p>
        </w:tc>
        <w:tc>
          <w:tcPr>
            <w:tcW w:w="0" w:type="dxa"/>
            <w:vAlign w:val="bottom"/>
          </w:tcPr>
          <w:p>
            <w:pPr>
              <w:spacing w:after="0"/>
              <w:rPr>
                <w:sz w:val="1"/>
                <w:szCs w:val="1"/>
                <w:color w:val="auto"/>
              </w:rPr>
            </w:pPr>
          </w:p>
        </w:tc>
      </w:tr>
      <w:tr>
        <w:trPr>
          <w:trHeight w:val="224"/>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87"/>
        </w:trPr>
        <w:tc>
          <w:tcPr>
            <w:tcW w:w="1160" w:type="dxa"/>
            <w:vAlign w:val="bottom"/>
            <w:tcBorders>
              <w:right w:val="single" w:sz="8" w:color="auto"/>
            </w:tcBorders>
            <w:vMerge w:val="continue"/>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6,456,400</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10</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11</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9.4%</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12</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*Octopus Head, Inc. is the beneficial owner of 6,456,400 shares of the Issuer's Class A Common Stock. 415 Foundation is the sole stockholder of Octopus Head, Inc., and in such capacity may be deemed to share voting and dispositive power over such shares. Witold Stankiewicz is the sole director of Octopus Head, Inc. and the controlling person of 415 Foundation, and in such capacity may be deemed to share voting and dispositive power over such shares.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742" w:right="319" w:bottom="1440" w:gutter="0" w:footer="0" w:header="0"/>
        </w:sectPr>
      </w:pPr>
    </w:p>
    <w:bookmarkStart w:id="2" w:name="page3"/>
    <w:bookmarkEnd w:id="2"/>
    <w:p>
      <w:pPr>
        <w:jc w:val="center"/>
        <w:ind w:left="1140"/>
        <w:spacing w:after="0"/>
        <w:rPr>
          <w:sz w:val="20"/>
          <w:szCs w:val="20"/>
          <w:color w:val="auto"/>
        </w:rPr>
      </w:pPr>
      <w:r>
        <w:rPr>
          <w:rFonts w:ascii="Arial" w:cs="Arial" w:eastAsia="Arial" w:hAnsi="Arial"/>
          <w:sz w:val="18"/>
          <w:szCs w:val="18"/>
          <w:b w:val="1"/>
          <w:bCs w:val="1"/>
          <w:color w:val="auto"/>
        </w:rPr>
        <w:t>CUSIP No. 30219Q106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186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518668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vMerge w:val="restart"/>
          </w:tcPr>
          <w:p>
            <w:pPr>
              <w:jc w:val="right"/>
              <w:ind w:right="113"/>
              <w:spacing w:after="0"/>
              <w:rPr>
                <w:sz w:val="20"/>
                <w:szCs w:val="20"/>
                <w:color w:val="auto"/>
              </w:rPr>
            </w:pPr>
            <w:r>
              <w:rPr>
                <w:rFonts w:ascii="Arial" w:cs="Arial" w:eastAsia="Arial" w:hAnsi="Arial"/>
                <w:sz w:val="32"/>
                <w:szCs w:val="32"/>
                <w:b w:val="1"/>
                <w:bCs w:val="1"/>
                <w:color w:val="auto"/>
              </w:rPr>
              <w:t>1</w:t>
            </w:r>
          </w:p>
        </w:tc>
        <w:tc>
          <w:tcPr>
            <w:tcW w:w="7420" w:type="dxa"/>
            <w:vAlign w:val="bottom"/>
          </w:tcPr>
          <w:p>
            <w:pPr>
              <w:ind w:left="260"/>
              <w:spacing w:after="0"/>
              <w:rPr>
                <w:sz w:val="20"/>
                <w:szCs w:val="20"/>
                <w:color w:val="auto"/>
              </w:rPr>
            </w:pPr>
            <w:r>
              <w:rPr>
                <w:rFonts w:ascii="Arial" w:cs="Arial" w:eastAsia="Arial" w:hAnsi="Arial"/>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415 Foundation</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00" w:type="dxa"/>
            <w:vAlign w:val="bottom"/>
          </w:tcPr>
          <w:p>
            <w:pPr>
              <w:jc w:val="right"/>
              <w:ind w:right="113"/>
              <w:spacing w:after="0" w:line="162" w:lineRule="exact"/>
              <w:rPr>
                <w:sz w:val="20"/>
                <w:szCs w:val="20"/>
                <w:color w:val="auto"/>
              </w:rPr>
            </w:pPr>
            <w:r>
              <w:rPr>
                <w:rFonts w:ascii="Arial" w:cs="Arial" w:eastAsia="Arial" w:hAnsi="Arial"/>
                <w:sz w:val="18"/>
                <w:szCs w:val="18"/>
                <w:b w:val="1"/>
                <w:bCs w:val="1"/>
                <w:color w:val="auto"/>
              </w:rPr>
              <w:t>2</w:t>
            </w:r>
          </w:p>
        </w:tc>
        <w:tc>
          <w:tcPr>
            <w:tcW w:w="7420" w:type="dxa"/>
            <w:vAlign w:val="bottom"/>
          </w:tcPr>
          <w:p>
            <w:pPr>
              <w:ind w:left="26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2940" w:type="dxa"/>
            <w:vAlign w:val="bottom"/>
          </w:tcPr>
          <w:p>
            <w:pPr>
              <w:ind w:left="9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940" w:type="dxa"/>
            <w:vAlign w:val="bottom"/>
          </w:tcPr>
          <w:p>
            <w:pPr>
              <w:ind w:left="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160" w:hanging="659"/>
        <w:spacing w:after="0" w:line="181" w:lineRule="auto"/>
        <w:tabs>
          <w:tab w:leader="none" w:pos="1160" w:val="left"/>
        </w:tabs>
        <w:numPr>
          <w:ilvl w:val="0"/>
          <w:numId w:val="6"/>
        </w:numPr>
        <w:rPr>
          <w:rFonts w:ascii="Arial" w:cs="Arial" w:eastAsia="Arial" w:hAnsi="Arial"/>
          <w:sz w:val="49"/>
          <w:szCs w:val="49"/>
          <w:b w:val="1"/>
          <w:bCs w:val="1"/>
          <w:color w:val="auto"/>
          <w:vertAlign w:val="subscript"/>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32" w:lineRule="exact"/>
        <w:rPr>
          <w:sz w:val="20"/>
          <w:szCs w:val="20"/>
          <w:color w:val="auto"/>
        </w:rPr>
      </w:pPr>
    </w:p>
    <w:p>
      <w:pPr>
        <w:ind w:left="1160" w:right="6440" w:hanging="659"/>
        <w:spacing w:after="0" w:line="181" w:lineRule="auto"/>
        <w:tabs>
          <w:tab w:leader="none" w:pos="1160" w:val="left"/>
        </w:tabs>
        <w:numPr>
          <w:ilvl w:val="0"/>
          <w:numId w:val="7"/>
        </w:numPr>
        <w:rPr>
          <w:rFonts w:ascii="Arial" w:cs="Arial" w:eastAsia="Arial" w:hAnsi="Arial"/>
          <w:sz w:val="59"/>
          <w:szCs w:val="59"/>
          <w:b w:val="1"/>
          <w:bCs w:val="1"/>
          <w:color w:val="auto"/>
          <w:vertAlign w:val="subscript"/>
        </w:rPr>
      </w:pPr>
      <w:r>
        <w:rPr>
          <w:rFonts w:ascii="Arial" w:cs="Arial" w:eastAsia="Arial" w:hAnsi="Arial"/>
          <w:sz w:val="17"/>
          <w:szCs w:val="17"/>
          <w:color w:val="auto"/>
        </w:rPr>
        <w:t>CITIZENSHIP OR PLACE OF ORGANIZATION Panama</w:t>
      </w:r>
    </w:p>
    <w:p>
      <w:pPr>
        <w:ind w:left="3500" w:hanging="698"/>
        <w:spacing w:after="0" w:line="186" w:lineRule="auto"/>
        <w:tabs>
          <w:tab w:leader="none" w:pos="3500" w:val="left"/>
        </w:tabs>
        <w:numPr>
          <w:ilvl w:val="0"/>
          <w:numId w:val="8"/>
        </w:numPr>
        <w:rPr>
          <w:rFonts w:ascii="Arial" w:cs="Arial" w:eastAsia="Arial" w:hAnsi="Arial"/>
          <w:sz w:val="26"/>
          <w:szCs w:val="26"/>
          <w:b w:val="1"/>
          <w:bCs w:val="1"/>
          <w:color w:val="auto"/>
          <w:vertAlign w:val="subscript"/>
        </w:rPr>
      </w:pPr>
      <w:r>
        <w:rPr>
          <w:rFonts w:ascii="Arial" w:cs="Arial" w:eastAsia="Arial" w:hAnsi="Arial"/>
          <w:sz w:val="14"/>
          <w:szCs w:val="14"/>
          <w:color w:val="auto"/>
        </w:rPr>
        <w:t>SOLE VOTING POWER</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NUMBER OF</w:t>
            </w:r>
          </w:p>
        </w:tc>
        <w:tc>
          <w:tcPr>
            <w:tcW w:w="1100" w:type="dxa"/>
            <w:vAlign w:val="bottom"/>
          </w:tcPr>
          <w:p>
            <w:pPr>
              <w:spacing w:after="0"/>
              <w:rPr>
                <w:sz w:val="21"/>
                <w:szCs w:val="21"/>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SHARES</w:t>
            </w:r>
          </w:p>
        </w:tc>
        <w:tc>
          <w:tcPr>
            <w:tcW w:w="1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6,456,400*</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OWNED BY</w:t>
            </w:r>
          </w:p>
        </w:tc>
        <w:tc>
          <w:tcPr>
            <w:tcW w:w="1100" w:type="dxa"/>
            <w:vAlign w:val="bottom"/>
          </w:tcPr>
          <w:p>
            <w:pPr>
              <w:spacing w:after="0"/>
              <w:rPr>
                <w:sz w:val="15"/>
                <w:szCs w:val="15"/>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PERSON WITH:</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6,456,400*</w:t>
            </w:r>
          </w:p>
        </w:tc>
        <w:tc>
          <w:tcPr>
            <w:tcW w:w="0" w:type="dxa"/>
            <w:vAlign w:val="bottom"/>
          </w:tcPr>
          <w:p>
            <w:pPr>
              <w:spacing w:after="0"/>
              <w:rPr>
                <w:sz w:val="1"/>
                <w:szCs w:val="1"/>
                <w:color w:val="auto"/>
              </w:rPr>
            </w:pPr>
          </w:p>
        </w:tc>
      </w:tr>
      <w:tr>
        <w:trPr>
          <w:trHeight w:val="224"/>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87"/>
        </w:trPr>
        <w:tc>
          <w:tcPr>
            <w:tcW w:w="1160" w:type="dxa"/>
            <w:vAlign w:val="bottom"/>
            <w:tcBorders>
              <w:right w:val="single" w:sz="8" w:color="auto"/>
            </w:tcBorders>
            <w:vMerge w:val="continue"/>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6,456,400</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10</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11</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9.4%</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12</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*Octopus Head, Inc. is the beneficial owner of 6,456,400 shares of the Issuer's Class A Common Stock. 415 Foundation is the sole stockholder of Octopus Head, Inc., and in such capacity may be deemed to share voting and dispositive power over such shares. Witold Stankiewicz is the sole director of Octopus Head, Inc. and the controlling person of 415 Foundation, and in such capacity may be deemed to share voting and dispositive power over such shares.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742"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CUSIP No. 30219Q106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186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518604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vMerge w:val="restart"/>
          </w:tcPr>
          <w:p>
            <w:pPr>
              <w:jc w:val="right"/>
              <w:ind w:right="113"/>
              <w:spacing w:after="0"/>
              <w:rPr>
                <w:sz w:val="20"/>
                <w:szCs w:val="20"/>
                <w:color w:val="auto"/>
              </w:rPr>
            </w:pPr>
            <w:r>
              <w:rPr>
                <w:rFonts w:ascii="Arial" w:cs="Arial" w:eastAsia="Arial" w:hAnsi="Arial"/>
                <w:sz w:val="32"/>
                <w:szCs w:val="32"/>
                <w:b w:val="1"/>
                <w:bCs w:val="1"/>
                <w:color w:val="auto"/>
              </w:rPr>
              <w:t>1</w:t>
            </w:r>
          </w:p>
        </w:tc>
        <w:tc>
          <w:tcPr>
            <w:tcW w:w="7420" w:type="dxa"/>
            <w:vAlign w:val="bottom"/>
          </w:tcPr>
          <w:p>
            <w:pPr>
              <w:ind w:left="260"/>
              <w:spacing w:after="0"/>
              <w:rPr>
                <w:sz w:val="20"/>
                <w:szCs w:val="20"/>
                <w:color w:val="auto"/>
              </w:rPr>
            </w:pPr>
            <w:r>
              <w:rPr>
                <w:rFonts w:ascii="Arial" w:cs="Arial" w:eastAsia="Arial" w:hAnsi="Arial"/>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Witold Stankiewicz</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00" w:type="dxa"/>
            <w:vAlign w:val="bottom"/>
          </w:tcPr>
          <w:p>
            <w:pPr>
              <w:jc w:val="right"/>
              <w:ind w:right="113"/>
              <w:spacing w:after="0" w:line="162" w:lineRule="exact"/>
              <w:rPr>
                <w:sz w:val="20"/>
                <w:szCs w:val="20"/>
                <w:color w:val="auto"/>
              </w:rPr>
            </w:pPr>
            <w:r>
              <w:rPr>
                <w:rFonts w:ascii="Arial" w:cs="Arial" w:eastAsia="Arial" w:hAnsi="Arial"/>
                <w:sz w:val="18"/>
                <w:szCs w:val="18"/>
                <w:b w:val="1"/>
                <w:bCs w:val="1"/>
                <w:color w:val="auto"/>
              </w:rPr>
              <w:t>2</w:t>
            </w:r>
          </w:p>
        </w:tc>
        <w:tc>
          <w:tcPr>
            <w:tcW w:w="7420" w:type="dxa"/>
            <w:vAlign w:val="bottom"/>
          </w:tcPr>
          <w:p>
            <w:pPr>
              <w:ind w:left="26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2940" w:type="dxa"/>
            <w:vAlign w:val="bottom"/>
          </w:tcPr>
          <w:p>
            <w:pPr>
              <w:ind w:left="9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940" w:type="dxa"/>
            <w:vAlign w:val="bottom"/>
          </w:tcPr>
          <w:p>
            <w:pPr>
              <w:ind w:left="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160" w:hanging="659"/>
        <w:spacing w:after="0" w:line="181" w:lineRule="auto"/>
        <w:tabs>
          <w:tab w:leader="none" w:pos="1160" w:val="left"/>
        </w:tabs>
        <w:numPr>
          <w:ilvl w:val="0"/>
          <w:numId w:val="9"/>
        </w:numPr>
        <w:rPr>
          <w:rFonts w:ascii="Arial" w:cs="Arial" w:eastAsia="Arial" w:hAnsi="Arial"/>
          <w:sz w:val="49"/>
          <w:szCs w:val="49"/>
          <w:b w:val="1"/>
          <w:bCs w:val="1"/>
          <w:color w:val="auto"/>
          <w:vertAlign w:val="subscript"/>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32" w:lineRule="exact"/>
        <w:rPr>
          <w:sz w:val="20"/>
          <w:szCs w:val="20"/>
          <w:color w:val="auto"/>
        </w:rPr>
      </w:pPr>
    </w:p>
    <w:p>
      <w:pPr>
        <w:ind w:left="1160" w:right="6440" w:hanging="659"/>
        <w:spacing w:after="0" w:line="181" w:lineRule="auto"/>
        <w:tabs>
          <w:tab w:leader="none" w:pos="1160" w:val="left"/>
        </w:tabs>
        <w:numPr>
          <w:ilvl w:val="0"/>
          <w:numId w:val="10"/>
        </w:numPr>
        <w:rPr>
          <w:rFonts w:ascii="Arial" w:cs="Arial" w:eastAsia="Arial" w:hAnsi="Arial"/>
          <w:sz w:val="59"/>
          <w:szCs w:val="59"/>
          <w:b w:val="1"/>
          <w:bCs w:val="1"/>
          <w:color w:val="auto"/>
          <w:vertAlign w:val="subscript"/>
        </w:rPr>
      </w:pPr>
      <w:r>
        <w:rPr>
          <w:rFonts w:ascii="Arial" w:cs="Arial" w:eastAsia="Arial" w:hAnsi="Arial"/>
          <w:sz w:val="17"/>
          <w:szCs w:val="17"/>
          <w:color w:val="auto"/>
        </w:rPr>
        <w:t>CITIZENSHIP OR PLACE OF ORGANIZATION Poland</w:t>
      </w:r>
    </w:p>
    <w:p>
      <w:pPr>
        <w:ind w:left="3500" w:hanging="698"/>
        <w:spacing w:after="0" w:line="186" w:lineRule="auto"/>
        <w:tabs>
          <w:tab w:leader="none" w:pos="3500" w:val="left"/>
        </w:tabs>
        <w:numPr>
          <w:ilvl w:val="0"/>
          <w:numId w:val="11"/>
        </w:numPr>
        <w:rPr>
          <w:rFonts w:ascii="Arial" w:cs="Arial" w:eastAsia="Arial" w:hAnsi="Arial"/>
          <w:sz w:val="26"/>
          <w:szCs w:val="26"/>
          <w:b w:val="1"/>
          <w:bCs w:val="1"/>
          <w:color w:val="auto"/>
          <w:vertAlign w:val="subscript"/>
        </w:rPr>
      </w:pPr>
      <w:r>
        <w:rPr>
          <w:rFonts w:ascii="Arial" w:cs="Arial" w:eastAsia="Arial" w:hAnsi="Arial"/>
          <w:sz w:val="14"/>
          <w:szCs w:val="14"/>
          <w:color w:val="auto"/>
        </w:rPr>
        <w:t>SOLE VOTING POWER</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NUMBER OF</w:t>
            </w:r>
          </w:p>
        </w:tc>
        <w:tc>
          <w:tcPr>
            <w:tcW w:w="1100" w:type="dxa"/>
            <w:vAlign w:val="bottom"/>
          </w:tcPr>
          <w:p>
            <w:pPr>
              <w:spacing w:after="0"/>
              <w:rPr>
                <w:sz w:val="21"/>
                <w:szCs w:val="21"/>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SHARES</w:t>
            </w:r>
          </w:p>
        </w:tc>
        <w:tc>
          <w:tcPr>
            <w:tcW w:w="1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6,456,400*</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OWNED BY</w:t>
            </w:r>
          </w:p>
        </w:tc>
        <w:tc>
          <w:tcPr>
            <w:tcW w:w="1100" w:type="dxa"/>
            <w:vAlign w:val="bottom"/>
          </w:tcPr>
          <w:p>
            <w:pPr>
              <w:spacing w:after="0"/>
              <w:rPr>
                <w:sz w:val="15"/>
                <w:szCs w:val="15"/>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PERSON WITH:</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6,456,400*</w:t>
            </w:r>
          </w:p>
        </w:tc>
        <w:tc>
          <w:tcPr>
            <w:tcW w:w="0" w:type="dxa"/>
            <w:vAlign w:val="bottom"/>
          </w:tcPr>
          <w:p>
            <w:pPr>
              <w:spacing w:after="0"/>
              <w:rPr>
                <w:sz w:val="1"/>
                <w:szCs w:val="1"/>
                <w:color w:val="auto"/>
              </w:rPr>
            </w:pPr>
          </w:p>
        </w:tc>
      </w:tr>
      <w:tr>
        <w:trPr>
          <w:trHeight w:val="224"/>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87"/>
        </w:trPr>
        <w:tc>
          <w:tcPr>
            <w:tcW w:w="1160" w:type="dxa"/>
            <w:vAlign w:val="bottom"/>
            <w:tcBorders>
              <w:right w:val="single" w:sz="8" w:color="auto"/>
            </w:tcBorders>
            <w:vMerge w:val="continue"/>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6,456,400</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10</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11</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9.4%</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rPr>
              <w:t>12</w:t>
            </w:r>
          </w:p>
        </w:tc>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0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*Octopus Head, Inc. is the beneficial owner of 6,456,400 shares of the Issuer's Class A Common Stock. 415 Foundation is the sole stockholder of Octopus Head, Inc., and in such capacity may be deemed to share voting and dispositive power over such shares. Witold Stankiewicz is the sole director of Octopus Head, Inc. and the controlling person of 415 Foundation, and in such capacity may be deemed to share voting and dispositive power over such shares.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742"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80" w:type="dxa"/>
            <w:vAlign w:val="bottom"/>
          </w:tcPr>
          <w:p>
            <w:pPr>
              <w:ind w:left="180"/>
              <w:spacing w:after="0"/>
              <w:rPr>
                <w:sz w:val="20"/>
                <w:szCs w:val="20"/>
                <w:color w:val="auto"/>
              </w:rPr>
            </w:pPr>
            <w:r>
              <w:rPr>
                <w:rFonts w:ascii="Arial" w:cs="Arial" w:eastAsia="Arial" w:hAnsi="Arial"/>
                <w:sz w:val="18"/>
                <w:szCs w:val="18"/>
                <w:color w:val="auto"/>
              </w:rPr>
              <w:t>Name of Issuer:</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Expensify, Inc.</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80" w:type="dxa"/>
            <w:vAlign w:val="bottom"/>
          </w:tcPr>
          <w:p>
            <w:pPr>
              <w:ind w:left="180"/>
              <w:spacing w:after="0"/>
              <w:rPr>
                <w:sz w:val="20"/>
                <w:szCs w:val="20"/>
                <w:color w:val="auto"/>
              </w:rPr>
            </w:pPr>
            <w:r>
              <w:rPr>
                <w:rFonts w:ascii="Arial" w:cs="Arial" w:eastAsia="Arial" w:hAnsi="Arial"/>
                <w:sz w:val="18"/>
                <w:szCs w:val="18"/>
                <w:color w:val="auto"/>
              </w:rPr>
              <w:t>Address of Issuer’s Principal Executive Offices: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401 SW 5th Avenue, Portland, OR 97204</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80" w:type="dxa"/>
            <w:vAlign w:val="bottom"/>
          </w:tcPr>
          <w:p>
            <w:pPr>
              <w:ind w:left="180"/>
              <w:spacing w:after="0"/>
              <w:rPr>
                <w:sz w:val="20"/>
                <w:szCs w:val="20"/>
                <w:color w:val="auto"/>
              </w:rPr>
            </w:pPr>
            <w:r>
              <w:rPr>
                <w:rFonts w:ascii="Arial" w:cs="Arial" w:eastAsia="Arial" w:hAnsi="Arial"/>
                <w:sz w:val="18"/>
                <w:szCs w:val="18"/>
                <w:color w:val="auto"/>
              </w:rPr>
              <w:t>Name of Person Filing:</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This Statement on Schedule 13G is filed by Octopus Head, Inc., 415 Foundation and Witold Stankiewicz.</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80" w:type="dxa"/>
            <w:vAlign w:val="bottom"/>
          </w:tcPr>
          <w:p>
            <w:pPr>
              <w:ind w:left="1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PH Panamera Residences, Apt 2806, Calle 47 Este, Bella Vista, Panama City, Panama</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80" w:type="dxa"/>
            <w:vAlign w:val="bottom"/>
          </w:tcPr>
          <w:p>
            <w:pPr>
              <w:ind w:left="180"/>
              <w:spacing w:after="0"/>
              <w:rPr>
                <w:sz w:val="20"/>
                <w:szCs w:val="20"/>
                <w:color w:val="auto"/>
              </w:rPr>
            </w:pPr>
            <w:r>
              <w:rPr>
                <w:rFonts w:ascii="Arial" w:cs="Arial" w:eastAsia="Arial" w:hAnsi="Arial"/>
                <w:sz w:val="18"/>
                <w:szCs w:val="18"/>
                <w:color w:val="auto"/>
              </w:rPr>
              <w:t>Citizenship:</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7"/>
              </w:rPr>
              <w:t>Octopus Head, Inc. is a Seychelles corporation. 415 Foundation is a Panama foundation. Witold Stankiewicz is a citizen of Poland.</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80" w:type="dxa"/>
            <w:vAlign w:val="bottom"/>
          </w:tcPr>
          <w:p>
            <w:pPr>
              <w:ind w:left="18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Class A Common Stock, par value $0.0001</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80" w:type="dxa"/>
            <w:vAlign w:val="bottom"/>
          </w:tcPr>
          <w:p>
            <w:pPr>
              <w:ind w:left="180"/>
              <w:spacing w:after="0"/>
              <w:rPr>
                <w:sz w:val="20"/>
                <w:szCs w:val="20"/>
                <w:color w:val="auto"/>
              </w:rPr>
            </w:pPr>
            <w:r>
              <w:rPr>
                <w:rFonts w:ascii="Arial" w:cs="Arial" w:eastAsia="Arial" w:hAnsi="Arial"/>
                <w:sz w:val="18"/>
                <w:szCs w:val="18"/>
                <w:color w:val="auto"/>
              </w:rPr>
              <w:t xml:space="preserve">CUSIP Number: </w:t>
            </w:r>
            <w:r>
              <w:rPr>
                <w:rFonts w:ascii="Arial" w:cs="Arial" w:eastAsia="Arial" w:hAnsi="Arial"/>
                <w:sz w:val="18"/>
                <w:szCs w:val="18"/>
                <w:b w:val="1"/>
                <w:bCs w:val="1"/>
                <w:color w:val="auto"/>
              </w:rPr>
              <w:t>30219Q106</w:t>
            </w:r>
          </w:p>
        </w:tc>
      </w:tr>
      <w:tr>
        <w:trPr>
          <w:trHeight w:val="574"/>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62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742" w:right="339" w:bottom="1440" w:gutter="0" w:footer="0" w:header="0"/>
        </w:sectPr>
      </w:pPr>
    </w:p>
    <w:bookmarkStart w:id="5" w:name="page6"/>
    <w:bookmarkEnd w:id="5"/>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 w:lineRule="exact"/>
        <w:rPr>
          <w:sz w:val="20"/>
          <w:szCs w:val="20"/>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5"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920" w:hanging="778"/>
        <w:spacing w:after="0" w:line="215" w:lineRule="exact"/>
        <w:tabs>
          <w:tab w:leader="none" w:pos="1596"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ind w:left="1600" w:hanging="458"/>
        <w:spacing w:after="0" w:line="207" w:lineRule="exact"/>
        <w:tabs>
          <w:tab w:leader="none" w:pos="16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0" w:lineRule="exact"/>
        <w:rPr>
          <w:rFonts w:ascii="Arial" w:cs="Arial" w:eastAsia="Arial" w:hAnsi="Arial"/>
          <w:sz w:val="18"/>
          <w:szCs w:val="18"/>
          <w:color w:val="auto"/>
        </w:rPr>
      </w:pPr>
    </w:p>
    <w:p>
      <w:pPr>
        <w:ind w:left="1600" w:hanging="458"/>
        <w:spacing w:after="0" w:line="196" w:lineRule="exact"/>
        <w:tabs>
          <w:tab w:leader="none" w:pos="1600" w:val="left"/>
        </w:tabs>
        <w:numPr>
          <w:ilvl w:val="0"/>
          <w:numId w:val="1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Group, in accordance with Rule 240.13d-1(b)(1)(ii)(K). If filing as a non-U.S. institution in accordance with Rule 240.13d-1(b)</w:t>
      </w:r>
    </w:p>
    <w:p>
      <w:pPr>
        <w:spacing w:after="0" w:line="20" w:lineRule="exact"/>
        <w:rPr>
          <w:rFonts w:ascii="Arial" w:cs="Arial" w:eastAsia="Arial" w:hAnsi="Arial"/>
          <w:sz w:val="17"/>
          <w:szCs w:val="17"/>
          <w:color w:val="auto"/>
        </w:rPr>
      </w:pPr>
    </w:p>
    <w:p>
      <w:pPr>
        <w:ind w:left="1920"/>
        <w:spacing w:after="0"/>
        <w:rPr>
          <w:rFonts w:ascii="Arial" w:cs="Arial" w:eastAsia="Arial" w:hAnsi="Arial"/>
          <w:sz w:val="17"/>
          <w:szCs w:val="17"/>
          <w:color w:val="auto"/>
        </w:rPr>
      </w:pPr>
      <w:r>
        <w:rPr>
          <w:rFonts w:ascii="Arial" w:cs="Arial" w:eastAsia="Arial" w:hAnsi="Arial"/>
          <w:sz w:val="18"/>
          <w:szCs w:val="18"/>
          <w:color w:val="auto"/>
        </w:rPr>
        <w:t>(1)(ii)(J), please specify the type of institution: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rPr>
              <w:t>(a)</w:t>
            </w:r>
          </w:p>
        </w:tc>
        <w:tc>
          <w:tcPr>
            <w:tcW w:w="2240" w:type="dxa"/>
            <w:vAlign w:val="bottom"/>
          </w:tcPr>
          <w:p>
            <w:pPr>
              <w:ind w:left="80"/>
              <w:spacing w:after="0"/>
              <w:rPr>
                <w:sz w:val="20"/>
                <w:szCs w:val="20"/>
                <w:color w:val="auto"/>
              </w:rPr>
            </w:pPr>
            <w:r>
              <w:rPr>
                <w:rFonts w:ascii="Arial" w:cs="Arial" w:eastAsia="Arial" w:hAnsi="Arial"/>
                <w:sz w:val="18"/>
                <w:szCs w:val="18"/>
                <w:color w:val="auto"/>
              </w:rPr>
              <w:t>Amount Beneficially</w:t>
            </w:r>
          </w:p>
        </w:tc>
        <w:tc>
          <w:tcPr>
            <w:tcW w:w="2960" w:type="dxa"/>
            <w:vAlign w:val="bottom"/>
          </w:tcPr>
          <w:p>
            <w:pPr>
              <w:ind w:left="640"/>
              <w:spacing w:after="0"/>
              <w:rPr>
                <w:sz w:val="20"/>
                <w:szCs w:val="20"/>
                <w:color w:val="auto"/>
              </w:rPr>
            </w:pPr>
            <w:r>
              <w:rPr>
                <w:rFonts w:ascii="Arial" w:cs="Arial" w:eastAsia="Arial" w:hAnsi="Arial"/>
                <w:sz w:val="18"/>
                <w:szCs w:val="18"/>
                <w:color w:val="auto"/>
                <w:w w:val="91"/>
              </w:rPr>
              <w:t>Octopus Head, Inc.: 6,456,400*</w:t>
            </w:r>
          </w:p>
        </w:tc>
      </w:tr>
      <w:tr>
        <w:trPr>
          <w:trHeight w:val="216"/>
        </w:trPr>
        <w:tc>
          <w:tcPr>
            <w:tcW w:w="260" w:type="dxa"/>
            <w:vAlign w:val="bottom"/>
          </w:tcPr>
          <w:p>
            <w:pPr>
              <w:spacing w:after="0"/>
              <w:rPr>
                <w:sz w:val="18"/>
                <w:szCs w:val="18"/>
                <w:color w:val="auto"/>
              </w:rPr>
            </w:pPr>
          </w:p>
        </w:tc>
        <w:tc>
          <w:tcPr>
            <w:tcW w:w="2240" w:type="dxa"/>
            <w:vAlign w:val="bottom"/>
          </w:tcPr>
          <w:p>
            <w:pPr>
              <w:ind w:left="80"/>
              <w:spacing w:after="0"/>
              <w:rPr>
                <w:sz w:val="20"/>
                <w:szCs w:val="20"/>
                <w:color w:val="auto"/>
              </w:rPr>
            </w:pPr>
            <w:r>
              <w:rPr>
                <w:rFonts w:ascii="Arial" w:cs="Arial" w:eastAsia="Arial" w:hAnsi="Arial"/>
                <w:sz w:val="18"/>
                <w:szCs w:val="18"/>
                <w:color w:val="auto"/>
              </w:rPr>
              <w:t>Owned:</w:t>
            </w:r>
          </w:p>
        </w:tc>
        <w:tc>
          <w:tcPr>
            <w:tcW w:w="2960" w:type="dxa"/>
            <w:vAlign w:val="bottom"/>
          </w:tcPr>
          <w:p>
            <w:pPr>
              <w:ind w:left="640"/>
              <w:spacing w:after="0"/>
              <w:rPr>
                <w:sz w:val="20"/>
                <w:szCs w:val="20"/>
                <w:color w:val="auto"/>
              </w:rPr>
            </w:pPr>
            <w:r>
              <w:rPr>
                <w:rFonts w:ascii="Arial" w:cs="Arial" w:eastAsia="Arial" w:hAnsi="Arial"/>
                <w:sz w:val="18"/>
                <w:szCs w:val="18"/>
                <w:color w:val="auto"/>
              </w:rPr>
              <w:t>415 Foundation: 6,456,400*</w:t>
            </w:r>
          </w:p>
        </w:tc>
      </w:tr>
      <w:tr>
        <w:trPr>
          <w:trHeight w:val="230"/>
        </w:trPr>
        <w:tc>
          <w:tcPr>
            <w:tcW w:w="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960" w:type="dxa"/>
            <w:vAlign w:val="bottom"/>
          </w:tcPr>
          <w:p>
            <w:pPr>
              <w:ind w:left="640"/>
              <w:spacing w:after="0"/>
              <w:rPr>
                <w:sz w:val="20"/>
                <w:szCs w:val="20"/>
                <w:color w:val="auto"/>
              </w:rPr>
            </w:pPr>
            <w:r>
              <w:rPr>
                <w:rFonts w:ascii="Arial" w:cs="Arial" w:eastAsia="Arial" w:hAnsi="Arial"/>
                <w:sz w:val="18"/>
                <w:szCs w:val="18"/>
                <w:color w:val="auto"/>
                <w:w w:val="93"/>
              </w:rPr>
              <w:t>Witold Stankiewicz: 6,456,400*</w:t>
            </w:r>
          </w:p>
        </w:tc>
      </w:tr>
      <w:tr>
        <w:trPr>
          <w:trHeight w:val="418"/>
        </w:trPr>
        <w:tc>
          <w:tcPr>
            <w:tcW w:w="260" w:type="dxa"/>
            <w:vAlign w:val="bottom"/>
          </w:tcPr>
          <w:p>
            <w:pPr>
              <w:spacing w:after="0"/>
              <w:rPr>
                <w:sz w:val="20"/>
                <w:szCs w:val="20"/>
                <w:color w:val="auto"/>
              </w:rPr>
            </w:pPr>
            <w:r>
              <w:rPr>
                <w:rFonts w:ascii="Arial" w:cs="Arial" w:eastAsia="Arial" w:hAnsi="Arial"/>
                <w:sz w:val="18"/>
                <w:szCs w:val="18"/>
                <w:color w:val="auto"/>
              </w:rPr>
              <w:t>(b)</w:t>
            </w:r>
          </w:p>
        </w:tc>
        <w:tc>
          <w:tcPr>
            <w:tcW w:w="2240" w:type="dxa"/>
            <w:vAlign w:val="bottom"/>
          </w:tcPr>
          <w:p>
            <w:pPr>
              <w:ind w:left="80"/>
              <w:spacing w:after="0"/>
              <w:rPr>
                <w:sz w:val="20"/>
                <w:szCs w:val="20"/>
                <w:color w:val="auto"/>
              </w:rPr>
            </w:pPr>
            <w:r>
              <w:rPr>
                <w:rFonts w:ascii="Arial" w:cs="Arial" w:eastAsia="Arial" w:hAnsi="Arial"/>
                <w:sz w:val="18"/>
                <w:szCs w:val="18"/>
                <w:color w:val="auto"/>
              </w:rPr>
              <w:t>Percent of Class:</w:t>
            </w:r>
          </w:p>
        </w:tc>
        <w:tc>
          <w:tcPr>
            <w:tcW w:w="2960" w:type="dxa"/>
            <w:vAlign w:val="bottom"/>
          </w:tcPr>
          <w:p>
            <w:pPr>
              <w:ind w:left="640"/>
              <w:spacing w:after="0"/>
              <w:rPr>
                <w:sz w:val="20"/>
                <w:szCs w:val="20"/>
                <w:color w:val="auto"/>
              </w:rPr>
            </w:pPr>
            <w:r>
              <w:rPr>
                <w:rFonts w:ascii="Arial" w:cs="Arial" w:eastAsia="Arial" w:hAnsi="Arial"/>
                <w:sz w:val="18"/>
                <w:szCs w:val="18"/>
                <w:color w:val="auto"/>
              </w:rPr>
              <w:t>Octopus Head, Inc.: 9.4%</w:t>
            </w:r>
          </w:p>
        </w:tc>
      </w:tr>
      <w:tr>
        <w:trPr>
          <w:trHeight w:val="216"/>
        </w:trPr>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960" w:type="dxa"/>
            <w:vAlign w:val="bottom"/>
          </w:tcPr>
          <w:p>
            <w:pPr>
              <w:ind w:left="640"/>
              <w:spacing w:after="0"/>
              <w:rPr>
                <w:sz w:val="20"/>
                <w:szCs w:val="20"/>
                <w:color w:val="auto"/>
              </w:rPr>
            </w:pPr>
            <w:r>
              <w:rPr>
                <w:rFonts w:ascii="Arial" w:cs="Arial" w:eastAsia="Arial" w:hAnsi="Arial"/>
                <w:sz w:val="18"/>
                <w:szCs w:val="18"/>
                <w:color w:val="auto"/>
              </w:rPr>
              <w:t>415 Foundation: 9.4%</w:t>
            </w:r>
          </w:p>
        </w:tc>
      </w:tr>
      <w:tr>
        <w:trPr>
          <w:trHeight w:val="230"/>
        </w:trPr>
        <w:tc>
          <w:tcPr>
            <w:tcW w:w="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960" w:type="dxa"/>
            <w:vAlign w:val="bottom"/>
          </w:tcPr>
          <w:p>
            <w:pPr>
              <w:ind w:left="640"/>
              <w:spacing w:after="0"/>
              <w:rPr>
                <w:sz w:val="20"/>
                <w:szCs w:val="20"/>
                <w:color w:val="auto"/>
              </w:rPr>
            </w:pPr>
            <w:r>
              <w:rPr>
                <w:rFonts w:ascii="Arial" w:cs="Arial" w:eastAsia="Arial" w:hAnsi="Arial"/>
                <w:sz w:val="18"/>
                <w:szCs w:val="18"/>
                <w:color w:val="auto"/>
              </w:rPr>
              <w:t>Witold Stankiewicz: 9.4%</w:t>
            </w:r>
          </w:p>
        </w:tc>
      </w:tr>
    </w:tbl>
    <w:p>
      <w:pPr>
        <w:spacing w:after="0" w:line="202" w:lineRule="exact"/>
        <w:rPr>
          <w:sz w:val="20"/>
          <w:szCs w:val="20"/>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3" w:lineRule="exact"/>
        <w:rPr>
          <w:rFonts w:ascii="Arial" w:cs="Arial" w:eastAsia="Arial" w:hAnsi="Arial"/>
          <w:sz w:val="18"/>
          <w:szCs w:val="18"/>
          <w:color w:val="auto"/>
        </w:rPr>
      </w:pPr>
    </w:p>
    <w:p>
      <w:pPr>
        <w:ind w:left="1260" w:right="8460" w:hanging="348"/>
        <w:spacing w:after="0" w:line="323" w:lineRule="auto"/>
        <w:tabs>
          <w:tab w:leader="none" w:pos="12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sole power to vote or to direct the vote:</w:t>
      </w:r>
    </w:p>
    <w:p>
      <w:pPr>
        <w:sectPr>
          <w:pgSz w:w="11900" w:h="16838" w:orient="portrait"/>
          <w:cols w:equalWidth="0" w:num="1">
            <w:col w:w="11160"/>
          </w:cols>
          <w:pgMar w:left="320" w:top="742" w:right="419" w:bottom="1440" w:gutter="0" w:footer="0" w:header="0"/>
        </w:sectPr>
      </w:pP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  shared power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vote or to direct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vote: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Octopus Head, Inc.: 6,456,400*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415 Foundation: 6,456,400*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Witold Stankiewicz: 6,456,400*</w:t>
      </w:r>
    </w:p>
    <w:p>
      <w:pPr>
        <w:spacing w:after="0" w:line="222" w:lineRule="exact"/>
        <w:rPr>
          <w:sz w:val="20"/>
          <w:szCs w:val="20"/>
          <w:color w:val="auto"/>
        </w:rPr>
      </w:pPr>
    </w:p>
    <w:p>
      <w:pPr>
        <w:sectPr>
          <w:pgSz w:w="11900" w:h="16838" w:orient="portrait"/>
          <w:cols w:equalWidth="0" w:num="2">
            <w:col w:w="3000" w:space="720"/>
            <w:col w:w="7440"/>
          </w:cols>
          <w:pgMar w:left="320" w:top="742" w:right="419" w:bottom="1440" w:gutter="0" w:footer="0" w:header="0"/>
          <w:type w:val="continuous"/>
        </w:sectPr>
      </w:pPr>
    </w:p>
    <w:p>
      <w:pPr>
        <w:spacing w:after="0" w:line="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(iii) sole power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dispose or to direct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disposition of:</w:t>
      </w:r>
    </w:p>
    <w:p>
      <w:pPr>
        <w:sectPr>
          <w:pgSz w:w="11900" w:h="16838" w:orient="portrait"/>
          <w:cols w:equalWidth="0" w:num="1">
            <w:col w:w="11160"/>
          </w:cols>
          <w:pgMar w:left="320" w:top="742" w:right="419" w:bottom="1440" w:gutter="0" w:footer="0" w:header="0"/>
          <w:type w:val="continuous"/>
        </w:sectPr>
      </w:pPr>
    </w:p>
    <w:p>
      <w:pPr>
        <w:spacing w:after="0" w:line="2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(iv) shared power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dispose or to direct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disposition of:</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Octopus Head, Inc.: 6,456,400*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415 Foundation: 6,456,400*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Witold Stankiewicz: 6,456,400*</w:t>
      </w:r>
    </w:p>
    <w:p>
      <w:pPr>
        <w:spacing w:after="0" w:line="211" w:lineRule="exact"/>
        <w:rPr>
          <w:sz w:val="20"/>
          <w:szCs w:val="20"/>
          <w:color w:val="auto"/>
        </w:rPr>
      </w:pPr>
    </w:p>
    <w:p>
      <w:pPr>
        <w:sectPr>
          <w:pgSz w:w="11900" w:h="16838" w:orient="portrait"/>
          <w:cols w:equalWidth="0" w:num="2">
            <w:col w:w="3000" w:space="720"/>
            <w:col w:w="7440"/>
          </w:cols>
          <w:pgMar w:left="320" w:top="742" w:right="41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*Octopus Head, Inc. is the beneficial owner of 6,456,400 shares of the Issuer's Class A Common Stock. 415 Foundation is the sole stockholder of Octopus Head, Inc., and in such capacity may be deemed to share voting and dispositive power over such shares. Witold Stankiewicz is the sole director of Octopus Head, Inc. and the controlling person of 415 Foundation, and in such capacity may be deemed to share voting and dispositive power over such shares.</w:t>
      </w: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42" w:right="419" w:bottom="1440" w:gutter="0" w:footer="0" w:header="0"/>
          <w:type w:val="continuous"/>
        </w:sectPr>
      </w:pPr>
    </w:p>
    <w:bookmarkStart w:id="6" w:name="page7"/>
    <w:bookmarkEnd w:id="6"/>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020" w:right="1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1020" w:right="2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42" w:right="39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January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Octopus Head, Inc.</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Witold Stankiewicz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Witold Stankiewicz,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January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415 Foundation</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Witold Stankiewicz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Witold Stankiewicz, Protector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January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Witold Stankiewicz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Witold Stankiewicz</w:t>
      </w: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4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x"/>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5"/>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5"/>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4"/>
      <w:numFmt w:val="bullet"/>
      <w:start w:val="1"/>
    </w:lvl>
  </w:abstractNum>
  <w:abstractNum w:abstractNumId="10">
    <w:nsid w:val="66EF438D"/>
    <w:multiLevelType w:val="hybridMultilevel"/>
    <w:lvl w:ilvl="0">
      <w:lvlJc w:val="left"/>
      <w:lvlText w:val="5"/>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2023-01-27T05:26:16Z</dcterms:created>
  <dcterms:modified xsi:type="dcterms:W3CDTF">2023-01-27T05:26:16Z</dcterms:modified>
</cp:coreProperties>
</file>