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Mills Jason Fahr</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Expensify,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EXFY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540" w:type="dxa"/>
            <w:vAlign w:val="bottom"/>
            <w:tcBorders>
              <w:bottom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24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2980" w:type="dxa"/>
            <w:vAlign w:val="bottom"/>
            <w:tcBorders>
              <w:top w:val="single" w:sz="8" w:color="2C2C2C"/>
            </w:tcBorders>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Borders>
              <w:top w:val="single" w:sz="8" w:color="2C2C2C"/>
            </w:tcBorders>
          </w:tcPr>
          <w:p>
            <w:pPr>
              <w:spacing w:after="0"/>
              <w:rPr>
                <w:sz w:val="2"/>
                <w:szCs w:val="2"/>
                <w:color w:val="auto"/>
              </w:rPr>
            </w:pPr>
          </w:p>
        </w:tc>
        <w:tc>
          <w:tcPr>
            <w:tcW w:w="220" w:type="dxa"/>
            <w:vAlign w:val="bottom"/>
            <w:tcBorders>
              <w:top w:val="single" w:sz="8" w:color="2C2C2C"/>
            </w:tcBorders>
          </w:tcPr>
          <w:p>
            <w:pPr>
              <w:spacing w:after="0"/>
              <w:rPr>
                <w:sz w:val="2"/>
                <w:szCs w:val="2"/>
                <w:color w:val="auto"/>
              </w:rPr>
            </w:pPr>
          </w:p>
        </w:tc>
        <w:tc>
          <w:tcPr>
            <w:tcW w:w="120" w:type="dxa"/>
            <w:vAlign w:val="bottom"/>
            <w:tcBorders>
              <w:top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1"/>
                <w:szCs w:val="11"/>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80" w:type="dxa"/>
            <w:vAlign w:val="bottom"/>
            <w:gridSpan w:val="6"/>
            <w:vMerge w:val="continue"/>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140"/>
              <w:spacing w:after="0" w:line="132" w:lineRule="exact"/>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line="132"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440" w:type="dxa"/>
            <w:vAlign w:val="bottom"/>
            <w:gridSpan w:val="6"/>
            <w:vMerge w:val="restart"/>
          </w:tcPr>
          <w:p>
            <w:pPr>
              <w:ind w:left="160"/>
              <w:spacing w:after="0"/>
              <w:rPr>
                <w:sz w:val="20"/>
                <w:szCs w:val="20"/>
                <w:color w:val="auto"/>
              </w:rPr>
            </w:pPr>
            <w:r>
              <w:rPr>
                <w:rFonts w:ascii="Times New Roman" w:cs="Times New Roman" w:eastAsia="Times New Roman" w:hAnsi="Times New Roman"/>
                <w:sz w:val="17"/>
                <w:szCs w:val="17"/>
                <w:color w:val="0000FF"/>
              </w:rPr>
              <w:t>06/18/2024</w:t>
            </w: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EXPENSIFY, INC.</w:t>
            </w:r>
          </w:p>
        </w:tc>
        <w:tc>
          <w:tcPr>
            <w:tcW w:w="1340" w:type="dxa"/>
            <w:vAlign w:val="bottom"/>
          </w:tcPr>
          <w:p>
            <w:pPr>
              <w:spacing w:after="0"/>
              <w:rPr>
                <w:sz w:val="11"/>
                <w:szCs w:val="11"/>
                <w:color w:val="auto"/>
              </w:rPr>
            </w:pPr>
          </w:p>
        </w:tc>
        <w:tc>
          <w:tcPr>
            <w:tcW w:w="1440" w:type="dxa"/>
            <w:vAlign w:val="bottom"/>
            <w:gridSpan w:val="6"/>
            <w:vMerge w:val="continue"/>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continue"/>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401 SW 5TH AVE</w:t>
            </w: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0" w:type="dxa"/>
            <w:vAlign w:val="bottom"/>
            <w:gridSpan w:val="7"/>
            <w:vMerge w:val="continue"/>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2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1440" w:type="dxa"/>
            <w:vAlign w:val="bottom"/>
            <w:gridSpan w:val="6"/>
            <w:vMerge w:val="restart"/>
          </w:tcPr>
          <w:p>
            <w:pPr>
              <w:ind w:left="160"/>
              <w:spacing w:after="0"/>
              <w:rPr>
                <w:sz w:val="20"/>
                <w:szCs w:val="20"/>
                <w:color w:val="auto"/>
              </w:rPr>
            </w:pPr>
            <w:r>
              <w:rPr>
                <w:rFonts w:ascii="Times New Roman" w:cs="Times New Roman" w:eastAsia="Times New Roman" w:hAnsi="Times New Roman"/>
                <w:sz w:val="17"/>
                <w:szCs w:val="17"/>
                <w:color w:val="0000FF"/>
              </w:rPr>
              <w:t>06/18/2024</w:t>
            </w:r>
          </w:p>
        </w:tc>
        <w:tc>
          <w:tcPr>
            <w:tcW w:w="180" w:type="dxa"/>
            <w:vAlign w:val="bottom"/>
            <w:vMerge w:val="restart"/>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40" w:type="dxa"/>
            <w:vAlign w:val="bottom"/>
            <w:gridSpan w:val="6"/>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460" w:type="dxa"/>
            <w:vAlign w:val="bottom"/>
            <w:gridSpan w:val="3"/>
            <w:vMerge w:val="continue"/>
          </w:tcPr>
          <w:p>
            <w:pPr>
              <w:spacing w:after="0"/>
              <w:rPr>
                <w:sz w:val="11"/>
                <w:szCs w:val="11"/>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6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PORTLAND</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OR</w:t>
            </w:r>
          </w:p>
        </w:tc>
        <w:tc>
          <w:tcPr>
            <w:tcW w:w="820" w:type="dxa"/>
            <w:vAlign w:val="bottom"/>
          </w:tcPr>
          <w:p>
            <w:pPr>
              <w:spacing w:after="0"/>
              <w:rPr>
                <w:sz w:val="18"/>
                <w:szCs w:val="18"/>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97204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80" w:type="dxa"/>
            <w:vAlign w:val="bottom"/>
            <w:tcBorders>
              <w:bottom w:val="single" w:sz="8" w:color="2C2C2C"/>
            </w:tcBorders>
            <w:gridSpan w:val="3"/>
          </w:tcPr>
          <w:p>
            <w:pPr>
              <w:spacing w:after="0"/>
              <w:rPr>
                <w:sz w:val="10"/>
                <w:szCs w:val="10"/>
                <w:color w:val="auto"/>
              </w:rPr>
            </w:pPr>
          </w:p>
        </w:tc>
        <w:tc>
          <w:tcPr>
            <w:tcW w:w="246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06/18/2024</w:t>
            </w:r>
          </w:p>
        </w:tc>
        <w:tc>
          <w:tcPr>
            <w:tcW w:w="4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2,457</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4"/>
          </w:tcPr>
          <w:p>
            <w:pPr>
              <w:jc w:val="right"/>
              <w:ind w:right="4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1.3</w:t>
            </w:r>
            <w:r>
              <w:rPr>
                <w:rFonts w:ascii="Times New Roman" w:cs="Times New Roman" w:eastAsia="Times New Roman" w:hAnsi="Times New Roman"/>
                <w:sz w:val="22"/>
                <w:szCs w:val="22"/>
                <w:color w:val="008000"/>
                <w:w w:val="96"/>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270,224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220" w:firstLine="7"/>
        <w:spacing w:after="0" w:line="258"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for shares granted as matched shares under the Expensify, Inc. 2021 Stock Purchase and Matching Plan ("SPMP") for certain employees of the Issuer. On June 18, 2024, the Reporting Person filed a Form 4 reporting the shares granted as matched shares but inadvertently excluded this related sale.</w:t>
      </w:r>
    </w:p>
    <w:p>
      <w:pPr>
        <w:spacing w:after="0" w:line="171" w:lineRule="exact"/>
        <w:rPr>
          <w:rFonts w:ascii="Times New Roman" w:cs="Times New Roman" w:eastAsia="Times New Roman" w:hAnsi="Times New Roman"/>
          <w:sz w:val="13"/>
          <w:szCs w:val="13"/>
          <w:color w:val="008000"/>
        </w:rPr>
      </w:pPr>
    </w:p>
    <w:p>
      <w:pPr>
        <w:ind w:left="40" w:right="42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for shares granted as matched shares under the SPMP for certain employees of the Issuer. These shares were sold in multiple transactions at prices ranging from $1.27 to $1.32,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2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1197"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2024-12-19T16:30:43Z</dcterms:created>
  <dcterms:modified xsi:type="dcterms:W3CDTF">2024-12-19T16:30:43Z</dcterms:modified>
</cp:coreProperties>
</file>