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SEC Form 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5</w:t>
            </w:r>
          </w:p>
        </w:tc>
        <w:tc>
          <w:tcPr>
            <w:tcW w:w="6200" w:type="dxa"/>
            <w:vAlign w:val="bottom"/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  <w:vMerge w:val="restart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Check this box if no longer subject 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Section 16. Form 4 or Form 5</w:t>
            </w:r>
          </w:p>
        </w:tc>
        <w:tc>
          <w:tcPr>
            <w:tcW w:w="6200" w:type="dxa"/>
            <w:vAlign w:val="bottom"/>
            <w:gridSpan w:val="17"/>
            <w:vMerge w:val="restart"/>
          </w:tcPr>
          <w:p>
            <w:pPr>
              <w:jc w:val="center"/>
              <w:ind w:right="81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  <w:vMerge w:val="restart"/>
          </w:tcPr>
          <w:p>
            <w:pPr>
              <w:jc w:val="center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3 Holdings Reported.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00" w:type="dxa"/>
            <w:vAlign w:val="bottom"/>
            <w:gridSpan w:val="15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0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Form 4 Transactions Reported.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3"/>
                </w:rPr>
                <w:t>Mills Jason Fahr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12/31/2022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401 SW 5TH AVE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LT10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576,720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576,720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ind w:right="31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6,165</w:t>
            </w:r>
          </w:p>
        </w:tc>
        <w:tc>
          <w:tcPr>
            <w:tcW w:w="360" w:type="dxa"/>
            <w:vAlign w:val="bottom"/>
          </w:tcPr>
          <w:p>
            <w:pPr>
              <w:ind w:left="2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LT10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576,720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576,720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8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534,925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534,925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ind w:right="318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3,821</w:t>
            </w:r>
          </w:p>
        </w:tc>
        <w:tc>
          <w:tcPr>
            <w:tcW w:w="360" w:type="dxa"/>
            <w:vAlign w:val="bottom"/>
          </w:tcPr>
          <w:p>
            <w:pPr>
              <w:ind w:left="2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534,925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534,925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8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-6343015</wp:posOffset>
            </wp:positionV>
            <wp:extent cx="7047230" cy="635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35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320"/>
        <w:spacing w:after="0" w:line="23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LT10 Common Stock is convertible into the Issuer's Class A Common Stock on a one-to-one basis only upon, and generally cannot be transferred without, satisfaction of certain notice and other requirements, including a notice period of 10 months. The LT10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/>
        <w:spacing w:after="0" w:line="28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December 22, 2022, the reporting person transferred 576,720 shares of LT10 Common Stock to a LILIJK LLC, a manager-managed limited liability company. The investment and voting decisions of LILIJK LLC are made by its manager, the Reporting Person, and its controlling member is the Figueroa-Mills Family Revocable Trust, for which the Reporting Person serves as trustee.</w:t>
      </w:r>
    </w:p>
    <w:p>
      <w:pPr>
        <w:spacing w:after="0" w:line="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LILIJK LLC, a manager-managed limited liability company. The investment and voting decisions of LILIJK LLC are made by its manager, the Reporting Person, and its controlling member is the Figueroa-Mills Family Revocable Trust, for which the Reporting Person serves as trustee.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/>
        <w:spacing w:after="0" w:line="23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/>
        <w:spacing w:after="0" w:line="280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December 22, 2022, the reporting person transferred 534,925 shares of LT50 Common Stock to a LILIJK LLC, a manager-managed limited liability company. The investment and voting decisions of LILIJK LLC are made by its manager, the Reporting Person, and its controlling member is the Figueroa-Mills Family Revocable Trust, for which the Reporting Person serves as trustee.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Ryan Schaffer, as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891197" TargetMode="External"/><Relationship Id="rId9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2023-02-07T16:09:47Z</dcterms:created>
  <dcterms:modified xsi:type="dcterms:W3CDTF">2023-02-07T16:09:47Z</dcterms:modified>
</cp:coreProperties>
</file>