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558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558915"/>
                    </a:xfrm>
                    <a:prstGeom prst="rect">
                      <a:avLst/>
                    </a:prstGeom>
                    <a:noFill/>
                  </pic:spPr>
                </pic:pic>
              </a:graphicData>
            </a:graphic>
          </wp:anchor>
        </w:drawing>
      </w:r>
    </w:p>
    <w:p>
      <w:pPr>
        <w:spacing w:after="0" w:line="1183" w:lineRule="exact"/>
        <w:rPr>
          <w:sz w:val="24"/>
          <w:szCs w:val="24"/>
          <w:color w:val="auto"/>
        </w:rPr>
      </w:pPr>
    </w:p>
    <w:p>
      <w:pPr>
        <w:sectPr>
          <w:pgSz w:w="11900" w:h="16898" w:orient="portrait"/>
          <w:cols w:equalWidth="0" w:num="2">
            <w:col w:w="2320" w:space="260"/>
            <w:col w:w="850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Alvarez Divo Carlos Eduardo</w:t>
              </w:r>
            </w:hyperlink>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60" w:type="dxa"/>
            <w:vAlign w:val="bottom"/>
            <w:gridSpan w:val="7"/>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Expensify,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EXFY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7"/>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8"/>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12/30/2025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88 KEARNY ST, STE 1600</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gridSpan w:val="10"/>
          </w:tcPr>
          <w:p>
            <w:pPr>
              <w:ind w:left="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2"/>
                <w:szCs w:val="12"/>
                <w:color w:val="auto"/>
              </w:rPr>
            </w:pPr>
          </w:p>
        </w:tc>
        <w:tc>
          <w:tcPr>
            <w:tcW w:w="3420" w:type="dxa"/>
            <w:vAlign w:val="bottom"/>
            <w:gridSpan w:val="10"/>
          </w:tcPr>
          <w:p>
            <w:pPr>
              <w:ind w:left="6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58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94018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80" w:type="dxa"/>
            <w:vAlign w:val="bottom"/>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gridSpan w:val="2"/>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0"/>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 w:type="dxa"/>
            <w:vAlign w:val="bottom"/>
          </w:tcPr>
          <w:p>
            <w:pPr>
              <w:spacing w:after="0"/>
              <w:rPr>
                <w:sz w:val="14"/>
                <w:szCs w:val="14"/>
                <w:color w:val="auto"/>
              </w:rPr>
            </w:pPr>
          </w:p>
        </w:tc>
        <w:tc>
          <w:tcPr>
            <w:tcW w:w="180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5"/>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0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6"/>
          </w:tcPr>
          <w:p>
            <w:pPr>
              <w:jc w:val="center"/>
              <w:ind w:left="541"/>
              <w:spacing w:after="0"/>
              <w:rPr>
                <w:sz w:val="20"/>
                <w:szCs w:val="20"/>
                <w:color w:val="auto"/>
              </w:rPr>
            </w:pPr>
            <w:r>
              <w:rPr>
                <w:rFonts w:ascii="Times New Roman" w:cs="Times New Roman" w:eastAsia="Times New Roman" w:hAnsi="Times New Roman"/>
                <w:sz w:val="17"/>
                <w:szCs w:val="17"/>
                <w:color w:val="0000FF"/>
                <w:w w:val="98"/>
              </w:rPr>
              <w:t>12/30/2025</w:t>
            </w:r>
          </w:p>
        </w:tc>
        <w:tc>
          <w:tcPr>
            <w:tcW w:w="5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gridSpan w:val="2"/>
          </w:tcPr>
          <w:p>
            <w:pPr>
              <w:jc w:val="center"/>
              <w:ind w:left="153"/>
              <w:spacing w:after="0"/>
              <w:rPr>
                <w:sz w:val="20"/>
                <w:szCs w:val="20"/>
                <w:color w:val="auto"/>
              </w:rPr>
            </w:pPr>
            <w:r>
              <w:rPr>
                <w:rFonts w:ascii="Times New Roman" w:cs="Times New Roman" w:eastAsia="Times New Roman" w:hAnsi="Times New Roman"/>
                <w:sz w:val="17"/>
                <w:szCs w:val="17"/>
                <w:color w:val="0000FF"/>
                <w:w w:val="95"/>
              </w:rPr>
              <w:t>2,468</w:t>
            </w:r>
            <w:r>
              <w:rPr>
                <w:rFonts w:ascii="Times New Roman" w:cs="Times New Roman" w:eastAsia="Times New Roman" w:hAnsi="Times New Roman"/>
                <w:sz w:val="21"/>
                <w:szCs w:val="21"/>
                <w:color w:val="008000"/>
                <w:w w:val="95"/>
                <w:vertAlign w:val="superscript"/>
              </w:rPr>
              <w:t>(1)</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325,604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6"/>
          </w:tcPr>
          <w:p>
            <w:pPr>
              <w:jc w:val="center"/>
              <w:ind w:left="541"/>
              <w:spacing w:after="0"/>
              <w:rPr>
                <w:sz w:val="20"/>
                <w:szCs w:val="20"/>
                <w:color w:val="auto"/>
              </w:rPr>
            </w:pPr>
            <w:r>
              <w:rPr>
                <w:rFonts w:ascii="Times New Roman" w:cs="Times New Roman" w:eastAsia="Times New Roman" w:hAnsi="Times New Roman"/>
                <w:sz w:val="17"/>
                <w:szCs w:val="17"/>
                <w:color w:val="0000FF"/>
                <w:w w:val="98"/>
              </w:rPr>
              <w:t>12/31/2025</w:t>
            </w:r>
          </w:p>
        </w:tc>
        <w:tc>
          <w:tcPr>
            <w:tcW w:w="5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gridSpan w:val="2"/>
          </w:tcPr>
          <w:p>
            <w:pPr>
              <w:jc w:val="center"/>
              <w:ind w:left="153"/>
              <w:spacing w:after="0"/>
              <w:rPr>
                <w:sz w:val="20"/>
                <w:szCs w:val="20"/>
                <w:color w:val="auto"/>
              </w:rPr>
            </w:pPr>
            <w:r>
              <w:rPr>
                <w:rFonts w:ascii="Times New Roman" w:cs="Times New Roman" w:eastAsia="Times New Roman" w:hAnsi="Times New Roman"/>
                <w:sz w:val="17"/>
                <w:szCs w:val="17"/>
                <w:color w:val="0000FF"/>
                <w:w w:val="95"/>
              </w:rPr>
              <w:t>6,504</w:t>
            </w:r>
            <w:r>
              <w:rPr>
                <w:rFonts w:ascii="Times New Roman" w:cs="Times New Roman" w:eastAsia="Times New Roman" w:hAnsi="Times New Roman"/>
                <w:sz w:val="21"/>
                <w:szCs w:val="21"/>
                <w:color w:val="008000"/>
                <w:w w:val="95"/>
                <w:vertAlign w:val="superscript"/>
              </w:rPr>
              <w:t>(3)</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w:t>
            </w:r>
            <w:r>
              <w:rPr>
                <w:rFonts w:ascii="Times New Roman" w:cs="Times New Roman" w:eastAsia="Times New Roman" w:hAnsi="Times New Roman"/>
                <w:sz w:val="21"/>
                <w:szCs w:val="21"/>
                <w:color w:val="008000"/>
                <w:vertAlign w:val="superscript"/>
              </w:rPr>
              <w:t>(4)</w:t>
            </w: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319,100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6"/>
          </w:tcPr>
          <w:p>
            <w:pPr>
              <w:jc w:val="center"/>
              <w:ind w:left="541"/>
              <w:spacing w:after="0"/>
              <w:rPr>
                <w:sz w:val="20"/>
                <w:szCs w:val="20"/>
                <w:color w:val="auto"/>
              </w:rPr>
            </w:pPr>
            <w:r>
              <w:rPr>
                <w:rFonts w:ascii="Times New Roman" w:cs="Times New Roman" w:eastAsia="Times New Roman" w:hAnsi="Times New Roman"/>
                <w:sz w:val="17"/>
                <w:szCs w:val="17"/>
                <w:color w:val="0000FF"/>
                <w:w w:val="98"/>
              </w:rPr>
              <w:t>12/31/2025</w:t>
            </w:r>
          </w:p>
        </w:tc>
        <w:tc>
          <w:tcPr>
            <w:tcW w:w="5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(5)</w:t>
            </w:r>
          </w:p>
        </w:tc>
        <w:tc>
          <w:tcPr>
            <w:tcW w:w="720" w:type="dxa"/>
            <w:vAlign w:val="bottom"/>
            <w:tcBorders>
              <w:bottom w:val="single" w:sz="8" w:color="2C2C2C"/>
            </w:tcBorders>
          </w:tcPr>
          <w:p>
            <w:pPr>
              <w:jc w:val="center"/>
              <w:ind w:left="193"/>
              <w:spacing w:after="0"/>
              <w:rPr>
                <w:sz w:val="20"/>
                <w:szCs w:val="20"/>
                <w:color w:val="auto"/>
              </w:rPr>
            </w:pPr>
            <w:r>
              <w:rPr>
                <w:rFonts w:ascii="Times New Roman" w:cs="Times New Roman" w:eastAsia="Times New Roman" w:hAnsi="Times New Roman"/>
                <w:sz w:val="17"/>
                <w:szCs w:val="17"/>
                <w:color w:val="0000FF"/>
                <w:w w:val="98"/>
              </w:rPr>
              <w:t>20,441</w:t>
            </w: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gridSpan w:val="2"/>
          </w:tcPr>
          <w:p>
            <w:pPr>
              <w:jc w:val="right"/>
              <w:ind w:right="35"/>
              <w:spacing w:after="0"/>
              <w:rPr>
                <w:sz w:val="20"/>
                <w:szCs w:val="20"/>
                <w:color w:val="auto"/>
              </w:rPr>
            </w:pPr>
            <w:r>
              <w:rPr>
                <w:rFonts w:ascii="Times New Roman" w:cs="Times New Roman" w:eastAsia="Times New Roman" w:hAnsi="Times New Roman"/>
                <w:sz w:val="11"/>
                <w:szCs w:val="11"/>
                <w:color w:val="008000"/>
              </w:rPr>
              <w:t>(5)</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298,659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6"/>
          </w:tcPr>
          <w:p>
            <w:pPr>
              <w:jc w:val="center"/>
              <w:ind w:left="541"/>
              <w:spacing w:after="0"/>
              <w:rPr>
                <w:sz w:val="20"/>
                <w:szCs w:val="20"/>
                <w:color w:val="auto"/>
              </w:rPr>
            </w:pPr>
            <w:r>
              <w:rPr>
                <w:rFonts w:ascii="Times New Roman" w:cs="Times New Roman" w:eastAsia="Times New Roman" w:hAnsi="Times New Roman"/>
                <w:sz w:val="17"/>
                <w:szCs w:val="17"/>
                <w:color w:val="0000FF"/>
                <w:w w:val="98"/>
              </w:rPr>
              <w:t>01/04/2026</w:t>
            </w:r>
          </w:p>
        </w:tc>
        <w:tc>
          <w:tcPr>
            <w:tcW w:w="5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(6)</w:t>
            </w:r>
          </w:p>
        </w:tc>
        <w:tc>
          <w:tcPr>
            <w:tcW w:w="720" w:type="dxa"/>
            <w:vAlign w:val="bottom"/>
            <w:tcBorders>
              <w:bottom w:val="single" w:sz="8" w:color="2C2C2C"/>
            </w:tcBorders>
          </w:tcPr>
          <w:p>
            <w:pPr>
              <w:jc w:val="center"/>
              <w:ind w:left="173"/>
              <w:spacing w:after="0"/>
              <w:rPr>
                <w:sz w:val="20"/>
                <w:szCs w:val="20"/>
                <w:color w:val="auto"/>
              </w:rPr>
            </w:pPr>
            <w:r>
              <w:rPr>
                <w:rFonts w:ascii="Times New Roman" w:cs="Times New Roman" w:eastAsia="Times New Roman" w:hAnsi="Times New Roman"/>
                <w:sz w:val="17"/>
                <w:szCs w:val="17"/>
                <w:color w:val="0000FF"/>
                <w:w w:val="93"/>
              </w:rPr>
              <w:t>7,839</w:t>
            </w: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gridSpan w:val="2"/>
          </w:tcPr>
          <w:p>
            <w:pPr>
              <w:jc w:val="right"/>
              <w:ind w:right="35"/>
              <w:spacing w:after="0"/>
              <w:rPr>
                <w:sz w:val="20"/>
                <w:szCs w:val="20"/>
                <w:color w:val="auto"/>
              </w:rPr>
            </w:pPr>
            <w:r>
              <w:rPr>
                <w:rFonts w:ascii="Times New Roman" w:cs="Times New Roman" w:eastAsia="Times New Roman" w:hAnsi="Times New Roman"/>
                <w:sz w:val="11"/>
                <w:szCs w:val="11"/>
                <w:color w:val="008000"/>
              </w:rPr>
              <w:t>(6)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290,820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6"/>
          </w:tcPr>
          <w:p>
            <w:pPr>
              <w:jc w:val="center"/>
              <w:ind w:left="541"/>
              <w:spacing w:after="0"/>
              <w:rPr>
                <w:sz w:val="20"/>
                <w:szCs w:val="20"/>
                <w:color w:val="auto"/>
              </w:rPr>
            </w:pPr>
            <w:r>
              <w:rPr>
                <w:rFonts w:ascii="Times New Roman" w:cs="Times New Roman" w:eastAsia="Times New Roman" w:hAnsi="Times New Roman"/>
                <w:sz w:val="17"/>
                <w:szCs w:val="17"/>
                <w:color w:val="0000FF"/>
                <w:w w:val="98"/>
              </w:rPr>
              <w:t>01/05/2026</w:t>
            </w:r>
          </w:p>
        </w:tc>
        <w:tc>
          <w:tcPr>
            <w:tcW w:w="5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(7)</w:t>
            </w:r>
          </w:p>
        </w:tc>
        <w:tc>
          <w:tcPr>
            <w:tcW w:w="720" w:type="dxa"/>
            <w:vAlign w:val="bottom"/>
            <w:tcBorders>
              <w:bottom w:val="single" w:sz="8" w:color="2C2C2C"/>
            </w:tcBorders>
          </w:tcPr>
          <w:p>
            <w:pPr>
              <w:jc w:val="center"/>
              <w:ind w:left="173"/>
              <w:spacing w:after="0"/>
              <w:rPr>
                <w:sz w:val="20"/>
                <w:szCs w:val="20"/>
                <w:color w:val="auto"/>
              </w:rPr>
            </w:pPr>
            <w:r>
              <w:rPr>
                <w:rFonts w:ascii="Times New Roman" w:cs="Times New Roman" w:eastAsia="Times New Roman" w:hAnsi="Times New Roman"/>
                <w:sz w:val="17"/>
                <w:szCs w:val="17"/>
                <w:color w:val="0000FF"/>
                <w:w w:val="93"/>
              </w:rPr>
              <w:t>5,312</w:t>
            </w: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gridSpan w:val="2"/>
          </w:tcPr>
          <w:p>
            <w:pPr>
              <w:jc w:val="right"/>
              <w:ind w:right="35"/>
              <w:spacing w:after="0"/>
              <w:rPr>
                <w:sz w:val="20"/>
                <w:szCs w:val="20"/>
                <w:color w:val="auto"/>
              </w:rPr>
            </w:pPr>
            <w:r>
              <w:rPr>
                <w:rFonts w:ascii="Times New Roman" w:cs="Times New Roman" w:eastAsia="Times New Roman" w:hAnsi="Times New Roman"/>
                <w:sz w:val="11"/>
                <w:szCs w:val="11"/>
                <w:color w:val="008000"/>
              </w:rPr>
              <w:t>(7)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285,508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0"/>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40" w:type="dxa"/>
            <w:vAlign w:val="bottom"/>
            <w:gridSpan w:val="16"/>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73"/>
              <w:spacing w:after="0" w:line="129" w:lineRule="exact"/>
              <w:rPr>
                <w:sz w:val="20"/>
                <w:szCs w:val="20"/>
                <w:color w:val="auto"/>
              </w:rPr>
            </w:pPr>
            <w:r>
              <w:rPr>
                <w:rFonts w:ascii="Arial" w:cs="Arial" w:eastAsia="Arial" w:hAnsi="Arial"/>
                <w:sz w:val="12"/>
                <w:szCs w:val="12"/>
                <w:b w:val="1"/>
                <w:bCs w:val="1"/>
                <w:color w:val="auto"/>
                <w:w w:val="98"/>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LT10</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(5)</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color w:val="008000"/>
                <w:w w:val="93"/>
              </w:rPr>
              <w:t>(8)</w:t>
            </w:r>
          </w:p>
        </w:tc>
        <w:tc>
          <w:tcPr>
            <w:tcW w:w="20" w:type="dxa"/>
            <w:vAlign w:val="bottom"/>
          </w:tcPr>
          <w:p>
            <w:pPr>
              <w:spacing w:after="0"/>
              <w:rPr>
                <w:sz w:val="15"/>
                <w:szCs w:val="15"/>
                <w:color w:val="auto"/>
              </w:rPr>
            </w:pPr>
          </w:p>
        </w:tc>
        <w:tc>
          <w:tcPr>
            <w:tcW w:w="600" w:type="dxa"/>
            <w:vAlign w:val="bottom"/>
          </w:tcPr>
          <w:p>
            <w:pPr>
              <w:jc w:val="center"/>
              <w:ind w:right="8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20,441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12/31/2025</w:t>
            </w: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580" w:type="dxa"/>
            <w:vAlign w:val="bottom"/>
          </w:tcPr>
          <w:p>
            <w:pPr>
              <w:jc w:val="center"/>
              <w:ind w:left="41"/>
              <w:spacing w:after="0" w:line="142" w:lineRule="exact"/>
              <w:rPr>
                <w:sz w:val="20"/>
                <w:szCs w:val="20"/>
                <w:color w:val="auto"/>
              </w:rPr>
            </w:pPr>
            <w:r>
              <w:rPr>
                <w:rFonts w:ascii="Times New Roman" w:cs="Times New Roman" w:eastAsia="Times New Roman" w:hAnsi="Times New Roman"/>
                <w:sz w:val="13"/>
                <w:szCs w:val="13"/>
                <w:color w:val="0000FF"/>
              </w:rPr>
              <w:t>20,441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0000FF"/>
              </w:rPr>
              <w:t>204,608</w:t>
            </w:r>
          </w:p>
        </w:tc>
        <w:tc>
          <w:tcPr>
            <w:tcW w:w="66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69"/>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LT10</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(6)</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color w:val="008000"/>
                <w:w w:val="93"/>
              </w:rPr>
              <w:t>(8)</w:t>
            </w:r>
          </w:p>
        </w:tc>
        <w:tc>
          <w:tcPr>
            <w:tcW w:w="20" w:type="dxa"/>
            <w:vAlign w:val="bottom"/>
          </w:tcPr>
          <w:p>
            <w:pPr>
              <w:spacing w:after="0"/>
              <w:rPr>
                <w:sz w:val="15"/>
                <w:szCs w:val="15"/>
                <w:color w:val="auto"/>
              </w:rPr>
            </w:pPr>
          </w:p>
        </w:tc>
        <w:tc>
          <w:tcPr>
            <w:tcW w:w="600" w:type="dxa"/>
            <w:vAlign w:val="bottom"/>
          </w:tcPr>
          <w:p>
            <w:pPr>
              <w:jc w:val="center"/>
              <w:ind w:right="8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7,839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01/04/2026</w:t>
            </w: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580" w:type="dxa"/>
            <w:vAlign w:val="bottom"/>
          </w:tcPr>
          <w:p>
            <w:pPr>
              <w:jc w:val="center"/>
              <w:ind w:left="41"/>
              <w:spacing w:after="0" w:line="142" w:lineRule="exact"/>
              <w:rPr>
                <w:sz w:val="20"/>
                <w:szCs w:val="20"/>
                <w:color w:val="auto"/>
              </w:rPr>
            </w:pPr>
            <w:r>
              <w:rPr>
                <w:rFonts w:ascii="Times New Roman" w:cs="Times New Roman" w:eastAsia="Times New Roman" w:hAnsi="Times New Roman"/>
                <w:sz w:val="13"/>
                <w:szCs w:val="13"/>
                <w:color w:val="0000FF"/>
                <w:w w:val="95"/>
              </w:rPr>
              <w:t>7,839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0000FF"/>
              </w:rPr>
              <w:t>212,447</w:t>
            </w:r>
          </w:p>
        </w:tc>
        <w:tc>
          <w:tcPr>
            <w:tcW w:w="66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69"/>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LT10</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(7)</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color w:val="008000"/>
                <w:w w:val="93"/>
              </w:rPr>
              <w:t>(8)</w:t>
            </w:r>
          </w:p>
        </w:tc>
        <w:tc>
          <w:tcPr>
            <w:tcW w:w="20" w:type="dxa"/>
            <w:vAlign w:val="bottom"/>
          </w:tcPr>
          <w:p>
            <w:pPr>
              <w:spacing w:after="0"/>
              <w:rPr>
                <w:sz w:val="15"/>
                <w:szCs w:val="15"/>
                <w:color w:val="auto"/>
              </w:rPr>
            </w:pPr>
          </w:p>
        </w:tc>
        <w:tc>
          <w:tcPr>
            <w:tcW w:w="600" w:type="dxa"/>
            <w:vAlign w:val="bottom"/>
          </w:tcPr>
          <w:p>
            <w:pPr>
              <w:jc w:val="center"/>
              <w:ind w:right="8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5,312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(7)</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01/05/2026</w:t>
            </w: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580" w:type="dxa"/>
            <w:vAlign w:val="bottom"/>
          </w:tcPr>
          <w:p>
            <w:pPr>
              <w:jc w:val="center"/>
              <w:ind w:left="41"/>
              <w:spacing w:after="0" w:line="142" w:lineRule="exact"/>
              <w:rPr>
                <w:sz w:val="20"/>
                <w:szCs w:val="20"/>
                <w:color w:val="auto"/>
              </w:rPr>
            </w:pPr>
            <w:r>
              <w:rPr>
                <w:rFonts w:ascii="Times New Roman" w:cs="Times New Roman" w:eastAsia="Times New Roman" w:hAnsi="Times New Roman"/>
                <w:sz w:val="13"/>
                <w:szCs w:val="13"/>
                <w:color w:val="0000FF"/>
                <w:w w:val="95"/>
              </w:rPr>
              <w:t>5,312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0000FF"/>
              </w:rPr>
              <w:t>217,759</w:t>
            </w:r>
          </w:p>
        </w:tc>
        <w:tc>
          <w:tcPr>
            <w:tcW w:w="66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69"/>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("RSU") for certain employees of the Issuer.</w:t>
      </w:r>
    </w:p>
    <w:p>
      <w:pPr>
        <w:spacing w:after="0" w:line="44"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$1.50 to $1.53,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RSUs, which vested immediately on the grant date, for certain employees of the Issuer.</w:t>
      </w:r>
    </w:p>
    <w:p>
      <w:pPr>
        <w:spacing w:after="0" w:line="16" w:lineRule="exact"/>
        <w:rPr>
          <w:rFonts w:ascii="Times New Roman" w:cs="Times New Roman" w:eastAsia="Times New Roman" w:hAnsi="Times New Roman"/>
          <w:sz w:val="13"/>
          <w:szCs w:val="13"/>
          <w:color w:val="008000"/>
        </w:rPr>
      </w:pPr>
    </w:p>
    <w:p>
      <w:pPr>
        <w:ind w:left="40" w:right="1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which vested immediately on the grant date, for certain employees of the Issuer. These shares were sold in multiple transactions at prices ranging from $1.49 to $1.52,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6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exchanged 20,441 shares of Class A Common Stock for 20,441 shares of LT10 Common Stock in an Exchange, as defined in and pursuant to the Issuer's Amended and Restated Certificate of Incorporation.</w:t>
      </w:r>
    </w:p>
    <w:p>
      <w:pPr>
        <w:spacing w:after="0" w:line="16"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exchanged 7,839 shares of Class A Common Stock for 7,839 shares of LT10 Common Stock in an Exchange, as defined in and pursuant to the Issuer's Amended and Restated Certificate of Incorporation.</w:t>
      </w:r>
    </w:p>
    <w:p>
      <w:pPr>
        <w:spacing w:after="0" w:line="16"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exchanged 5,312 shares of Class A Common Stock for 5,312 shares of LT10 Common Stock in an Exchange, as defined in and pursuant to the Issuer's Amended and Restated Certificate of Incorporation.</w:t>
      </w:r>
    </w:p>
    <w:p>
      <w:pPr>
        <w:spacing w:after="0" w:line="16"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LT10 Common Stock is convertible into the Issuer's Class A Common Stock on a one-to-one basis only upon, and generally cannot be transferred without, satisfaction of certain notice and other requirements, including a notice period of 10 months. The LT10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ectPr>
          <w:pgSz w:w="11900" w:h="1689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-1905</wp:posOffset>
            </wp:positionV>
            <wp:extent cx="128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278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8130"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580" w:space="180"/>
            <w:col w:w="1199"/>
          </w:cols>
          <w:pgMar w:left="500" w:top="165"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65" w:right="1440"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color w:val="auto"/>
        </w:rPr>
        <w:t>SECTION 16 AND FORM 144 POWER OF ATTORNEY</w:t>
      </w:r>
    </w:p>
    <w:p>
      <w:pPr>
        <w:spacing w:after="0" w:line="214" w:lineRule="exact"/>
        <w:rPr>
          <w:sz w:val="20"/>
          <w:szCs w:val="20"/>
          <w:color w:val="auto"/>
        </w:rPr>
      </w:pPr>
    </w:p>
    <w:p>
      <w:pPr>
        <w:jc w:val="both"/>
        <w:ind w:right="20" w:firstLine="620"/>
        <w:spacing w:after="0" w:line="251" w:lineRule="auto"/>
        <w:rPr>
          <w:sz w:val="20"/>
          <w:szCs w:val="20"/>
          <w:color w:val="auto"/>
        </w:rPr>
      </w:pPr>
      <w:r>
        <w:rPr>
          <w:rFonts w:ascii="Times New Roman" w:cs="Times New Roman" w:eastAsia="Times New Roman" w:hAnsi="Times New Roman"/>
          <w:sz w:val="19"/>
          <w:szCs w:val="19"/>
          <w:color w:val="auto"/>
        </w:rPr>
        <w:t>With respect to holdings of and transactions in securities issued by Expensify,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xml:space="preserve">”), the undersigned hereby constitutes and appoints the individuals named on </w:t>
      </w:r>
      <w:r>
        <w:rPr>
          <w:rFonts w:ascii="Times New Roman" w:cs="Times New Roman" w:eastAsia="Times New Roman" w:hAnsi="Times New Roman"/>
          <w:sz w:val="19"/>
          <w:szCs w:val="19"/>
          <w:b w:val="1"/>
          <w:bCs w:val="1"/>
          <w:u w:val="single" w:color="auto"/>
          <w:color w:val="auto"/>
        </w:rPr>
        <w:t>Schedule A</w:t>
      </w:r>
      <w:r>
        <w:rPr>
          <w:rFonts w:ascii="Times New Roman" w:cs="Times New Roman" w:eastAsia="Times New Roman" w:hAnsi="Times New Roman"/>
          <w:sz w:val="19"/>
          <w:szCs w:val="19"/>
          <w:color w:val="auto"/>
        </w:rPr>
        <w:t xml:space="preserve"> attached hereto and as may be amended from time to time, or any of them signing singly, with full power of substitution and resubstitution, to act as the undersigned’s true and lawful attorney-in-fact to:</w:t>
      </w:r>
    </w:p>
    <w:p>
      <w:pPr>
        <w:spacing w:after="0" w:line="198" w:lineRule="exact"/>
        <w:rPr>
          <w:sz w:val="20"/>
          <w:szCs w:val="20"/>
          <w:color w:val="auto"/>
        </w:rPr>
      </w:pPr>
    </w:p>
    <w:p>
      <w:pPr>
        <w:jc w:val="both"/>
        <w:ind w:left="620" w:right="20" w:hanging="307"/>
        <w:spacing w:after="0" w:line="241" w:lineRule="auto"/>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9"/>
          <w:szCs w:val="19"/>
          <w:b w:val="1"/>
          <w:bCs w:val="1"/>
          <w:i w:val="1"/>
          <w:iCs w:val="1"/>
          <w:color w:val="auto"/>
        </w:rPr>
        <w:t>“Form 144”</w:t>
      </w:r>
      <w:r>
        <w:rPr>
          <w:rFonts w:ascii="Times New Roman" w:cs="Times New Roman" w:eastAsia="Times New Roman" w:hAnsi="Times New Roman"/>
          <w:sz w:val="19"/>
          <w:szCs w:val="19"/>
          <w:color w:val="auto"/>
        </w:rPr>
        <w:t>), in accordance with the requirements of Rule 144 under the Securities Act of 1933, as amended (the “</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and</w:t>
      </w:r>
    </w:p>
    <w:p>
      <w:pPr>
        <w:spacing w:after="0" w:line="193" w:lineRule="exact"/>
        <w:rPr>
          <w:rFonts w:ascii="Times New Roman" w:cs="Times New Roman" w:eastAsia="Times New Roman" w:hAnsi="Times New Roman"/>
          <w:sz w:val="19"/>
          <w:szCs w:val="19"/>
          <w:color w:val="auto"/>
        </w:rPr>
      </w:pPr>
    </w:p>
    <w:p>
      <w:pPr>
        <w:jc w:val="both"/>
        <w:ind w:left="620" w:hanging="307"/>
        <w:spacing w:after="0" w:line="245" w:lineRule="auto"/>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94"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19"/>
          <w:szCs w:val="19"/>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88"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30th day of December, 2025.</w:t>
      </w:r>
    </w:p>
    <w:p>
      <w:pPr>
        <w:spacing w:after="0" w:line="200" w:lineRule="exact"/>
        <w:rPr>
          <w:sz w:val="20"/>
          <w:szCs w:val="20"/>
          <w:color w:val="auto"/>
        </w:rPr>
      </w:pPr>
    </w:p>
    <w:p>
      <w:pPr>
        <w:spacing w:after="0" w:line="292"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9"/>
          <w:szCs w:val="19"/>
          <w:color w:val="auto"/>
        </w:rPr>
        <w:t>/s/ Carlos Eduardo Alvarez Divo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22225</wp:posOffset>
            </wp:positionV>
            <wp:extent cx="2762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762885" cy="8255"/>
                    </a:xfrm>
                    <a:prstGeom prst="rect">
                      <a:avLst/>
                    </a:prstGeom>
                    <a:noFill/>
                  </pic:spPr>
                </pic:pic>
              </a:graphicData>
            </a:graphic>
          </wp:anchor>
        </w:drawing>
      </w:r>
    </w:p>
    <w:p>
      <w:pPr>
        <w:spacing w:after="0" w:line="2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9"/>
          <w:szCs w:val="19"/>
          <w:color w:val="auto"/>
        </w:rPr>
        <w:t>Carlos Eduardo Alvarez Divo</w:t>
      </w:r>
    </w:p>
    <w:p>
      <w:pPr>
        <w:sectPr>
          <w:pgSz w:w="11900" w:h="16838" w:orient="portrait"/>
          <w:cols w:equalWidth="0" w:num="1">
            <w:col w:w="10980"/>
          </w:cols>
          <w:pgMar w:left="460" w:top="1358" w:right="459" w:bottom="1440" w:gutter="0" w:footer="0" w:header="0"/>
        </w:sectPr>
      </w:pPr>
    </w:p>
    <w:bookmarkStart w:id="3" w:name="page4"/>
    <w:bookmarkEnd w:id="3"/>
    <w:p>
      <w:pPr>
        <w:jc w:val="center"/>
        <w:ind w:right="-977"/>
        <w:spacing w:after="0"/>
        <w:rPr>
          <w:sz w:val="20"/>
          <w:szCs w:val="20"/>
          <w:color w:val="auto"/>
        </w:rPr>
      </w:pPr>
      <w:r>
        <w:rPr>
          <w:rFonts w:ascii="Times New Roman" w:cs="Times New Roman" w:eastAsia="Times New Roman" w:hAnsi="Times New Roman"/>
          <w:sz w:val="19"/>
          <w:szCs w:val="19"/>
          <w:u w:val="single" w:color="auto"/>
          <w:color w:val="auto"/>
        </w:rPr>
        <w:t>Schedule A</w:t>
      </w:r>
    </w:p>
    <w:p>
      <w:pPr>
        <w:spacing w:after="0" w:line="216" w:lineRule="exact"/>
        <w:rPr>
          <w:sz w:val="20"/>
          <w:szCs w:val="20"/>
          <w:color w:val="auto"/>
        </w:rPr>
      </w:pPr>
    </w:p>
    <w:p>
      <w:pPr>
        <w:jc w:val="center"/>
        <w:ind w:right="-977"/>
        <w:spacing w:after="0"/>
        <w:rPr>
          <w:sz w:val="20"/>
          <w:szCs w:val="20"/>
          <w:color w:val="auto"/>
        </w:rPr>
      </w:pPr>
      <w:r>
        <w:rPr>
          <w:rFonts w:ascii="Times New Roman" w:cs="Times New Roman" w:eastAsia="Times New Roman" w:hAnsi="Times New Roman"/>
          <w:sz w:val="19"/>
          <w:szCs w:val="19"/>
          <w:b w:val="1"/>
          <w:bCs w:val="1"/>
          <w:color w:val="auto"/>
        </w:rPr>
        <w:t>INDIVIDUALS APPOINTED AS ATTORNEY-IN-FACT,</w:t>
      </w:r>
    </w:p>
    <w:p>
      <w:pPr>
        <w:spacing w:after="0" w:line="25" w:lineRule="exact"/>
        <w:rPr>
          <w:sz w:val="20"/>
          <w:szCs w:val="20"/>
          <w:color w:val="auto"/>
        </w:rPr>
      </w:pPr>
    </w:p>
    <w:p>
      <w:pPr>
        <w:jc w:val="center"/>
        <w:ind w:right="-977"/>
        <w:spacing w:after="0"/>
        <w:rPr>
          <w:sz w:val="20"/>
          <w:szCs w:val="20"/>
          <w:color w:val="auto"/>
        </w:rPr>
      </w:pPr>
      <w:r>
        <w:rPr>
          <w:rFonts w:ascii="Times New Roman" w:cs="Times New Roman" w:eastAsia="Times New Roman" w:hAnsi="Times New Roman"/>
          <w:sz w:val="18"/>
          <w:szCs w:val="18"/>
          <w:b w:val="1"/>
          <w:bCs w:val="1"/>
          <w:color w:val="auto"/>
        </w:rPr>
        <w:t>WITH FULL POWER OF SUBSTITUTION AND RESUBSTITUTION</w:t>
      </w:r>
    </w:p>
    <w:p>
      <w:pPr>
        <w:spacing w:after="0" w:line="212" w:lineRule="exact"/>
        <w:rPr>
          <w:sz w:val="20"/>
          <w:szCs w:val="20"/>
          <w:color w:val="auto"/>
        </w:rPr>
      </w:pPr>
    </w:p>
    <w:p>
      <w:pPr>
        <w:ind w:left="197" w:hanging="197"/>
        <w:spacing w:after="0"/>
        <w:tabs>
          <w:tab w:leader="none" w:pos="197"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David Michael Barrett, Chief Executive Officer of the Company</w:t>
      </w:r>
    </w:p>
    <w:p>
      <w:pPr>
        <w:spacing w:after="0" w:line="20" w:lineRule="exact"/>
        <w:rPr>
          <w:rFonts w:ascii="Times New Roman" w:cs="Times New Roman" w:eastAsia="Times New Roman" w:hAnsi="Times New Roman"/>
          <w:sz w:val="19"/>
          <w:szCs w:val="19"/>
          <w:color w:val="auto"/>
        </w:rPr>
      </w:pPr>
    </w:p>
    <w:p>
      <w:pPr>
        <w:ind w:left="197" w:hanging="197"/>
        <w:spacing w:after="0" w:line="226" w:lineRule="auto"/>
        <w:tabs>
          <w:tab w:leader="none" w:pos="197"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Ryan Schaffer, Chief Financial Officer of the Company</w:t>
      </w:r>
    </w:p>
    <w:p>
      <w:pPr>
        <w:ind w:left="197" w:hanging="197"/>
        <w:spacing w:after="0"/>
        <w:tabs>
          <w:tab w:leader="none" w:pos="197"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Cole Eason, Secretary of the Company</w:t>
      </w:r>
    </w:p>
    <w:sectPr>
      <w:pgSz w:w="11900" w:h="16838" w:orient="portrait"/>
      <w:cols w:equalWidth="0" w:num="1">
        <w:col w:w="9996"/>
      </w:cols>
      <w:pgMar w:left="463" w:top="135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104456"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2026-01-12T17:21:52Z</dcterms:created>
  <dcterms:modified xsi:type="dcterms:W3CDTF">2026-01-12T17:21:52Z</dcterms:modified>
</cp:coreProperties>
</file>