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5048882.xml.htm"/>
      <w:bookmarkStart w:id="1" w:name="kswkform4_17250488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Schaffer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937"/>
        <w:gridCol w:w="461"/>
        <w:gridCol w:w="634"/>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12,745</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156,615</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4,084</w:t>
            </w:r>
            <w:r>
              <w:rPr>
                <w:rFonts w:ascii="Times;serif" w:hAnsi="Times;serif"/>
                <w:color w:val="008000"/>
                <w:position w:val="7"/>
                <w:sz w:val="16"/>
                <w:sz w:val="20"/>
                <w:shd w:fill="FFFFFF" w:val="clear"/>
              </w:rPr>
              <w:t>(3)</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w:t>
            </w:r>
            <w:r>
              <w:rPr>
                <w:rFonts w:ascii="Times;serif" w:hAnsi="Times;serif"/>
                <w:color w:val="008000"/>
                <w:position w:val="7"/>
                <w:sz w:val="16"/>
                <w:sz w:val="20"/>
                <w:shd w:fill="FFFFFF" w:val="clear"/>
              </w:rPr>
              <w:t>(4)</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152,531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awarded under the Expensify, Inc. 2021 Stock Purchase and Matching Plan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were sold solely to cover taxes for shares awarded under the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Reporting Person's pro rata portion of the total shares sold on the transaction date to cover taxes for shares awarded under the SPMP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$2.18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061"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734</Words>
  <Characters>3901</Characters>
  <CharactersWithSpaces>4566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