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August 8, 2024</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Expensify, Inc.</w:t>
      </w:r>
    </w:p>
    <w:p>
      <w:pPr>
        <w:spacing w:after="0" w:line="58" w:lineRule="exact"/>
        <w:rPr>
          <w:sz w:val="24"/>
          <w:szCs w:val="24"/>
          <w:color w:val="auto"/>
        </w:rPr>
      </w:pPr>
    </w:p>
    <w:tbl>
      <w:tblPr>
        <w:tblLayout w:type="fixed"/>
        <w:tblInd w:w="1140" w:type="dxa"/>
        <w:tblCellMar>
          <w:top w:w="0" w:type="dxa"/>
          <w:left w:w="0" w:type="dxa"/>
          <w:bottom w:w="0" w:type="dxa"/>
          <w:right w:w="0" w:type="dxa"/>
        </w:tblCellMar>
      </w:tblPr>
      <w:tr>
        <w:trPr>
          <w:trHeight w:val="208"/>
        </w:trPr>
        <w:tc>
          <w:tcPr>
            <w:tcW w:w="2080" w:type="dxa"/>
            <w:vAlign w:val="bottom"/>
          </w:tcPr>
          <w:p>
            <w:pPr>
              <w:spacing w:after="0"/>
              <w:rPr>
                <w:sz w:val="18"/>
                <w:szCs w:val="18"/>
                <w:color w:val="auto"/>
              </w:rPr>
            </w:pPr>
          </w:p>
        </w:tc>
        <w:tc>
          <w:tcPr>
            <w:tcW w:w="492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8"/>
              </w:rPr>
              <w:t>(Exact Name of Registrant as Specified in its Charter)</w:t>
            </w:r>
          </w:p>
        </w:tc>
        <w:tc>
          <w:tcPr>
            <w:tcW w:w="1700" w:type="dxa"/>
            <w:vAlign w:val="bottom"/>
          </w:tcPr>
          <w:p>
            <w:pPr>
              <w:spacing w:after="0"/>
              <w:rPr>
                <w:sz w:val="18"/>
                <w:szCs w:val="18"/>
                <w:color w:val="auto"/>
              </w:rPr>
            </w:pPr>
          </w:p>
        </w:tc>
      </w:tr>
      <w:tr>
        <w:trPr>
          <w:trHeight w:val="217"/>
        </w:trPr>
        <w:tc>
          <w:tcPr>
            <w:tcW w:w="2080" w:type="dxa"/>
            <w:vAlign w:val="bottom"/>
          </w:tcPr>
          <w:p>
            <w:pPr>
              <w:jc w:val="center"/>
              <w:ind w:right="53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92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8"/>
              </w:rPr>
              <w:t>001-41043</w:t>
            </w:r>
          </w:p>
        </w:tc>
        <w:tc>
          <w:tcPr>
            <w:tcW w:w="1700" w:type="dxa"/>
            <w:vAlign w:val="bottom"/>
          </w:tcPr>
          <w:p>
            <w:pPr>
              <w:jc w:val="center"/>
              <w:ind w:left="672"/>
              <w:spacing w:after="0"/>
              <w:rPr>
                <w:sz w:val="20"/>
                <w:szCs w:val="20"/>
                <w:color w:val="auto"/>
              </w:rPr>
            </w:pPr>
            <w:r>
              <w:rPr>
                <w:rFonts w:ascii="Times New Roman" w:cs="Times New Roman" w:eastAsia="Times New Roman" w:hAnsi="Times New Roman"/>
                <w:sz w:val="16"/>
                <w:szCs w:val="16"/>
                <w:b w:val="1"/>
                <w:bCs w:val="1"/>
                <w:color w:val="auto"/>
                <w:w w:val="98"/>
              </w:rPr>
              <w:t>27-0239450</w:t>
            </w:r>
          </w:p>
        </w:tc>
      </w:tr>
      <w:tr>
        <w:trPr>
          <w:trHeight w:val="155"/>
        </w:trPr>
        <w:tc>
          <w:tcPr>
            <w:tcW w:w="2080" w:type="dxa"/>
            <w:vAlign w:val="bottom"/>
          </w:tcPr>
          <w:p>
            <w:pPr>
              <w:jc w:val="center"/>
              <w:ind w:right="532"/>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492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5"/>
              </w:rPr>
              <w:t>(Commission</w:t>
            </w:r>
          </w:p>
        </w:tc>
        <w:tc>
          <w:tcPr>
            <w:tcW w:w="1700" w:type="dxa"/>
            <w:vAlign w:val="bottom"/>
          </w:tcPr>
          <w:p>
            <w:pPr>
              <w:jc w:val="center"/>
              <w:ind w:left="652"/>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080" w:type="dxa"/>
            <w:vAlign w:val="bottom"/>
          </w:tcPr>
          <w:p>
            <w:pPr>
              <w:jc w:val="center"/>
              <w:ind w:right="532"/>
              <w:spacing w:after="0"/>
              <w:rPr>
                <w:sz w:val="20"/>
                <w:szCs w:val="20"/>
                <w:color w:val="auto"/>
              </w:rPr>
            </w:pPr>
            <w:r>
              <w:rPr>
                <w:rFonts w:ascii="Times New Roman" w:cs="Times New Roman" w:eastAsia="Times New Roman" w:hAnsi="Times New Roman"/>
                <w:sz w:val="13"/>
                <w:szCs w:val="13"/>
                <w:b w:val="1"/>
                <w:bCs w:val="1"/>
                <w:color w:val="auto"/>
                <w:w w:val="95"/>
              </w:rPr>
              <w:t>of Incorporation)</w:t>
            </w:r>
          </w:p>
        </w:tc>
        <w:tc>
          <w:tcPr>
            <w:tcW w:w="49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1700" w:type="dxa"/>
            <w:vAlign w:val="bottom"/>
          </w:tcPr>
          <w:p>
            <w:pPr>
              <w:jc w:val="center"/>
              <w:ind w:left="652"/>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81"/>
        </w:trPr>
        <w:tc>
          <w:tcPr>
            <w:tcW w:w="2080" w:type="dxa"/>
            <w:vAlign w:val="bottom"/>
          </w:tcPr>
          <w:p>
            <w:pPr>
              <w:spacing w:after="0"/>
              <w:rPr>
                <w:sz w:val="24"/>
                <w:szCs w:val="24"/>
                <w:color w:val="auto"/>
              </w:rPr>
            </w:pPr>
          </w:p>
        </w:tc>
        <w:tc>
          <w:tcPr>
            <w:tcW w:w="492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4"/>
              </w:rPr>
              <w:t>401 SW 5</w:t>
            </w:r>
            <w:r>
              <w:rPr>
                <w:rFonts w:ascii="Times New Roman" w:cs="Times New Roman" w:eastAsia="Times New Roman" w:hAnsi="Times New Roman"/>
                <w:sz w:val="20"/>
                <w:szCs w:val="20"/>
                <w:b w:val="1"/>
                <w:bCs w:val="1"/>
                <w:color w:val="auto"/>
                <w:w w:val="94"/>
                <w:vertAlign w:val="superscript"/>
              </w:rPr>
              <w:t>th</w:t>
            </w:r>
            <w:r>
              <w:rPr>
                <w:rFonts w:ascii="Times New Roman" w:cs="Times New Roman" w:eastAsia="Times New Roman" w:hAnsi="Times New Roman"/>
                <w:sz w:val="16"/>
                <w:szCs w:val="16"/>
                <w:b w:val="1"/>
                <w:bCs w:val="1"/>
                <w:color w:val="auto"/>
                <w:w w:val="94"/>
              </w:rPr>
              <w:t xml:space="preserve"> Ave</w:t>
            </w:r>
          </w:p>
        </w:tc>
        <w:tc>
          <w:tcPr>
            <w:tcW w:w="1700" w:type="dxa"/>
            <w:vAlign w:val="bottom"/>
          </w:tcPr>
          <w:p>
            <w:pPr>
              <w:spacing w:after="0"/>
              <w:rPr>
                <w:sz w:val="24"/>
                <w:szCs w:val="24"/>
                <w:color w:val="auto"/>
              </w:rPr>
            </w:pPr>
          </w:p>
        </w:tc>
      </w:tr>
      <w:tr>
        <w:trPr>
          <w:trHeight w:val="186"/>
        </w:trPr>
        <w:tc>
          <w:tcPr>
            <w:tcW w:w="2080" w:type="dxa"/>
            <w:vAlign w:val="bottom"/>
          </w:tcPr>
          <w:p>
            <w:pPr>
              <w:spacing w:after="0"/>
              <w:rPr>
                <w:sz w:val="16"/>
                <w:szCs w:val="16"/>
                <w:color w:val="auto"/>
              </w:rPr>
            </w:pPr>
          </w:p>
        </w:tc>
        <w:tc>
          <w:tcPr>
            <w:tcW w:w="492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8"/>
              </w:rPr>
              <w:t>Portland, Oregon 97204</w:t>
            </w:r>
          </w:p>
        </w:tc>
        <w:tc>
          <w:tcPr>
            <w:tcW w:w="1700" w:type="dxa"/>
            <w:vAlign w:val="bottom"/>
          </w:tcPr>
          <w:p>
            <w:pPr>
              <w:spacing w:after="0"/>
              <w:rPr>
                <w:sz w:val="16"/>
                <w:szCs w:val="16"/>
                <w:color w:val="auto"/>
              </w:rPr>
            </w:pPr>
          </w:p>
        </w:tc>
      </w:tr>
      <w:tr>
        <w:trPr>
          <w:trHeight w:val="166"/>
        </w:trPr>
        <w:tc>
          <w:tcPr>
            <w:tcW w:w="2080" w:type="dxa"/>
            <w:vAlign w:val="bottom"/>
          </w:tcPr>
          <w:p>
            <w:pPr>
              <w:spacing w:after="0"/>
              <w:rPr>
                <w:sz w:val="14"/>
                <w:szCs w:val="14"/>
                <w:color w:val="auto"/>
              </w:rPr>
            </w:pPr>
          </w:p>
        </w:tc>
        <w:tc>
          <w:tcPr>
            <w:tcW w:w="49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1700" w:type="dxa"/>
            <w:vAlign w:val="bottom"/>
          </w:tcPr>
          <w:p>
            <w:pPr>
              <w:spacing w:after="0"/>
              <w:rPr>
                <w:sz w:val="14"/>
                <w:szCs w:val="14"/>
                <w:color w:val="auto"/>
              </w:rPr>
            </w:pPr>
          </w:p>
        </w:tc>
      </w:tr>
      <w:tr>
        <w:trPr>
          <w:trHeight w:val="271"/>
        </w:trPr>
        <w:tc>
          <w:tcPr>
            <w:tcW w:w="2080" w:type="dxa"/>
            <w:vAlign w:val="bottom"/>
          </w:tcPr>
          <w:p>
            <w:pPr>
              <w:spacing w:after="0"/>
              <w:rPr>
                <w:sz w:val="23"/>
                <w:szCs w:val="23"/>
                <w:color w:val="auto"/>
              </w:rPr>
            </w:pPr>
          </w:p>
        </w:tc>
        <w:tc>
          <w:tcPr>
            <w:tcW w:w="492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7"/>
              </w:rPr>
              <w:t>(971) 365-3939</w:t>
            </w:r>
          </w:p>
        </w:tc>
        <w:tc>
          <w:tcPr>
            <w:tcW w:w="1700" w:type="dxa"/>
            <w:vAlign w:val="bottom"/>
          </w:tcPr>
          <w:p>
            <w:pPr>
              <w:spacing w:after="0"/>
              <w:rPr>
                <w:sz w:val="23"/>
                <w:szCs w:val="23"/>
                <w:color w:val="auto"/>
              </w:rPr>
            </w:pPr>
          </w:p>
        </w:tc>
      </w:tr>
      <w:tr>
        <w:trPr>
          <w:trHeight w:val="166"/>
        </w:trPr>
        <w:tc>
          <w:tcPr>
            <w:tcW w:w="2080" w:type="dxa"/>
            <w:vAlign w:val="bottom"/>
          </w:tcPr>
          <w:p>
            <w:pPr>
              <w:spacing w:after="0"/>
              <w:rPr>
                <w:sz w:val="14"/>
                <w:szCs w:val="14"/>
                <w:color w:val="auto"/>
              </w:rPr>
            </w:pPr>
          </w:p>
        </w:tc>
        <w:tc>
          <w:tcPr>
            <w:tcW w:w="49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1700" w:type="dxa"/>
            <w:vAlign w:val="bottom"/>
          </w:tcPr>
          <w:p>
            <w:pPr>
              <w:spacing w:after="0"/>
              <w:rPr>
                <w:sz w:val="14"/>
                <w:szCs w:val="14"/>
                <w:color w:val="auto"/>
              </w:rPr>
            </w:pPr>
          </w:p>
        </w:tc>
      </w:tr>
      <w:tr>
        <w:trPr>
          <w:trHeight w:val="271"/>
        </w:trPr>
        <w:tc>
          <w:tcPr>
            <w:tcW w:w="2080" w:type="dxa"/>
            <w:vAlign w:val="bottom"/>
          </w:tcPr>
          <w:p>
            <w:pPr>
              <w:spacing w:after="0"/>
              <w:rPr>
                <w:sz w:val="23"/>
                <w:szCs w:val="23"/>
                <w:color w:val="auto"/>
              </w:rPr>
            </w:pPr>
          </w:p>
        </w:tc>
        <w:tc>
          <w:tcPr>
            <w:tcW w:w="492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8"/>
              </w:rPr>
              <w:t>Not applicable</w:t>
            </w:r>
          </w:p>
        </w:tc>
        <w:tc>
          <w:tcPr>
            <w:tcW w:w="1700" w:type="dxa"/>
            <w:vAlign w:val="bottom"/>
          </w:tcPr>
          <w:p>
            <w:pPr>
              <w:spacing w:after="0"/>
              <w:rPr>
                <w:sz w:val="23"/>
                <w:szCs w:val="23"/>
                <w:color w:val="auto"/>
              </w:rPr>
            </w:pPr>
          </w:p>
        </w:tc>
      </w:tr>
      <w:tr>
        <w:trPr>
          <w:trHeight w:val="166"/>
        </w:trPr>
        <w:tc>
          <w:tcPr>
            <w:tcW w:w="2080" w:type="dxa"/>
            <w:vAlign w:val="bottom"/>
          </w:tcPr>
          <w:p>
            <w:pPr>
              <w:spacing w:after="0"/>
              <w:rPr>
                <w:sz w:val="14"/>
                <w:szCs w:val="14"/>
                <w:color w:val="auto"/>
              </w:rPr>
            </w:pPr>
          </w:p>
        </w:tc>
        <w:tc>
          <w:tcPr>
            <w:tcW w:w="49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1700" w:type="dxa"/>
            <w:vAlign w:val="bottom"/>
          </w:tcPr>
          <w:p>
            <w:pPr>
              <w:spacing w:after="0"/>
              <w:rPr>
                <w:sz w:val="14"/>
                <w:szCs w:val="14"/>
                <w:color w:val="auto"/>
              </w:rPr>
            </w:pPr>
          </w:p>
        </w:tc>
      </w:tr>
    </w:tbl>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3" w:lineRule="exact"/>
        <w:rPr>
          <w:sz w:val="24"/>
          <w:szCs w:val="24"/>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Trading</w:t>
            </w:r>
          </w:p>
        </w:tc>
        <w:tc>
          <w:tcPr>
            <w:tcW w:w="3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7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1"/>
        </w:trPr>
        <w:tc>
          <w:tcPr>
            <w:tcW w:w="3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r>
      <w:tr>
        <w:trPr>
          <w:trHeight w:val="205"/>
        </w:trPr>
        <w:tc>
          <w:tcPr>
            <w:tcW w:w="3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Class A Common Stock, par value $0.0001 per share</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EXFY</w:t>
            </w: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The Nasdaq Stock Market LLC</w:t>
            </w:r>
          </w:p>
        </w:tc>
      </w:tr>
    </w:tbl>
    <w:p>
      <w:pPr>
        <w:spacing w:after="0" w:line="77" w:lineRule="exact"/>
        <w:rPr>
          <w:sz w:val="24"/>
          <w:szCs w:val="24"/>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4" w:lineRule="exact"/>
        <w:rPr>
          <w:sz w:val="24"/>
          <w:szCs w:val="24"/>
          <w:color w:val="auto"/>
        </w:rPr>
      </w:pPr>
    </w:p>
    <w:p>
      <w:pPr>
        <w:ind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813435</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39" w:right="319" w:bottom="1440" w:gutter="0" w:footer="0" w:header="0"/>
        </w:sectPr>
      </w:pPr>
    </w:p>
    <w:bookmarkStart w:id="1" w:name="page2"/>
    <w:bookmarkEnd w:id="1"/>
    <w:p>
      <w:pPr>
        <w:spacing w:after="0" w:line="10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26" w:lineRule="exact"/>
        <w:rPr>
          <w:sz w:val="20"/>
          <w:szCs w:val="20"/>
          <w:color w:val="auto"/>
        </w:rPr>
      </w:pPr>
    </w:p>
    <w:p>
      <w:pPr>
        <w:ind w:left="5" w:right="180"/>
        <w:spacing w:after="0" w:line="260" w:lineRule="auto"/>
        <w:rPr>
          <w:sz w:val="20"/>
          <w:szCs w:val="20"/>
          <w:color w:val="auto"/>
        </w:rPr>
      </w:pPr>
      <w:r>
        <w:rPr>
          <w:rFonts w:ascii="Times New Roman" w:cs="Times New Roman" w:eastAsia="Times New Roman" w:hAnsi="Times New Roman"/>
          <w:sz w:val="16"/>
          <w:szCs w:val="16"/>
          <w:color w:val="auto"/>
        </w:rPr>
        <w:t>On August 8, 2024, Expensify, Inc. (“Expensify” or the “Company”) issued a press release announcing its financial results for the quarter ended June 30, 2024. A copy of this press release is furnished as Exhibit 99.1 to this current report on Form 8-K and is incorporated herein by reference.</w:t>
      </w:r>
    </w:p>
    <w:p>
      <w:pPr>
        <w:spacing w:after="0" w:line="17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26" w:lineRule="exact"/>
        <w:rPr>
          <w:sz w:val="20"/>
          <w:szCs w:val="20"/>
          <w:color w:val="auto"/>
        </w:rPr>
      </w:pPr>
    </w:p>
    <w:p>
      <w:pPr>
        <w:ind w:left="5" w:right="100"/>
        <w:spacing w:after="0" w:line="244" w:lineRule="auto"/>
        <w:rPr>
          <w:sz w:val="20"/>
          <w:szCs w:val="20"/>
          <w:color w:val="auto"/>
        </w:rPr>
      </w:pPr>
      <w:r>
        <w:rPr>
          <w:rFonts w:ascii="Times New Roman" w:cs="Times New Roman" w:eastAsia="Times New Roman" w:hAnsi="Times New Roman"/>
          <w:sz w:val="16"/>
          <w:szCs w:val="16"/>
          <w:color w:val="auto"/>
        </w:rPr>
        <w:t>On August 8, 2024, the Company posted an investor presentation to its website at https://ir.expensify.com (the “Investor Presentation”). A copy of the Investor Presentation is furnished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ind w:left="5" w:right="80"/>
        <w:spacing w:after="0" w:line="238" w:lineRule="auto"/>
        <w:rPr>
          <w:sz w:val="20"/>
          <w:szCs w:val="20"/>
          <w:color w:val="auto"/>
        </w:rPr>
      </w:pPr>
      <w:r>
        <w:rPr>
          <w:rFonts w:ascii="Times New Roman" w:cs="Times New Roman" w:eastAsia="Times New Roman" w:hAnsi="Times New Roman"/>
          <w:sz w:val="16"/>
          <w:szCs w:val="16"/>
          <w:color w:val="auto"/>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spacing w:after="0" w:line="184" w:lineRule="exact"/>
        <w:rPr>
          <w:sz w:val="20"/>
          <w:szCs w:val="20"/>
          <w:color w:val="auto"/>
        </w:rPr>
      </w:pPr>
    </w:p>
    <w:p>
      <w:pPr>
        <w:jc w:val="both"/>
        <w:ind w:left="5"/>
        <w:spacing w:after="0" w:line="278" w:lineRule="auto"/>
        <w:rPr>
          <w:sz w:val="20"/>
          <w:szCs w:val="20"/>
          <w:color w:val="auto"/>
        </w:rPr>
      </w:pPr>
      <w:r>
        <w:rPr>
          <w:rFonts w:ascii="Times New Roman" w:cs="Times New Roman" w:eastAsia="Times New Roman" w:hAnsi="Times New Roman"/>
          <w:sz w:val="15"/>
          <w:szCs w:val="15"/>
          <w:color w:val="auto"/>
        </w:rPr>
        <w:t>The information contained in Item 2.02 and this Item 7.01, including Exhibits 99.1 and 99.2, is being furnished and shall not be deemed “filed” for purposes of Section 18 of the Securities and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pacing w:after="0" w:line="22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26" w:lineRule="exact"/>
        <w:rPr>
          <w:sz w:val="20"/>
          <w:szCs w:val="20"/>
          <w:color w:val="auto"/>
        </w:rPr>
      </w:pPr>
    </w:p>
    <w:p>
      <w:pPr>
        <w:ind w:left="225" w:hanging="225"/>
        <w:spacing w:after="0"/>
        <w:tabs>
          <w:tab w:leader="none" w:pos="22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Exhibits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05"/>
        <w:spacing w:after="0"/>
        <w:tabs>
          <w:tab w:leader="none" w:pos="925" w:val="left"/>
        </w:tabs>
        <w:rPr>
          <w:sz w:val="20"/>
          <w:szCs w:val="20"/>
          <w:color w:val="auto"/>
        </w:rPr>
      </w:pPr>
      <w:r>
        <w:rPr>
          <w:rFonts w:ascii="Times New Roman" w:cs="Times New Roman" w:eastAsia="Times New Roman" w:hAnsi="Times New Roman"/>
          <w:sz w:val="13"/>
          <w:szCs w:val="13"/>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92" w:lineRule="exact"/>
        <w:rPr>
          <w:sz w:val="20"/>
          <w:szCs w:val="20"/>
          <w:color w:val="auto"/>
        </w:rPr>
      </w:pPr>
    </w:p>
    <w:p>
      <w:pPr>
        <w:ind w:left="285"/>
        <w:spacing w:after="0"/>
        <w:tabs>
          <w:tab w:leader="none" w:pos="925"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FF"/>
        </w:rPr>
        <w:t>Press Release issued by Expensify, Inc., dated August 8, 2024.</w:t>
      </w:r>
    </w:p>
    <w:p>
      <w:pPr>
        <w:spacing w:after="0" w:line="88" w:lineRule="exact"/>
        <w:rPr>
          <w:sz w:val="20"/>
          <w:szCs w:val="20"/>
          <w:color w:val="auto"/>
        </w:rPr>
      </w:pPr>
    </w:p>
    <w:p>
      <w:pPr>
        <w:ind w:left="285"/>
        <w:spacing w:after="0"/>
        <w:tabs>
          <w:tab w:leader="none" w:pos="925"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u w:val="single" w:color="auto"/>
          <w:color w:val="0000FF"/>
        </w:rPr>
        <w:t>Investor Presentation, dated August 8, 2024.</w:t>
      </w:r>
    </w:p>
    <w:p>
      <w:pPr>
        <w:spacing w:after="0" w:line="88" w:lineRule="exact"/>
        <w:rPr>
          <w:sz w:val="20"/>
          <w:szCs w:val="20"/>
          <w:color w:val="auto"/>
        </w:rPr>
      </w:pPr>
    </w:p>
    <w:p>
      <w:pPr>
        <w:ind w:left="305"/>
        <w:spacing w:after="0"/>
        <w:tabs>
          <w:tab w:leader="none" w:pos="925"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842010</wp:posOffset>
            </wp:positionV>
            <wp:extent cx="71748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65"/>
          </w:cols>
          <w:pgMar w:left="315" w:top="1440" w:right="419" w:bottom="1440" w:gutter="0" w:footer="0" w:header="0"/>
        </w:sectPr>
      </w:pPr>
    </w:p>
    <w:bookmarkStart w:id="2" w:name="page3"/>
    <w:bookmarkEnd w:id="2"/>
    <w:p>
      <w:pPr>
        <w:ind w:left="5160"/>
        <w:spacing w:after="0"/>
        <w:rPr>
          <w:sz w:val="20"/>
          <w:szCs w:val="20"/>
          <w:color w:val="auto"/>
        </w:rPr>
      </w:pPr>
      <w:r>
        <w:rPr>
          <w:rFonts w:ascii="Times New Roman" w:cs="Times New Roman" w:eastAsia="Times New Roman" w:hAnsi="Times New Roman"/>
          <w:sz w:val="16"/>
          <w:szCs w:val="16"/>
          <w:b w:val="1"/>
          <w:bCs w:val="1"/>
          <w:u w:val="single" w:color="auto"/>
          <w:color w:val="auto"/>
        </w:rPr>
        <w:t>SIGNATURE</w:t>
      </w:r>
    </w:p>
    <w:p>
      <w:pPr>
        <w:spacing w:after="0" w:line="18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6"/>
          <w:szCs w:val="16"/>
          <w:color w:val="auto"/>
        </w:rPr>
        <w:t>Expensify, Inc.</w:t>
      </w:r>
    </w:p>
    <w:p>
      <w:pPr>
        <w:spacing w:after="0" w:line="230" w:lineRule="exact"/>
        <w:rPr>
          <w:sz w:val="20"/>
          <w:szCs w:val="20"/>
          <w:color w:val="auto"/>
        </w:rPr>
      </w:pPr>
    </w:p>
    <w:p>
      <w:pPr>
        <w:ind w:left="8440"/>
        <w:spacing w:after="0"/>
        <w:tabs>
          <w:tab w:leader="none" w:pos="89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5696585</wp:posOffset>
            </wp:positionH>
            <wp:positionV relativeFrom="paragraph">
              <wp:posOffset>21590</wp:posOffset>
            </wp:positionV>
            <wp:extent cx="14497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705" cy="7620"/>
                    </a:xfrm>
                    <a:prstGeom prst="rect">
                      <a:avLst/>
                    </a:prstGeom>
                    <a:noFill/>
                  </pic:spPr>
                </pic:pic>
              </a:graphicData>
            </a:graphic>
          </wp:anchor>
        </w:drawing>
      </w:r>
    </w:p>
    <w:p>
      <w:pPr>
        <w:spacing w:after="0" w:line="21" w:lineRule="exact"/>
        <w:rPr>
          <w:sz w:val="20"/>
          <w:szCs w:val="20"/>
          <w:color w:val="auto"/>
        </w:rPr>
      </w:pPr>
    </w:p>
    <w:p>
      <w:pPr>
        <w:ind w:left="8440"/>
        <w:spacing w:after="0"/>
        <w:tabs>
          <w:tab w:leader="none" w:pos="89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Ryan Schaffer</w:t>
      </w:r>
    </w:p>
    <w:p>
      <w:pPr>
        <w:spacing w:after="0" w:line="53" w:lineRule="exact"/>
        <w:rPr>
          <w:sz w:val="20"/>
          <w:szCs w:val="20"/>
          <w:color w:val="auto"/>
        </w:rPr>
      </w:pPr>
    </w:p>
    <w:p>
      <w:pPr>
        <w:ind w:left="8440"/>
        <w:spacing w:after="0"/>
        <w:tabs>
          <w:tab w:leader="none" w:pos="896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August 8, 2024</w:t>
      </w:r>
    </w:p>
    <w:p>
      <w:pPr>
        <w:sectPr>
          <w:pgSz w:w="11900" w:h="16838" w:orient="portrait"/>
          <w:cols w:equalWidth="0" w:num="1">
            <w:col w:w="10720"/>
          </w:cols>
          <w:pgMar w:left="320" w:top="1256" w:right="8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EXPENSIFY ANNOUNCES Q2 2024 RESULTS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Interchange derived from the Expensify Card grew to $4.0 million, an increase of 48% as compared to the same period last year.</w:t>
      </w:r>
    </w:p>
    <w:p>
      <w:pPr>
        <w:spacing w:after="0" w:line="22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PORTLAND, Ore.--(BUSINESS WIRE)--August 8, 2024-- Expensify, Inc. (Nasdaq: EXFY), a payments superapp that helps individuals and businesses around the world simplify the way they manage money across expenses, corporate cards and bills, today released a letter to shareholders from Founder and CEO David Barrett alongside results for its quarter ended June 30,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 Message From Our Founder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 extremely pleased with how well Q2 has extended Q1's achievements and improved upon them further:</w:t>
      </w:r>
    </w:p>
    <w:p>
      <w:pPr>
        <w:spacing w:after="0" w:line="228" w:lineRule="exact"/>
        <w:rPr>
          <w:sz w:val="20"/>
          <w:szCs w:val="20"/>
          <w:color w:val="auto"/>
        </w:rPr>
      </w:pPr>
    </w:p>
    <w:p>
      <w:pPr>
        <w:ind w:left="560" w:right="300" w:hanging="282"/>
        <w:spacing w:after="0" w:line="278" w:lineRule="auto"/>
        <w:tabs>
          <w:tab w:leader="none" w:pos="556" w:val="left"/>
        </w:tabs>
        <w:numPr>
          <w:ilvl w:val="0"/>
          <w:numId w:val="3"/>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b w:val="1"/>
          <w:bCs w:val="1"/>
          <w:color w:val="auto"/>
        </w:rPr>
        <w:t xml:space="preserve">Our core business has been stabilize, with increasing cash flow. </w:t>
      </w:r>
      <w:r>
        <w:rPr>
          <w:rFonts w:ascii="Times New Roman" w:cs="Times New Roman" w:eastAsia="Times New Roman" w:hAnsi="Times New Roman"/>
          <w:sz w:val="16"/>
          <w:szCs w:val="16"/>
          <w:color w:val="auto"/>
        </w:rPr>
        <w:t>Revenue and paid users are within 1% of last quarter – with quarterly interchange, operating cash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flow, and free cash flow up 14%, 168% and 10% (</w:t>
      </w:r>
      <w:r>
        <w:rPr>
          <w:rFonts w:ascii="Times New Roman" w:cs="Times New Roman" w:eastAsia="Times New Roman" w:hAnsi="Times New Roman"/>
          <w:sz w:val="16"/>
          <w:szCs w:val="16"/>
          <w:u w:val="single" w:color="auto"/>
          <w:color w:val="auto"/>
        </w:rPr>
        <w:t>48%, 2,247% and 399% y/y</w:t>
      </w:r>
      <w:r>
        <w:rPr>
          <w:rFonts w:ascii="Times New Roman" w:cs="Times New Roman" w:eastAsia="Times New Roman" w:hAnsi="Times New Roman"/>
          <w:sz w:val="16"/>
          <w:szCs w:val="16"/>
          <w:color w:val="auto"/>
        </w:rPr>
        <w:t>), respectively.</w:t>
      </w:r>
    </w:p>
    <w:p>
      <w:pPr>
        <w:spacing w:after="0" w:line="94" w:lineRule="exact"/>
        <w:rPr>
          <w:rFonts w:ascii="Times New Roman" w:cs="Times New Roman" w:eastAsia="Times New Roman" w:hAnsi="Times New Roman"/>
          <w:sz w:val="16"/>
          <w:szCs w:val="16"/>
          <w:u w:val="single" w:color="auto"/>
          <w:color w:val="auto"/>
        </w:rPr>
      </w:pPr>
    </w:p>
    <w:p>
      <w:pPr>
        <w:jc w:val="both"/>
        <w:ind w:left="560" w:right="20" w:hanging="282"/>
        <w:spacing w:after="0" w:line="313" w:lineRule="auto"/>
        <w:tabs>
          <w:tab w:leader="none" w:pos="556"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The new Expensify Card program is live. </w:t>
      </w:r>
      <w:r>
        <w:rPr>
          <w:rFonts w:ascii="Times New Roman" w:cs="Times New Roman" w:eastAsia="Times New Roman" w:hAnsi="Times New Roman"/>
          <w:sz w:val="15"/>
          <w:szCs w:val="15"/>
          <w:color w:val="auto"/>
        </w:rPr>
        <w:t>Most active Expensify Card customers have already adopted the new program, and 34% of spend has already migrated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new cards we've mailed out – which earns us 20% more interchange, and contributes directly to revenue. We are well on the way to our target of 100% adoption by EOY.</w:t>
      </w:r>
    </w:p>
    <w:p>
      <w:pPr>
        <w:spacing w:after="0" w:line="58" w:lineRule="exact"/>
        <w:rPr>
          <w:rFonts w:ascii="Times New Roman" w:cs="Times New Roman" w:eastAsia="Times New Roman" w:hAnsi="Times New Roman"/>
          <w:sz w:val="15"/>
          <w:szCs w:val="15"/>
          <w:color w:val="auto"/>
        </w:rPr>
      </w:pPr>
    </w:p>
    <w:p>
      <w:pPr>
        <w:ind w:left="560" w:right="140" w:hanging="282"/>
        <w:spacing w:after="0" w:line="237" w:lineRule="auto"/>
        <w:tabs>
          <w:tab w:leader="none" w:pos="55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New Expensify is live. </w:t>
      </w:r>
      <w:r>
        <w:rPr>
          <w:rFonts w:ascii="Times New Roman" w:cs="Times New Roman" w:eastAsia="Times New Roman" w:hAnsi="Times New Roman"/>
          <w:sz w:val="16"/>
          <w:szCs w:val="16"/>
          <w:color w:val="auto"/>
        </w:rPr>
        <w:t>We have returned to the conference circuit after a multi-year absence, with all messaging and demos focused exclusively on New Expensify.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Development is no longer solely core development and now includes pipeline optimizations, and New Expensify is expected to add new revenue in Q3. We continue to make brisk progress on the combined business/consumer superapp experience in anticipation of our extremely visible product placement within Apple TV's biggest budget movie ever, scheduled to be in theaters June 2025.</w:t>
      </w:r>
    </w:p>
    <w:p>
      <w:pPr>
        <w:spacing w:after="0" w:line="112" w:lineRule="exact"/>
        <w:rPr>
          <w:rFonts w:ascii="Times New Roman" w:cs="Times New Roman" w:eastAsia="Times New Roman" w:hAnsi="Times New Roman"/>
          <w:sz w:val="16"/>
          <w:szCs w:val="16"/>
          <w:color w:val="auto"/>
        </w:rPr>
      </w:pPr>
    </w:p>
    <w:p>
      <w:pPr>
        <w:ind w:left="560" w:right="80" w:hanging="282"/>
        <w:spacing w:after="0" w:line="267" w:lineRule="auto"/>
        <w:tabs>
          <w:tab w:leader="none" w:pos="55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Hybrid app is live. </w:t>
      </w:r>
      <w:r>
        <w:rPr>
          <w:rFonts w:ascii="Times New Roman" w:cs="Times New Roman" w:eastAsia="Times New Roman" w:hAnsi="Times New Roman"/>
          <w:sz w:val="16"/>
          <w:szCs w:val="16"/>
          <w:color w:val="auto"/>
        </w:rPr>
        <w:t>This is an incredibly difficult and important technical milestone that allows us to upgrade existing apps deployed on millions of devices worldwide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order to switch interchangeably between New Expensify and Expensify Classic. This is a critical tool for seamlessly migrating existing customers on a selective basis to the new experience, while allowing existing customers with classic functionality that has not yet been updated to remain on their existing experience. The hybrid app is being rolled out globally.</w:t>
      </w:r>
    </w:p>
    <w:p>
      <w:pPr>
        <w:spacing w:after="0" w:line="91" w:lineRule="exact"/>
        <w:rPr>
          <w:rFonts w:ascii="Times New Roman" w:cs="Times New Roman" w:eastAsia="Times New Roman" w:hAnsi="Times New Roman"/>
          <w:sz w:val="16"/>
          <w:szCs w:val="16"/>
          <w:color w:val="auto"/>
        </w:rPr>
      </w:pPr>
    </w:p>
    <w:p>
      <w:pPr>
        <w:ind w:left="560" w:right="440" w:hanging="282"/>
        <w:spacing w:after="0" w:line="294" w:lineRule="auto"/>
        <w:tabs>
          <w:tab w:leader="none" w:pos="55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Expensify Travel is live. </w:t>
      </w:r>
      <w:r>
        <w:rPr>
          <w:rFonts w:ascii="Times New Roman" w:cs="Times New Roman" w:eastAsia="Times New Roman" w:hAnsi="Times New Roman"/>
          <w:sz w:val="16"/>
          <w:szCs w:val="16"/>
          <w:color w:val="auto"/>
        </w:rPr>
        <w:t>We have launched our travel product to new and existing customers, and is expected to generate an entirely new revenue stream of travel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bookings in Q3.</w:t>
      </w:r>
    </w:p>
    <w:p>
      <w:pPr>
        <w:spacing w:after="0" w:line="166" w:lineRule="exact"/>
        <w:rPr>
          <w:sz w:val="20"/>
          <w:szCs w:val="20"/>
          <w:color w:val="auto"/>
        </w:rPr>
      </w:pPr>
    </w:p>
    <w:p>
      <w:pPr>
        <w:ind w:right="640"/>
        <w:spacing w:after="0" w:line="276" w:lineRule="auto"/>
        <w:rPr>
          <w:sz w:val="20"/>
          <w:szCs w:val="20"/>
          <w:color w:val="auto"/>
        </w:rPr>
      </w:pPr>
      <w:r>
        <w:rPr>
          <w:rFonts w:ascii="Times New Roman" w:cs="Times New Roman" w:eastAsia="Times New Roman" w:hAnsi="Times New Roman"/>
          <w:sz w:val="16"/>
          <w:szCs w:val="16"/>
          <w:color w:val="auto"/>
        </w:rPr>
        <w:t>This quarter did a fantastic job laying a clear foundation for future growth, and the excitement inside our (virtual) halls is palpable. Hit me up at our booth at Xerocon or SuiteWorld to see the New Expensify pitch in person!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-david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Founder and CEO of Expensify</w:t>
      </w:r>
    </w:p>
    <w:p>
      <w:pPr>
        <w:sectPr>
          <w:pgSz w:w="11900" w:h="16838" w:orient="portrait"/>
          <w:cols w:equalWidth="0" w:num="1">
            <w:col w:w="11260"/>
          </w:cols>
          <w:pgMar w:left="320" w:top="121"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Second Quarter 2024 Highlights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Financial:</w:t>
      </w:r>
    </w:p>
    <w:p>
      <w:pPr>
        <w:spacing w:after="0" w:line="149" w:lineRule="exact"/>
        <w:rPr>
          <w:sz w:val="20"/>
          <w:szCs w:val="20"/>
          <w:color w:val="auto"/>
        </w:rPr>
      </w:pPr>
    </w:p>
    <w:p>
      <w:pPr>
        <w:ind w:left="560" w:hanging="282"/>
        <w:spacing w:after="0"/>
        <w:tabs>
          <w:tab w:leader="none" w:pos="56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Revenue was $33.3 million, a decrease of 14% compared to the same period last year.</w:t>
      </w:r>
    </w:p>
    <w:p>
      <w:pPr>
        <w:spacing w:after="0" w:line="135" w:lineRule="exact"/>
        <w:rPr>
          <w:rFonts w:ascii="Times New Roman" w:cs="Times New Roman" w:eastAsia="Times New Roman" w:hAnsi="Times New Roman"/>
          <w:sz w:val="16"/>
          <w:szCs w:val="16"/>
          <w:b w:val="1"/>
          <w:bCs w:val="1"/>
          <w:color w:val="auto"/>
        </w:rPr>
      </w:pPr>
    </w:p>
    <w:p>
      <w:pPr>
        <w:ind w:left="560" w:hanging="282"/>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Generated $9.3 million cash from operating activities.</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Free cash flow was $5.7 million.</w:t>
      </w:r>
    </w:p>
    <w:p>
      <w:pPr>
        <w:spacing w:after="0" w:line="147"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was $2.8 million, compared to $11.3 million for the same period last year.</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income was $5.6 million.</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was $10.2 million.</w:t>
      </w:r>
    </w:p>
    <w:p>
      <w:pPr>
        <w:spacing w:after="0" w:line="170"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
        </w:numPr>
        <w:rPr>
          <w:rFonts w:ascii="Arial" w:cs="Arial" w:eastAsia="Arial" w:hAnsi="Arial"/>
          <w:sz w:val="19"/>
          <w:szCs w:val="19"/>
          <w:color w:val="auto"/>
        </w:rPr>
      </w:pPr>
      <w:r>
        <w:rPr>
          <w:rFonts w:ascii="Times New Roman" w:cs="Times New Roman" w:eastAsia="Times New Roman" w:hAnsi="Times New Roman"/>
          <w:sz w:val="16"/>
          <w:szCs w:val="16"/>
          <w:color w:val="auto"/>
        </w:rPr>
        <w:t>Interchange derived from the Expensify Card grew to $4.0 million, an increase of 48% compared to the same period last year.</w:t>
      </w:r>
    </w:p>
    <w:p>
      <w:pPr>
        <w:spacing w:after="0" w:line="112" w:lineRule="exact"/>
        <w:rPr>
          <w:rFonts w:ascii="Arial" w:cs="Arial" w:eastAsia="Arial" w:hAnsi="Arial"/>
          <w:sz w:val="19"/>
          <w:szCs w:val="19"/>
          <w:color w:val="auto"/>
        </w:rPr>
      </w:pPr>
    </w:p>
    <w:p>
      <w:pPr>
        <w:ind w:left="560" w:hanging="282"/>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Financial Outlook section for Free Cash Flow guidance for fiscal year ending December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Business:</w:t>
      </w:r>
    </w:p>
    <w:p>
      <w:pPr>
        <w:spacing w:after="0" w:line="135" w:lineRule="exact"/>
        <w:rPr>
          <w:sz w:val="20"/>
          <w:szCs w:val="20"/>
          <w:color w:val="auto"/>
        </w:rPr>
      </w:pPr>
    </w:p>
    <w:p>
      <w:pPr>
        <w:ind w:left="560" w:hanging="282"/>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Paid members - </w:t>
      </w:r>
      <w:r>
        <w:rPr>
          <w:rFonts w:ascii="Times New Roman" w:cs="Times New Roman" w:eastAsia="Times New Roman" w:hAnsi="Times New Roman"/>
          <w:sz w:val="16"/>
          <w:szCs w:val="16"/>
          <w:color w:val="auto"/>
        </w:rPr>
        <w:t>Paid members were 684,000, a decrease of 8% from the same period last year.</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New Expensify Card program - </w:t>
      </w:r>
      <w:r>
        <w:rPr>
          <w:rFonts w:ascii="Times New Roman" w:cs="Times New Roman" w:eastAsia="Times New Roman" w:hAnsi="Times New Roman"/>
          <w:sz w:val="15"/>
          <w:szCs w:val="15"/>
          <w:color w:val="auto"/>
        </w:rPr>
        <w:t>The majority of active Expensify Card customers began transitioning to the new program, with 34% of spend migrated by end of Q2.</w:t>
      </w:r>
    </w:p>
    <w:p>
      <w:pPr>
        <w:spacing w:after="0" w:line="158" w:lineRule="exact"/>
        <w:rPr>
          <w:rFonts w:ascii="Times New Roman" w:cs="Times New Roman" w:eastAsia="Times New Roman" w:hAnsi="Times New Roman"/>
          <w:sz w:val="15"/>
          <w:szCs w:val="15"/>
          <w:color w:val="auto"/>
        </w:rPr>
      </w:pPr>
    </w:p>
    <w:p>
      <w:pPr>
        <w:ind w:left="560" w:hanging="282"/>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New Expensify - </w:t>
      </w:r>
      <w:r>
        <w:rPr>
          <w:rFonts w:ascii="Times New Roman" w:cs="Times New Roman" w:eastAsia="Times New Roman" w:hAnsi="Times New Roman"/>
          <w:sz w:val="16"/>
          <w:szCs w:val="16"/>
          <w:color w:val="auto"/>
        </w:rPr>
        <w:t>The company began supporting businesses on New Expensify that is expected to generate revenue beginning in Q3 2024.</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New Integrations - </w:t>
      </w:r>
      <w:r>
        <w:rPr>
          <w:rFonts w:ascii="Times New Roman" w:cs="Times New Roman" w:eastAsia="Times New Roman" w:hAnsi="Times New Roman"/>
          <w:sz w:val="15"/>
          <w:szCs w:val="15"/>
          <w:color w:val="auto"/>
        </w:rPr>
        <w:t>Expensify launched integrations with QuickBooks Online and Xero on New Expensify, a major milestone to support customers on the new platform.</w:t>
      </w:r>
    </w:p>
    <w:p>
      <w:pPr>
        <w:spacing w:after="0" w:line="146" w:lineRule="exact"/>
        <w:rPr>
          <w:rFonts w:ascii="Times New Roman" w:cs="Times New Roman" w:eastAsia="Times New Roman" w:hAnsi="Times New Roman"/>
          <w:sz w:val="15"/>
          <w:szCs w:val="15"/>
          <w:color w:val="auto"/>
        </w:rPr>
      </w:pPr>
    </w:p>
    <w:p>
      <w:pPr>
        <w:ind w:left="560" w:right="20" w:hanging="282"/>
        <w:spacing w:after="0" w:line="294" w:lineRule="auto"/>
        <w:tabs>
          <w:tab w:leader="none" w:pos="55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Sales and marketing - </w:t>
      </w:r>
      <w:r>
        <w:rPr>
          <w:rFonts w:ascii="Times New Roman" w:cs="Times New Roman" w:eastAsia="Times New Roman" w:hAnsi="Times New Roman"/>
          <w:sz w:val="16"/>
          <w:szCs w:val="16"/>
          <w:color w:val="auto"/>
        </w:rPr>
        <w:t>The company announced a partnership with Apple for lead product placement in Apple's largest feature film investment ever,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F1</w:t>
      </w:r>
      <w:r>
        <w:rPr>
          <w:rFonts w:ascii="Times New Roman" w:cs="Times New Roman" w:eastAsia="Times New Roman" w:hAnsi="Times New Roman"/>
          <w:sz w:val="16"/>
          <w:szCs w:val="16"/>
          <w:color w:val="auto"/>
        </w:rPr>
        <w:t>, set to release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June 2025.</w:t>
      </w:r>
    </w:p>
    <w:p>
      <w:pPr>
        <w:spacing w:after="0" w:line="69" w:lineRule="exact"/>
        <w:rPr>
          <w:rFonts w:ascii="Times New Roman" w:cs="Times New Roman" w:eastAsia="Times New Roman" w:hAnsi="Times New Roman"/>
          <w:sz w:val="16"/>
          <w:szCs w:val="16"/>
          <w:color w:val="auto"/>
        </w:rPr>
      </w:pPr>
    </w:p>
    <w:p>
      <w:pPr>
        <w:ind w:left="560" w:right="140" w:hanging="282"/>
        <w:spacing w:after="0" w:line="294" w:lineRule="auto"/>
        <w:tabs>
          <w:tab w:leader="none" w:pos="55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Corporate travel - </w:t>
      </w:r>
      <w:r>
        <w:rPr>
          <w:rFonts w:ascii="Times New Roman" w:cs="Times New Roman" w:eastAsia="Times New Roman" w:hAnsi="Times New Roman"/>
          <w:sz w:val="16"/>
          <w:szCs w:val="16"/>
          <w:color w:val="auto"/>
        </w:rPr>
        <w:t>The company returned to the travel conference circuit to demo Expensify Travel — its corporate travel management platform built for the midsized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small-cap enterprise market — at GBTA, the world's foremost corporate travel event.</w:t>
      </w:r>
    </w:p>
    <w:p>
      <w:pPr>
        <w:sectPr>
          <w:pgSz w:w="11900" w:h="16838" w:orient="portrait"/>
          <w:cols w:equalWidth="0" w:num="1">
            <w:col w:w="11260"/>
          </w:cols>
          <w:pgMar w:left="320" w:top="121" w:right="3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Financial Outlook</w:t>
      </w:r>
    </w:p>
    <w:p>
      <w:pPr>
        <w:spacing w:after="0" w:line="12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6"/>
          <w:szCs w:val="16"/>
          <w:color w:val="auto"/>
        </w:rPr>
        <w:t>Expensify's outlook statements are based on current estimates, expectations and assumptions and are not a guarantee of future performance. The following statements are forward-looking and actual results could differ materially depending on market conditions and the factors set forth under “Forward-Looking Statements” below. There can be no assurance that the Company will achieve the results expressed by this guidance.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Free Cash Flow</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Expensify estimates Free Cash Flow of $15.0 million to $16.0 million for the fiscal year ending December 31, 2024.</w:t>
      </w:r>
    </w:p>
    <w:p>
      <w:pPr>
        <w:spacing w:after="0" w:line="225"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The Company does not provide a reconciliation for free cash flow estimates on a forward-looking basis because it is unable, without making unreasonable efforts, to provide a meaningful or reasonably accurate calculation or estimation of net cash provided by operating activities and certain reconciling items on a forward-looking basis, which could be significant to the Company's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Based Compensation</w:t>
      </w:r>
    </w:p>
    <w:p>
      <w:pPr>
        <w:spacing w:after="0" w:line="22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color w:val="auto"/>
        </w:rPr>
        <w:t>An estimate of expected stock-based compensation for the next four fiscal quarters is as follows, which is driven primarily by the pre-IPO grant of RSUs issued to all employees (which vest quarterly over eight years with approximately five years remaining).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Est. stock-based compensation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1918970</wp:posOffset>
            </wp:positionH>
            <wp:positionV relativeFrom="paragraph">
              <wp:posOffset>67945</wp:posOffset>
            </wp:positionV>
            <wp:extent cx="52266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2668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37465</wp:posOffset>
            </wp:positionV>
            <wp:extent cx="71494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3"/>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Q3 2024</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Q4 2024</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Q1 2025</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Q2 2025</w:t>
            </w:r>
          </w:p>
        </w:tc>
        <w:tc>
          <w:tcPr>
            <w:tcW w:w="700" w:type="dxa"/>
            <w:vAlign w:val="bottom"/>
          </w:tcPr>
          <w:p>
            <w:pPr>
              <w:spacing w:after="0"/>
              <w:rPr>
                <w:sz w:val="14"/>
                <w:szCs w:val="14"/>
                <w:color w:val="auto"/>
              </w:rPr>
            </w:pPr>
          </w:p>
        </w:tc>
      </w:tr>
      <w:tr>
        <w:trPr>
          <w:trHeight w:val="21"/>
        </w:trPr>
        <w:tc>
          <w:tcPr>
            <w:tcW w:w="30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2"/>
        </w:trPr>
        <w:tc>
          <w:tcPr>
            <w:tcW w:w="3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Low</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High</w:t>
            </w:r>
          </w:p>
        </w:tc>
        <w:tc>
          <w:tcPr>
            <w:tcW w:w="22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Low</w:t>
            </w:r>
          </w:p>
        </w:tc>
        <w:tc>
          <w:tcPr>
            <w:tcW w:w="2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High</w:t>
            </w:r>
          </w:p>
        </w:tc>
        <w:tc>
          <w:tcPr>
            <w:tcW w:w="22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Low</w:t>
            </w:r>
          </w:p>
        </w:tc>
        <w:tc>
          <w:tcPr>
            <w:tcW w:w="2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High</w:t>
            </w:r>
          </w:p>
        </w:tc>
        <w:tc>
          <w:tcPr>
            <w:tcW w:w="22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Low</w:t>
            </w:r>
          </w:p>
        </w:tc>
        <w:tc>
          <w:tcPr>
            <w:tcW w:w="260" w:type="dxa"/>
            <w:vAlign w:val="bottom"/>
          </w:tcPr>
          <w:p>
            <w:pPr>
              <w:spacing w:after="0"/>
              <w:rPr>
                <w:sz w:val="14"/>
                <w:szCs w:val="14"/>
                <w:color w:val="auto"/>
              </w:rPr>
            </w:pP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High</w:t>
            </w:r>
          </w:p>
        </w:tc>
      </w:tr>
      <w:tr>
        <w:trPr>
          <w:trHeight w:val="21"/>
        </w:trPr>
        <w:tc>
          <w:tcPr>
            <w:tcW w:w="30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 net</w:t>
            </w:r>
          </w:p>
        </w:tc>
        <w:tc>
          <w:tcPr>
            <w:tcW w:w="660" w:type="dxa"/>
            <w:vAlign w:val="bottom"/>
            <w:tcBorders>
              <w:bottom w:val="single" w:sz="8" w:color="CCEEFF"/>
            </w:tcBorders>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6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9"/>
        </w:trPr>
        <w:tc>
          <w:tcPr>
            <w:tcW w:w="3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5"/>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6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6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29"/>
        </w:trPr>
        <w:tc>
          <w:tcPr>
            <w:tcW w:w="30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9"/>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6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Availability of Information on Expensify’s Website</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6"/>
          <w:szCs w:val="16"/>
          <w:color w:val="auto"/>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Conference Call</w:t>
      </w:r>
    </w:p>
    <w:p>
      <w:pPr>
        <w:spacing w:after="0" w:line="149"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6"/>
          <w:szCs w:val="16"/>
          <w:color w:val="auto"/>
        </w:rPr>
        <w:t>Expensify will host a video call to discuss the financial results and business highlights at 2:00 p.m. Pacific Time today. An investor presentation and the video call information is available on Expensify’s Investor Relations website at https://ir.expensify.com. A replay of the call will be available on the site for three months.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Non-GAAP Financial Measures</w:t>
      </w:r>
    </w:p>
    <w:p>
      <w:pPr>
        <w:spacing w:after="0" w:line="137" w:lineRule="exact"/>
        <w:rPr>
          <w:sz w:val="20"/>
          <w:szCs w:val="20"/>
          <w:color w:val="auto"/>
        </w:rPr>
      </w:pPr>
    </w:p>
    <w:p>
      <w:pPr>
        <w:ind w:right="480"/>
        <w:spacing w:after="0" w:line="291" w:lineRule="auto"/>
        <w:rPr>
          <w:sz w:val="20"/>
          <w:szCs w:val="20"/>
          <w:color w:val="auto"/>
        </w:rPr>
      </w:pPr>
      <w:r>
        <w:rPr>
          <w:rFonts w:ascii="Times New Roman" w:cs="Times New Roman" w:eastAsia="Times New Roman" w:hAnsi="Times New Roman"/>
          <w:sz w:val="16"/>
          <w:szCs w:val="16"/>
          <w:color w:val="auto"/>
        </w:rPr>
        <w:t>In addition to financial measures prepared in accordance with U.S. generally accepted accounting principles (“GAAP”), we provide certain non-GAAP financial measures, including adjusted EBITDA, non-GAAP net loss, and free cash flow.</w:t>
      </w:r>
    </w:p>
    <w:p>
      <w:pPr>
        <w:spacing w:after="0" w:line="169"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6"/>
          <w:szCs w:val="16"/>
          <w:color w:val="auto"/>
        </w:rPr>
        <w:t>We believe our non-GAAP financial measures are useful in evaluating our business, measuring our performance, identifying trends affecting our business, formulating business plans and making strategic decisions. Accordingly,</w:t>
      </w:r>
    </w:p>
    <w:p>
      <w:pPr>
        <w:sectPr>
          <w:pgSz w:w="11900" w:h="16838" w:orient="portrait"/>
          <w:cols w:equalWidth="0" w:num="1">
            <w:col w:w="11260"/>
          </w:cols>
          <w:pgMar w:left="320" w:top="121" w:right="3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we believe that these non-GAAP financial measures provide useful information to investors and others in understanding and evaluating our results of operations in the same manner as our management team. These non-GAAP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spacing w:after="0" w:line="191" w:lineRule="exact"/>
        <w:rPr>
          <w:sz w:val="20"/>
          <w:szCs w:val="20"/>
          <w:color w:val="auto"/>
        </w:rPr>
      </w:pPr>
    </w:p>
    <w:p>
      <w:pPr>
        <w:ind w:right="820"/>
        <w:spacing w:after="0" w:line="294" w:lineRule="auto"/>
        <w:rPr>
          <w:sz w:val="20"/>
          <w:szCs w:val="20"/>
          <w:color w:val="auto"/>
        </w:rPr>
      </w:pPr>
      <w:r>
        <w:rPr>
          <w:rFonts w:ascii="Times New Roman" w:cs="Times New Roman" w:eastAsia="Times New Roman" w:hAnsi="Times New Roman"/>
          <w:sz w:val="16"/>
          <w:szCs w:val="16"/>
          <w:b w:val="1"/>
          <w:bCs w:val="1"/>
          <w:color w:val="auto"/>
        </w:rPr>
        <w:t xml:space="preserve">Adjusted EBITDA. </w:t>
      </w:r>
      <w:r>
        <w:rPr>
          <w:rFonts w:ascii="Times New Roman" w:cs="Times New Roman" w:eastAsia="Times New Roman" w:hAnsi="Times New Roman"/>
          <w:sz w:val="16"/>
          <w:szCs w:val="16"/>
          <w:color w:val="auto"/>
        </w:rPr>
        <w:t>We define adjusted EBITDA as net loss from operations excluding provision for income taxes, interest and other expenses, net, depreciation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amortization, and stock-based compensation.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Non-GAAP net income. </w:t>
      </w:r>
      <w:r>
        <w:rPr>
          <w:rFonts w:ascii="Times New Roman" w:cs="Times New Roman" w:eastAsia="Times New Roman" w:hAnsi="Times New Roman"/>
          <w:sz w:val="16"/>
          <w:szCs w:val="16"/>
          <w:color w:val="auto"/>
        </w:rPr>
        <w:t>We define non-GAAP net income as net loss from operations excluding stock-based compensation.</w:t>
      </w:r>
    </w:p>
    <w:p>
      <w:pPr>
        <w:spacing w:after="0" w:line="230"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6"/>
          <w:szCs w:val="16"/>
          <w:b w:val="1"/>
          <w:bCs w:val="1"/>
          <w:color w:val="auto"/>
        </w:rPr>
        <w:t xml:space="preserve">Free cash flow. </w:t>
      </w:r>
      <w:r>
        <w:rPr>
          <w:rFonts w:ascii="Times New Roman" w:cs="Times New Roman" w:eastAsia="Times New Roman" w:hAnsi="Times New Roman"/>
          <w:sz w:val="16"/>
          <w:szCs w:val="16"/>
          <w:color w:val="auto"/>
        </w:rPr>
        <w:t>We define Free cash flow as net cash provided by operating activities excluding changes in settlement assets and settlement liabilities, which represent funds held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customers and customer funds in transit, respectively, reduced by the purchases of property and equipment and software development costs.</w:t>
      </w:r>
    </w:p>
    <w:p>
      <w:pPr>
        <w:spacing w:after="0" w:line="166"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6"/>
          <w:szCs w:val="16"/>
          <w:color w:val="auto"/>
        </w:rPr>
        <w:t>The tables at the end of the Condensed Consolidated Financial Statements provide reconciliations to the most directly comparable GAAP financial measure to each of these non-GAAP financial measures.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Forward-Looking Statements</w:t>
      </w:r>
    </w:p>
    <w:p>
      <w:pPr>
        <w:spacing w:after="0" w:line="126"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6"/>
          <w:szCs w:val="16"/>
          <w:color w:val="auto"/>
        </w:rPr>
        <w:t>Forward-looking statements in this press release, or made during the earnings call, which are not historical facts, are forward-looking statements within the meaning of the Private Securities Litigation Reform Act of 1955. These statements include statements regarding our strategy, future financial condition, future operations, future cash flow, projected costs, prospects, plans, objectives of management and expected market growth, product developments and their potential impact and our stock-based compensation estimates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“ambition,” “objective,” “seeks,” “outlook,”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impact on inflation on us and our members; our borrowing costs have and may continue to increase as a result of increases in interest rates;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and capital expenditures that we 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cash flows, the prevailing stock prices, general economic and market conditions and other considerations that could affect the specific timing, price and size of repurchases under our stock repurchase program or our ability to fund any stock repurchases;</w:t>
      </w:r>
    </w:p>
    <w:p>
      <w:pPr>
        <w:sectPr>
          <w:pgSz w:w="11900" w:h="16838" w:orient="portrait"/>
          <w:cols w:equalWidth="0" w:num="1">
            <w:col w:w="11260"/>
          </w:cols>
          <w:pgMar w:left="320" w:top="121" w:right="3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5"/>
          <w:szCs w:val="15"/>
          <w:color w:val="auto"/>
        </w:rPr>
        <w:t>geopolitical tensions, including the war in Ukraine and the escalating conflict in Israel, Gaza and surrounding areas; our ability to effectively manage our exposure to fluctuations in foreign currency exchange rates; the expenses associated with being a public company; the size of our addressable markets, market share and market trends; anticipated trends, developments and challenges in our industry, business and the highly competitive markets in which we operate;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and geopolitical uncertainty and instability, including as a result of the 2024 United States presidential election; our protections against security breaches, technical difficulties, or interruptions to our platform; our ability to maintain, protect and enhance our intellectual property;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Expensify</w:t>
      </w:r>
    </w:p>
    <w:p>
      <w:pPr>
        <w:spacing w:after="0" w:line="137"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Expensify is a payments superapp that helps individuals and businesses around the world simplify the way they manage money. More than 12 million people use Expensify's free features, which include corporate cards, expense tracking, next-day reimbursement, invoicing, bill pay, and travel booking in one app. All free. Whether you own a small business, manage a team, or close the books for your clients, Expensify makes it easy so you have more time to focus on what really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 Contact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Nick Tooker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investors@expensify.com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Press Contact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James Dean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press@expensify.com</w:t>
      </w:r>
    </w:p>
    <w:p>
      <w:pPr>
        <w:sectPr>
          <w:pgSz w:w="11900" w:h="16838" w:orient="portrait"/>
          <w:cols w:equalWidth="0" w:num="1">
            <w:col w:w="11260"/>
          </w:cols>
          <w:pgMar w:left="320" w:top="121" w:right="3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Condensed Consolidated Balance Sheets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 in thousands, except share data)</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As of June 30,</w:t>
            </w:r>
          </w:p>
        </w:tc>
        <w:tc>
          <w:tcPr>
            <w:tcW w:w="180" w:type="dxa"/>
            <w:vAlign w:val="bottom"/>
          </w:tcPr>
          <w:p>
            <w:pPr>
              <w:spacing w:after="0"/>
              <w:rPr>
                <w:sz w:val="14"/>
                <w:szCs w:val="14"/>
                <w:color w:val="auto"/>
              </w:rPr>
            </w:pPr>
          </w:p>
        </w:tc>
        <w:tc>
          <w:tcPr>
            <w:tcW w:w="140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8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53,234</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47,510</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 net</w:t>
            </w:r>
          </w:p>
        </w:tc>
        <w:tc>
          <w:tcPr>
            <w:tcW w:w="2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13,420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13,834</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Settlement assets, net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39,261</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Prepaid expenses</w:t>
            </w:r>
          </w:p>
        </w:tc>
        <w:tc>
          <w:tcPr>
            <w:tcW w:w="2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5,649</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32,044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30,978</w:t>
            </w:r>
          </w:p>
        </w:tc>
        <w:tc>
          <w:tcPr>
            <w:tcW w:w="0" w:type="dxa"/>
            <w:vAlign w:val="bottom"/>
          </w:tcPr>
          <w:p>
            <w:pPr>
              <w:spacing w:after="0"/>
              <w:rPr>
                <w:sz w:val="1"/>
                <w:szCs w:val="1"/>
                <w:color w:val="auto"/>
              </w:rPr>
            </w:pP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8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155,767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137,232</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software, net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12,494</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14,372</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 right-of-use assets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6,435</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assets, net</w:t>
            </w:r>
          </w:p>
        </w:tc>
        <w:tc>
          <w:tcPr>
            <w:tcW w:w="2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5,794</w:t>
            </w:r>
          </w:p>
        </w:tc>
        <w:tc>
          <w:tcPr>
            <w:tcW w:w="0" w:type="dxa"/>
            <w:vAlign w:val="bottom"/>
          </w:tcPr>
          <w:p>
            <w:pPr>
              <w:spacing w:after="0"/>
              <w:rPr>
                <w:sz w:val="1"/>
                <w:szCs w:val="1"/>
                <w:color w:val="auto"/>
              </w:rPr>
            </w:pP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assets</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192,872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176,784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1,425</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9,390</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Borrowings under line of credit</w:t>
            </w:r>
          </w:p>
        </w:tc>
        <w:tc>
          <w:tcPr>
            <w:tcW w:w="2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portion of long-term debt, net of original issue discount and debt issuance costs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7,655</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liabilities, current</w:t>
            </w:r>
          </w:p>
        </w:tc>
        <w:tc>
          <w:tcPr>
            <w:tcW w:w="2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Settlement liabilities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33,990</w:t>
            </w:r>
          </w:p>
        </w:tc>
        <w:tc>
          <w:tcPr>
            <w:tcW w:w="0" w:type="dxa"/>
            <w:vAlign w:val="bottom"/>
          </w:tcPr>
          <w:p>
            <w:pPr>
              <w:spacing w:after="0"/>
              <w:rPr>
                <w:sz w:val="1"/>
                <w:szCs w:val="1"/>
                <w:color w:val="auto"/>
              </w:rPr>
            </w:pP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8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70,805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67,892</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 liabilities, non-current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6,467</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1,681</w:t>
            </w:r>
          </w:p>
        </w:tc>
        <w:tc>
          <w:tcPr>
            <w:tcW w:w="0" w:type="dxa"/>
            <w:vAlign w:val="bottom"/>
          </w:tcPr>
          <w:p>
            <w:pPr>
              <w:spacing w:after="0"/>
              <w:rPr>
                <w:sz w:val="1"/>
                <w:szCs w:val="1"/>
                <w:color w:val="auto"/>
              </w:rPr>
            </w:pPr>
          </w:p>
        </w:tc>
      </w:tr>
      <w:tr>
        <w:trPr>
          <w:trHeight w:val="172"/>
        </w:trPr>
        <w:tc>
          <w:tcPr>
            <w:tcW w:w="80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Total liabilities</w:t>
            </w: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78,872</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76,040</w:t>
            </w:r>
          </w:p>
        </w:tc>
        <w:tc>
          <w:tcPr>
            <w:tcW w:w="0" w:type="dxa"/>
            <w:vAlign w:val="bottom"/>
          </w:tcPr>
          <w:p>
            <w:pPr>
              <w:spacing w:after="0"/>
              <w:rPr>
                <w:sz w:val="1"/>
                <w:szCs w:val="1"/>
                <w:color w:val="auto"/>
              </w:rPr>
            </w:pP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2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Preferred stock, par value $0.0001; 10,000,000 shares of preferred stock authorized as of June 30, 2024 and December 31, 2023; no shares of preferred stock</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issued and outstanding as of June 30, 2024 and December 31, 2023</w:t>
            </w:r>
          </w:p>
        </w:tc>
        <w:tc>
          <w:tcPr>
            <w:tcW w:w="2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8"/>
              </w:rPr>
              <w:t>Common stock, par value $0.0001; 1,000,000,000 shares of Class A common stock authorized as of June 30, 2024 and December 31, 2023; 74,773,581 and</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7"/>
              </w:rPr>
              <w:t>70,569,815 shares of Class A common stock issued and outstanding as of June 30, 2024 and December 31, 2023, respectively; 24,994,705 and 24,994,989</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shares of LT10 common stock authorized as of June 30, 2024 and December 31, 2023, respectively; 5,923,033 and 7,333,619 shares of LT10 common</w:t>
            </w: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issued and outstanding as of June 30, 2024 and December 31, 2023, respectively; 24,969,634 and 24,998,941 shares of LT50 common stock</w:t>
            </w: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7"/>
              </w:rPr>
              <w:t>authorized as of June 30, 2024 and December 31, 2023, respectively; 7,498,076 and 7,321,894 shares of LT50 common stock issued and outstanding as of</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June 30, 2024 and December 31, 2023, respectively</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261,309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241,509</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(147,318)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(140,773)</w:t>
            </w:r>
          </w:p>
        </w:tc>
        <w:tc>
          <w:tcPr>
            <w:tcW w:w="0" w:type="dxa"/>
            <w:vAlign w:val="bottom"/>
          </w:tcPr>
          <w:p>
            <w:pPr>
              <w:spacing w:after="0"/>
              <w:rPr>
                <w:sz w:val="1"/>
                <w:szCs w:val="1"/>
                <w:color w:val="auto"/>
              </w:rPr>
            </w:pP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8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2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114,000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100,744</w:t>
            </w:r>
          </w:p>
        </w:tc>
        <w:tc>
          <w:tcPr>
            <w:tcW w:w="0" w:type="dxa"/>
            <w:vAlign w:val="bottom"/>
          </w:tcPr>
          <w:p>
            <w:pPr>
              <w:spacing w:after="0"/>
              <w:rPr>
                <w:sz w:val="1"/>
                <w:szCs w:val="1"/>
                <w:color w:val="auto"/>
              </w:rPr>
            </w:pPr>
          </w:p>
        </w:tc>
      </w:tr>
      <w:tr>
        <w:trPr>
          <w:trHeight w:val="193"/>
        </w:trPr>
        <w:tc>
          <w:tcPr>
            <w:tcW w:w="80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192,872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176,784</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337" w:right="319" w:bottom="1440" w:gutter="0" w:footer="0" w:header="0"/>
        </w:sectPr>
      </w:pPr>
    </w:p>
    <w:bookmarkStart w:id="9" w:name="page10"/>
    <w:bookmarkEnd w:id="9"/>
    <w:p>
      <w:pPr>
        <w:jc w:val="center"/>
        <w:ind w:right="2"/>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3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Operations</w:t>
      </w:r>
    </w:p>
    <w:p>
      <w:pPr>
        <w:spacing w:after="0" w:line="1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(unaudited, in thousands, except share and per share data)</w:t>
      </w:r>
    </w:p>
    <w:p>
      <w:pPr>
        <w:spacing w:after="0" w:line="306" w:lineRule="exact"/>
        <w:rPr>
          <w:sz w:val="20"/>
          <w:szCs w:val="20"/>
          <w:color w:val="auto"/>
        </w:rPr>
      </w:pPr>
    </w:p>
    <w:tbl>
      <w:tblPr>
        <w:tblLayout w:type="fixed"/>
        <w:tblInd w:w="158" w:type="dxa"/>
        <w:tblCellMar>
          <w:top w:w="0" w:type="dxa"/>
          <w:left w:w="0" w:type="dxa"/>
          <w:bottom w:w="0" w:type="dxa"/>
          <w:right w:w="0" w:type="dxa"/>
        </w:tblCellMar>
      </w:tblPr>
      <w:tr>
        <w:trPr>
          <w:trHeight w:val="166"/>
        </w:trPr>
        <w:tc>
          <w:tcPr>
            <w:tcW w:w="4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320" w:type="dxa"/>
            <w:vAlign w:val="bottom"/>
          </w:tcPr>
          <w:p>
            <w:pPr>
              <w:spacing w:after="0"/>
              <w:rPr>
                <w:sz w:val="14"/>
                <w:szCs w:val="14"/>
                <w:color w:val="auto"/>
              </w:rPr>
            </w:pPr>
          </w:p>
        </w:tc>
        <w:tc>
          <w:tcPr>
            <w:tcW w:w="2500" w:type="dxa"/>
            <w:vAlign w:val="bottom"/>
            <w:gridSpan w:val="4"/>
          </w:tcPr>
          <w:p>
            <w:pPr>
              <w:jc w:val="right"/>
              <w:ind w:right="602"/>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4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21"/>
        </w:trPr>
        <w:tc>
          <w:tcPr>
            <w:tcW w:w="4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33,288</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66,823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78,985</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Cost of revenue, net </w:t>
            </w:r>
            <w:r>
              <w:rPr>
                <w:rFonts w:ascii="Times New Roman" w:cs="Times New Roman" w:eastAsia="Times New Roman" w:hAnsi="Times New Roman"/>
                <w:sz w:val="20"/>
                <w:szCs w:val="20"/>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14,363</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16,925</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28,947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32,700</w:t>
            </w: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37,876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46,285</w:t>
            </w:r>
          </w:p>
        </w:tc>
        <w:tc>
          <w:tcPr>
            <w:tcW w:w="0" w:type="dxa"/>
            <w:vAlign w:val="bottom"/>
          </w:tcPr>
          <w:p>
            <w:pPr>
              <w:spacing w:after="0"/>
              <w:rPr>
                <w:sz w:val="1"/>
                <w:szCs w:val="1"/>
                <w:color w:val="auto"/>
              </w:rPr>
            </w:pPr>
          </w:p>
        </w:tc>
      </w:tr>
      <w:tr>
        <w:trPr>
          <w:trHeight w:val="194"/>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0"/>
                <w:szCs w:val="20"/>
                <w:color w:val="auto"/>
                <w:vertAlign w:val="superscript"/>
              </w:rPr>
              <w:t>(1)</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10,512</w:t>
            </w:r>
          </w:p>
        </w:tc>
        <w:tc>
          <w:tcPr>
            <w:tcW w:w="0" w:type="dxa"/>
            <w:vAlign w:val="bottom"/>
          </w:tcPr>
          <w:p>
            <w:pPr>
              <w:spacing w:after="0"/>
              <w:rPr>
                <w:sz w:val="1"/>
                <w:szCs w:val="1"/>
                <w:color w:val="auto"/>
              </w:rPr>
            </w:pPr>
          </w:p>
        </w:tc>
      </w:tr>
      <w:tr>
        <w:trPr>
          <w:trHeight w:val="248"/>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0"/>
                <w:szCs w:val="20"/>
                <w:color w:val="auto"/>
                <w:vertAlign w:val="superscript"/>
              </w:rPr>
              <w:t>(1)</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24,141</w:t>
            </w:r>
          </w:p>
        </w:tc>
        <w:tc>
          <w:tcPr>
            <w:tcW w:w="0" w:type="dxa"/>
            <w:vAlign w:val="bottom"/>
          </w:tcPr>
          <w:p>
            <w:pPr>
              <w:spacing w:after="0"/>
              <w:rPr>
                <w:sz w:val="1"/>
                <w:szCs w:val="1"/>
                <w:color w:val="auto"/>
              </w:rPr>
            </w:pPr>
          </w:p>
        </w:tc>
      </w:tr>
      <w:tr>
        <w:trPr>
          <w:trHeight w:val="248"/>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xml:space="preserve">Sales and marketing </w:t>
            </w:r>
            <w:r>
              <w:rPr>
                <w:rFonts w:ascii="Times New Roman" w:cs="Times New Roman" w:eastAsia="Times New Roman" w:hAnsi="Times New Roman"/>
                <w:sz w:val="20"/>
                <w:szCs w:val="20"/>
                <w:color w:val="auto"/>
                <w:vertAlign w:val="superscript"/>
              </w:rPr>
              <w:t>(1)</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14,714</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23,897</w:t>
            </w:r>
          </w:p>
        </w:tc>
        <w:tc>
          <w:tcPr>
            <w:tcW w:w="0" w:type="dxa"/>
            <w:vAlign w:val="bottom"/>
          </w:tcPr>
          <w:p>
            <w:pPr>
              <w:spacing w:after="0"/>
              <w:rPr>
                <w:sz w:val="1"/>
                <w:szCs w:val="1"/>
                <w:color w:val="auto"/>
              </w:rPr>
            </w:pPr>
          </w:p>
        </w:tc>
      </w:tr>
      <w:tr>
        <w:trPr>
          <w:trHeight w:val="205"/>
        </w:trPr>
        <w:tc>
          <w:tcPr>
            <w:tcW w:w="41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31,520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58,550</w:t>
            </w:r>
          </w:p>
        </w:tc>
        <w:tc>
          <w:tcPr>
            <w:tcW w:w="0" w:type="dxa"/>
            <w:vAlign w:val="bottom"/>
          </w:tcPr>
          <w:p>
            <w:pPr>
              <w:spacing w:after="0"/>
              <w:rPr>
                <w:sz w:val="1"/>
                <w:szCs w:val="1"/>
                <w:color w:val="auto"/>
              </w:rPr>
            </w:pPr>
          </w:p>
        </w:tc>
      </w:tr>
      <w:tr>
        <w:trPr>
          <w:trHeight w:val="35"/>
        </w:trPr>
        <w:tc>
          <w:tcPr>
            <w:tcW w:w="4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(12,265)</w:t>
            </w:r>
          </w:p>
        </w:tc>
        <w:tc>
          <w:tcPr>
            <w:tcW w:w="0" w:type="dxa"/>
            <w:vAlign w:val="bottom"/>
          </w:tcPr>
          <w:p>
            <w:pPr>
              <w:spacing w:after="0"/>
              <w:rPr>
                <w:sz w:val="1"/>
                <w:szCs w:val="1"/>
                <w:color w:val="auto"/>
              </w:rPr>
            </w:pPr>
          </w:p>
        </w:tc>
      </w:tr>
      <w:tr>
        <w:trPr>
          <w:trHeight w:val="214"/>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expenses, 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0" w:type="dxa"/>
            <w:vAlign w:val="bottom"/>
          </w:tcPr>
          <w:p>
            <w:pPr>
              <w:spacing w:after="0"/>
              <w:rPr>
                <w:sz w:val="1"/>
                <w:szCs w:val="1"/>
                <w:color w:val="auto"/>
              </w:rPr>
            </w:pPr>
          </w:p>
        </w:tc>
      </w:tr>
      <w:tr>
        <w:trPr>
          <w:trHeight w:val="35"/>
        </w:trPr>
        <w:tc>
          <w:tcPr>
            <w:tcW w:w="4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(10,928)</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(15,048)</w:t>
            </w:r>
          </w:p>
        </w:tc>
        <w:tc>
          <w:tcPr>
            <w:tcW w:w="0" w:type="dxa"/>
            <w:vAlign w:val="bottom"/>
          </w:tcPr>
          <w:p>
            <w:pPr>
              <w:spacing w:after="0"/>
              <w:rPr>
                <w:sz w:val="1"/>
                <w:szCs w:val="1"/>
                <w:color w:val="auto"/>
              </w:rPr>
            </w:pPr>
          </w:p>
        </w:tc>
      </w:tr>
      <w:tr>
        <w:trPr>
          <w:trHeight w:val="214"/>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0" w:type="dxa"/>
            <w:vAlign w:val="bottom"/>
          </w:tcPr>
          <w:p>
            <w:pPr>
              <w:spacing w:after="0"/>
              <w:rPr>
                <w:sz w:val="1"/>
                <w:szCs w:val="1"/>
                <w:color w:val="auto"/>
              </w:rPr>
            </w:pPr>
          </w:p>
        </w:tc>
      </w:tr>
      <w:tr>
        <w:trPr>
          <w:trHeight w:val="35"/>
        </w:trPr>
        <w:tc>
          <w:tcPr>
            <w:tcW w:w="4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(11,304)</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4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and diluted</w:t>
            </w: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08"/>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of common stock used to compute net</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per share:</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and diluted</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86,593,955</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82,011,477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85,867,683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81,890,624</w:t>
            </w:r>
          </w:p>
        </w:tc>
        <w:tc>
          <w:tcPr>
            <w:tcW w:w="0" w:type="dxa"/>
            <w:vAlign w:val="bottom"/>
          </w:tcPr>
          <w:p>
            <w:pPr>
              <w:spacing w:after="0"/>
              <w:rPr>
                <w:sz w:val="1"/>
                <w:szCs w:val="1"/>
                <w:color w:val="auto"/>
              </w:rPr>
            </w:pPr>
          </w:p>
        </w:tc>
      </w:tr>
      <w:tr>
        <w:trPr>
          <w:trHeight w:val="47"/>
        </w:trPr>
        <w:tc>
          <w:tcPr>
            <w:tcW w:w="4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558" w:hanging="558"/>
        <w:spacing w:after="0"/>
        <w:tabs>
          <w:tab w:leader="none" w:pos="558"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22860</wp:posOffset>
            </wp:positionV>
            <wp:extent cx="623316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33160" cy="15240"/>
                    </a:xfrm>
                    <a:prstGeom prst="rect">
                      <a:avLst/>
                    </a:prstGeom>
                    <a:noFill/>
                  </pic:spPr>
                </pic:pic>
              </a:graphicData>
            </a:graphic>
          </wp:anchor>
        </w:drawing>
      </w:r>
    </w:p>
    <w:p>
      <w:pPr>
        <w:sectPr>
          <w:pgSz w:w="11900" w:h="16838" w:orient="portrait"/>
          <w:cols w:equalWidth="0" w:num="1">
            <w:col w:w="10118"/>
          </w:cols>
          <w:pgMar w:left="882" w:top="337" w:right="899" w:bottom="1440" w:gutter="0" w:footer="0" w:header="0"/>
        </w:sectPr>
      </w:pPr>
    </w:p>
    <w:p>
      <w:pPr>
        <w:spacing w:after="0" w:line="73" w:lineRule="exact"/>
        <w:rPr>
          <w:sz w:val="20"/>
          <w:szCs w:val="20"/>
          <w:color w:val="auto"/>
        </w:rPr>
      </w:pPr>
    </w:p>
    <w:p>
      <w:pPr>
        <w:ind w:left="4998"/>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31115</wp:posOffset>
            </wp:positionV>
            <wp:extent cx="17722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72285" cy="7620"/>
                    </a:xfrm>
                    <a:prstGeom prst="rect">
                      <a:avLst/>
                    </a:prstGeom>
                    <a:noFill/>
                  </pic:spPr>
                </pic:pic>
              </a:graphicData>
            </a:graphic>
          </wp:anchor>
        </w:drawing>
      </w:r>
    </w:p>
    <w:p>
      <w:pPr>
        <w:spacing w:after="0" w:line="55" w:lineRule="exact"/>
        <w:rPr>
          <w:sz w:val="20"/>
          <w:szCs w:val="20"/>
          <w:color w:val="auto"/>
        </w:rPr>
      </w:pPr>
    </w:p>
    <w:p>
      <w:pPr>
        <w:ind w:left="4978"/>
        <w:spacing w:after="0"/>
        <w:tabs>
          <w:tab w:leader="none" w:pos="6397" w:val="left"/>
        </w:tabs>
        <w:rPr>
          <w:sz w:val="20"/>
          <w:szCs w:val="20"/>
          <w:color w:val="auto"/>
        </w:rPr>
      </w:pPr>
      <w:r>
        <w:rPr>
          <w:rFonts w:ascii="Times New Roman" w:cs="Times New Roman" w:eastAsia="Times New Roman" w:hAnsi="Times New Roman"/>
          <w:sz w:val="12"/>
          <w:szCs w:val="12"/>
          <w:b w:val="1"/>
          <w:bCs w:val="1"/>
          <w:color w:val="auto"/>
        </w:rPr>
        <w:t>2024</w:t>
      </w:r>
      <w:r>
        <w:rPr>
          <w:sz w:val="20"/>
          <w:szCs w:val="20"/>
          <w:color w:val="auto"/>
        </w:rPr>
        <w:tab/>
      </w:r>
      <w:r>
        <w:rPr>
          <w:rFonts w:ascii="Times New Roman" w:cs="Times New Roman" w:eastAsia="Times New Roman" w:hAnsi="Times New Roman"/>
          <w:sz w:val="12"/>
          <w:szCs w:val="12"/>
          <w:b w:val="1"/>
          <w:bCs w:val="1"/>
          <w:color w:val="auto"/>
        </w:rPr>
        <w:t>2023</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24130</wp:posOffset>
            </wp:positionV>
            <wp:extent cx="17799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79905" cy="7620"/>
                    </a:xfrm>
                    <a:prstGeom prst="rect">
                      <a:avLst/>
                    </a:prstGeom>
                    <a:noFill/>
                  </pic:spPr>
                </pic:pic>
              </a:graphicData>
            </a:graphic>
          </wp:anchor>
        </w:drawing>
      </w:r>
    </w:p>
    <w:p>
      <w:pPr>
        <w:spacing w:after="0" w:line="4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3"/>
          <w:szCs w:val="13"/>
          <w:b w:val="1"/>
          <w:bCs w:val="1"/>
          <w:color w:val="auto"/>
        </w:rPr>
        <w:t>2024</w:t>
      </w:r>
      <w:r>
        <w:rPr>
          <w:sz w:val="20"/>
          <w:szCs w:val="20"/>
          <w:color w:val="auto"/>
        </w:rPr>
        <w:tab/>
      </w:r>
      <w:r>
        <w:rPr>
          <w:rFonts w:ascii="Times New Roman" w:cs="Times New Roman" w:eastAsia="Times New Roman" w:hAnsi="Times New Roman"/>
          <w:sz w:val="13"/>
          <w:szCs w:val="13"/>
          <w:b w:val="1"/>
          <w:bCs w:val="1"/>
          <w:color w:val="auto"/>
        </w:rPr>
        <w:t>2023</w:t>
      </w:r>
    </w:p>
    <w:p>
      <w:pPr>
        <w:spacing w:after="0" w:line="18" w:lineRule="exact"/>
        <w:rPr>
          <w:sz w:val="20"/>
          <w:szCs w:val="20"/>
          <w:color w:val="auto"/>
        </w:rPr>
      </w:pPr>
    </w:p>
    <w:p>
      <w:pPr>
        <w:sectPr>
          <w:pgSz w:w="11900" w:h="16838" w:orient="portrait"/>
          <w:cols w:equalWidth="0" w:num="2">
            <w:col w:w="7138" w:space="720"/>
            <w:col w:w="2260"/>
          </w:cols>
          <w:pgMar w:left="882" w:top="337" w:right="899" w:bottom="1440" w:gutter="0" w:footer="0" w:header="0"/>
          <w:type w:val="continuous"/>
        </w:sectPr>
      </w:pPr>
    </w:p>
    <w:tbl>
      <w:tblPr>
        <w:tblLayout w:type="fixed"/>
        <w:tblInd w:w="298" w:type="dxa"/>
        <w:tblCellMar>
          <w:top w:w="0" w:type="dxa"/>
          <w:left w:w="0" w:type="dxa"/>
          <w:bottom w:w="0" w:type="dxa"/>
          <w:right w:w="0" w:type="dxa"/>
        </w:tblCellMar>
      </w:tblPr>
      <w:tr>
        <w:trPr>
          <w:trHeight w:val="193"/>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revenue, net</w:t>
            </w:r>
          </w:p>
        </w:tc>
        <w:tc>
          <w:tcPr>
            <w:tcW w:w="540" w:type="dxa"/>
            <w:vAlign w:val="bottom"/>
            <w:tcBorders>
              <w:top w:val="single" w:sz="8" w:color="auto"/>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jc w:val="right"/>
              <w:ind w:right="38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6,906</w:t>
            </w: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4,661</w:t>
            </w:r>
          </w:p>
        </w:tc>
      </w:tr>
      <w:tr>
        <w:trPr>
          <w:trHeight w:val="21"/>
        </w:trPr>
        <w:tc>
          <w:tcPr>
            <w:tcW w:w="4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1"/>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5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1,703</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2,376</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3,405</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5,020</w:t>
            </w: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 and marketing</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3,758</w:t>
            </w:r>
          </w:p>
        </w:tc>
      </w:tr>
      <w:tr>
        <w:trPr>
          <w:trHeight w:val="21"/>
        </w:trPr>
        <w:tc>
          <w:tcPr>
            <w:tcW w:w="4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stock-based compensation expense</w:t>
            </w:r>
          </w:p>
        </w:tc>
        <w:tc>
          <w:tcPr>
            <w:tcW w:w="540" w:type="dxa"/>
            <w:vAlign w:val="bottom"/>
            <w:tcBorders>
              <w:bottom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8,381</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10,341</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8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15,905</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20,345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118"/>
          </w:cols>
          <w:pgMar w:left="882" w:top="337" w:right="899" w:bottom="1440" w:gutter="0" w:footer="0" w:header="0"/>
          <w:type w:val="continuous"/>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Cash Flows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 in thousands)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jc w:val="right"/>
              <w:ind w:right="625"/>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39"/>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Cash flows from operating activities:</w:t>
            </w:r>
          </w:p>
        </w:tc>
        <w:tc>
          <w:tcPr>
            <w:tcW w:w="9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80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920" w:type="dxa"/>
            <w:vAlign w:val="bottom"/>
            <w:tcBorders>
              <w:bottom w:val="single" w:sz="8" w:color="CCEEFF"/>
            </w:tcBorders>
            <w:shd w:val="clear" w:color="auto" w:fill="CCEEFF"/>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(6,545)</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505"/>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(17,249)</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loss to net cash provided by operating activities:</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9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3,053</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2,789</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Reduction of operating lease right-of-use assets</w:t>
            </w: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334</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Loss on impairment, receivables and sale or disposal of equipment</w:t>
            </w:r>
          </w:p>
        </w:tc>
        <w:tc>
          <w:tcPr>
            <w:tcW w:w="9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402</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15,905</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20,345</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Amortization of original issue discount and debt issuance costs</w:t>
            </w:r>
          </w:p>
        </w:tc>
        <w:tc>
          <w:tcPr>
            <w:tcW w:w="9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49</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tax assets</w:t>
            </w: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Changes in assets and liabilities:</w:t>
            </w:r>
          </w:p>
        </w:tc>
        <w:tc>
          <w:tcPr>
            <w:tcW w:w="9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8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Accounts receivable, net</w:t>
            </w: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1,358</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Settlement assets, net</w:t>
            </w:r>
          </w:p>
        </w:tc>
        <w:tc>
          <w:tcPr>
            <w:tcW w:w="9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(7,876)</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(5,244)</w:t>
            </w:r>
          </w:p>
        </w:tc>
        <w:tc>
          <w:tcPr>
            <w:tcW w:w="0" w:type="dxa"/>
            <w:vAlign w:val="bottom"/>
          </w:tcPr>
          <w:p>
            <w:pPr>
              <w:spacing w:after="0"/>
              <w:rPr>
                <w:sz w:val="1"/>
                <w:szCs w:val="1"/>
                <w:color w:val="auto"/>
              </w:rPr>
            </w:pPr>
          </w:p>
        </w:tc>
      </w:tr>
      <w:tr>
        <w:trPr>
          <w:trHeight w:val="150"/>
        </w:trPr>
        <w:tc>
          <w:tcPr>
            <w:tcW w:w="8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Prepaid expenses</w:t>
            </w: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1,831</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3,775</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current assets</w:t>
            </w:r>
          </w:p>
        </w:tc>
        <w:tc>
          <w:tcPr>
            <w:tcW w:w="9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1,838</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(952)</w:t>
            </w:r>
          </w:p>
        </w:tc>
        <w:tc>
          <w:tcPr>
            <w:tcW w:w="0" w:type="dxa"/>
            <w:vAlign w:val="bottom"/>
          </w:tcPr>
          <w:p>
            <w:pPr>
              <w:spacing w:after="0"/>
              <w:rPr>
                <w:sz w:val="1"/>
                <w:szCs w:val="1"/>
                <w:color w:val="auto"/>
              </w:rPr>
            </w:pPr>
          </w:p>
        </w:tc>
      </w:tr>
      <w:tr>
        <w:trPr>
          <w:trHeight w:val="150"/>
        </w:trPr>
        <w:tc>
          <w:tcPr>
            <w:tcW w:w="8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 assets</w:t>
            </w: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Accounts payable</w:t>
            </w:r>
          </w:p>
        </w:tc>
        <w:tc>
          <w:tcPr>
            <w:tcW w:w="9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632</w:t>
            </w:r>
          </w:p>
        </w:tc>
        <w:tc>
          <w:tcPr>
            <w:tcW w:w="0" w:type="dxa"/>
            <w:vAlign w:val="bottom"/>
          </w:tcPr>
          <w:p>
            <w:pPr>
              <w:spacing w:after="0"/>
              <w:rPr>
                <w:sz w:val="1"/>
                <w:szCs w:val="1"/>
                <w:color w:val="auto"/>
              </w:rPr>
            </w:pPr>
          </w:p>
        </w:tc>
      </w:tr>
      <w:tr>
        <w:trPr>
          <w:trHeight w:val="150"/>
        </w:trPr>
        <w:tc>
          <w:tcPr>
            <w:tcW w:w="8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(1,105)</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2,670</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9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0" w:type="dxa"/>
            <w:vAlign w:val="bottom"/>
          </w:tcPr>
          <w:p>
            <w:pPr>
              <w:spacing w:after="0"/>
              <w:rPr>
                <w:sz w:val="1"/>
                <w:szCs w:val="1"/>
                <w:color w:val="auto"/>
              </w:rPr>
            </w:pPr>
          </w:p>
        </w:tc>
      </w:tr>
      <w:tr>
        <w:trPr>
          <w:trHeight w:val="150"/>
        </w:trPr>
        <w:tc>
          <w:tcPr>
            <w:tcW w:w="8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Settlement liabilities</w:t>
            </w: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4,887</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(1,382)</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liabilities</w:t>
            </w:r>
          </w:p>
        </w:tc>
        <w:tc>
          <w:tcPr>
            <w:tcW w:w="9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128</w:t>
            </w:r>
          </w:p>
        </w:tc>
        <w:tc>
          <w:tcPr>
            <w:tcW w:w="0" w:type="dxa"/>
            <w:vAlign w:val="bottom"/>
          </w:tcPr>
          <w:p>
            <w:pPr>
              <w:spacing w:after="0"/>
              <w:rPr>
                <w:sz w:val="1"/>
                <w:szCs w:val="1"/>
                <w:color w:val="auto"/>
              </w:rPr>
            </w:pPr>
          </w:p>
        </w:tc>
      </w:tr>
      <w:tr>
        <w:trPr>
          <w:trHeight w:val="142"/>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9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12,788</w:t>
            </w:r>
          </w:p>
        </w:tc>
        <w:tc>
          <w:tcPr>
            <w:tcW w:w="1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7,208</w:t>
            </w:r>
          </w:p>
        </w:tc>
        <w:tc>
          <w:tcPr>
            <w:tcW w:w="0" w:type="dxa"/>
            <w:vAlign w:val="bottom"/>
          </w:tcPr>
          <w:p>
            <w:pPr>
              <w:spacing w:after="0"/>
              <w:rPr>
                <w:sz w:val="1"/>
                <w:szCs w:val="1"/>
                <w:color w:val="auto"/>
              </w:rPr>
            </w:pPr>
          </w:p>
        </w:tc>
      </w:tr>
      <w:tr>
        <w:trPr>
          <w:trHeight w:val="39"/>
        </w:trPr>
        <w:tc>
          <w:tcPr>
            <w:tcW w:w="80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flows from investing activities:</w:t>
            </w:r>
          </w:p>
        </w:tc>
        <w:tc>
          <w:tcPr>
            <w:tcW w:w="9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Purchases of property and equipment</w:t>
            </w:r>
          </w:p>
        </w:tc>
        <w:tc>
          <w:tcPr>
            <w:tcW w:w="9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(479)</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Software development costs</w:t>
            </w:r>
          </w:p>
        </w:tc>
        <w:tc>
          <w:tcPr>
            <w:tcW w:w="9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(4,867)</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(2,043)</w:t>
            </w:r>
          </w:p>
        </w:tc>
        <w:tc>
          <w:tcPr>
            <w:tcW w:w="0" w:type="dxa"/>
            <w:vAlign w:val="bottom"/>
          </w:tcPr>
          <w:p>
            <w:pPr>
              <w:spacing w:after="0"/>
              <w:rPr>
                <w:sz w:val="1"/>
                <w:szCs w:val="1"/>
                <w:color w:val="auto"/>
              </w:rPr>
            </w:pPr>
          </w:p>
        </w:tc>
      </w:tr>
      <w:tr>
        <w:trPr>
          <w:trHeight w:val="142"/>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9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(4,867)</w:t>
            </w:r>
          </w:p>
        </w:tc>
        <w:tc>
          <w:tcPr>
            <w:tcW w:w="1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(2,522)</w:t>
            </w:r>
          </w:p>
        </w:tc>
        <w:tc>
          <w:tcPr>
            <w:tcW w:w="0" w:type="dxa"/>
            <w:vAlign w:val="bottom"/>
          </w:tcPr>
          <w:p>
            <w:pPr>
              <w:spacing w:after="0"/>
              <w:rPr>
                <w:sz w:val="1"/>
                <w:szCs w:val="1"/>
                <w:color w:val="auto"/>
              </w:rPr>
            </w:pPr>
          </w:p>
        </w:tc>
      </w:tr>
      <w:tr>
        <w:trPr>
          <w:trHeight w:val="39"/>
        </w:trPr>
        <w:tc>
          <w:tcPr>
            <w:tcW w:w="80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flows from financing activities:</w:t>
            </w:r>
          </w:p>
        </w:tc>
        <w:tc>
          <w:tcPr>
            <w:tcW w:w="9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Principal payments of finance leases</w:t>
            </w: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Principal payments of outstanding debt</w:t>
            </w:r>
          </w:p>
        </w:tc>
        <w:tc>
          <w:tcPr>
            <w:tcW w:w="9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(8,300)</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Payments for debt issuance costs</w:t>
            </w: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Repurchases of early exercised stock options</w:t>
            </w:r>
          </w:p>
        </w:tc>
        <w:tc>
          <w:tcPr>
            <w:tcW w:w="9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common stock purchased under Matching Plan</w:t>
            </w: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2,076</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 from issuance of common stock on exercise of stock options</w:t>
            </w:r>
          </w:p>
        </w:tc>
        <w:tc>
          <w:tcPr>
            <w:tcW w:w="9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125</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Payments for employee taxes withheld from stock-based awards</w:t>
            </w:r>
          </w:p>
        </w:tc>
        <w:tc>
          <w:tcPr>
            <w:tcW w:w="9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(1,524)</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Repurchase and retirement of common stock</w:t>
            </w:r>
          </w:p>
        </w:tc>
        <w:tc>
          <w:tcPr>
            <w:tcW w:w="9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0" w:type="dxa"/>
            <w:vAlign w:val="bottom"/>
          </w:tcPr>
          <w:p>
            <w:pPr>
              <w:spacing w:after="0"/>
              <w:rPr>
                <w:sz w:val="1"/>
                <w:szCs w:val="1"/>
                <w:color w:val="auto"/>
              </w:rPr>
            </w:pPr>
          </w:p>
        </w:tc>
      </w:tr>
      <w:tr>
        <w:trPr>
          <w:trHeight w:val="142"/>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cash provided by (used in) financing activities</w:t>
            </w:r>
          </w:p>
        </w:tc>
        <w:tc>
          <w:tcPr>
            <w:tcW w:w="9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1,816</w:t>
            </w:r>
          </w:p>
        </w:tc>
        <w:tc>
          <w:tcPr>
            <w:tcW w:w="1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(11,040)</w:t>
            </w:r>
          </w:p>
        </w:tc>
        <w:tc>
          <w:tcPr>
            <w:tcW w:w="0" w:type="dxa"/>
            <w:vAlign w:val="bottom"/>
          </w:tcPr>
          <w:p>
            <w:pPr>
              <w:spacing w:after="0"/>
              <w:rPr>
                <w:sz w:val="1"/>
                <w:szCs w:val="1"/>
                <w:color w:val="auto"/>
              </w:rPr>
            </w:pPr>
          </w:p>
        </w:tc>
      </w:tr>
      <w:tr>
        <w:trPr>
          <w:trHeight w:val="39"/>
        </w:trPr>
        <w:tc>
          <w:tcPr>
            <w:tcW w:w="80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increase (decrease) in cash and cash equivalents and restricted cash</w:t>
            </w:r>
          </w:p>
        </w:tc>
        <w:tc>
          <w:tcPr>
            <w:tcW w:w="9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9,737</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(6,354)</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 and restricted cash, beginning of period</w:t>
            </w: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96,658</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147,710</w:t>
            </w:r>
          </w:p>
        </w:tc>
        <w:tc>
          <w:tcPr>
            <w:tcW w:w="0" w:type="dxa"/>
            <w:vAlign w:val="bottom"/>
          </w:tcPr>
          <w:p>
            <w:pPr>
              <w:spacing w:after="0"/>
              <w:rPr>
                <w:sz w:val="1"/>
                <w:szCs w:val="1"/>
                <w:color w:val="auto"/>
              </w:rPr>
            </w:pPr>
          </w:p>
        </w:tc>
      </w:tr>
      <w:tr>
        <w:trPr>
          <w:trHeight w:val="39"/>
        </w:trPr>
        <w:tc>
          <w:tcPr>
            <w:tcW w:w="80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 and restricted cash, end of period</w:t>
            </w:r>
          </w:p>
        </w:tc>
        <w:tc>
          <w:tcPr>
            <w:tcW w:w="920" w:type="dxa"/>
            <w:vAlign w:val="bottom"/>
            <w:tcBorders>
              <w:bottom w:val="single" w:sz="8" w:color="auto"/>
            </w:tcBorders>
            <w:shd w:val="clear" w:color="auto" w:fill="CCEEFF"/>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106,395</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505"/>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141,356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Supplemental disclosure of cash flow information:</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02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paid for interest</w:t>
            </w:r>
          </w:p>
        </w:tc>
        <w:tc>
          <w:tcPr>
            <w:tcW w:w="920" w:type="dxa"/>
            <w:vAlign w:val="bottom"/>
            <w:tcBorders>
              <w:bottom w:val="single" w:sz="8" w:color="CCEEFF"/>
            </w:tcBorders>
            <w:shd w:val="clear" w:color="auto" w:fill="CCEEFF"/>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903</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505"/>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2,912</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paid for income taxes</w:t>
            </w:r>
          </w:p>
        </w:tc>
        <w:tc>
          <w:tcPr>
            <w:tcW w:w="920" w:type="dxa"/>
            <w:vAlign w:val="bottom"/>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2,439</w:t>
            </w:r>
          </w:p>
        </w:tc>
        <w:tc>
          <w:tcPr>
            <w:tcW w:w="100" w:type="dxa"/>
            <w:vAlign w:val="bottom"/>
          </w:tcPr>
          <w:p>
            <w:pPr>
              <w:spacing w:after="0"/>
              <w:rPr>
                <w:sz w:val="13"/>
                <w:szCs w:val="13"/>
                <w:color w:val="auto"/>
              </w:rPr>
            </w:pPr>
          </w:p>
        </w:tc>
        <w:tc>
          <w:tcPr>
            <w:tcW w:w="640" w:type="dxa"/>
            <w:vAlign w:val="bottom"/>
          </w:tcPr>
          <w:p>
            <w:pPr>
              <w:jc w:val="right"/>
              <w:ind w:right="505"/>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2,251</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Noncash investing and financing items:</w:t>
            </w:r>
          </w:p>
        </w:tc>
        <w:tc>
          <w:tcPr>
            <w:tcW w:w="9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capitalized as software development costs</w:t>
            </w:r>
          </w:p>
        </w:tc>
        <w:tc>
          <w:tcPr>
            <w:tcW w:w="920" w:type="dxa"/>
            <w:vAlign w:val="bottom"/>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1,561</w:t>
            </w:r>
          </w:p>
        </w:tc>
        <w:tc>
          <w:tcPr>
            <w:tcW w:w="100" w:type="dxa"/>
            <w:vAlign w:val="bottom"/>
          </w:tcPr>
          <w:p>
            <w:pPr>
              <w:spacing w:after="0"/>
              <w:rPr>
                <w:sz w:val="13"/>
                <w:szCs w:val="13"/>
                <w:color w:val="auto"/>
              </w:rPr>
            </w:pPr>
          </w:p>
        </w:tc>
        <w:tc>
          <w:tcPr>
            <w:tcW w:w="640" w:type="dxa"/>
            <w:vAlign w:val="bottom"/>
          </w:tcPr>
          <w:p>
            <w:pPr>
              <w:jc w:val="right"/>
              <w:ind w:right="505"/>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1,399</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Purchases of property and equipment and capitalized software in accounts payable and accrued expenses</w:t>
            </w:r>
          </w:p>
        </w:tc>
        <w:tc>
          <w:tcPr>
            <w:tcW w:w="920" w:type="dxa"/>
            <w:vAlign w:val="bottom"/>
            <w:tcBorders>
              <w:bottom w:val="single" w:sz="8" w:color="CCEEFF"/>
            </w:tcBorders>
            <w:shd w:val="clear" w:color="auto" w:fill="CCEEFF"/>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505"/>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373</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Right-of-use assets acquired through operating leases</w:t>
            </w:r>
          </w:p>
        </w:tc>
        <w:tc>
          <w:tcPr>
            <w:tcW w:w="920" w:type="dxa"/>
            <w:vAlign w:val="bottom"/>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505"/>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6,402</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Reconciliation of cash and cash equivalents and restricted cash to the Condensed Consolidated Balance Sheets</w:t>
            </w:r>
          </w:p>
        </w:tc>
        <w:tc>
          <w:tcPr>
            <w:tcW w:w="9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920" w:type="dxa"/>
            <w:vAlign w:val="bottom"/>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53,234</w:t>
            </w:r>
          </w:p>
        </w:tc>
        <w:tc>
          <w:tcPr>
            <w:tcW w:w="100" w:type="dxa"/>
            <w:vAlign w:val="bottom"/>
          </w:tcPr>
          <w:p>
            <w:pPr>
              <w:spacing w:after="0"/>
              <w:rPr>
                <w:sz w:val="13"/>
                <w:szCs w:val="13"/>
                <w:color w:val="auto"/>
              </w:rPr>
            </w:pPr>
          </w:p>
        </w:tc>
        <w:tc>
          <w:tcPr>
            <w:tcW w:w="640" w:type="dxa"/>
            <w:vAlign w:val="bottom"/>
          </w:tcPr>
          <w:p>
            <w:pPr>
              <w:jc w:val="right"/>
              <w:ind w:right="505"/>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97,795</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Restricted cash included in other current assets</w:t>
            </w:r>
          </w:p>
        </w:tc>
        <w:tc>
          <w:tcPr>
            <w:tcW w:w="9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30,591</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20,986</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Restricted cash included in settlement assets, net</w:t>
            </w: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22,570</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22,575</w:t>
            </w:r>
          </w:p>
        </w:tc>
        <w:tc>
          <w:tcPr>
            <w:tcW w:w="0" w:type="dxa"/>
            <w:vAlign w:val="bottom"/>
          </w:tcPr>
          <w:p>
            <w:pPr>
              <w:spacing w:after="0"/>
              <w:rPr>
                <w:sz w:val="1"/>
                <w:szCs w:val="1"/>
                <w:color w:val="auto"/>
              </w:rPr>
            </w:pPr>
          </w:p>
        </w:tc>
      </w:tr>
      <w:tr>
        <w:trPr>
          <w:trHeight w:val="39"/>
        </w:trPr>
        <w:tc>
          <w:tcPr>
            <w:tcW w:w="80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cash, cash equivalents and restricted cash</w:t>
            </w:r>
          </w:p>
        </w:tc>
        <w:tc>
          <w:tcPr>
            <w:tcW w:w="920" w:type="dxa"/>
            <w:vAlign w:val="bottom"/>
            <w:tcBorders>
              <w:bottom w:val="single" w:sz="8" w:color="auto"/>
            </w:tcBorders>
            <w:shd w:val="clear" w:color="auto" w:fill="CCEEFF"/>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106,395</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505"/>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141,356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337"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Reconciliation of GAAP to Non-GAAP Financial Measures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 in thousands, except percentages)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Adjusted EBITDA and Adjusted 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714946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20" w:type="dxa"/>
            <w:vAlign w:val="bottom"/>
            <w:gridSpan w:val="6"/>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700" w:type="dxa"/>
            <w:vAlign w:val="bottom"/>
          </w:tcPr>
          <w:p>
            <w:pPr>
              <w:spacing w:after="0"/>
              <w:rPr>
                <w:sz w:val="14"/>
                <w:szCs w:val="14"/>
                <w:color w:val="auto"/>
              </w:rPr>
            </w:pPr>
          </w:p>
        </w:tc>
      </w:tr>
      <w:tr>
        <w:trPr>
          <w:trHeight w:val="21"/>
        </w:trPr>
        <w:tc>
          <w:tcPr>
            <w:tcW w:w="6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2"/>
        </w:trPr>
        <w:tc>
          <w:tcPr>
            <w:tcW w:w="6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tcPr>
          <w:p>
            <w:pPr>
              <w:spacing w:after="0"/>
              <w:rPr>
                <w:sz w:val="14"/>
                <w:szCs w:val="14"/>
                <w:color w:val="auto"/>
              </w:rPr>
            </w:pPr>
          </w:p>
        </w:tc>
      </w:tr>
      <w:tr>
        <w:trPr>
          <w:trHeight w:val="21"/>
        </w:trPr>
        <w:tc>
          <w:tcPr>
            <w:tcW w:w="6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85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(2,764)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82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5"/>
              </w:rPr>
              <w:t>(11,304)</w:t>
            </w:r>
          </w:p>
        </w:tc>
      </w:tr>
      <w:tr>
        <w:trPr>
          <w:trHeight w:val="21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margin</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5"/>
        </w:trPr>
        <w:tc>
          <w:tcPr>
            <w:tcW w:w="6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10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r>
      <w:tr>
        <w:trPr>
          <w:trHeight w:val="21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2,723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376</w:t>
            </w:r>
          </w:p>
        </w:tc>
      </w:tr>
      <w:tr>
        <w:trPr>
          <w:trHeight w:val="35"/>
        </w:trPr>
        <w:tc>
          <w:tcPr>
            <w:tcW w:w="6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other expenses, net</w:t>
            </w:r>
          </w:p>
        </w:tc>
        <w:tc>
          <w:tcPr>
            <w:tcW w:w="10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260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1,367</w:t>
            </w:r>
          </w:p>
        </w:tc>
      </w:tr>
      <w:tr>
        <w:trPr>
          <w:trHeight w:val="21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1,590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1,376</w:t>
            </w:r>
          </w:p>
        </w:tc>
      </w:tr>
      <w:tr>
        <w:trPr>
          <w:trHeight w:val="35"/>
        </w:trPr>
        <w:tc>
          <w:tcPr>
            <w:tcW w:w="6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8,381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10,341</w:t>
            </w:r>
          </w:p>
        </w:tc>
      </w:tr>
      <w:tr>
        <w:trPr>
          <w:trHeight w:val="235"/>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Borders>
              <w:top w:val="single" w:sz="8" w:color="auto"/>
              <w:bottom w:val="single" w:sz="8" w:color="auto"/>
            </w:tcBorders>
            <w:gridSpan w:val="2"/>
          </w:tcPr>
          <w:p>
            <w:pPr>
              <w:jc w:val="right"/>
              <w:ind w:right="85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10,190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bottom w:val="single" w:sz="8" w:color="auto"/>
            </w:tcBorders>
            <w:gridSpan w:val="2"/>
          </w:tcPr>
          <w:p>
            <w:pPr>
              <w:jc w:val="right"/>
              <w:ind w:right="82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2,156</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10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47"/>
        </w:trPr>
        <w:tc>
          <w:tcPr>
            <w:tcW w:w="6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477"/>
        </w:trPr>
        <w:tc>
          <w:tcPr>
            <w:tcW w:w="61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Non-GAAP Net Income and Non-GAAP Net Income Margin</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
        </w:trPr>
        <w:tc>
          <w:tcPr>
            <w:tcW w:w="6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0"/>
        </w:trPr>
        <w:tc>
          <w:tcPr>
            <w:tcW w:w="6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20" w:type="dxa"/>
            <w:vAlign w:val="bottom"/>
            <w:gridSpan w:val="6"/>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700" w:type="dxa"/>
            <w:vAlign w:val="bottom"/>
          </w:tcPr>
          <w:p>
            <w:pPr>
              <w:spacing w:after="0"/>
              <w:rPr>
                <w:sz w:val="15"/>
                <w:szCs w:val="15"/>
                <w:color w:val="auto"/>
              </w:rPr>
            </w:pPr>
          </w:p>
        </w:tc>
      </w:tr>
      <w:tr>
        <w:trPr>
          <w:trHeight w:val="21"/>
        </w:trPr>
        <w:tc>
          <w:tcPr>
            <w:tcW w:w="6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2"/>
        </w:trPr>
        <w:tc>
          <w:tcPr>
            <w:tcW w:w="6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tcPr>
          <w:p>
            <w:pPr>
              <w:spacing w:after="0"/>
              <w:rPr>
                <w:sz w:val="14"/>
                <w:szCs w:val="14"/>
                <w:color w:val="auto"/>
              </w:rPr>
            </w:pPr>
          </w:p>
        </w:tc>
      </w:tr>
      <w:tr>
        <w:trPr>
          <w:trHeight w:val="21"/>
        </w:trPr>
        <w:tc>
          <w:tcPr>
            <w:tcW w:w="6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85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(2,764)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82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5"/>
              </w:rPr>
              <w:t>(11,304)</w:t>
            </w:r>
          </w:p>
        </w:tc>
      </w:tr>
      <w:tr>
        <w:trPr>
          <w:trHeight w:val="21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margin</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5"/>
        </w:trPr>
        <w:tc>
          <w:tcPr>
            <w:tcW w:w="6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10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r>
      <w:tr>
        <w:trPr>
          <w:trHeight w:val="21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8,381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10,341</w:t>
            </w:r>
          </w:p>
        </w:tc>
      </w:tr>
      <w:tr>
        <w:trPr>
          <w:trHeight w:val="35"/>
        </w:trPr>
        <w:tc>
          <w:tcPr>
            <w:tcW w:w="61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6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income (loss)</w:t>
            </w:r>
          </w:p>
        </w:tc>
        <w:tc>
          <w:tcPr>
            <w:tcW w:w="10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gridSpan w:val="2"/>
            <w:shd w:val="clear" w:color="auto" w:fill="CCEEFF"/>
          </w:tcPr>
          <w:p>
            <w:pPr>
              <w:jc w:val="right"/>
              <w:ind w:right="85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5,617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gridSpan w:val="2"/>
            <w:shd w:val="clear" w:color="auto" w:fill="CCEEFF"/>
          </w:tcPr>
          <w:p>
            <w:pPr>
              <w:jc w:val="right"/>
              <w:ind w:right="82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(963)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 (loss) margin</w:t>
            </w: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82"/>
        </w:trPr>
        <w:tc>
          <w:tcPr>
            <w:tcW w:w="61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r>
      <w:tr>
        <w:trPr>
          <w:trHeight w:val="477"/>
        </w:trPr>
        <w:tc>
          <w:tcPr>
            <w:tcW w:w="61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Adjusted Operating Cash Flow and Free Cash Flow</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8"/>
        </w:trPr>
        <w:tc>
          <w:tcPr>
            <w:tcW w:w="6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r>
      <w:tr>
        <w:trPr>
          <w:trHeight w:val="167"/>
        </w:trPr>
        <w:tc>
          <w:tcPr>
            <w:tcW w:w="6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Three Months Ended March</w:t>
            </w:r>
          </w:p>
        </w:tc>
      </w:tr>
      <w:tr>
        <w:trPr>
          <w:trHeight w:val="178"/>
        </w:trPr>
        <w:tc>
          <w:tcPr>
            <w:tcW w:w="6100" w:type="dxa"/>
            <w:vAlign w:val="bottom"/>
          </w:tcPr>
          <w:p>
            <w:pPr>
              <w:spacing w:after="0"/>
              <w:rPr>
                <w:sz w:val="15"/>
                <w:szCs w:val="15"/>
                <w:color w:val="auto"/>
              </w:rPr>
            </w:pPr>
          </w:p>
        </w:tc>
        <w:tc>
          <w:tcPr>
            <w:tcW w:w="2720" w:type="dxa"/>
            <w:vAlign w:val="bottom"/>
            <w:gridSpan w:val="5"/>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31,</w:t>
            </w:r>
          </w:p>
        </w:tc>
        <w:tc>
          <w:tcPr>
            <w:tcW w:w="700" w:type="dxa"/>
            <w:vAlign w:val="bottom"/>
          </w:tcPr>
          <w:p>
            <w:pPr>
              <w:spacing w:after="0"/>
              <w:rPr>
                <w:sz w:val="15"/>
                <w:szCs w:val="15"/>
                <w:color w:val="auto"/>
              </w:rPr>
            </w:pPr>
          </w:p>
        </w:tc>
      </w:tr>
      <w:tr>
        <w:trPr>
          <w:trHeight w:val="21"/>
        </w:trPr>
        <w:tc>
          <w:tcPr>
            <w:tcW w:w="6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2"/>
        </w:trPr>
        <w:tc>
          <w:tcPr>
            <w:tcW w:w="6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00" w:type="dxa"/>
            <w:vAlign w:val="bottom"/>
          </w:tcPr>
          <w:p>
            <w:pPr>
              <w:spacing w:after="0"/>
              <w:rPr>
                <w:sz w:val="14"/>
                <w:szCs w:val="14"/>
                <w:color w:val="auto"/>
              </w:rPr>
            </w:pPr>
          </w:p>
        </w:tc>
      </w:tr>
      <w:tr>
        <w:trPr>
          <w:trHeight w:val="21"/>
        </w:trPr>
        <w:tc>
          <w:tcPr>
            <w:tcW w:w="6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00" w:type="dxa"/>
            <w:vAlign w:val="bottom"/>
            <w:tcBorders>
              <w:bottom w:val="single" w:sz="8" w:color="CCEEFF"/>
            </w:tcBorders>
            <w:shd w:val="clear" w:color="auto" w:fill="CCEEFF"/>
          </w:tcPr>
          <w:p>
            <w:pPr>
              <w:jc w:val="right"/>
              <w:ind w:right="82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9,317</w:t>
            </w:r>
          </w:p>
        </w:tc>
        <w:tc>
          <w:tcPr>
            <w:tcW w:w="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81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(434)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78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3,471</w:t>
            </w:r>
          </w:p>
        </w:tc>
      </w:tr>
      <w:tr>
        <w:trPr>
          <w:trHeight w:val="21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cash flow margin</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35"/>
        </w:trPr>
        <w:tc>
          <w:tcPr>
            <w:tcW w:w="6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changes in assets and liabilities:</w:t>
            </w:r>
          </w:p>
        </w:tc>
        <w:tc>
          <w:tcPr>
            <w:tcW w:w="10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r>
      <w:tr>
        <w:trPr>
          <w:trHeight w:val="214"/>
        </w:trPr>
        <w:tc>
          <w:tcPr>
            <w:tcW w:w="6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Settlement assets</w:t>
            </w:r>
          </w:p>
        </w:tc>
        <w:tc>
          <w:tcPr>
            <w:tcW w:w="1000" w:type="dxa"/>
            <w:vAlign w:val="bottom"/>
          </w:tcPr>
          <w:p>
            <w:pPr>
              <w:spacing w:after="0"/>
              <w:rPr>
                <w:sz w:val="18"/>
                <w:szCs w:val="18"/>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1,756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2,561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6,120</w:t>
            </w:r>
          </w:p>
        </w:tc>
      </w:tr>
      <w:tr>
        <w:trPr>
          <w:trHeight w:val="35"/>
        </w:trPr>
        <w:tc>
          <w:tcPr>
            <w:tcW w:w="6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48"/>
        </w:trPr>
        <w:tc>
          <w:tcPr>
            <w:tcW w:w="6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Settlement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(3,317)</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(1,570)</w:t>
            </w:r>
          </w:p>
        </w:tc>
      </w:tr>
      <w:tr>
        <w:trPr>
          <w:trHeight w:val="205"/>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operating cash flow</w:t>
            </w:r>
          </w:p>
        </w:tc>
        <w:tc>
          <w:tcPr>
            <w:tcW w:w="10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7,756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2,771</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8,021</w:t>
            </w:r>
          </w:p>
        </w:tc>
      </w:tr>
      <w:tr>
        <w:trPr>
          <w:trHeight w:val="35"/>
        </w:trPr>
        <w:tc>
          <w:tcPr>
            <w:tcW w:w="6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0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0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r>
      <w:tr>
        <w:trPr>
          <w:trHeight w:val="214"/>
        </w:trPr>
        <w:tc>
          <w:tcPr>
            <w:tcW w:w="6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35"/>
        </w:trPr>
        <w:tc>
          <w:tcPr>
            <w:tcW w:w="6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48"/>
        </w:trPr>
        <w:tc>
          <w:tcPr>
            <w:tcW w:w="6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Software development costs</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(2,038)</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(2,829)</w:t>
            </w:r>
          </w:p>
        </w:tc>
      </w:tr>
      <w:tr>
        <w:trPr>
          <w:trHeight w:val="235"/>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100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5,718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1,147</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78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5,192</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 margin</w:t>
            </w:r>
          </w:p>
        </w:tc>
        <w:tc>
          <w:tcPr>
            <w:tcW w:w="10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3 %</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47"/>
        </w:trPr>
        <w:tc>
          <w:tcPr>
            <w:tcW w:w="6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337" w:right="31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0140"/>
          </w:cols>
          <w:pgMar w:left="1440" w:top="124" w:right="31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140"/>
          </w:cols>
          <w:pgMar w:left="1440" w:top="124" w:right="31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140"/>
          </w:cols>
          <w:pgMar w:left="1440" w:top="124" w:right="31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140"/>
          </w:cols>
          <w:pgMar w:left="1440" w:top="124" w:right="31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140"/>
          </w:cols>
          <w:pgMar w:left="1440" w:top="124" w:right="31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0140"/>
          </w:cols>
          <w:pgMar w:left="1440" w:top="124" w:right="31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0140"/>
          </w:cols>
          <w:pgMar w:left="1440" w:top="124" w:right="31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0140"/>
          </w:cols>
          <w:pgMar w:left="1440" w:top="124" w:right="31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0140"/>
          </w:cols>
          <w:pgMar w:left="1440" w:top="124" w:right="31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0140"/>
          </w:cols>
          <w:pgMar w:left="1440" w:top="124" w:right="31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433705</wp:posOffset>
            </wp:positionV>
            <wp:extent cx="7204075" cy="4055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0140"/>
          </w:cols>
          <w:pgMar w:left="1440" w:top="124" w:right="31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0140"/>
          </w:cols>
          <w:pgMar w:left="1440" w:top="124" w:right="31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0140"/>
          </w:cols>
          <w:pgMar w:left="1440" w:top="124" w:right="31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0140"/>
          </w:cols>
          <w:pgMar w:left="1440" w:top="124" w:right="31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10140"/>
          </w:cols>
          <w:pgMar w:left="1440" w:top="124" w:right="31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10140"/>
          </w:cols>
          <w:pgMar w:left="1440" w:top="124" w:right="31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17</w:t>
      </w:r>
    </w:p>
    <w:p>
      <w:pPr>
        <w:sectPr>
          <w:pgSz w:w="11900" w:h="16838" w:orient="portrait"/>
          <w:cols w:equalWidth="0" w:num="1">
            <w:col w:w="10140"/>
          </w:cols>
          <w:pgMar w:left="1440" w:top="124" w:right="31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18</w:t>
      </w:r>
    </w:p>
    <w:p>
      <w:pPr>
        <w:sectPr>
          <w:pgSz w:w="11900" w:h="16838" w:orient="portrait"/>
          <w:cols w:equalWidth="0" w:num="1">
            <w:col w:w="10140"/>
          </w:cols>
          <w:pgMar w:left="1440" w:top="124" w:right="31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19</w:t>
      </w:r>
    </w:p>
    <w:p>
      <w:pPr>
        <w:sectPr>
          <w:pgSz w:w="11900" w:h="16838" w:orient="portrait"/>
          <w:cols w:equalWidth="0" w:num="1">
            <w:col w:w="10140"/>
          </w:cols>
          <w:pgMar w:left="1440" w:top="124" w:right="31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20</w:t>
      </w:r>
    </w:p>
    <w:p>
      <w:pPr>
        <w:sectPr>
          <w:pgSz w:w="11900" w:h="16838" w:orient="portrait"/>
          <w:cols w:equalWidth="0" w:num="1">
            <w:col w:w="10140"/>
          </w:cols>
          <w:pgMar w:left="1440" w:top="124" w:right="31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298450</wp:posOffset>
            </wp:positionV>
            <wp:extent cx="2162810" cy="4686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62810" cy="4686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21</w:t>
      </w:r>
    </w:p>
    <w:p>
      <w:pPr>
        <w:sectPr>
          <w:pgSz w:w="11900" w:h="16838" w:orient="portrait"/>
          <w:cols w:equalWidth="0" w:num="1">
            <w:col w:w="10140"/>
          </w:cols>
          <w:pgMar w:left="1440" w:top="124" w:right="31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22</w:t>
      </w:r>
    </w:p>
    <w:p>
      <w:pPr>
        <w:sectPr>
          <w:pgSz w:w="11900" w:h="16838" w:orient="portrait"/>
          <w:cols w:equalWidth="0" w:num="1">
            <w:col w:w="10140"/>
          </w:cols>
          <w:pgMar w:left="1440" w:top="124" w:right="3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23</w:t>
      </w:r>
    </w:p>
    <w:p>
      <w:pPr>
        <w:sectPr>
          <w:pgSz w:w="11900" w:h="16838" w:orient="portrait"/>
          <w:cols w:equalWidth="0" w:num="1">
            <w:col w:w="10140"/>
          </w:cols>
          <w:pgMar w:left="1440" w:top="124" w:right="31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24</w:t>
      </w:r>
    </w:p>
    <w:p>
      <w:pPr>
        <w:sectPr>
          <w:pgSz w:w="11900" w:h="16838" w:orient="portrait"/>
          <w:cols w:equalWidth="0" w:num="1">
            <w:col w:w="10140"/>
          </w:cols>
          <w:pgMar w:left="1440" w:top="124" w:right="31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25</w:t>
      </w:r>
    </w:p>
    <w:p>
      <w:pPr>
        <w:sectPr>
          <w:pgSz w:w="11900" w:h="16838" w:orient="portrait"/>
          <w:cols w:equalWidth="0" w:num="1">
            <w:col w:w="10140"/>
          </w:cols>
          <w:pgMar w:left="1440" w:top="124" w:right="31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26</w:t>
      </w:r>
    </w:p>
    <w:p>
      <w:pPr>
        <w:sectPr>
          <w:pgSz w:w="11900" w:h="16838" w:orient="portrait"/>
          <w:cols w:equalWidth="0" w:num="1">
            <w:col w:w="10140"/>
          </w:cols>
          <w:pgMar w:left="1440" w:top="124" w:right="31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27</w:t>
      </w:r>
    </w:p>
    <w:p>
      <w:pPr>
        <w:sectPr>
          <w:pgSz w:w="11900" w:h="16838" w:orient="portrait"/>
          <w:cols w:equalWidth="0" w:num="1">
            <w:col w:w="10140"/>
          </w:cols>
          <w:pgMar w:left="1440" w:top="124" w:right="31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28</w:t>
      </w:r>
    </w:p>
    <w:p>
      <w:pPr>
        <w:sectPr>
          <w:pgSz w:w="11900" w:h="16838" w:orient="portrait"/>
          <w:cols w:equalWidth="0" w:num="1">
            <w:col w:w="10140"/>
          </w:cols>
          <w:pgMar w:left="1440" w:top="124" w:right="3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29</w:t>
      </w:r>
    </w:p>
    <w:p>
      <w:pPr>
        <w:sectPr>
          <w:pgSz w:w="11900" w:h="16838" w:orient="portrait"/>
          <w:cols w:equalWidth="0" w:num="1">
            <w:col w:w="10140"/>
          </w:cols>
          <w:pgMar w:left="1440" w:top="124" w:right="3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30</w:t>
      </w:r>
    </w:p>
    <w:p>
      <w:pPr>
        <w:sectPr>
          <w:pgSz w:w="11900" w:h="16838" w:orient="portrait"/>
          <w:cols w:equalWidth="0" w:num="1">
            <w:col w:w="10140"/>
          </w:cols>
          <w:pgMar w:left="1440" w:top="124" w:right="3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31</w:t>
      </w:r>
    </w:p>
    <w:p>
      <w:pPr>
        <w:sectPr>
          <w:pgSz w:w="11900" w:h="16838" w:orient="portrait"/>
          <w:cols w:equalWidth="0" w:num="1">
            <w:col w:w="10140"/>
          </w:cols>
          <w:pgMar w:left="1440" w:top="124" w:right="3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32</w:t>
      </w:r>
    </w:p>
    <w:p>
      <w:pPr>
        <w:sectPr>
          <w:pgSz w:w="11900" w:h="16838" w:orient="portrait"/>
          <w:cols w:equalWidth="0" w:num="1">
            <w:col w:w="10140"/>
          </w:cols>
          <w:pgMar w:left="1440" w:top="124" w:right="3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33</w:t>
      </w:r>
    </w:p>
    <w:p>
      <w:pPr>
        <w:sectPr>
          <w:pgSz w:w="11900" w:h="16838" w:orient="portrait"/>
          <w:cols w:equalWidth="0" w:num="1">
            <w:col w:w="10140"/>
          </w:cols>
          <w:pgMar w:left="1440" w:top="124" w:right="3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34</w:t>
      </w:r>
    </w:p>
    <w:p>
      <w:pPr>
        <w:sectPr>
          <w:pgSz w:w="11900" w:h="16838" w:orient="portrait"/>
          <w:cols w:equalWidth="0" w:num="1">
            <w:col w:w="10140"/>
          </w:cols>
          <w:pgMar w:left="1440" w:top="124" w:right="3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35</w:t>
      </w:r>
    </w:p>
    <w:p>
      <w:pPr>
        <w:sectPr>
          <w:pgSz w:w="11900" w:h="16838" w:orient="portrait"/>
          <w:cols w:equalWidth="0" w:num="1">
            <w:col w:w="10140"/>
          </w:cols>
          <w:pgMar w:left="1440" w:top="124" w:right="31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36</w:t>
      </w:r>
    </w:p>
    <w:sectPr>
      <w:pgSz w:w="11900" w:h="16838" w:orient="portrait"/>
      <w:cols w:equalWidth="0" w:num="1">
        <w:col w:w="10140"/>
      </w:cols>
      <w:pgMar w:left="1440" w:top="12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2024-08-08T15:15:26Z</dcterms:created>
  <dcterms:modified xsi:type="dcterms:W3CDTF">2024-08-08T15:15:26Z</dcterms:modified>
</cp:coreProperties>
</file>