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002"/>
        <w:gridCol w:w="437"/>
        <w:gridCol w:w="700"/>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6.02</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5,692,026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74,946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5.83</w:t>
            </w:r>
            <w:r>
              <w:rPr>
                <w:rFonts w:ascii="Times;serif" w:hAnsi="Times;serif"/>
                <w:color w:val="008000"/>
                <w:position w:val="7"/>
                <w:sz w:val="16"/>
                <w:sz w:val="20"/>
                <w:shd w:fill="FFFFFF" w:val="clear"/>
              </w:rPr>
              <w:t>(3)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5,766,972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$5.85 to $6.10,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purchase price for shares of Class A Common Stock purchased. Actual purchase price for shares purchased ranged from $5.72 to $6.03,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4626</Characters>
  <CharactersWithSpaces>5368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