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5937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937250"/>
                    </a:xfrm>
                    <a:prstGeom prst="rect">
                      <a:avLst/>
                    </a:prstGeom>
                    <a:noFill/>
                  </pic:spPr>
                </pic:pic>
              </a:graphicData>
            </a:graphic>
          </wp:anchor>
        </w:drawing>
      </w:r>
    </w:p>
    <w:p>
      <w:pPr>
        <w:spacing w:after="0" w:line="1204" w:lineRule="exact"/>
        <w:rPr>
          <w:sz w:val="24"/>
          <w:szCs w:val="24"/>
          <w:color w:val="auto"/>
        </w:rPr>
      </w:pPr>
    </w:p>
    <w:p>
      <w:pPr>
        <w:sectPr>
          <w:pgSz w:w="11900" w:h="16859"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Mills Jason Fahr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 KEARNY ST, STE 1600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Expensify,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4"/>
          <w:szCs w:val="24"/>
          <w:color w:val="auto"/>
        </w:rPr>
      </w:pPr>
    </w:p>
    <w:p>
      <w:pPr>
        <w:sectPr>
          <w:pgSz w:w="11900" w:h="16859" w:orient="portrait"/>
          <w:cols w:equalWidth="0" w:num="3">
            <w:col w:w="3180" w:space="720"/>
            <w:col w:w="3115" w:space="720"/>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52"/>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jc w:val="center"/>
              <w:ind w:left="652"/>
              <w:spacing w:after="0"/>
              <w:rPr>
                <w:sz w:val="20"/>
                <w:szCs w:val="20"/>
                <w:color w:val="auto"/>
              </w:rPr>
            </w:pPr>
            <w:r>
              <w:rPr>
                <w:rFonts w:ascii="Times New Roman" w:cs="Times New Roman" w:eastAsia="Times New Roman" w:hAnsi="Times New Roman"/>
                <w:sz w:val="17"/>
                <w:szCs w:val="17"/>
                <w:color w:val="0000FF"/>
                <w:w w:val="98"/>
              </w:rPr>
              <w:t>12/15/2025</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3,821</w:t>
            </w:r>
          </w:p>
        </w:tc>
        <w:tc>
          <w:tcPr>
            <w:tcW w:w="60" w:type="dxa"/>
            <w:vAlign w:val="bottom"/>
          </w:tcPr>
          <w:p>
            <w:pPr>
              <w:spacing w:after="0"/>
              <w:rPr>
                <w:sz w:val="22"/>
                <w:szCs w:val="22"/>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8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490,783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652"/>
              <w:spacing w:after="0"/>
              <w:rPr>
                <w:sz w:val="20"/>
                <w:szCs w:val="20"/>
                <w:color w:val="auto"/>
              </w:rPr>
            </w:pPr>
            <w:r>
              <w:rPr>
                <w:rFonts w:ascii="Times New Roman" w:cs="Times New Roman" w:eastAsia="Times New Roman" w:hAnsi="Times New Roman"/>
                <w:sz w:val="17"/>
                <w:szCs w:val="17"/>
                <w:color w:val="0000FF"/>
                <w:w w:val="98"/>
              </w:rPr>
              <w:t>12/30/2025</w:t>
            </w: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3,821</w:t>
            </w:r>
            <w:r>
              <w:rPr>
                <w:rFonts w:ascii="Times New Roman" w:cs="Times New Roman" w:eastAsia="Times New Roman" w:hAnsi="Times New Roman"/>
                <w:sz w:val="21"/>
                <w:szCs w:val="21"/>
                <w:color w:val="008000"/>
                <w:vertAlign w:val="superscript"/>
              </w:rPr>
              <w:t>(2)</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86"/>
              </w:rPr>
              <w:t>$</w:t>
            </w:r>
            <w:r>
              <w:rPr>
                <w:rFonts w:ascii="Times New Roman" w:cs="Times New Roman" w:eastAsia="Times New Roman" w:hAnsi="Times New Roman"/>
                <w:sz w:val="17"/>
                <w:szCs w:val="17"/>
                <w:color w:val="0000FF"/>
                <w:w w:val="86"/>
              </w:rPr>
              <w:t>1.52</w:t>
            </w:r>
            <w:r>
              <w:rPr>
                <w:rFonts w:ascii="Times New Roman" w:cs="Times New Roman" w:eastAsia="Times New Roman" w:hAnsi="Times New Roman"/>
                <w:sz w:val="21"/>
                <w:szCs w:val="21"/>
                <w:color w:val="008000"/>
                <w:w w:val="86"/>
                <w:vertAlign w:val="superscript"/>
              </w:rPr>
              <w:t>(3)</w:t>
            </w: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486,962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92"/>
              <w:spacing w:after="0"/>
              <w:rPr>
                <w:sz w:val="20"/>
                <w:szCs w:val="20"/>
                <w:color w:val="auto"/>
              </w:rPr>
            </w:pPr>
            <w:r>
              <w:rPr>
                <w:rFonts w:ascii="Times New Roman" w:cs="Times New Roman" w:eastAsia="Times New Roman" w:hAnsi="Times New Roman"/>
                <w:sz w:val="17"/>
                <w:szCs w:val="17"/>
                <w:color w:val="0000FF"/>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12/15/2025</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w w:val="86"/>
              </w:rPr>
              <w:t>M</w:t>
            </w:r>
          </w:p>
        </w:tc>
        <w:tc>
          <w:tcPr>
            <w:tcW w:w="46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3,821</w:t>
            </w:r>
          </w:p>
        </w:tc>
        <w:tc>
          <w:tcPr>
            <w:tcW w:w="760" w:type="dxa"/>
            <w:vAlign w:val="bottom"/>
            <w:gridSpan w:val="2"/>
            <w:vMerge w:val="continue"/>
          </w:tcPr>
          <w:p>
            <w:pPr>
              <w:spacing w:after="0"/>
              <w:rPr>
                <w:sz w:val="12"/>
                <w:szCs w:val="12"/>
                <w:color w:val="auto"/>
              </w:rPr>
            </w:pPr>
          </w:p>
        </w:tc>
        <w:tc>
          <w:tcPr>
            <w:tcW w:w="74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1"/>
              <w:spacing w:after="0" w:line="140" w:lineRule="exact"/>
              <w:rPr>
                <w:sz w:val="20"/>
                <w:szCs w:val="20"/>
                <w:color w:val="auto"/>
              </w:rPr>
            </w:pPr>
            <w:r>
              <w:rPr>
                <w:rFonts w:ascii="Times New Roman" w:cs="Times New Roman" w:eastAsia="Times New Roman" w:hAnsi="Times New Roman"/>
                <w:sz w:val="13"/>
                <w:szCs w:val="13"/>
                <w:color w:val="0000FF"/>
              </w:rPr>
              <w:t>57,319</w:t>
            </w:r>
          </w:p>
        </w:tc>
        <w:tc>
          <w:tcPr>
            <w:tcW w:w="280" w:type="dxa"/>
            <w:vAlign w:val="bottom"/>
          </w:tcPr>
          <w:p>
            <w:pPr>
              <w:spacing w:after="0"/>
              <w:rPr>
                <w:sz w:val="12"/>
                <w:szCs w:val="12"/>
                <w:color w:val="auto"/>
              </w:rPr>
            </w:pPr>
          </w:p>
        </w:tc>
        <w:tc>
          <w:tcPr>
            <w:tcW w:w="64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(5)</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w w:val="96"/>
              </w:rPr>
              <w:t>LT50</w:t>
            </w:r>
          </w:p>
        </w:tc>
        <w:tc>
          <w:tcPr>
            <w:tcW w:w="620" w:type="dxa"/>
            <w:vAlign w:val="bottom"/>
            <w:vMerge w:val="restart"/>
          </w:tcPr>
          <w:p>
            <w:pPr>
              <w:jc w:val="right"/>
              <w:ind w:right="92"/>
              <w:spacing w:after="0"/>
              <w:rPr>
                <w:sz w:val="20"/>
                <w:szCs w:val="20"/>
                <w:color w:val="auto"/>
              </w:rPr>
            </w:pPr>
            <w:r>
              <w:rPr>
                <w:rFonts w:ascii="Times New Roman" w:cs="Times New Roman" w:eastAsia="Times New Roman" w:hAnsi="Times New Roman"/>
                <w:sz w:val="17"/>
                <w:szCs w:val="17"/>
                <w:color w:val="0000FF"/>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12/15/2025</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w w:val="86"/>
              </w:rPr>
              <w:t>M</w:t>
            </w:r>
          </w:p>
        </w:tc>
        <w:tc>
          <w:tcPr>
            <w:tcW w:w="46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3,821</w:t>
            </w:r>
          </w:p>
        </w:tc>
        <w:tc>
          <w:tcPr>
            <w:tcW w:w="760" w:type="dxa"/>
            <w:vAlign w:val="bottom"/>
            <w:gridSpan w:val="2"/>
            <w:vMerge w:val="continue"/>
          </w:tcPr>
          <w:p>
            <w:pPr>
              <w:spacing w:after="0"/>
              <w:rPr>
                <w:sz w:val="12"/>
                <w:szCs w:val="12"/>
                <w:color w:val="auto"/>
              </w:rPr>
            </w:pPr>
          </w:p>
        </w:tc>
        <w:tc>
          <w:tcPr>
            <w:tcW w:w="74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1"/>
              <w:spacing w:after="0" w:line="140" w:lineRule="exact"/>
              <w:rPr>
                <w:sz w:val="20"/>
                <w:szCs w:val="20"/>
                <w:color w:val="auto"/>
              </w:rPr>
            </w:pPr>
            <w:r>
              <w:rPr>
                <w:rFonts w:ascii="Times New Roman" w:cs="Times New Roman" w:eastAsia="Times New Roman" w:hAnsi="Times New Roman"/>
                <w:sz w:val="13"/>
                <w:szCs w:val="13"/>
                <w:color w:val="0000FF"/>
              </w:rPr>
              <w:t>57,319</w:t>
            </w:r>
          </w:p>
        </w:tc>
        <w:tc>
          <w:tcPr>
            <w:tcW w:w="280" w:type="dxa"/>
            <w:vAlign w:val="bottom"/>
          </w:tcPr>
          <w:p>
            <w:pPr>
              <w:spacing w:after="0"/>
              <w:rPr>
                <w:sz w:val="12"/>
                <w:szCs w:val="12"/>
                <w:color w:val="auto"/>
              </w:rPr>
            </w:pPr>
          </w:p>
        </w:tc>
        <w:tc>
          <w:tcPr>
            <w:tcW w:w="64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(5)(6)</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0" w:type="dxa"/>
            <w:vAlign w:val="bottom"/>
          </w:tcPr>
          <w:p>
            <w:pPr>
              <w:spacing w:after="0"/>
              <w:rPr>
                <w:sz w:val="15"/>
                <w:szCs w:val="15"/>
                <w:color w:val="auto"/>
              </w:rPr>
            </w:pPr>
          </w:p>
        </w:tc>
        <w:tc>
          <w:tcPr>
            <w:tcW w:w="56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92"/>
              <w:spacing w:after="0"/>
              <w:rPr>
                <w:sz w:val="20"/>
                <w:szCs w:val="20"/>
                <w:color w:val="auto"/>
              </w:rPr>
            </w:pPr>
            <w:r>
              <w:rPr>
                <w:rFonts w:ascii="Times New Roman" w:cs="Times New Roman" w:eastAsia="Times New Roman" w:hAnsi="Times New Roman"/>
                <w:sz w:val="17"/>
                <w:szCs w:val="17"/>
                <w:color w:val="0000FF"/>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12/15/2025</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w w:val="86"/>
              </w:rPr>
              <w:t>M</w:t>
            </w:r>
          </w:p>
        </w:tc>
        <w:tc>
          <w:tcPr>
            <w:tcW w:w="46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3,821</w:t>
            </w:r>
          </w:p>
        </w:tc>
        <w:tc>
          <w:tcPr>
            <w:tcW w:w="4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1"/>
              <w:spacing w:after="0" w:line="140" w:lineRule="exact"/>
              <w:rPr>
                <w:sz w:val="20"/>
                <w:szCs w:val="20"/>
                <w:color w:val="auto"/>
              </w:rPr>
            </w:pPr>
            <w:r>
              <w:rPr>
                <w:rFonts w:ascii="Times New Roman" w:cs="Times New Roman" w:eastAsia="Times New Roman" w:hAnsi="Times New Roman"/>
                <w:sz w:val="13"/>
                <w:szCs w:val="13"/>
                <w:color w:val="0000FF"/>
              </w:rPr>
              <w:t>49,676</w:t>
            </w:r>
          </w:p>
        </w:tc>
        <w:tc>
          <w:tcPr>
            <w:tcW w:w="280" w:type="dxa"/>
            <w:vAlign w:val="bottom"/>
          </w:tcPr>
          <w:p>
            <w:pPr>
              <w:spacing w:after="0"/>
              <w:rPr>
                <w:sz w:val="12"/>
                <w:szCs w:val="12"/>
                <w:color w:val="auto"/>
              </w:rPr>
            </w:pPr>
          </w:p>
        </w:tc>
        <w:tc>
          <w:tcPr>
            <w:tcW w:w="64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620" w:type="dxa"/>
            <w:vAlign w:val="bottom"/>
          </w:tcPr>
          <w:p>
            <w:pPr>
              <w:jc w:val="center"/>
              <w:ind w:left="84"/>
              <w:spacing w:after="0"/>
              <w:rPr>
                <w:sz w:val="20"/>
                <w:szCs w:val="20"/>
                <w:color w:val="auto"/>
              </w:rPr>
            </w:pPr>
            <w:r>
              <w:rPr>
                <w:rFonts w:ascii="Times New Roman" w:cs="Times New Roman" w:eastAsia="Times New Roman" w:hAnsi="Times New Roman"/>
                <w:sz w:val="11"/>
                <w:szCs w:val="11"/>
                <w:color w:val="008000"/>
                <w:w w:val="93"/>
              </w:rPr>
              <w:t>(6)</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0" w:type="dxa"/>
            <w:vAlign w:val="bottom"/>
          </w:tcPr>
          <w:p>
            <w:pPr>
              <w:spacing w:after="0"/>
              <w:rPr>
                <w:sz w:val="24"/>
                <w:szCs w:val="24"/>
                <w:color w:val="auto"/>
              </w:rPr>
            </w:pPr>
          </w:p>
        </w:tc>
        <w:tc>
          <w:tcPr>
            <w:tcW w:w="56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534,925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3"/>
                <w:szCs w:val="13"/>
                <w:color w:val="0000FF"/>
                <w:w w:val="94"/>
              </w:rPr>
              <w:t>534,925</w:t>
            </w:r>
          </w:p>
        </w:tc>
        <w:tc>
          <w:tcPr>
            <w:tcW w:w="640" w:type="dxa"/>
            <w:vAlign w:val="bottom"/>
            <w:vMerge w:val="restart"/>
          </w:tcPr>
          <w:p>
            <w:pPr>
              <w:jc w:val="center"/>
              <w:ind w:left="16"/>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tcPr>
          <w:p>
            <w:pPr>
              <w:ind w:left="60"/>
              <w:spacing w:after="0" w:line="52" w:lineRule="exact"/>
              <w:rPr>
                <w:sz w:val="20"/>
                <w:szCs w:val="20"/>
                <w:color w:val="auto"/>
              </w:rPr>
            </w:pPr>
            <w:r>
              <w:rPr>
                <w:rFonts w:ascii="Times New Roman" w:cs="Times New Roman" w:eastAsia="Times New Roman" w:hAnsi="Times New Roman"/>
                <w:sz w:val="6"/>
                <w:szCs w:val="6"/>
                <w:color w:val="0000FF"/>
              </w:rPr>
              <w:t>Common</w:t>
            </w: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gridSpan w:val="2"/>
          </w:tcPr>
          <w:p>
            <w:pPr>
              <w:ind w:left="20"/>
              <w:spacing w:after="0" w:line="52" w:lineRule="exact"/>
              <w:rPr>
                <w:sz w:val="20"/>
                <w:szCs w:val="20"/>
                <w:color w:val="auto"/>
              </w:rPr>
            </w:pPr>
            <w:r>
              <w:rPr>
                <w:rFonts w:ascii="Times New Roman" w:cs="Times New Roman" w:eastAsia="Times New Roman" w:hAnsi="Times New Roman"/>
                <w:sz w:val="6"/>
                <w:szCs w:val="6"/>
                <w:color w:val="0000FF"/>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ind w:left="140"/>
              <w:spacing w:after="0" w:line="52" w:lineRule="exact"/>
              <w:rPr>
                <w:sz w:val="20"/>
                <w:szCs w:val="20"/>
                <w:color w:val="auto"/>
              </w:rPr>
            </w:pPr>
            <w:r>
              <w:rPr>
                <w:rFonts w:ascii="Times New Roman" w:cs="Times New Roman" w:eastAsia="Times New Roman" w:hAnsi="Times New Roman"/>
                <w:sz w:val="6"/>
                <w:szCs w:val="6"/>
                <w:color w:val="008000"/>
              </w:rPr>
              <w:t>(8)</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-2782570</wp:posOffset>
            </wp:positionV>
            <wp:extent cx="28575" cy="278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7876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1" w:lineRule="exact"/>
        <w:rPr>
          <w:rFonts w:ascii="Times New Roman" w:cs="Times New Roman" w:eastAsia="Times New Roman" w:hAnsi="Times New Roman"/>
          <w:sz w:val="13"/>
          <w:szCs w:val="13"/>
          <w:color w:val="008000"/>
        </w:rPr>
      </w:pPr>
    </w:p>
    <w:p>
      <w:pPr>
        <w:ind w:left="40" w:right="1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$1.50 to $1.53,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1" w:lineRule="exact"/>
        <w:rPr>
          <w:rFonts w:ascii="Times New Roman" w:cs="Times New Roman" w:eastAsia="Times New Roman" w:hAnsi="Times New Roman"/>
          <w:sz w:val="13"/>
          <w:szCs w:val="13"/>
          <w:color w:val="008000"/>
        </w:rPr>
      </w:pPr>
    </w:p>
    <w:p>
      <w:pPr>
        <w:ind w:left="40" w:right="3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1" w:lineRule="exact"/>
        <w:rPr>
          <w:rFonts w:ascii="Times New Roman" w:cs="Times New Roman" w:eastAsia="Times New Roman" w:hAnsi="Times New Roman"/>
          <w:sz w:val="13"/>
          <w:szCs w:val="13"/>
          <w:color w:val="008000"/>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LILIJK LLC, a manager-managed limited liability company. The investment and voting decisions of LILIJK LLC are made by its manager, the Reporting Person, and its controlling member is the Figueroa-Mills Family Revocable Trust, for which the Reporting Person serves as trustee.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01/05/2026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w:t>
            </w:r>
          </w:p>
        </w:tc>
        <w:tc>
          <w:tcPr>
            <w:tcW w:w="2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59" w:orient="portrait"/>
          <w:cols w:equalWidth="0" w:num="1">
            <w:col w:w="11080"/>
          </w:cols>
          <w:pgMar w:left="460" w:top="216"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19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2026-01-05T18:41:19Z</dcterms:created>
  <dcterms:modified xsi:type="dcterms:W3CDTF">2026-01-05T18:41:19Z</dcterms:modified>
</cp:coreProperties>
</file>