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58750746.xml.htm"/>
      <w:bookmarkStart w:id="1" w:name="kswkform4_1758750746"/>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Schaffer Ryan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EXPENSIFY,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401 SW 5TH AVE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PORTLAND</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97204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Expensify, Inc.</w:t>
              </w:r>
            </w:hyperlink>
            <w:r>
              <w:rPr/>
              <w:t xml:space="preserve"> [ </w:t>
            </w:r>
            <w:r>
              <w:rPr>
                <w:rFonts w:ascii="Times;serif" w:hAnsi="Times;serif"/>
                <w:color w:val="0000FF"/>
                <w:sz w:val="24"/>
                <w:shd w:fill="FFFFFF" w:val="clear"/>
              </w:rPr>
              <w:t>EXFY</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Financial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09/15/2025</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23"/>
        <w:gridCol w:w="902"/>
        <w:gridCol w:w="771"/>
        <w:gridCol w:w="599"/>
        <w:gridCol w:w="350"/>
        <w:gridCol w:w="892"/>
        <w:gridCol w:w="459"/>
        <w:gridCol w:w="714"/>
        <w:gridCol w:w="1169"/>
        <w:gridCol w:w="1002"/>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2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6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2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9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1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2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09/15/2025</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9,566</w:t>
            </w:r>
            <w:r>
              <w:rPr>
                <w:rFonts w:ascii="Times;serif" w:hAnsi="Times;serif"/>
                <w:color w:val="008000"/>
                <w:position w:val="7"/>
                <w:sz w:val="16"/>
                <w:sz w:val="20"/>
                <w:shd w:fill="FFFFFF" w:val="clear"/>
              </w:rPr>
              <w:t>(1)</w:t>
            </w:r>
            <w:r>
              <w:rPr/>
              <w:t xml:space="preserve"> </w:t>
            </w:r>
          </w:p>
        </w:tc>
        <w:tc>
          <w:tcPr>
            <w:tcW w:w="4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1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1.94</w:t>
            </w:r>
            <w:r>
              <w:rPr/>
              <w:t xml:space="preserve"> </w:t>
            </w:r>
          </w:p>
        </w:tc>
        <w:tc>
          <w:tcPr>
            <w:tcW w:w="11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180,853</w:t>
            </w:r>
          </w:p>
        </w:tc>
        <w:tc>
          <w:tcPr>
            <w:tcW w:w="10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2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09/15/2025</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6,098</w:t>
            </w:r>
            <w:r>
              <w:rPr>
                <w:rFonts w:ascii="Times;serif" w:hAnsi="Times;serif"/>
                <w:color w:val="008000"/>
                <w:position w:val="7"/>
                <w:sz w:val="16"/>
                <w:sz w:val="20"/>
                <w:shd w:fill="FFFFFF" w:val="clear"/>
              </w:rPr>
              <w:t>(2)</w:t>
            </w:r>
            <w:r>
              <w:rPr/>
              <w:t xml:space="preserve"> </w:t>
            </w:r>
          </w:p>
        </w:tc>
        <w:tc>
          <w:tcPr>
            <w:tcW w:w="4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1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186,951</w:t>
            </w:r>
          </w:p>
        </w:tc>
        <w:tc>
          <w:tcPr>
            <w:tcW w:w="10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2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09/15/2025</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5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3,922</w:t>
            </w:r>
          </w:p>
        </w:tc>
        <w:tc>
          <w:tcPr>
            <w:tcW w:w="4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11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190,873</w:t>
            </w:r>
          </w:p>
        </w:tc>
        <w:tc>
          <w:tcPr>
            <w:tcW w:w="10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2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09/16/2025</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5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2,204</w:t>
            </w:r>
            <w:r>
              <w:rPr>
                <w:rFonts w:ascii="Times;serif" w:hAnsi="Times;serif"/>
                <w:color w:val="008000"/>
                <w:position w:val="7"/>
                <w:sz w:val="16"/>
                <w:sz w:val="20"/>
                <w:shd w:fill="FFFFFF" w:val="clear"/>
              </w:rPr>
              <w:t>(4)</w:t>
            </w:r>
            <w:r>
              <w:rPr/>
              <w:t xml:space="preserve"> </w:t>
            </w:r>
          </w:p>
        </w:tc>
        <w:tc>
          <w:tcPr>
            <w:tcW w:w="4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1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1.9</w:t>
            </w:r>
            <w:r>
              <w:rPr>
                <w:rFonts w:ascii="Times;serif" w:hAnsi="Times;serif"/>
                <w:color w:val="008000"/>
                <w:position w:val="7"/>
                <w:sz w:val="16"/>
                <w:sz w:val="20"/>
                <w:shd w:fill="FFFFFF" w:val="clear"/>
              </w:rPr>
              <w:t>(5)</w:t>
            </w:r>
            <w:r>
              <w:rPr/>
              <w:t xml:space="preserve"> </w:t>
            </w:r>
          </w:p>
        </w:tc>
        <w:tc>
          <w:tcPr>
            <w:tcW w:w="11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188,669</w:t>
            </w:r>
          </w:p>
        </w:tc>
        <w:tc>
          <w:tcPr>
            <w:tcW w:w="10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2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09/18/2025</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2,732</w:t>
            </w:r>
            <w:r>
              <w:rPr>
                <w:rFonts w:ascii="Times;serif" w:hAnsi="Times;serif"/>
                <w:color w:val="008000"/>
                <w:position w:val="7"/>
                <w:sz w:val="16"/>
                <w:sz w:val="20"/>
                <w:shd w:fill="FFFFFF" w:val="clear"/>
              </w:rPr>
              <w:t>(6)</w:t>
            </w:r>
            <w:r>
              <w:rPr/>
              <w:t xml:space="preserve"> </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1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1.95</w:t>
            </w:r>
            <w:r>
              <w:rPr>
                <w:rFonts w:ascii="Times;serif" w:hAnsi="Times;serif"/>
                <w:color w:val="008000"/>
                <w:position w:val="7"/>
                <w:sz w:val="16"/>
                <w:sz w:val="20"/>
                <w:shd w:fill="FFFFFF" w:val="clear"/>
              </w:rPr>
              <w:t>(7)</w:t>
            </w:r>
            <w:r>
              <w:rPr/>
              <w:t xml:space="preserve"> </w:t>
            </w:r>
          </w:p>
        </w:tc>
        <w:tc>
          <w:tcPr>
            <w:tcW w:w="116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185,937</w:t>
            </w:r>
          </w:p>
        </w:tc>
        <w:tc>
          <w:tcPr>
            <w:tcW w:w="10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29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606"/>
        <w:gridCol w:w="606"/>
        <w:gridCol w:w="906"/>
        <w:gridCol w:w="801"/>
        <w:gridCol w:w="891"/>
        <w:gridCol w:w="681"/>
        <w:gridCol w:w="801"/>
        <w:gridCol w:w="936"/>
        <w:gridCol w:w="831"/>
        <w:gridCol w:w="846"/>
      </w:tblGrid>
      <w:tr>
        <w:trPr>
          <w:tblHeader w:val="true"/>
        </w:trPr>
        <w:tc>
          <w:tcPr>
            <w:tcW w:w="1229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2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09/15/2025</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3,922</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(8)</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12/15/2029</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3,922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62,760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(9)</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09/15/2025</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3,922</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(8)</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12/15/2029</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LT50 Common Stock</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3,922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62,760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LT50 Common Stock</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(9)(10)</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09/15/2025</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3,922</w:t>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(10)</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(10)</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3,922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62,760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See note</w:t>
            </w:r>
            <w:r>
              <w:rPr>
                <w:rFonts w:ascii="Times;serif" w:hAnsi="Times;serif"/>
                <w:color w:val="008000"/>
                <w:position w:val="7"/>
                <w:sz w:val="16"/>
                <w:sz w:val="20"/>
                <w:shd w:fill="FFFFFF" w:val="clear"/>
              </w:rPr>
              <w:t>(11)</w:t>
            </w:r>
            <w:r>
              <w:rPr/>
              <w:t xml:space="preserve"> </w:t>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Shares purchased pursuant to the Expensify, Inc. 2021 Stock Purchase and Matching Plan ("SPMP").</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Shares granted as matched shares pursuant to the SPMP.</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Each restricted stock unit ("RSU") represents the contingent right to receive one share of Class A common stock. This transaction represents the settlement of vested RSUs in shares of Class A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Represents the Reporting Person's pro rata portion of the total shares sold on the transaction date to cover taxes for shares granted as matched shares under the SPMP for certain employees of the Issuer.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price reported in Column 4 is a weighted average price of all shares sold on the transaction date by the Issuer's broker to cover taxes for shares granted as matched shares under the SPMP for certain employees of the Issuer. These shares were sold in multiple transactions at prices ranging from $1.86 to $1.92,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Represents the Reporting Person's pro rata portion of the total shares sold on the transaction date to cover taxes upon the vesting of RSUs for certain employees of the Issuer.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The price reported in Column 4 is a weighted average price of all shares sold on the transaction date by the Issuer's broker to cover taxes upon the vesting of RSUs for certain employees of the Issuer. These shares were sold in multiple transactions at prices ranging from $1.91 to $2.00,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The restricted stock units vest 12.5% on September 15, 2022 and 1/32nd each quarter thereafter, on December 15th, March 15th, June 15th, and September 15th.</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Each RSU represents the contingent right to receive one share of LT50 common stock. This transaction represents the settlement of vested RSUs in shares of LT50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10. The LT50 Common Stock is convertible into the Issuer's Class A Common Stock on a one-to-one basis only upon, and generally cannot be transferred without, satisfaction of certain notice and other requirements, including a notice period of 50 months. The LT50 Common Stock will automatically convert into shares of the Issuer's Class A Common Stock on a one-to-one basis at such time as all of the then-outstanding shares of LT10 and LT50 Common Stock represent, in the aggregate, less than 2% of all then-outstanding shares of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11. Deposited into the Expensify Voting Trust (the "Voting Trust"). The Reporting Person retains investment control and dispositive power over the shares deposited into the Voting Trust.</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Ryan Schaffer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09/24/2025</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91061" TargetMode="External"/><Relationship Id="rId5" Type="http://schemas.openxmlformats.org/officeDocument/2006/relationships/hyperlink" Target="http://www.sec.gov/cgi-bin/browse-edgar?action=getcompany&amp;CIK=000147684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1157</Words>
  <Characters>6028</Characters>
  <CharactersWithSpaces>7060</CharactersWithSpaces>
  <Paragraphs>177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