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0001891061</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Ryan Schaffer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5296</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12180.8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80399794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06/17/2025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06/15/2025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533</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06/15/2025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06/15/2025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3066</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06/15/2025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03/19/2025 2494</w:t>
            </w:r>
          </w:p>
        </w:tc>
        <w:tc>
          <w:tcPr>
            <w:tcW w:w="800" w:type="dxa"/>
            <w:vAlign w:val="bottom"/>
          </w:tcPr>
          <w:p>
            <w:pPr>
              <w:spacing w:after="0"/>
              <w:rPr>
                <w:sz w:val="21"/>
                <w:szCs w:val="21"/>
                <w:color w:val="auto"/>
              </w:rPr>
            </w:pP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8255.14</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03/20/2025 1474</w:t>
            </w:r>
          </w:p>
        </w:tc>
        <w:tc>
          <w:tcPr>
            <w:tcW w:w="800" w:type="dxa"/>
            <w:vAlign w:val="bottom"/>
          </w:tcPr>
          <w:p>
            <w:pPr>
              <w:spacing w:after="0"/>
              <w:rPr>
                <w:sz w:val="21"/>
                <w:szCs w:val="21"/>
                <w:color w:val="auto"/>
              </w:rPr>
            </w:pP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4819.98</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05/30/2025 716</w:t>
            </w:r>
          </w:p>
        </w:tc>
        <w:tc>
          <w:tcPr>
            <w:tcW w:w="800" w:type="dxa"/>
            <w:vAlign w:val="bottom"/>
          </w:tcPr>
          <w:p>
            <w:pPr>
              <w:spacing w:after="0"/>
              <w:rPr>
                <w:sz w:val="21"/>
                <w:szCs w:val="21"/>
                <w:color w:val="auto"/>
              </w:rPr>
            </w:pP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1589.52</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8"/>
              </w:rPr>
              <w:t>Note for 3(e): As of May 5, 2025, as stated in Issuer's quarterly report on Form 10-Q for the fiscal quarter ending</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March 31, 2025.</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06/17/2025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9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 in 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Cole Eason, Secretary of the Company, in his capacity as such, and his successor in such office, and him, as the undersigned’s true and lawful attorney-in-fact and agent,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Ryan Shaffer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2025-06-17T19:34:31Z</dcterms:created>
  <dcterms:modified xsi:type="dcterms:W3CDTF">2025-06-17T19:34:31Z</dcterms:modified>
</cp:coreProperties>
</file>