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1160780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38"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June 30, 2024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520" w:hanging="494"/>
        <w:spacing w:after="0"/>
        <w:tabs>
          <w:tab w:leader="none" w:pos="520" w:val="left"/>
        </w:tabs>
        <w:numPr>
          <w:ilvl w:val="0"/>
          <w:numId w:val="2"/>
        </w:numPr>
        <w:rPr>
          <w:rFonts w:ascii="Wingdings" w:cs="Wingdings" w:eastAsia="Wingdings" w:hAnsi="Wingdings"/>
          <w:sz w:val="18"/>
          <w:szCs w:val="18"/>
          <w:b w:val="1"/>
          <w:bCs w:val="1"/>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001-41043</w:t>
      </w:r>
    </w:p>
    <w:p>
      <w:pPr>
        <w:spacing w:after="0" w:line="117"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Expensify, Inc.</w:t>
      </w:r>
    </w:p>
    <w:p>
      <w:pPr>
        <w:spacing w:after="0" w:line="53"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62" w:lineRule="exact"/>
        <w:rPr>
          <w:sz w:val="24"/>
          <w:szCs w:val="24"/>
          <w:color w:val="auto"/>
        </w:rPr>
      </w:pPr>
    </w:p>
    <w:tbl>
      <w:tblPr>
        <w:tblLayout w:type="fixed"/>
        <w:tblInd w:w="340" w:type="dxa"/>
        <w:tblCellMar>
          <w:top w:w="0" w:type="dxa"/>
          <w:left w:w="0" w:type="dxa"/>
          <w:bottom w:w="0" w:type="dxa"/>
          <w:right w:w="0" w:type="dxa"/>
        </w:tblCellMar>
      </w:tblPr>
      <w:tr>
        <w:trPr>
          <w:trHeight w:val="247"/>
        </w:trPr>
        <w:tc>
          <w:tcPr>
            <w:tcW w:w="5580" w:type="dxa"/>
            <w:vAlign w:val="bottom"/>
          </w:tcPr>
          <w:p>
            <w:pPr>
              <w:jc w:val="center"/>
              <w:ind w:right="874"/>
              <w:spacing w:after="0"/>
              <w:rPr>
                <w:sz w:val="20"/>
                <w:szCs w:val="20"/>
                <w:color w:val="auto"/>
              </w:rPr>
            </w:pPr>
            <w:r>
              <w:rPr>
                <w:rFonts w:ascii="Arial" w:cs="Arial" w:eastAsia="Arial" w:hAnsi="Arial"/>
                <w:sz w:val="18"/>
                <w:szCs w:val="18"/>
                <w:b w:val="1"/>
                <w:bCs w:val="1"/>
                <w:color w:val="auto"/>
                <w:w w:val="98"/>
              </w:rPr>
              <w:t>Delaware</w:t>
            </w:r>
          </w:p>
        </w:tc>
        <w:tc>
          <w:tcPr>
            <w:tcW w:w="3740" w:type="dxa"/>
            <w:vAlign w:val="bottom"/>
          </w:tcPr>
          <w:p>
            <w:pPr>
              <w:jc w:val="right"/>
              <w:ind w:right="812"/>
              <w:spacing w:after="0"/>
              <w:rPr>
                <w:sz w:val="20"/>
                <w:szCs w:val="20"/>
                <w:color w:val="auto"/>
              </w:rPr>
            </w:pPr>
            <w:r>
              <w:rPr>
                <w:rFonts w:ascii="Arial" w:cs="Arial" w:eastAsia="Arial" w:hAnsi="Arial"/>
                <w:sz w:val="18"/>
                <w:szCs w:val="18"/>
                <w:b w:val="1"/>
                <w:bCs w:val="1"/>
                <w:color w:val="auto"/>
              </w:rPr>
              <w:t>27-0239450</w:t>
            </w:r>
          </w:p>
        </w:tc>
      </w:tr>
      <w:tr>
        <w:trPr>
          <w:trHeight w:val="262"/>
        </w:trPr>
        <w:tc>
          <w:tcPr>
            <w:tcW w:w="5580" w:type="dxa"/>
            <w:vAlign w:val="bottom"/>
          </w:tcPr>
          <w:p>
            <w:pPr>
              <w:jc w:val="center"/>
              <w:ind w:right="854"/>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3740" w:type="dxa"/>
            <w:vAlign w:val="bottom"/>
          </w:tcPr>
          <w:p>
            <w:pPr>
              <w:jc w:val="center"/>
              <w:ind w:left="872"/>
              <w:spacing w:after="0"/>
              <w:rPr>
                <w:sz w:val="20"/>
                <w:szCs w:val="20"/>
                <w:color w:val="auto"/>
              </w:rPr>
            </w:pPr>
            <w:r>
              <w:rPr>
                <w:rFonts w:ascii="Arial" w:cs="Arial" w:eastAsia="Arial" w:hAnsi="Arial"/>
                <w:sz w:val="18"/>
                <w:szCs w:val="18"/>
                <w:color w:val="auto"/>
              </w:rPr>
              <w:t>(I.R.S. Employer Identification No.)</w:t>
            </w:r>
          </w:p>
        </w:tc>
      </w:tr>
      <w:tr>
        <w:trPr>
          <w:trHeight w:val="253"/>
        </w:trPr>
        <w:tc>
          <w:tcPr>
            <w:tcW w:w="5580" w:type="dxa"/>
            <w:vAlign w:val="bottom"/>
          </w:tcPr>
          <w:p>
            <w:pPr>
              <w:jc w:val="center"/>
              <w:ind w:right="854"/>
              <w:spacing w:after="0"/>
              <w:rPr>
                <w:sz w:val="20"/>
                <w:szCs w:val="20"/>
                <w:color w:val="auto"/>
              </w:rPr>
            </w:pPr>
            <w:r>
              <w:rPr>
                <w:rFonts w:ascii="Arial" w:cs="Arial" w:eastAsia="Arial" w:hAnsi="Arial"/>
                <w:sz w:val="16"/>
                <w:szCs w:val="16"/>
                <w:b w:val="1"/>
                <w:bCs w:val="1"/>
                <w:color w:val="auto"/>
              </w:rPr>
              <w:t>401 SW 5th Ave</w:t>
            </w:r>
          </w:p>
        </w:tc>
        <w:tc>
          <w:tcPr>
            <w:tcW w:w="3740" w:type="dxa"/>
            <w:vAlign w:val="bottom"/>
          </w:tcPr>
          <w:p>
            <w:pPr>
              <w:jc w:val="right"/>
              <w:ind w:right="1072"/>
              <w:spacing w:after="0"/>
              <w:rPr>
                <w:sz w:val="20"/>
                <w:szCs w:val="20"/>
                <w:color w:val="auto"/>
              </w:rPr>
            </w:pPr>
            <w:r>
              <w:rPr>
                <w:rFonts w:ascii="Arial" w:cs="Arial" w:eastAsia="Arial" w:hAnsi="Arial"/>
                <w:sz w:val="16"/>
                <w:szCs w:val="16"/>
                <w:b w:val="1"/>
                <w:bCs w:val="1"/>
                <w:color w:val="auto"/>
              </w:rPr>
              <w:t>97204</w:t>
            </w:r>
          </w:p>
        </w:tc>
      </w:tr>
      <w:tr>
        <w:trPr>
          <w:trHeight w:val="223"/>
        </w:trPr>
        <w:tc>
          <w:tcPr>
            <w:tcW w:w="5580" w:type="dxa"/>
            <w:vAlign w:val="bottom"/>
          </w:tcPr>
          <w:p>
            <w:pPr>
              <w:jc w:val="center"/>
              <w:ind w:right="854"/>
              <w:spacing w:after="0"/>
              <w:rPr>
                <w:sz w:val="20"/>
                <w:szCs w:val="20"/>
                <w:color w:val="auto"/>
              </w:rPr>
            </w:pPr>
            <w:r>
              <w:rPr>
                <w:rFonts w:ascii="Arial" w:cs="Arial" w:eastAsia="Arial" w:hAnsi="Arial"/>
                <w:sz w:val="16"/>
                <w:szCs w:val="16"/>
                <w:b w:val="1"/>
                <w:bCs w:val="1"/>
                <w:color w:val="auto"/>
              </w:rPr>
              <w:t>Portland, Oregon</w:t>
            </w:r>
          </w:p>
        </w:tc>
        <w:tc>
          <w:tcPr>
            <w:tcW w:w="3740" w:type="dxa"/>
            <w:vAlign w:val="bottom"/>
          </w:tcPr>
          <w:p>
            <w:pPr>
              <w:spacing w:after="0"/>
              <w:rPr>
                <w:sz w:val="19"/>
                <w:szCs w:val="19"/>
                <w:color w:val="auto"/>
              </w:rPr>
            </w:pPr>
          </w:p>
        </w:tc>
      </w:tr>
      <w:tr>
        <w:trPr>
          <w:trHeight w:val="240"/>
        </w:trPr>
        <w:tc>
          <w:tcPr>
            <w:tcW w:w="5580" w:type="dxa"/>
            <w:vAlign w:val="bottom"/>
          </w:tcPr>
          <w:p>
            <w:pPr>
              <w:jc w:val="center"/>
              <w:ind w:right="854"/>
              <w:spacing w:after="0"/>
              <w:rPr>
                <w:sz w:val="20"/>
                <w:szCs w:val="20"/>
                <w:color w:val="auto"/>
              </w:rPr>
            </w:pPr>
            <w:r>
              <w:rPr>
                <w:rFonts w:ascii="Arial" w:cs="Arial" w:eastAsia="Arial" w:hAnsi="Arial"/>
                <w:sz w:val="18"/>
                <w:szCs w:val="18"/>
                <w:color w:val="auto"/>
                <w:w w:val="99"/>
              </w:rPr>
              <w:t>(Address of Principal Executive Offices)</w:t>
            </w:r>
          </w:p>
        </w:tc>
        <w:tc>
          <w:tcPr>
            <w:tcW w:w="3740" w:type="dxa"/>
            <w:vAlign w:val="bottom"/>
          </w:tcPr>
          <w:p>
            <w:pPr>
              <w:jc w:val="center"/>
              <w:ind w:left="872"/>
              <w:spacing w:after="0"/>
              <w:rPr>
                <w:sz w:val="20"/>
                <w:szCs w:val="20"/>
                <w:color w:val="auto"/>
              </w:rPr>
            </w:pPr>
            <w:r>
              <w:rPr>
                <w:rFonts w:ascii="Arial" w:cs="Arial" w:eastAsia="Arial" w:hAnsi="Arial"/>
                <w:sz w:val="18"/>
                <w:szCs w:val="18"/>
                <w:color w:val="auto"/>
              </w:rPr>
              <w:t>(Zip Code)</w:t>
            </w:r>
          </w:p>
        </w:tc>
      </w:tr>
    </w:tbl>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(971) 365-3939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8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4240" w:type="dxa"/>
            <w:vAlign w:val="bottom"/>
            <w:gridSpan w:val="2"/>
          </w:tcPr>
          <w:p>
            <w:pPr>
              <w:jc w:val="center"/>
              <w:ind w:right="80"/>
              <w:spacing w:after="0"/>
              <w:rPr>
                <w:sz w:val="20"/>
                <w:szCs w:val="20"/>
                <w:color w:val="auto"/>
              </w:rPr>
            </w:pPr>
            <w:r>
              <w:rPr>
                <w:rFonts w:ascii="Arial" w:cs="Arial" w:eastAsia="Arial" w:hAnsi="Arial"/>
                <w:sz w:val="18"/>
                <w:szCs w:val="18"/>
                <w:color w:val="auto"/>
              </w:rPr>
              <w:t>Class A Common Stock, par value $0.0001 per</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spacing w:after="0"/>
              <w:rPr>
                <w:sz w:val="19"/>
                <w:szCs w:val="19"/>
                <w:color w:val="auto"/>
              </w:rPr>
            </w:pPr>
          </w:p>
        </w:tc>
      </w:tr>
      <w:tr>
        <w:trPr>
          <w:trHeight w:val="239"/>
        </w:trPr>
        <w:tc>
          <w:tcPr>
            <w:tcW w:w="42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share</w:t>
            </w:r>
          </w:p>
        </w:tc>
        <w:tc>
          <w:tcPr>
            <w:tcW w:w="24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EXFY</w:t>
            </w:r>
          </w:p>
        </w:tc>
        <w:tc>
          <w:tcPr>
            <w:tcW w:w="454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207" w:lineRule="exact"/>
        <w:rPr>
          <w:sz w:val="24"/>
          <w:szCs w:val="24"/>
          <w:color w:val="auto"/>
        </w:rPr>
      </w:pPr>
    </w:p>
    <w:p>
      <w:pPr>
        <w:ind w:right="220"/>
        <w:spacing w:after="0" w:line="28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w:t>
      </w:r>
    </w:p>
    <w:p>
      <w:pPr>
        <w:spacing w:after="0" w:line="4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260"/>
        <w:spacing w:after="0" w:line="268" w:lineRule="auto"/>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right="34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0" w:type="dxa"/>
        <w:tblCellMar>
          <w:top w:w="0" w:type="dxa"/>
          <w:left w:w="0" w:type="dxa"/>
          <w:bottom w:w="0" w:type="dxa"/>
          <w:right w:w="0" w:type="dxa"/>
        </w:tblCellMar>
      </w:tblPr>
      <w:tr>
        <w:trPr>
          <w:trHeight w:val="288"/>
        </w:trPr>
        <w:tc>
          <w:tcPr>
            <w:tcW w:w="5440" w:type="dxa"/>
            <w:vAlign w:val="bottom"/>
          </w:tcPr>
          <w:p>
            <w:pPr>
              <w:ind w:left="51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Accelerated filer</w:t>
            </w:r>
          </w:p>
        </w:tc>
        <w:tc>
          <w:tcPr>
            <w:tcW w:w="1680" w:type="dxa"/>
            <w:vAlign w:val="bottom"/>
          </w:tcPr>
          <w:p>
            <w:pPr>
              <w:ind w:left="1500"/>
              <w:spacing w:after="0"/>
              <w:rPr>
                <w:sz w:val="20"/>
                <w:szCs w:val="20"/>
                <w:color w:val="auto"/>
              </w:rPr>
            </w:pPr>
            <w:r>
              <w:rPr>
                <w:rFonts w:ascii="Wingdings" w:cs="Wingdings" w:eastAsia="Wingdings" w:hAnsi="Wingdings"/>
                <w:sz w:val="18"/>
                <w:szCs w:val="18"/>
                <w:b w:val="1"/>
                <w:bCs w:val="1"/>
                <w:color w:val="auto"/>
                <w:w w:val="83"/>
              </w:rPr>
              <w:t>x</w:t>
            </w:r>
          </w:p>
        </w:tc>
        <w:tc>
          <w:tcPr>
            <w:tcW w:w="0" w:type="dxa"/>
            <w:vAlign w:val="bottom"/>
          </w:tcPr>
          <w:p>
            <w:pPr>
              <w:spacing w:after="0"/>
              <w:rPr>
                <w:sz w:val="1"/>
                <w:szCs w:val="1"/>
                <w:color w:val="auto"/>
              </w:rPr>
            </w:pPr>
          </w:p>
        </w:tc>
      </w:tr>
      <w:tr>
        <w:trPr>
          <w:trHeight w:val="130"/>
        </w:trPr>
        <w:tc>
          <w:tcPr>
            <w:tcW w:w="5440" w:type="dxa"/>
            <w:vAlign w:val="bottom"/>
          </w:tcPr>
          <w:p>
            <w:pPr>
              <w:spacing w:after="0" w:line="130" w:lineRule="exact"/>
              <w:rPr>
                <w:sz w:val="20"/>
                <w:szCs w:val="20"/>
                <w:color w:val="auto"/>
              </w:rPr>
            </w:pPr>
            <w:r>
              <w:rPr>
                <w:rFonts w:ascii="Arial" w:cs="Arial" w:eastAsia="Arial" w:hAnsi="Arial"/>
                <w:sz w:val="15"/>
                <w:szCs w:val="15"/>
                <w:color w:val="auto"/>
              </w:rPr>
              <w:t>Large accelerated filer</w:t>
            </w:r>
          </w:p>
        </w:tc>
        <w:tc>
          <w:tcPr>
            <w:tcW w:w="3800" w:type="dxa"/>
            <w:vAlign w:val="bottom"/>
            <w:vMerge w:val="continue"/>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5440" w:type="dxa"/>
            <w:vAlign w:val="bottom"/>
          </w:tcPr>
          <w:p>
            <w:pPr>
              <w:ind w:left="512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Smaller reporting company</w:t>
            </w:r>
          </w:p>
        </w:tc>
        <w:tc>
          <w:tcPr>
            <w:tcW w:w="168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9"/>
        </w:trPr>
        <w:tc>
          <w:tcPr>
            <w:tcW w:w="5440" w:type="dxa"/>
            <w:vAlign w:val="bottom"/>
          </w:tcPr>
          <w:p>
            <w:pPr>
              <w:spacing w:after="0"/>
              <w:rPr>
                <w:sz w:val="20"/>
                <w:szCs w:val="20"/>
                <w:color w:val="auto"/>
              </w:rPr>
            </w:pPr>
            <w:r>
              <w:rPr>
                <w:rFonts w:ascii="Arial" w:cs="Arial" w:eastAsia="Arial" w:hAnsi="Arial"/>
                <w:sz w:val="18"/>
                <w:szCs w:val="18"/>
                <w:color w:val="auto"/>
              </w:rPr>
              <w:t>Non-accelerated filer</w:t>
            </w:r>
          </w:p>
        </w:tc>
        <w:tc>
          <w:tcPr>
            <w:tcW w:w="3800" w:type="dxa"/>
            <w:vAlign w:val="bottom"/>
            <w:vMerge w:val="continue"/>
          </w:tcPr>
          <w:p>
            <w:pPr>
              <w:spacing w:after="0"/>
              <w:rPr>
                <w:sz w:val="20"/>
                <w:szCs w:val="20"/>
                <w:color w:val="auto"/>
              </w:rPr>
            </w:pPr>
          </w:p>
        </w:tc>
        <w:tc>
          <w:tcPr>
            <w:tcW w:w="1680" w:type="dxa"/>
            <w:vAlign w:val="bottom"/>
            <w:vMerge w:val="restart"/>
          </w:tcPr>
          <w:p>
            <w:pPr>
              <w:ind w:left="150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62"/>
        </w:trPr>
        <w:tc>
          <w:tcPr>
            <w:tcW w:w="5440" w:type="dxa"/>
            <w:vAlign w:val="bottom"/>
          </w:tcPr>
          <w:p>
            <w:pPr>
              <w:spacing w:after="0"/>
              <w:rPr>
                <w:sz w:val="22"/>
                <w:szCs w:val="22"/>
                <w:color w:val="auto"/>
              </w:rPr>
            </w:pPr>
          </w:p>
        </w:tc>
        <w:tc>
          <w:tcPr>
            <w:tcW w:w="3800" w:type="dxa"/>
            <w:vAlign w:val="bottom"/>
            <w:vMerge w:val="restart"/>
          </w:tcPr>
          <w:p>
            <w:pPr>
              <w:ind w:left="160"/>
              <w:spacing w:after="0"/>
              <w:rPr>
                <w:sz w:val="20"/>
                <w:szCs w:val="20"/>
                <w:color w:val="auto"/>
              </w:rPr>
            </w:pPr>
            <w:r>
              <w:rPr>
                <w:rFonts w:ascii="Arial" w:cs="Arial" w:eastAsia="Arial" w:hAnsi="Arial"/>
                <w:sz w:val="18"/>
                <w:szCs w:val="18"/>
                <w:color w:val="auto"/>
              </w:rPr>
              <w:t>Emerging growth company</w:t>
            </w:r>
          </w:p>
        </w:tc>
        <w:tc>
          <w:tcPr>
            <w:tcW w:w="1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5440" w:type="dxa"/>
            <w:vAlign w:val="bottom"/>
          </w:tcPr>
          <w:p>
            <w:pPr>
              <w:spacing w:after="0"/>
              <w:rPr>
                <w:sz w:val="10"/>
                <w:szCs w:val="10"/>
                <w:color w:val="auto"/>
              </w:rPr>
            </w:pPr>
          </w:p>
        </w:tc>
        <w:tc>
          <w:tcPr>
            <w:tcW w:w="380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240"/>
          </w:cols>
          <w:pgMar w:left="320" w:top="1440" w:right="3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Yes </w:t>
      </w:r>
      <w:r>
        <w:rPr>
          <w:rFonts w:ascii="Wingdings" w:cs="Wingdings" w:eastAsia="Wingdings" w:hAnsi="Wingdings"/>
          <w:sz w:val="18"/>
          <w:szCs w:val="18"/>
          <w:b w:val="1"/>
          <w:bCs w:val="1"/>
          <w:color w:val="auto"/>
        </w:rPr>
        <w:t>o</w:t>
      </w:r>
      <w:r>
        <w:rPr>
          <w:rFonts w:ascii="Arial" w:cs="Arial" w:eastAsia="Arial" w:hAnsi="Arial"/>
          <w:sz w:val="18"/>
          <w:szCs w:val="18"/>
          <w:color w:val="auto"/>
        </w:rPr>
        <w:t xml:space="preserve"> No </w:t>
      </w:r>
      <w:r>
        <w:rPr>
          <w:rFonts w:ascii="Wingdings" w:cs="Wingdings" w:eastAsia="Wingdings" w:hAnsi="Wingdings"/>
          <w:sz w:val="18"/>
          <w:szCs w:val="18"/>
          <w:b w:val="1"/>
          <w:bCs w:val="1"/>
          <w:color w:val="auto"/>
        </w:rPr>
        <w:t>x</w:t>
      </w:r>
    </w:p>
    <w:p>
      <w:pPr>
        <w:spacing w:after="0" w:line="15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registrant had outstanding 76,841,487 shares of Class A common stock, par value of $0.0001 per share, 4,209,827 shares of LT10 common stock, par value $0.0001 per share, and 7,498,076 shares of LT50 common stock, par value $0.0001 per share, as of August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9240" w:type="dxa"/>
            <w:vAlign w:val="bottom"/>
            <w:gridSpan w:val="21"/>
            <w:vMerge w:val="restart"/>
          </w:tcPr>
          <w:p>
            <w:pPr>
              <w:spacing w:after="0"/>
              <w:rPr>
                <w:sz w:val="20"/>
                <w:szCs w:val="20"/>
                <w:color w:val="auto"/>
              </w:rPr>
            </w:pPr>
            <w:r>
              <w:rPr>
                <w:rFonts w:ascii="Arial" w:cs="Arial" w:eastAsia="Arial" w:hAnsi="Arial"/>
                <w:sz w:val="18"/>
                <w:szCs w:val="18"/>
                <w:color w:val="0000FF"/>
              </w:rPr>
              <w:t>Special Note Regarding Forward-Looking Statements</w:t>
            </w:r>
          </w:p>
        </w:tc>
        <w:tc>
          <w:tcPr>
            <w:tcW w:w="19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7"/>
        </w:trPr>
        <w:tc>
          <w:tcPr>
            <w:tcW w:w="9240" w:type="dxa"/>
            <w:vAlign w:val="bottom"/>
            <w:gridSpan w:val="21"/>
            <w:vMerge w:val="continue"/>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24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99"/>
              </w:rPr>
              <w:t>Part I - Financial Information</w:t>
            </w:r>
          </w:p>
        </w:tc>
        <w:tc>
          <w:tcPr>
            <w:tcW w:w="1820" w:type="dxa"/>
            <w:vAlign w:val="bottom"/>
            <w:tcBorders>
              <w:top w:val="single" w:sz="8" w:color="0000FF"/>
            </w:tcBorders>
            <w:gridSpan w:val="6"/>
          </w:tcPr>
          <w:p>
            <w:pPr>
              <w:spacing w:after="0"/>
              <w:rPr>
                <w:sz w:val="24"/>
                <w:szCs w:val="24"/>
                <w:color w:val="auto"/>
              </w:rPr>
            </w:pPr>
          </w:p>
        </w:tc>
        <w:tc>
          <w:tcPr>
            <w:tcW w:w="4980" w:type="dxa"/>
            <w:vAlign w:val="bottom"/>
            <w:gridSpan w:val="10"/>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1.</w:t>
            </w:r>
          </w:p>
        </w:tc>
        <w:tc>
          <w:tcPr>
            <w:tcW w:w="37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9"/>
              </w:rPr>
              <w:t>Condensed Consolidated Financial Statements</w:t>
            </w:r>
          </w:p>
        </w:tc>
        <w:tc>
          <w:tcPr>
            <w:tcW w:w="4280" w:type="dxa"/>
            <w:vAlign w:val="bottom"/>
            <w:gridSpan w:val="8"/>
          </w:tcPr>
          <w:p>
            <w:pPr>
              <w:spacing w:after="0"/>
              <w:rPr>
                <w:sz w:val="18"/>
                <w:szCs w:val="18"/>
                <w:color w:val="auto"/>
              </w:rPr>
            </w:pPr>
          </w:p>
        </w:tc>
        <w:tc>
          <w:tcPr>
            <w:tcW w:w="186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70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70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Operations</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Condensed Consolidated Statements of Changes in Stockholders’ Equity</w:t>
            </w:r>
          </w:p>
        </w:tc>
        <w:tc>
          <w:tcPr>
            <w:tcW w:w="1880" w:type="dxa"/>
            <w:vAlign w:val="bottom"/>
            <w:gridSpan w:val="2"/>
          </w:tcPr>
          <w:p>
            <w:pPr>
              <w:spacing w:after="0"/>
              <w:rPr>
                <w:sz w:val="18"/>
                <w:szCs w:val="18"/>
                <w:color w:val="auto"/>
              </w:rPr>
            </w:pPr>
          </w:p>
        </w:tc>
        <w:tc>
          <w:tcPr>
            <w:tcW w:w="186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70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70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25</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3.</w:t>
            </w:r>
          </w:p>
        </w:tc>
        <w:tc>
          <w:tcPr>
            <w:tcW w:w="472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4"/>
          </w:tcPr>
          <w:p>
            <w:pPr>
              <w:spacing w:after="0"/>
              <w:rPr>
                <w:sz w:val="18"/>
                <w:szCs w:val="18"/>
                <w:color w:val="auto"/>
              </w:rPr>
            </w:pPr>
          </w:p>
        </w:tc>
        <w:tc>
          <w:tcPr>
            <w:tcW w:w="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Controls and Procedures</w:t>
            </w:r>
          </w:p>
        </w:tc>
        <w:tc>
          <w:tcPr>
            <w:tcW w:w="6040" w:type="dxa"/>
            <w:vAlign w:val="bottom"/>
            <w:gridSpan w:val="12"/>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40</w:t>
            </w:r>
          </w:p>
        </w:tc>
        <w:tc>
          <w:tcPr>
            <w:tcW w:w="0" w:type="dxa"/>
            <w:vAlign w:val="bottom"/>
          </w:tcPr>
          <w:p>
            <w:pPr>
              <w:spacing w:after="0"/>
              <w:rPr>
                <w:sz w:val="1"/>
                <w:szCs w:val="1"/>
                <w:color w:val="auto"/>
              </w:rPr>
            </w:pPr>
          </w:p>
        </w:tc>
      </w:tr>
      <w:tr>
        <w:trPr>
          <w:trHeight w:val="479"/>
        </w:trPr>
        <w:tc>
          <w:tcPr>
            <w:tcW w:w="9240" w:type="dxa"/>
            <w:vAlign w:val="bottom"/>
            <w:gridSpan w:val="21"/>
          </w:tcPr>
          <w:p>
            <w:pPr>
              <w:spacing w:after="0"/>
              <w:rPr>
                <w:sz w:val="20"/>
                <w:szCs w:val="20"/>
                <w:color w:val="auto"/>
              </w:rPr>
            </w:pPr>
            <w:r>
              <w:rPr>
                <w:rFonts w:ascii="Arial" w:cs="Arial" w:eastAsia="Arial" w:hAnsi="Arial"/>
                <w:sz w:val="18"/>
                <w:szCs w:val="18"/>
                <w:b w:val="1"/>
                <w:bCs w:val="1"/>
                <w:color w:val="0000FF"/>
              </w:rPr>
              <w:t>Part II - Other Information</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6540" w:type="dxa"/>
            <w:vAlign w:val="bottom"/>
            <w:gridSpan w:val="14"/>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41</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1A.</w:t>
            </w:r>
          </w:p>
        </w:tc>
        <w:tc>
          <w:tcPr>
            <w:tcW w:w="804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3180" w:type="dxa"/>
            <w:vAlign w:val="bottom"/>
            <w:gridSpan w:val="3"/>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Defaults Upon Senior Securities</w:t>
            </w:r>
          </w:p>
        </w:tc>
        <w:tc>
          <w:tcPr>
            <w:tcW w:w="5480" w:type="dxa"/>
            <w:vAlign w:val="bottom"/>
            <w:gridSpan w:val="11"/>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Mine Safety Disclosures</w:t>
            </w:r>
          </w:p>
        </w:tc>
        <w:tc>
          <w:tcPr>
            <w:tcW w:w="6100" w:type="dxa"/>
            <w:vAlign w:val="bottom"/>
            <w:gridSpan w:val="13"/>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5.</w:t>
            </w:r>
          </w:p>
        </w:tc>
        <w:tc>
          <w:tcPr>
            <w:tcW w:w="804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tcBorders>
              <w:top w:val="single" w:sz="8" w:color="0000FF"/>
            </w:tcBorders>
            <w:gridSpan w:val="3"/>
          </w:tcPr>
          <w:p>
            <w:pPr>
              <w:spacing w:after="0"/>
              <w:rPr>
                <w:sz w:val="18"/>
                <w:szCs w:val="18"/>
                <w:color w:val="auto"/>
              </w:rPr>
            </w:pPr>
          </w:p>
        </w:tc>
        <w:tc>
          <w:tcPr>
            <w:tcW w:w="6640" w:type="dxa"/>
            <w:vAlign w:val="bottom"/>
            <w:gridSpan w:val="15"/>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44</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9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rPr>
              <w:t>Signatures</w:t>
            </w:r>
          </w:p>
        </w:tc>
        <w:tc>
          <w:tcPr>
            <w:tcW w:w="7060" w:type="dxa"/>
            <w:vAlign w:val="bottom"/>
            <w:gridSpan w:val="17"/>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Special Note Regarding Forward-Looking Statements</w:t>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There are a number of risks, uncertainties, and other important factors, many of which are beyond our control, that could cause our actual results to differ materially from the forward-looking statements contained in this Quarterly Report on Form 10-Q. Such risks, uncertainties and other important factors include, among others:</w:t>
      </w:r>
    </w:p>
    <w:p>
      <w:pPr>
        <w:spacing w:after="0" w:line="11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 and future operating performance;</w:t>
      </w:r>
    </w:p>
    <w:p>
      <w:pPr>
        <w:spacing w:after="0" w:line="144" w:lineRule="exact"/>
        <w:rPr>
          <w:rFonts w:ascii="Arial" w:cs="Arial" w:eastAsia="Arial" w:hAnsi="Arial"/>
          <w:sz w:val="18"/>
          <w:szCs w:val="18"/>
          <w:color w:val="auto"/>
        </w:rPr>
      </w:pPr>
    </w:p>
    <w:p>
      <w:pPr>
        <w:ind w:left="340" w:right="40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members, expand usage of our platform, sell subscriptions to our platform and convert individuals and organizations into paying customers;</w:t>
      </w:r>
    </w:p>
    <w:p>
      <w:pPr>
        <w:spacing w:after="0" w:line="85" w:lineRule="exact"/>
        <w:rPr>
          <w:rFonts w:ascii="Arial" w:cs="Arial" w:eastAsia="Arial" w:hAnsi="Arial"/>
          <w:sz w:val="18"/>
          <w:szCs w:val="18"/>
          <w:color w:val="auto"/>
        </w:rPr>
      </w:pPr>
    </w:p>
    <w:p>
      <w:pPr>
        <w:ind w:left="340" w:right="30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competitors to their products, or any other changes in the competitive landscape of our market;</w:t>
      </w:r>
    </w:p>
    <w:p>
      <w:pPr>
        <w:spacing w:after="0" w:line="85" w:lineRule="exact"/>
        <w:rPr>
          <w:rFonts w:ascii="Arial" w:cs="Arial" w:eastAsia="Arial" w:hAnsi="Arial"/>
          <w:sz w:val="18"/>
          <w:szCs w:val="18"/>
          <w:color w:val="auto"/>
        </w:rPr>
      </w:pPr>
    </w:p>
    <w:p>
      <w:pPr>
        <w:ind w:left="340" w:right="52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that we may incur to maintain and expand our business and operations to remain competitive;</w:t>
      </w:r>
    </w:p>
    <w:p>
      <w:pPr>
        <w:spacing w:after="0" w:line="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required payments under and to comply with the various requirements of our current and future indebtedness;</w:t>
      </w:r>
    </w:p>
    <w:p>
      <w:pPr>
        <w:spacing w:after="0" w:line="157" w:lineRule="exact"/>
        <w:rPr>
          <w:rFonts w:ascii="Arial" w:cs="Arial" w:eastAsia="Arial" w:hAnsi="Arial"/>
          <w:sz w:val="18"/>
          <w:szCs w:val="18"/>
          <w:color w:val="auto"/>
        </w:rPr>
      </w:pPr>
    </w:p>
    <w:p>
      <w:pPr>
        <w:ind w:left="340" w:right="620" w:hanging="332"/>
        <w:spacing w:after="0" w:line="318"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cash flows, the prevailing stock prices, general economic and market conditions and other considerations that could affect the specific timing, price and size of repurchases under our stock repurchase program or our ability to fund any stock repurchases;</w:t>
      </w:r>
    </w:p>
    <w:p>
      <w:pPr>
        <w:spacing w:after="0" w:line="48"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geopolitical tensions, including the war in Ukraine and the conflict in Israel, Gaza and surrounding areas;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inflation on us and our members;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borrowing costs have and may continue to increase as a result of increases in interest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fluctuations in foreign currency exchange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income tax liabilities and the adequacy of our reserves;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affordability and convenience of our platform and our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44" w:lineRule="exact"/>
        <w:rPr>
          <w:rFonts w:ascii="Arial" w:cs="Arial" w:eastAsia="Arial" w:hAnsi="Arial"/>
          <w:sz w:val="18"/>
          <w:szCs w:val="18"/>
          <w:color w:val="auto"/>
        </w:rPr>
      </w:pPr>
    </w:p>
    <w:p>
      <w:pPr>
        <w:ind w:left="340" w:right="36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 of businesses, talent, technologies or intellectual property;</w:t>
      </w:r>
    </w:p>
    <w:p>
      <w:pPr>
        <w:spacing w:after="0" w:line="85" w:lineRule="exact"/>
        <w:rPr>
          <w:rFonts w:ascii="Arial" w:cs="Arial" w:eastAsia="Arial" w:hAnsi="Arial"/>
          <w:sz w:val="18"/>
          <w:szCs w:val="18"/>
          <w:color w:val="auto"/>
        </w:rPr>
      </w:pPr>
    </w:p>
    <w:p>
      <w:pPr>
        <w:ind w:left="340" w:right="12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and geopolitical uncertainty and instability, including as a result of the 2024 United States presidential election;</w:t>
      </w:r>
    </w:p>
    <w:p>
      <w:pPr>
        <w:spacing w:after="0" w:line="85"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against security incidents, technical difficulties, or interruptions to our platform;</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spacing w:after="0" w:line="157" w:lineRule="exact"/>
        <w:rPr>
          <w:rFonts w:ascii="Arial" w:cs="Arial" w:eastAsia="Arial" w:hAnsi="Arial"/>
          <w:sz w:val="18"/>
          <w:szCs w:val="18"/>
          <w:color w:val="auto"/>
        </w:rPr>
      </w:pPr>
    </w:p>
    <w:p>
      <w:pPr>
        <w:ind w:left="340" w:right="82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risks and uncertainties identified under Item 1A. “Risk Factors” in our Annual Report on Form 10-K for the year ended December 31, 2023.</w:t>
      </w:r>
    </w:p>
    <w:p>
      <w:pPr>
        <w:spacing w:after="0" w:line="8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our Annual Report on Form 10-K for the year ended December 31, 2023, and any subsequent filings, as well as those identified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If we update one or more forward-looking statements, no inference should be drawn that we will make additional updates with respect to those or other forward-looking statements.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17"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otherwise indicated or unless the context requires otherwise, all references in this document to “Expensify,” the “Company,” “we,” “us,” “our” or similar references are to Expensify, Inc. and its consolidated subsidiaries. Capitalized terms used and not defined above are defined elsewhere within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line="11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 - Financial Information</w:t>
      </w:r>
    </w:p>
    <w:p>
      <w:pPr>
        <w:spacing w:after="0" w:line="30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Item 1.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 June 30,</w:t>
            </w:r>
          </w:p>
        </w:tc>
        <w:tc>
          <w:tcPr>
            <w:tcW w:w="1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4"/>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53,234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47,510</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13,834</w:t>
            </w: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Settlement assets, net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48,301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39,261</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5,649</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current assets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32,044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30,978</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137,232</w:t>
            </w: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Capitalized software, net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16,006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12,494</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14,372</w:t>
            </w: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Lease right-of-use assets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5,783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6,435</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net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5,794</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192,872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176,784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99"/>
        </w:trPr>
        <w:tc>
          <w:tcPr>
            <w:tcW w:w="8020" w:type="dxa"/>
            <w:vAlign w:val="bottom"/>
          </w:tcPr>
          <w:p>
            <w:pPr>
              <w:ind w:left="20"/>
              <w:spacing w:after="0"/>
              <w:rPr>
                <w:sz w:val="20"/>
                <w:szCs w:val="20"/>
                <w:color w:val="auto"/>
              </w:rPr>
            </w:pPr>
            <w:r>
              <w:rPr>
                <w:rFonts w:ascii="Arial" w:cs="Arial" w:eastAsia="Arial" w:hAnsi="Arial"/>
                <w:sz w:val="14"/>
                <w:szCs w:val="14"/>
                <w:color w:val="auto"/>
              </w:rPr>
              <w:t>Accrued expenses and other liabilities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7,853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9,390</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Borrowings under line of credit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99"/>
        </w:trPr>
        <w:tc>
          <w:tcPr>
            <w:tcW w:w="8020" w:type="dxa"/>
            <w:vAlign w:val="bottom"/>
          </w:tcPr>
          <w:p>
            <w:pPr>
              <w:ind w:left="20"/>
              <w:spacing w:after="0"/>
              <w:rPr>
                <w:sz w:val="20"/>
                <w:szCs w:val="20"/>
                <w:color w:val="auto"/>
              </w:rPr>
            </w:pPr>
            <w:r>
              <w:rPr>
                <w:rFonts w:ascii="Arial" w:cs="Arial" w:eastAsia="Arial" w:hAnsi="Arial"/>
                <w:sz w:val="14"/>
                <w:szCs w:val="14"/>
                <w:color w:val="auto"/>
              </w:rPr>
              <w:t>Current portion of long-term debt, net of original issue discount and debt issuance costs</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7,592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7,655</w:t>
            </w:r>
          </w:p>
        </w:tc>
        <w:tc>
          <w:tcPr>
            <w:tcW w:w="0" w:type="dxa"/>
            <w:vAlign w:val="bottom"/>
          </w:tcPr>
          <w:p>
            <w:pPr>
              <w:spacing w:after="0"/>
              <w:rPr>
                <w:sz w:val="1"/>
                <w:szCs w:val="1"/>
                <w:color w:val="auto"/>
              </w:rPr>
            </w:pPr>
          </w:p>
        </w:tc>
      </w:tr>
      <w:tr>
        <w:trPr>
          <w:trHeight w:val="20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liabilities, current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Settlement liabilities</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38,877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33,990</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67,892</w:t>
            </w:r>
          </w:p>
        </w:tc>
        <w:tc>
          <w:tcPr>
            <w:tcW w:w="0" w:type="dxa"/>
            <w:vAlign w:val="bottom"/>
          </w:tcPr>
          <w:p>
            <w:pPr>
              <w:spacing w:after="0"/>
              <w:rPr>
                <w:sz w:val="1"/>
                <w:szCs w:val="1"/>
                <w:color w:val="auto"/>
              </w:rPr>
            </w:pPr>
          </w:p>
        </w:tc>
      </w:tr>
      <w:tr>
        <w:trPr>
          <w:trHeight w:val="198"/>
        </w:trPr>
        <w:tc>
          <w:tcPr>
            <w:tcW w:w="8020" w:type="dxa"/>
            <w:vAlign w:val="bottom"/>
          </w:tcPr>
          <w:p>
            <w:pPr>
              <w:ind w:left="20"/>
              <w:spacing w:after="0"/>
              <w:rPr>
                <w:sz w:val="20"/>
                <w:szCs w:val="20"/>
                <w:color w:val="auto"/>
              </w:rPr>
            </w:pPr>
            <w:r>
              <w:rPr>
                <w:rFonts w:ascii="Arial" w:cs="Arial" w:eastAsia="Arial" w:hAnsi="Arial"/>
                <w:sz w:val="14"/>
                <w:szCs w:val="14"/>
                <w:color w:val="auto"/>
              </w:rPr>
              <w:t>Lease liabilities, non-current</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6,118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6,467</w:t>
            </w: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0" w:type="dxa"/>
            <w:vAlign w:val="bottom"/>
          </w:tcPr>
          <w:p>
            <w:pPr>
              <w:spacing w:after="0"/>
              <w:rPr>
                <w:sz w:val="1"/>
                <w:szCs w:val="1"/>
                <w:color w:val="auto"/>
              </w:rPr>
            </w:pPr>
          </w:p>
        </w:tc>
      </w:tr>
      <w:tr>
        <w:trPr>
          <w:trHeight w:val="192"/>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liabilities</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78,872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76,040</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4)</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02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0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Preferred stock, par value $0.0001; 10,000,000 shares of preferred stock authorized as of June 30, 2024 and December 31,</w:t>
            </w:r>
          </w:p>
        </w:tc>
        <w:tc>
          <w:tcPr>
            <w:tcW w:w="200" w:type="dxa"/>
            <w:vAlign w:val="bottom"/>
            <w:shd w:val="clear" w:color="auto" w:fill="CCEEFF"/>
          </w:tcPr>
          <w:p>
            <w:pPr>
              <w:spacing w:after="0"/>
              <w:rPr>
                <w:sz w:val="13"/>
                <w:szCs w:val="13"/>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2023; no shares of preferred stock issued and outstanding as of June 30, 2024 and December 31, 2023</w:t>
            </w:r>
          </w:p>
        </w:tc>
        <w:tc>
          <w:tcPr>
            <w:tcW w:w="200" w:type="dxa"/>
            <w:vAlign w:val="bottom"/>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8020" w:type="dxa"/>
            <w:vAlign w:val="bottom"/>
          </w:tcPr>
          <w:p>
            <w:pPr>
              <w:ind w:left="20"/>
              <w:spacing w:after="0" w:line="149" w:lineRule="exact"/>
              <w:rPr>
                <w:sz w:val="20"/>
                <w:szCs w:val="20"/>
                <w:color w:val="auto"/>
              </w:rPr>
            </w:pPr>
            <w:r>
              <w:rPr>
                <w:rFonts w:ascii="Arial" w:cs="Arial" w:eastAsia="Arial" w:hAnsi="Arial"/>
                <w:sz w:val="14"/>
                <w:szCs w:val="14"/>
                <w:color w:val="auto"/>
              </w:rPr>
              <w:t>Common stock, par value $0.0001; 1,000,000,000 shares of Class A common stock authorized as of June 30, 2024 and</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20" w:type="dxa"/>
            <w:vAlign w:val="bottom"/>
          </w:tcPr>
          <w:p>
            <w:pPr>
              <w:ind w:left="180"/>
              <w:spacing w:after="0" w:line="139" w:lineRule="exact"/>
              <w:rPr>
                <w:sz w:val="20"/>
                <w:szCs w:val="20"/>
                <w:color w:val="auto"/>
              </w:rPr>
            </w:pPr>
            <w:r>
              <w:rPr>
                <w:rFonts w:ascii="Arial" w:cs="Arial" w:eastAsia="Arial" w:hAnsi="Arial"/>
                <w:sz w:val="14"/>
                <w:szCs w:val="14"/>
                <w:color w:val="auto"/>
              </w:rPr>
              <w:t>December 31, 2023; 74,773,581 and 70,569,815 shares of Class A common stock issued and outstanding as of June 30,</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20" w:type="dxa"/>
            <w:vAlign w:val="bottom"/>
          </w:tcPr>
          <w:p>
            <w:pPr>
              <w:ind w:left="180"/>
              <w:spacing w:after="0" w:line="149" w:lineRule="exact"/>
              <w:rPr>
                <w:sz w:val="20"/>
                <w:szCs w:val="20"/>
                <w:color w:val="auto"/>
              </w:rPr>
            </w:pPr>
            <w:r>
              <w:rPr>
                <w:rFonts w:ascii="Arial" w:cs="Arial" w:eastAsia="Arial" w:hAnsi="Arial"/>
                <w:sz w:val="14"/>
                <w:szCs w:val="14"/>
                <w:color w:val="auto"/>
              </w:rPr>
              <w:t>2024 and December 31, 2023, respectively; 24,994,705 and 24,994,989 shares of LT10 common stock authorized as of</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20" w:type="dxa"/>
            <w:vAlign w:val="bottom"/>
          </w:tcPr>
          <w:p>
            <w:pPr>
              <w:ind w:left="180"/>
              <w:spacing w:after="0" w:line="145" w:lineRule="exact"/>
              <w:rPr>
                <w:sz w:val="20"/>
                <w:szCs w:val="20"/>
                <w:color w:val="auto"/>
              </w:rPr>
            </w:pPr>
            <w:r>
              <w:rPr>
                <w:rFonts w:ascii="Arial" w:cs="Arial" w:eastAsia="Arial" w:hAnsi="Arial"/>
                <w:sz w:val="14"/>
                <w:szCs w:val="14"/>
                <w:color w:val="auto"/>
              </w:rPr>
              <w:t>June 30, 2024 and December 31, 2023, respectively; 5,923,033 and 7,333,619 shares of LT10 common stock issued and</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8020" w:type="dxa"/>
            <w:vAlign w:val="bottom"/>
          </w:tcPr>
          <w:p>
            <w:pPr>
              <w:ind w:left="180"/>
              <w:spacing w:after="0" w:line="139" w:lineRule="exact"/>
              <w:rPr>
                <w:sz w:val="20"/>
                <w:szCs w:val="20"/>
                <w:color w:val="auto"/>
              </w:rPr>
            </w:pPr>
            <w:r>
              <w:rPr>
                <w:rFonts w:ascii="Arial" w:cs="Arial" w:eastAsia="Arial" w:hAnsi="Arial"/>
                <w:sz w:val="14"/>
                <w:szCs w:val="14"/>
                <w:color w:val="auto"/>
              </w:rPr>
              <w:t>outstanding as of June 30, 2024 and December 31, 2023, respectively; 24,969,634 and 24,998,941 shares of LT50</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20" w:type="dxa"/>
            <w:vAlign w:val="bottom"/>
          </w:tcPr>
          <w:p>
            <w:pPr>
              <w:ind w:left="180"/>
              <w:spacing w:after="0" w:line="149" w:lineRule="exact"/>
              <w:rPr>
                <w:sz w:val="20"/>
                <w:szCs w:val="20"/>
                <w:color w:val="auto"/>
              </w:rPr>
            </w:pPr>
            <w:r>
              <w:rPr>
                <w:rFonts w:ascii="Arial" w:cs="Arial" w:eastAsia="Arial" w:hAnsi="Arial"/>
                <w:sz w:val="14"/>
                <w:szCs w:val="14"/>
                <w:color w:val="auto"/>
              </w:rPr>
              <w:t>common stock authorized as of June 30, 2024 and December 31, 2023, respectively; 7,498,076 and 7,321,894 shares of</w:t>
            </w:r>
          </w:p>
        </w:tc>
        <w:tc>
          <w:tcPr>
            <w:tcW w:w="20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4"/>
        </w:trPr>
        <w:tc>
          <w:tcPr>
            <w:tcW w:w="8020" w:type="dxa"/>
            <w:vAlign w:val="bottom"/>
          </w:tcPr>
          <w:p>
            <w:pPr>
              <w:ind w:left="180"/>
              <w:spacing w:after="0"/>
              <w:rPr>
                <w:sz w:val="20"/>
                <w:szCs w:val="20"/>
                <w:color w:val="auto"/>
              </w:rPr>
            </w:pPr>
            <w:r>
              <w:rPr>
                <w:rFonts w:ascii="Arial" w:cs="Arial" w:eastAsia="Arial" w:hAnsi="Arial"/>
                <w:sz w:val="14"/>
                <w:szCs w:val="14"/>
                <w:color w:val="auto"/>
              </w:rPr>
              <w:t>LT50 common stock issued and outstanding as of June 30, 2024 and December 31, 2023, respectively</w:t>
            </w:r>
          </w:p>
        </w:tc>
        <w:tc>
          <w:tcPr>
            <w:tcW w:w="2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261,309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241,509</w:t>
            </w: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(147,318)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(140,773)</w:t>
            </w: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114,000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100,744</w:t>
            </w:r>
          </w:p>
        </w:tc>
        <w:tc>
          <w:tcPr>
            <w:tcW w:w="0" w:type="dxa"/>
            <w:vAlign w:val="bottom"/>
          </w:tcPr>
          <w:p>
            <w:pPr>
              <w:spacing w:after="0"/>
              <w:rPr>
                <w:sz w:val="1"/>
                <w:szCs w:val="1"/>
                <w:color w:val="auto"/>
              </w:rPr>
            </w:pPr>
          </w:p>
        </w:tc>
      </w:tr>
      <w:tr>
        <w:trPr>
          <w:trHeight w:val="200"/>
        </w:trPr>
        <w:tc>
          <w:tcPr>
            <w:tcW w:w="8020" w:type="dxa"/>
            <w:vAlign w:val="bottom"/>
          </w:tcPr>
          <w:p>
            <w:pPr>
              <w:ind w:left="46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192,872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176,784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8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78,985</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32,700</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46,285</w:t>
            </w: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24,141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23,897</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58,550</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(12,265)</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expenses,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(15,048)</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176"/>
        </w:trPr>
        <w:tc>
          <w:tcPr>
            <w:tcW w:w="470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shares of common stock used to</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700" w:type="dxa"/>
            <w:vAlign w:val="bottom"/>
          </w:tcPr>
          <w:p>
            <w:pPr>
              <w:ind w:left="180"/>
              <w:spacing w:after="0"/>
              <w:rPr>
                <w:sz w:val="20"/>
                <w:szCs w:val="20"/>
                <w:color w:val="auto"/>
              </w:rPr>
            </w:pPr>
            <w:r>
              <w:rPr>
                <w:rFonts w:ascii="Arial" w:cs="Arial" w:eastAsia="Arial" w:hAnsi="Arial"/>
                <w:sz w:val="18"/>
                <w:szCs w:val="18"/>
                <w:color w:val="auto"/>
              </w:rPr>
              <w:t>compute net loss per share:</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86,593,955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82,011,477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85,867,683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81,890,624</w:t>
            </w:r>
          </w:p>
        </w:tc>
        <w:tc>
          <w:tcPr>
            <w:tcW w:w="0" w:type="dxa"/>
            <w:vAlign w:val="bottom"/>
          </w:tcPr>
          <w:p>
            <w:pPr>
              <w:spacing w:after="0"/>
              <w:rPr>
                <w:sz w:val="1"/>
                <w:szCs w:val="1"/>
                <w:color w:val="auto"/>
              </w:rPr>
            </w:pPr>
          </w:p>
        </w:tc>
      </w:tr>
      <w:tr>
        <w:trPr>
          <w:trHeight w:val="54"/>
        </w:trPr>
        <w:tc>
          <w:tcPr>
            <w:tcW w:w="47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34925</wp:posOffset>
            </wp:positionV>
            <wp:extent cx="70548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Changes in Stockholders’ Equity</w:t>
      </w: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4"/>
          </w:tcPr>
          <w:p>
            <w:pPr>
              <w:jc w:val="right"/>
              <w:ind w:right="222"/>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right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4"/>
                <w:szCs w:val="4"/>
                <w:color w:val="auto"/>
              </w:rPr>
            </w:pPr>
          </w:p>
        </w:tc>
        <w:tc>
          <w:tcPr>
            <w:tcW w:w="1120" w:type="dxa"/>
            <w:vAlign w:val="bottom"/>
            <w:gridSpan w:val="2"/>
            <w:vMerge w:val="restart"/>
          </w:tcPr>
          <w:p>
            <w:pPr>
              <w:spacing w:after="0" w:line="122"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140" w:type="dxa"/>
            <w:vAlign w:val="bottom"/>
          </w:tcPr>
          <w:p>
            <w:pPr>
              <w:spacing w:after="0"/>
              <w:rPr>
                <w:sz w:val="4"/>
                <w:szCs w:val="4"/>
                <w:color w:val="auto"/>
              </w:rPr>
            </w:pPr>
          </w:p>
        </w:tc>
        <w:tc>
          <w:tcPr>
            <w:tcW w:w="7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June 30, 2024</w:t>
            </w: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Balance at March 31, 2024</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02"/>
              <w:spacing w:after="0"/>
              <w:rPr>
                <w:sz w:val="20"/>
                <w:szCs w:val="20"/>
                <w:color w:val="auto"/>
              </w:rPr>
            </w:pPr>
            <w:r>
              <w:rPr>
                <w:rFonts w:ascii="Arial" w:cs="Arial" w:eastAsia="Arial" w:hAnsi="Arial"/>
                <w:sz w:val="16"/>
                <w:szCs w:val="16"/>
                <w:color w:val="auto"/>
                <w:w w:val="89"/>
              </w:rPr>
              <w:t>$</w:t>
            </w:r>
          </w:p>
        </w:tc>
        <w:tc>
          <w:tcPr>
            <w:tcW w:w="3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86,484,507</w:t>
            </w:r>
          </w:p>
        </w:tc>
        <w:tc>
          <w:tcPr>
            <w:tcW w:w="80" w:type="dxa"/>
            <w:vAlign w:val="bottom"/>
          </w:tcPr>
          <w:p>
            <w:pPr>
              <w:spacing w:after="0"/>
              <w:rPr>
                <w:sz w:val="18"/>
                <w:szCs w:val="18"/>
                <w:color w:val="auto"/>
              </w:rPr>
            </w:pPr>
          </w:p>
        </w:tc>
        <w:tc>
          <w:tcPr>
            <w:tcW w:w="80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251,055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(144,554)</w:t>
            </w:r>
          </w:p>
        </w:tc>
        <w:tc>
          <w:tcPr>
            <w:tcW w:w="8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106,510</w:t>
            </w:r>
          </w:p>
        </w:tc>
        <w:tc>
          <w:tcPr>
            <w:tcW w:w="0" w:type="dxa"/>
            <w:vAlign w:val="bottom"/>
          </w:tcPr>
          <w:p>
            <w:pPr>
              <w:spacing w:after="0"/>
              <w:rPr>
                <w:sz w:val="1"/>
                <w:szCs w:val="1"/>
                <w:color w:val="auto"/>
              </w:rPr>
            </w:pPr>
          </w:p>
        </w:tc>
      </w:tr>
      <w:tr>
        <w:trPr>
          <w:trHeight w:val="163"/>
        </w:trPr>
        <w:tc>
          <w:tcPr>
            <w:tcW w:w="390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common stock on exercise of</w:t>
            </w:r>
          </w:p>
        </w:tc>
        <w:tc>
          <w:tcPr>
            <w:tcW w:w="3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4"/>
                <w:szCs w:val="14"/>
                <w:color w:val="auto"/>
              </w:rPr>
            </w:pPr>
          </w:p>
        </w:tc>
        <w:tc>
          <w:tcPr>
            <w:tcW w:w="340" w:type="dxa"/>
            <w:vAlign w:val="bottom"/>
            <w:tcBorders>
              <w:right w:val="single" w:sz="8" w:color="auto"/>
            </w:tcBorders>
            <w:gridSpan w:val="2"/>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14,225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 options</w:t>
            </w:r>
          </w:p>
        </w:tc>
        <w:tc>
          <w:tcPr>
            <w:tcW w:w="340" w:type="dxa"/>
            <w:vAlign w:val="bottom"/>
            <w:gridSpan w:val="2"/>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Vesting of early exercised stock options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3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7"/>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Issuance of restricted stock units</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8"/>
                <w:szCs w:val="18"/>
                <w:color w:val="auto"/>
              </w:rPr>
            </w:pPr>
          </w:p>
        </w:tc>
        <w:tc>
          <w:tcPr>
            <w:tcW w:w="34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8,971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2"/>
        </w:trPr>
        <w:tc>
          <w:tcPr>
            <w:tcW w:w="39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Issuance of common stock under Matching</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4"/>
                <w:szCs w:val="14"/>
                <w:color w:val="auto"/>
              </w:rPr>
            </w:pPr>
          </w:p>
        </w:tc>
        <w:tc>
          <w:tcPr>
            <w:tcW w:w="3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1040" w:type="dxa"/>
            <w:vAlign w:val="bottom"/>
            <w:vMerge w:val="restart"/>
          </w:tcPr>
          <w:p>
            <w:pPr>
              <w:jc w:val="right"/>
              <w:ind w:right="1"/>
              <w:spacing w:after="0"/>
              <w:rPr>
                <w:sz w:val="20"/>
                <w:szCs w:val="20"/>
                <w:color w:val="auto"/>
              </w:rPr>
            </w:pPr>
            <w:r>
              <w:rPr>
                <w:rFonts w:ascii="Arial" w:cs="Arial" w:eastAsia="Arial" w:hAnsi="Arial"/>
                <w:sz w:val="16"/>
                <w:szCs w:val="16"/>
                <w:color w:val="auto"/>
              </w:rPr>
              <w:t>1,422,832</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1,090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20" w:type="dxa"/>
            <w:vAlign w:val="bottom"/>
            <w:vMerge w:val="restart"/>
          </w:tcPr>
          <w:p>
            <w:pPr>
              <w:jc w:val="right"/>
              <w:ind w:right="1"/>
              <w:spacing w:after="0"/>
              <w:rPr>
                <w:sz w:val="20"/>
                <w:szCs w:val="20"/>
                <w:color w:val="auto"/>
              </w:rPr>
            </w:pPr>
            <w:r>
              <w:rPr>
                <w:rFonts w:ascii="Arial" w:cs="Arial" w:eastAsia="Arial" w:hAnsi="Arial"/>
                <w:sz w:val="16"/>
                <w:szCs w:val="16"/>
                <w:color w:val="auto"/>
              </w:rPr>
              <w:t>1,090</w:t>
            </w:r>
          </w:p>
        </w:tc>
        <w:tc>
          <w:tcPr>
            <w:tcW w:w="0" w:type="dxa"/>
            <w:vAlign w:val="bottom"/>
          </w:tcPr>
          <w:p>
            <w:pPr>
              <w:spacing w:after="0"/>
              <w:rPr>
                <w:sz w:val="1"/>
                <w:szCs w:val="1"/>
                <w:color w:val="auto"/>
              </w:rPr>
            </w:pPr>
          </w:p>
        </w:tc>
      </w:tr>
      <w:tr>
        <w:trPr>
          <w:trHeight w:val="215"/>
        </w:trPr>
        <w:tc>
          <w:tcPr>
            <w:tcW w:w="3900" w:type="dxa"/>
            <w:vAlign w:val="bottom"/>
            <w:gridSpan w:val="2"/>
          </w:tcPr>
          <w:p>
            <w:pPr>
              <w:ind w:left="180"/>
              <w:spacing w:after="0"/>
              <w:rPr>
                <w:sz w:val="20"/>
                <w:szCs w:val="20"/>
                <w:color w:val="auto"/>
              </w:rPr>
            </w:pPr>
            <w:r>
              <w:rPr>
                <w:rFonts w:ascii="Arial" w:cs="Arial" w:eastAsia="Arial" w:hAnsi="Arial"/>
                <w:sz w:val="16"/>
                <w:szCs w:val="16"/>
                <w:color w:val="auto"/>
              </w:rPr>
              <w:t>Plan</w:t>
            </w:r>
          </w:p>
        </w:tc>
        <w:tc>
          <w:tcPr>
            <w:tcW w:w="34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900" w:type="dxa"/>
            <w:vAlign w:val="bottom"/>
            <w:gridSpan w:val="2"/>
            <w:shd w:val="clear" w:color="auto" w:fill="CCEEFF"/>
          </w:tcPr>
          <w:p>
            <w:pPr>
              <w:ind w:left="20"/>
              <w:spacing w:after="0" w:line="163" w:lineRule="exact"/>
              <w:rPr>
                <w:sz w:val="20"/>
                <w:szCs w:val="20"/>
                <w:color w:val="auto"/>
              </w:rPr>
            </w:pPr>
            <w:r>
              <w:rPr>
                <w:rFonts w:ascii="Arial" w:cs="Arial" w:eastAsia="Arial" w:hAnsi="Arial"/>
                <w:sz w:val="16"/>
                <w:szCs w:val="16"/>
                <w:color w:val="auto"/>
              </w:rPr>
              <w:t>Issuance of common stock in connection</w:t>
            </w:r>
          </w:p>
        </w:tc>
        <w:tc>
          <w:tcPr>
            <w:tcW w:w="3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4"/>
                <w:szCs w:val="14"/>
                <w:color w:val="auto"/>
              </w:rPr>
            </w:pPr>
          </w:p>
        </w:tc>
        <w:tc>
          <w:tcPr>
            <w:tcW w:w="340" w:type="dxa"/>
            <w:vAlign w:val="bottom"/>
            <w:tcBorders>
              <w:right w:val="single" w:sz="8" w:color="auto"/>
            </w:tcBorders>
            <w:gridSpan w:val="2"/>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264,155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with restricted stock units vesting</w:t>
            </w:r>
          </w:p>
        </w:tc>
        <w:tc>
          <w:tcPr>
            <w:tcW w:w="340" w:type="dxa"/>
            <w:vAlign w:val="bottom"/>
            <w:gridSpan w:val="2"/>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tcBorders>
              <w:right w:val="single" w:sz="8" w:color="auto"/>
            </w:tcBorders>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3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9,027</w:t>
            </w:r>
          </w:p>
        </w:tc>
        <w:tc>
          <w:tcPr>
            <w:tcW w:w="0" w:type="dxa"/>
            <w:vAlign w:val="bottom"/>
          </w:tcPr>
          <w:p>
            <w:pPr>
              <w:spacing w:after="0"/>
              <w:rPr>
                <w:sz w:val="1"/>
                <w:szCs w:val="1"/>
                <w:color w:val="auto"/>
              </w:rPr>
            </w:pPr>
          </w:p>
        </w:tc>
      </w:tr>
      <w:tr>
        <w:trPr>
          <w:trHeight w:val="217"/>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(2,764)</w:t>
            </w:r>
          </w:p>
        </w:tc>
        <w:tc>
          <w:tcPr>
            <w:tcW w:w="0" w:type="dxa"/>
            <w:vAlign w:val="bottom"/>
          </w:tcPr>
          <w:p>
            <w:pPr>
              <w:spacing w:after="0"/>
              <w:rPr>
                <w:sz w:val="1"/>
                <w:szCs w:val="1"/>
                <w:color w:val="auto"/>
              </w:rPr>
            </w:pPr>
          </w:p>
        </w:tc>
      </w:tr>
      <w:tr>
        <w:trPr>
          <w:trHeight w:val="291"/>
        </w:trPr>
        <w:tc>
          <w:tcPr>
            <w:tcW w:w="39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Balance at June 30, 2024</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88,194,690</w:t>
            </w: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261,309</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(147,318)</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114,000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2"/>
          <w:szCs w:val="22"/>
          <w:b w:val="1"/>
          <w:bCs w:val="1"/>
          <w:color w:val="auto"/>
        </w:rPr>
        <w:t>Expensify,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32320" cy="2769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76923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7"/>
        </w:trPr>
        <w:tc>
          <w:tcPr>
            <w:tcW w:w="3120" w:type="dxa"/>
            <w:vAlign w:val="bottom"/>
          </w:tcPr>
          <w:p>
            <w:pPr>
              <w:spacing w:after="0"/>
              <w:rPr>
                <w:sz w:val="20"/>
                <w:szCs w:val="20"/>
                <w:color w:val="auto"/>
              </w:rPr>
            </w:pPr>
            <w:r>
              <w:rPr>
                <w:rFonts w:ascii="Arial" w:cs="Arial" w:eastAsia="Arial" w:hAnsi="Arial"/>
                <w:sz w:val="16"/>
                <w:szCs w:val="16"/>
                <w:b w:val="1"/>
                <w:bCs w:val="1"/>
                <w:color w:val="auto"/>
              </w:rPr>
              <w:t>Three months ended June 30, 2023</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March 31, 2023</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upon exercise</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of stock options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Vesting of early exercised stock options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Issuance of restricted stock units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Repurchases of early exercised stock</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options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under Matching</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Plan</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in connection</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with restricted stock units vesting</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Shares withheld from common stock</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issued to pay employee payroll taxes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Repurchase and retirement of common</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stock</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June 30, 2023</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9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4"/>
                <w:szCs w:val="4"/>
                <w:color w:val="auto"/>
              </w:rPr>
            </w:pPr>
          </w:p>
        </w:tc>
        <w:tc>
          <w:tcPr>
            <w:tcW w:w="1120" w:type="dxa"/>
            <w:vAlign w:val="bottom"/>
            <w:gridSpan w:val="2"/>
            <w:vMerge w:val="restart"/>
          </w:tcPr>
          <w:p>
            <w:pPr>
              <w:spacing w:after="0" w:line="122"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10"/>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82,806,528</w:t>
            </w:r>
          </w:p>
        </w:tc>
        <w:tc>
          <w:tcPr>
            <w:tcW w:w="80" w:type="dxa"/>
            <w:vAlign w:val="bottom"/>
          </w:tcPr>
          <w:p>
            <w:pPr>
              <w:spacing w:after="0"/>
              <w:rPr>
                <w:sz w:val="24"/>
                <w:szCs w:val="24"/>
                <w:color w:val="auto"/>
              </w:rPr>
            </w:pPr>
          </w:p>
        </w:tc>
        <w:tc>
          <w:tcPr>
            <w:tcW w:w="800" w:type="dxa"/>
            <w:vAlign w:val="bottom"/>
            <w:tcBorders>
              <w:top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4"/>
                <w:szCs w:val="24"/>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206,207</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(103,518)</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102,696</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51,871</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3,760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(588)</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278,425</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261,840</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(120,852)</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(504,493)</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11,083</w:t>
            </w:r>
          </w:p>
        </w:tc>
        <w:tc>
          <w:tcPr>
            <w:tcW w:w="0" w:type="dxa"/>
            <w:vAlign w:val="bottom"/>
          </w:tcPr>
          <w:p>
            <w:pPr>
              <w:spacing w:after="0"/>
              <w:rPr>
                <w:sz w:val="1"/>
                <w:szCs w:val="1"/>
                <w:color w:val="auto"/>
              </w:rPr>
            </w:pPr>
          </w:p>
        </w:tc>
      </w:tr>
      <w:tr>
        <w:trPr>
          <w:trHeight w:val="217"/>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(11,304)</w:t>
            </w:r>
          </w:p>
        </w:tc>
        <w:tc>
          <w:tcPr>
            <w:tcW w:w="0" w:type="dxa"/>
            <w:vAlign w:val="bottom"/>
          </w:tcPr>
          <w:p>
            <w:pPr>
              <w:spacing w:after="0"/>
              <w:rPr>
                <w:sz w:val="1"/>
                <w:szCs w:val="1"/>
                <w:color w:val="auto"/>
              </w:rPr>
            </w:pPr>
          </w:p>
        </w:tc>
      </w:tr>
      <w:tr>
        <w:trPr>
          <w:trHeight w:val="210"/>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82,776,491</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216,422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(116,566)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99,863</w:t>
            </w:r>
          </w:p>
        </w:tc>
        <w:tc>
          <w:tcPr>
            <w:tcW w:w="0" w:type="dxa"/>
            <w:vAlign w:val="bottom"/>
          </w:tcPr>
          <w:p>
            <w:pPr>
              <w:spacing w:after="0"/>
              <w:rPr>
                <w:sz w:val="1"/>
                <w:szCs w:val="1"/>
                <w:color w:val="auto"/>
              </w:rPr>
            </w:pP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160"/>
            <w:col w:w="5820"/>
          </w:cols>
          <w:pgMar w:left="340" w:top="5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222250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12065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type w:val="continuous"/>
        </w:sectPr>
      </w:pPr>
    </w:p>
    <w:bookmarkStart w:id="10" w:name="page11"/>
    <w:bookmarkEnd w:id="10"/>
    <w:p>
      <w:pPr>
        <w:jc w:val="center"/>
        <w:ind w:right="20"/>
        <w:spacing w:after="0"/>
        <w:rPr>
          <w:sz w:val="20"/>
          <w:szCs w:val="20"/>
          <w:color w:val="auto"/>
        </w:rPr>
      </w:pPr>
      <w:r>
        <w:rPr>
          <w:rFonts w:ascii="Arial" w:cs="Arial" w:eastAsia="Arial" w:hAnsi="Arial"/>
          <w:sz w:val="22"/>
          <w:szCs w:val="22"/>
          <w:b w:val="1"/>
          <w:bCs w:val="1"/>
          <w:color w:val="auto"/>
        </w:rPr>
        <w:t>Expensify, Inc.</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132320" cy="2288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288540"/>
                    </a:xfrm>
                    <a:prstGeom prst="rect">
                      <a:avLst/>
                    </a:prstGeom>
                    <a:noFill/>
                  </pic:spPr>
                </pic:pic>
              </a:graphicData>
            </a:graphic>
          </wp:anchor>
        </w:drawing>
      </w:r>
    </w:p>
    <w:p>
      <w:pPr>
        <w:sectPr>
          <w:pgSz w:w="11900" w:h="16838" w:orient="portrait"/>
          <w:cols w:equalWidth="0" w:num="1">
            <w:col w:w="11220"/>
          </w:cols>
          <w:pgMar w:left="340" w:top="5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7"/>
        </w:trPr>
        <w:tc>
          <w:tcPr>
            <w:tcW w:w="3120" w:type="dxa"/>
            <w:vAlign w:val="bottom"/>
          </w:tcPr>
          <w:p>
            <w:pPr>
              <w:spacing w:after="0"/>
              <w:rPr>
                <w:sz w:val="20"/>
                <w:szCs w:val="20"/>
                <w:color w:val="auto"/>
              </w:rPr>
            </w:pPr>
            <w:r>
              <w:rPr>
                <w:rFonts w:ascii="Arial" w:cs="Arial" w:eastAsia="Arial" w:hAnsi="Arial"/>
                <w:sz w:val="16"/>
                <w:szCs w:val="16"/>
                <w:b w:val="1"/>
                <w:bCs w:val="1"/>
                <w:color w:val="auto"/>
              </w:rPr>
              <w:t>Six months ended June 30, 2024</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December 31, 2023</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on exercise of</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stock options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Vesting of early exercised stock options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Issuance of restricted stock units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Repurchases of early exercised stock</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options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under Matching</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Plan</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in connection</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with restricted stock units vesting</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June 30, 2024</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9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4"/>
                <w:szCs w:val="4"/>
                <w:color w:val="auto"/>
              </w:rPr>
            </w:pPr>
          </w:p>
        </w:tc>
        <w:tc>
          <w:tcPr>
            <w:tcW w:w="1120" w:type="dxa"/>
            <w:vAlign w:val="bottom"/>
            <w:gridSpan w:val="2"/>
            <w:vMerge w:val="restart"/>
          </w:tcPr>
          <w:p>
            <w:pPr>
              <w:spacing w:after="0" w:line="122"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10"/>
        </w:trPr>
        <w:tc>
          <w:tcPr>
            <w:tcW w:w="10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85,225,328</w:t>
            </w:r>
          </w:p>
        </w:tc>
        <w:tc>
          <w:tcPr>
            <w:tcW w:w="80" w:type="dxa"/>
            <w:vAlign w:val="bottom"/>
          </w:tcPr>
          <w:p>
            <w:pPr>
              <w:spacing w:after="0"/>
              <w:rPr>
                <w:sz w:val="24"/>
                <w:szCs w:val="24"/>
                <w:color w:val="auto"/>
              </w:rPr>
            </w:pPr>
          </w:p>
        </w:tc>
        <w:tc>
          <w:tcPr>
            <w:tcW w:w="800" w:type="dxa"/>
            <w:vAlign w:val="bottom"/>
            <w:tcBorders>
              <w:top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4"/>
                <w:szCs w:val="24"/>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241,509</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(140,773)</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100,744</w:t>
            </w:r>
          </w:p>
        </w:tc>
        <w:tc>
          <w:tcPr>
            <w:tcW w:w="0" w:type="dxa"/>
            <w:vAlign w:val="bottom"/>
          </w:tcPr>
          <w:p>
            <w:pPr>
              <w:spacing w:after="0"/>
              <w:rPr>
                <w:sz w:val="1"/>
                <w:szCs w:val="1"/>
                <w:color w:val="auto"/>
              </w:rPr>
            </w:pPr>
          </w:p>
        </w:tc>
      </w:tr>
      <w:tr>
        <w:trPr>
          <w:trHeight w:val="378"/>
        </w:trPr>
        <w:tc>
          <w:tcPr>
            <w:tcW w:w="1040" w:type="dxa"/>
            <w:vAlign w:val="bottom"/>
          </w:tcPr>
          <w:p>
            <w:pPr>
              <w:jc w:val="right"/>
              <w:ind w:right="1"/>
              <w:spacing w:after="0"/>
              <w:rPr>
                <w:sz w:val="20"/>
                <w:szCs w:val="20"/>
                <w:color w:val="auto"/>
              </w:rPr>
            </w:pPr>
            <w:r>
              <w:rPr>
                <w:rFonts w:ascii="Arial" w:cs="Arial" w:eastAsia="Arial" w:hAnsi="Arial"/>
                <w:sz w:val="16"/>
                <w:szCs w:val="16"/>
                <w:color w:val="auto"/>
              </w:rPr>
              <w:t>56,529</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6"/>
        </w:trPr>
        <w:tc>
          <w:tcPr>
            <w:tcW w:w="1040" w:type="dxa"/>
            <w:vAlign w:val="bottom"/>
          </w:tcPr>
          <w:p>
            <w:pPr>
              <w:jc w:val="right"/>
              <w:ind w:right="1"/>
              <w:spacing w:after="0"/>
              <w:rPr>
                <w:sz w:val="20"/>
                <w:szCs w:val="20"/>
                <w:color w:val="auto"/>
              </w:rPr>
            </w:pPr>
            <w:r>
              <w:rPr>
                <w:rFonts w:ascii="Arial" w:cs="Arial" w:eastAsia="Arial" w:hAnsi="Arial"/>
                <w:sz w:val="16"/>
                <w:szCs w:val="16"/>
                <w:color w:val="auto"/>
              </w:rPr>
              <w:t>16,259</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(30,434)</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040" w:type="dxa"/>
            <w:vAlign w:val="bottom"/>
          </w:tcPr>
          <w:p>
            <w:pPr>
              <w:jc w:val="right"/>
              <w:ind w:right="1"/>
              <w:spacing w:after="0"/>
              <w:rPr>
                <w:sz w:val="20"/>
                <w:szCs w:val="20"/>
                <w:color w:val="auto"/>
              </w:rPr>
            </w:pPr>
            <w:r>
              <w:rPr>
                <w:rFonts w:ascii="Arial" w:cs="Arial" w:eastAsia="Arial" w:hAnsi="Arial"/>
                <w:sz w:val="16"/>
                <w:szCs w:val="16"/>
                <w:color w:val="auto"/>
              </w:rPr>
              <w:t>2,452,976</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2,004</w:t>
            </w:r>
          </w:p>
        </w:tc>
        <w:tc>
          <w:tcPr>
            <w:tcW w:w="0" w:type="dxa"/>
            <w:vAlign w:val="bottom"/>
          </w:tcPr>
          <w:p>
            <w:pPr>
              <w:spacing w:after="0"/>
              <w:rPr>
                <w:sz w:val="1"/>
                <w:szCs w:val="1"/>
                <w:color w:val="auto"/>
              </w:rPr>
            </w:pPr>
          </w:p>
        </w:tc>
      </w:tr>
      <w:tr>
        <w:trPr>
          <w:trHeight w:val="378"/>
        </w:trPr>
        <w:tc>
          <w:tcPr>
            <w:tcW w:w="1040" w:type="dxa"/>
            <w:vAlign w:val="bottom"/>
          </w:tcPr>
          <w:p>
            <w:pPr>
              <w:jc w:val="right"/>
              <w:ind w:right="1"/>
              <w:spacing w:after="0"/>
              <w:rPr>
                <w:sz w:val="20"/>
                <w:szCs w:val="20"/>
                <w:color w:val="auto"/>
              </w:rPr>
            </w:pPr>
            <w:r>
              <w:rPr>
                <w:rFonts w:ascii="Arial" w:cs="Arial" w:eastAsia="Arial" w:hAnsi="Arial"/>
                <w:sz w:val="16"/>
                <w:szCs w:val="16"/>
                <w:color w:val="auto"/>
              </w:rPr>
              <w:t>474,032</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17,466</w:t>
            </w:r>
          </w:p>
        </w:tc>
        <w:tc>
          <w:tcPr>
            <w:tcW w:w="0" w:type="dxa"/>
            <w:vAlign w:val="bottom"/>
          </w:tcPr>
          <w:p>
            <w:pPr>
              <w:spacing w:after="0"/>
              <w:rPr>
                <w:sz w:val="1"/>
                <w:szCs w:val="1"/>
                <w:color w:val="auto"/>
              </w:rPr>
            </w:pPr>
          </w:p>
        </w:tc>
      </w:tr>
      <w:tr>
        <w:trPr>
          <w:trHeight w:val="217"/>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(6,545)</w:t>
            </w:r>
          </w:p>
        </w:tc>
        <w:tc>
          <w:tcPr>
            <w:tcW w:w="0" w:type="dxa"/>
            <w:vAlign w:val="bottom"/>
          </w:tcPr>
          <w:p>
            <w:pPr>
              <w:spacing w:after="0"/>
              <w:rPr>
                <w:sz w:val="1"/>
                <w:szCs w:val="1"/>
                <w:color w:val="auto"/>
              </w:rPr>
            </w:pPr>
          </w:p>
        </w:tc>
      </w:tr>
      <w:tr>
        <w:trPr>
          <w:trHeight w:val="210"/>
        </w:trPr>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88,194,690</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261,309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(147,318)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114,000</w:t>
            </w:r>
          </w:p>
        </w:tc>
        <w:tc>
          <w:tcPr>
            <w:tcW w:w="0" w:type="dxa"/>
            <w:vAlign w:val="bottom"/>
          </w:tcPr>
          <w:p>
            <w:pPr>
              <w:spacing w:after="0"/>
              <w:rPr>
                <w:sz w:val="1"/>
                <w:szCs w:val="1"/>
                <w:color w:val="auto"/>
              </w:rPr>
            </w:pP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160"/>
            <w:col w:w="5820"/>
          </w:cols>
          <w:pgMar w:left="340" w:top="51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222250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12065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516" w:right="339" w:bottom="1440" w:gutter="0" w:footer="0" w:header="0"/>
          <w:type w:val="continuous"/>
        </w:sectPr>
      </w:pPr>
    </w:p>
    <w:bookmarkStart w:id="11" w:name="page12"/>
    <w:bookmarkEnd w:id="11"/>
    <w:p>
      <w:pPr>
        <w:jc w:val="center"/>
        <w:ind w:right="20"/>
        <w:spacing w:after="0"/>
        <w:rPr>
          <w:sz w:val="20"/>
          <w:szCs w:val="20"/>
          <w:color w:val="auto"/>
        </w:rPr>
      </w:pPr>
      <w:r>
        <w:rPr>
          <w:rFonts w:ascii="Arial" w:cs="Arial" w:eastAsia="Arial" w:hAnsi="Arial"/>
          <w:sz w:val="22"/>
          <w:szCs w:val="22"/>
          <w:b w:val="1"/>
          <w:bCs w:val="1"/>
          <w:color w:val="auto"/>
        </w:rPr>
        <w:t>Expensify,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32320" cy="2768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768600"/>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7"/>
        </w:trPr>
        <w:tc>
          <w:tcPr>
            <w:tcW w:w="3120" w:type="dxa"/>
            <w:vAlign w:val="bottom"/>
          </w:tcPr>
          <w:p>
            <w:pPr>
              <w:spacing w:after="0"/>
              <w:rPr>
                <w:sz w:val="20"/>
                <w:szCs w:val="20"/>
                <w:color w:val="auto"/>
              </w:rPr>
            </w:pPr>
            <w:r>
              <w:rPr>
                <w:rFonts w:ascii="Arial" w:cs="Arial" w:eastAsia="Arial" w:hAnsi="Arial"/>
                <w:sz w:val="16"/>
                <w:szCs w:val="16"/>
                <w:b w:val="1"/>
                <w:bCs w:val="1"/>
                <w:color w:val="auto"/>
              </w:rPr>
              <w:t>Six months ended June 30, 2023</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December 31, 2022</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upon exercise</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of stock options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Vesting of early exercised stock options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Issuance of restricted stock units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Repurchase of early exercised stock</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options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under Matching</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Plan</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Issuance of common stock in connection</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with restricted stock units vesting</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Shares withheld from common stock</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issued to pay employee payroll taxes</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64" w:lineRule="exact"/>
              <w:rPr>
                <w:sz w:val="20"/>
                <w:szCs w:val="20"/>
                <w:color w:val="auto"/>
              </w:rPr>
            </w:pPr>
            <w:r>
              <w:rPr>
                <w:rFonts w:ascii="Arial" w:cs="Arial" w:eastAsia="Arial" w:hAnsi="Arial"/>
                <w:sz w:val="16"/>
                <w:szCs w:val="16"/>
                <w:color w:val="auto"/>
              </w:rPr>
              <w:t>Repurchase and retirement of common</w:t>
            </w:r>
          </w:p>
        </w:tc>
        <w:tc>
          <w:tcPr>
            <w:tcW w:w="340" w:type="dxa"/>
            <w:vAlign w:val="bottom"/>
            <w:gridSpan w:val="2"/>
            <w:vMerge w:val="restart"/>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stock</w:t>
            </w:r>
          </w:p>
        </w:tc>
        <w:tc>
          <w:tcPr>
            <w:tcW w:w="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June 30, 2023</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9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4"/>
                <w:szCs w:val="4"/>
                <w:color w:val="auto"/>
              </w:rPr>
            </w:pPr>
          </w:p>
        </w:tc>
        <w:tc>
          <w:tcPr>
            <w:tcW w:w="1120" w:type="dxa"/>
            <w:vAlign w:val="bottom"/>
            <w:gridSpan w:val="2"/>
            <w:vMerge w:val="restart"/>
          </w:tcPr>
          <w:p>
            <w:pPr>
              <w:spacing w:after="0" w:line="122"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10"/>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82,429,367</w:t>
            </w:r>
          </w:p>
        </w:tc>
        <w:tc>
          <w:tcPr>
            <w:tcW w:w="80" w:type="dxa"/>
            <w:vAlign w:val="bottom"/>
          </w:tcPr>
          <w:p>
            <w:pPr>
              <w:spacing w:after="0"/>
              <w:rPr>
                <w:sz w:val="24"/>
                <w:szCs w:val="24"/>
                <w:color w:val="auto"/>
              </w:rPr>
            </w:pPr>
          </w:p>
        </w:tc>
        <w:tc>
          <w:tcPr>
            <w:tcW w:w="800" w:type="dxa"/>
            <w:vAlign w:val="bottom"/>
            <w:tcBorders>
              <w:top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4"/>
                <w:szCs w:val="24"/>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194,807</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(97,573)</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97,241</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102,865</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5,308</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(1,323)</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441,842</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2,076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2,076</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507,153</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(204,228)</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(1,524)</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(504,493)</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21,744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21,744</w:t>
            </w:r>
          </w:p>
        </w:tc>
        <w:tc>
          <w:tcPr>
            <w:tcW w:w="0" w:type="dxa"/>
            <w:vAlign w:val="bottom"/>
          </w:tcPr>
          <w:p>
            <w:pPr>
              <w:spacing w:after="0"/>
              <w:rPr>
                <w:sz w:val="1"/>
                <w:szCs w:val="1"/>
                <w:color w:val="auto"/>
              </w:rPr>
            </w:pPr>
          </w:p>
        </w:tc>
      </w:tr>
      <w:tr>
        <w:trPr>
          <w:trHeight w:val="217"/>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(17,249)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(17,249)</w:t>
            </w:r>
          </w:p>
        </w:tc>
        <w:tc>
          <w:tcPr>
            <w:tcW w:w="0" w:type="dxa"/>
            <w:vAlign w:val="bottom"/>
          </w:tcPr>
          <w:p>
            <w:pPr>
              <w:spacing w:after="0"/>
              <w:rPr>
                <w:sz w:val="1"/>
                <w:szCs w:val="1"/>
                <w:color w:val="auto"/>
              </w:rPr>
            </w:pPr>
          </w:p>
        </w:tc>
      </w:tr>
      <w:tr>
        <w:trPr>
          <w:trHeight w:val="210"/>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82,776,491</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216,422</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(116,566)</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99,863</w:t>
            </w:r>
          </w:p>
        </w:tc>
        <w:tc>
          <w:tcPr>
            <w:tcW w:w="0" w:type="dxa"/>
            <w:vAlign w:val="bottom"/>
          </w:tcPr>
          <w:p>
            <w:pPr>
              <w:spacing w:after="0"/>
              <w:rPr>
                <w:sz w:val="1"/>
                <w:szCs w:val="1"/>
                <w:color w:val="auto"/>
              </w:rPr>
            </w:pP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160"/>
            <w:col w:w="5820"/>
          </w:cols>
          <w:pgMar w:left="340" w:top="5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222250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12065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020" w:type="dxa"/>
            <w:vAlign w:val="bottom"/>
            <w:tcBorders>
              <w:top w:val="single" w:sz="8" w:color="auto"/>
            </w:tcBorders>
          </w:tcPr>
          <w:p>
            <w:pPr>
              <w:spacing w:after="0"/>
              <w:rPr>
                <w:sz w:val="17"/>
                <w:szCs w:val="17"/>
                <w:color w:val="auto"/>
              </w:rPr>
            </w:pPr>
          </w:p>
        </w:tc>
        <w:tc>
          <w:tcPr>
            <w:tcW w:w="2640" w:type="dxa"/>
            <w:vAlign w:val="bottom"/>
            <w:tcBorders>
              <w:top w:val="single" w:sz="8" w:color="auto"/>
              <w:bottom w:val="single" w:sz="8" w:color="auto"/>
            </w:tcBorders>
            <w:gridSpan w:val="4"/>
          </w:tcPr>
          <w:p>
            <w:pPr>
              <w:jc w:val="right"/>
              <w:ind w:right="157"/>
              <w:spacing w:after="0"/>
              <w:rPr>
                <w:sz w:val="20"/>
                <w:szCs w:val="20"/>
                <w:color w:val="auto"/>
              </w:rPr>
            </w:pPr>
            <w:r>
              <w:rPr>
                <w:rFonts w:ascii="Arial" w:cs="Arial" w:eastAsia="Arial" w:hAnsi="Arial"/>
                <w:sz w:val="13"/>
                <w:szCs w:val="13"/>
                <w:b w:val="1"/>
                <w:bCs w:val="1"/>
                <w:color w:val="auto"/>
              </w:rPr>
              <w:t>Six Months Ended June 30,</w:t>
            </w:r>
          </w:p>
        </w:tc>
        <w:tc>
          <w:tcPr>
            <w:tcW w:w="5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80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020" w:type="dxa"/>
            <w:vAlign w:val="bottom"/>
          </w:tcPr>
          <w:p>
            <w:pPr>
              <w:ind w:left="20"/>
              <w:spacing w:after="0" w:line="146" w:lineRule="exact"/>
              <w:rPr>
                <w:sz w:val="20"/>
                <w:szCs w:val="20"/>
                <w:color w:val="auto"/>
              </w:rPr>
            </w:pPr>
            <w:r>
              <w:rPr>
                <w:rFonts w:ascii="Arial" w:cs="Arial" w:eastAsia="Arial" w:hAnsi="Arial"/>
                <w:sz w:val="13"/>
                <w:szCs w:val="13"/>
                <w:color w:val="auto"/>
              </w:rPr>
              <w:t>Cash flows from operating activities:</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(17,249)</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2,789</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Reduction of operating lease right-of-use assets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334</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impairment, receivables and sale or disposal of equipment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15,905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20,345</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original issue discount and debt issuance costs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Deferred tax assets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assets and liabilities: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20" w:type="dxa"/>
            <w:vAlign w:val="bottom"/>
          </w:tcPr>
          <w:p>
            <w:pPr>
              <w:ind w:left="140"/>
              <w:spacing w:after="0"/>
              <w:rPr>
                <w:sz w:val="20"/>
                <w:szCs w:val="20"/>
                <w:color w:val="auto"/>
              </w:rPr>
            </w:pPr>
            <w:r>
              <w:rPr>
                <w:rFonts w:ascii="Arial" w:cs="Arial" w:eastAsia="Arial" w:hAnsi="Arial"/>
                <w:sz w:val="13"/>
                <w:szCs w:val="13"/>
                <w:color w:val="auto"/>
              </w:rPr>
              <w:t>Accounts receivable, net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1,358</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Settlement assets, net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(5,244)</w:t>
            </w:r>
          </w:p>
        </w:tc>
        <w:tc>
          <w:tcPr>
            <w:tcW w:w="0" w:type="dxa"/>
            <w:vAlign w:val="bottom"/>
          </w:tcPr>
          <w:p>
            <w:pPr>
              <w:spacing w:after="0"/>
              <w:rPr>
                <w:sz w:val="1"/>
                <w:szCs w:val="1"/>
                <w:color w:val="auto"/>
              </w:rPr>
            </w:pPr>
          </w:p>
        </w:tc>
      </w:tr>
      <w:tr>
        <w:trPr>
          <w:trHeight w:val="171"/>
        </w:trPr>
        <w:tc>
          <w:tcPr>
            <w:tcW w:w="8020" w:type="dxa"/>
            <w:vAlign w:val="bottom"/>
          </w:tcPr>
          <w:p>
            <w:pPr>
              <w:ind w:left="140"/>
              <w:spacing w:after="0"/>
              <w:rPr>
                <w:sz w:val="20"/>
                <w:szCs w:val="20"/>
                <w:color w:val="auto"/>
              </w:rPr>
            </w:pPr>
            <w:r>
              <w:rPr>
                <w:rFonts w:ascii="Arial" w:cs="Arial" w:eastAsia="Arial" w:hAnsi="Arial"/>
                <w:sz w:val="13"/>
                <w:szCs w:val="13"/>
                <w:color w:val="auto"/>
              </w:rPr>
              <w:t>Prepaid expenses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1,831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3,775</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current assets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(952)</w:t>
            </w:r>
          </w:p>
        </w:tc>
        <w:tc>
          <w:tcPr>
            <w:tcW w:w="0" w:type="dxa"/>
            <w:vAlign w:val="bottom"/>
          </w:tcPr>
          <w:p>
            <w:pPr>
              <w:spacing w:after="0"/>
              <w:rPr>
                <w:sz w:val="1"/>
                <w:szCs w:val="1"/>
                <w:color w:val="auto"/>
              </w:rPr>
            </w:pPr>
          </w:p>
        </w:tc>
      </w:tr>
      <w:tr>
        <w:trPr>
          <w:trHeight w:val="171"/>
        </w:trPr>
        <w:tc>
          <w:tcPr>
            <w:tcW w:w="8020" w:type="dxa"/>
            <w:vAlign w:val="bottom"/>
          </w:tcPr>
          <w:p>
            <w:pPr>
              <w:ind w:left="140"/>
              <w:spacing w:after="0"/>
              <w:rPr>
                <w:sz w:val="20"/>
                <w:szCs w:val="20"/>
                <w:color w:val="auto"/>
              </w:rPr>
            </w:pPr>
            <w:r>
              <w:rPr>
                <w:rFonts w:ascii="Arial" w:cs="Arial" w:eastAsia="Arial" w:hAnsi="Arial"/>
                <w:sz w:val="13"/>
                <w:szCs w:val="13"/>
                <w:color w:val="auto"/>
              </w:rPr>
              <w:t>Other assets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632</w:t>
            </w:r>
          </w:p>
        </w:tc>
        <w:tc>
          <w:tcPr>
            <w:tcW w:w="0" w:type="dxa"/>
            <w:vAlign w:val="bottom"/>
          </w:tcPr>
          <w:p>
            <w:pPr>
              <w:spacing w:after="0"/>
              <w:rPr>
                <w:sz w:val="1"/>
                <w:szCs w:val="1"/>
                <w:color w:val="auto"/>
              </w:rPr>
            </w:pPr>
          </w:p>
        </w:tc>
      </w:tr>
      <w:tr>
        <w:trPr>
          <w:trHeight w:val="171"/>
        </w:trPr>
        <w:tc>
          <w:tcPr>
            <w:tcW w:w="8020" w:type="dxa"/>
            <w:vAlign w:val="bottom"/>
          </w:tcPr>
          <w:p>
            <w:pPr>
              <w:ind w:left="140"/>
              <w:spacing w:after="0"/>
              <w:rPr>
                <w:sz w:val="20"/>
                <w:szCs w:val="20"/>
                <w:color w:val="auto"/>
              </w:rPr>
            </w:pPr>
            <w:r>
              <w:rPr>
                <w:rFonts w:ascii="Arial" w:cs="Arial" w:eastAsia="Arial" w:hAnsi="Arial"/>
                <w:sz w:val="13"/>
                <w:szCs w:val="13"/>
                <w:color w:val="auto"/>
              </w:rPr>
              <w:t>Accrued expenses and other liabilities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2,670</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lease liabilities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71"/>
        </w:trPr>
        <w:tc>
          <w:tcPr>
            <w:tcW w:w="8020" w:type="dxa"/>
            <w:vAlign w:val="bottom"/>
          </w:tcPr>
          <w:p>
            <w:pPr>
              <w:ind w:left="140"/>
              <w:spacing w:after="0"/>
              <w:rPr>
                <w:sz w:val="20"/>
                <w:szCs w:val="20"/>
                <w:color w:val="auto"/>
              </w:rPr>
            </w:pPr>
            <w:r>
              <w:rPr>
                <w:rFonts w:ascii="Arial" w:cs="Arial" w:eastAsia="Arial" w:hAnsi="Arial"/>
                <w:sz w:val="13"/>
                <w:szCs w:val="13"/>
                <w:color w:val="auto"/>
              </w:rPr>
              <w:t>Settlement liabilities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4,887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(1,382)</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liabilities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0" w:type="dxa"/>
            <w:vAlign w:val="bottom"/>
          </w:tcPr>
          <w:p>
            <w:pPr>
              <w:spacing w:after="0"/>
              <w:rPr>
                <w:sz w:val="1"/>
                <w:szCs w:val="1"/>
                <w:color w:val="auto"/>
              </w:rPr>
            </w:pPr>
          </w:p>
        </w:tc>
      </w:tr>
      <w:tr>
        <w:trPr>
          <w:trHeight w:val="164"/>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12,788</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7,208</w:t>
            </w:r>
          </w:p>
        </w:tc>
        <w:tc>
          <w:tcPr>
            <w:tcW w:w="0" w:type="dxa"/>
            <w:vAlign w:val="bottom"/>
          </w:tcPr>
          <w:p>
            <w:pPr>
              <w:spacing w:after="0"/>
              <w:rPr>
                <w:sz w:val="1"/>
                <w:szCs w:val="1"/>
                <w:color w:val="auto"/>
              </w:rPr>
            </w:pPr>
          </w:p>
        </w:tc>
      </w:tr>
      <w:tr>
        <w:trPr>
          <w:trHeight w:val="16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investing activities:</w:t>
            </w: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Purchases of property and equipment</w:t>
            </w:r>
          </w:p>
        </w:tc>
        <w:tc>
          <w:tcPr>
            <w:tcW w:w="9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Software development costs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(4,867)</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(2,043)</w:t>
            </w:r>
          </w:p>
        </w:tc>
        <w:tc>
          <w:tcPr>
            <w:tcW w:w="0" w:type="dxa"/>
            <w:vAlign w:val="bottom"/>
          </w:tcPr>
          <w:p>
            <w:pPr>
              <w:spacing w:after="0"/>
              <w:rPr>
                <w:sz w:val="1"/>
                <w:szCs w:val="1"/>
                <w:color w:val="auto"/>
              </w:rPr>
            </w:pPr>
          </w:p>
        </w:tc>
      </w:tr>
      <w:tr>
        <w:trPr>
          <w:trHeight w:val="164"/>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used in investing activities</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(4,867)</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(2,522)</w:t>
            </w:r>
          </w:p>
        </w:tc>
        <w:tc>
          <w:tcPr>
            <w:tcW w:w="0" w:type="dxa"/>
            <w:vAlign w:val="bottom"/>
          </w:tcPr>
          <w:p>
            <w:pPr>
              <w:spacing w:after="0"/>
              <w:rPr>
                <w:sz w:val="1"/>
                <w:szCs w:val="1"/>
                <w:color w:val="auto"/>
              </w:rPr>
            </w:pPr>
          </w:p>
        </w:tc>
      </w:tr>
      <w:tr>
        <w:trPr>
          <w:trHeight w:val="16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financing activities:</w:t>
            </w: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Principal payments of finance leases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of outstanding debt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(8,300)</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Payments for debt issuance costs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Repurchases of early exercised stock options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Proceeds from common stock purchased under Matching Plan</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2,004</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2,076</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common stock on exercise of stock options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Payments for employee taxes withheld from stock-based awards</w:t>
            </w:r>
          </w:p>
        </w:tc>
        <w:tc>
          <w:tcPr>
            <w:tcW w:w="9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(1,524)</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 and retirement of common stock</w:t>
            </w:r>
          </w:p>
        </w:tc>
        <w:tc>
          <w:tcPr>
            <w:tcW w:w="9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w:t>
            </w:r>
          </w:p>
        </w:tc>
        <w:tc>
          <w:tcPr>
            <w:tcW w:w="0" w:type="dxa"/>
            <w:vAlign w:val="bottom"/>
          </w:tcPr>
          <w:p>
            <w:pPr>
              <w:spacing w:after="0"/>
              <w:rPr>
                <w:sz w:val="1"/>
                <w:szCs w:val="1"/>
                <w:color w:val="auto"/>
              </w:rPr>
            </w:pPr>
          </w:p>
        </w:tc>
      </w:tr>
      <w:tr>
        <w:trPr>
          <w:trHeight w:val="164"/>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9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1,816</w:t>
            </w:r>
          </w:p>
        </w:tc>
        <w:tc>
          <w:tcPr>
            <w:tcW w:w="100" w:type="dxa"/>
            <w:vAlign w:val="bottom"/>
            <w:tcBorders>
              <w:bottom w:val="single" w:sz="8" w:color="CCEEFF"/>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(11,040)</w:t>
            </w:r>
          </w:p>
        </w:tc>
        <w:tc>
          <w:tcPr>
            <w:tcW w:w="0" w:type="dxa"/>
            <w:vAlign w:val="bottom"/>
          </w:tcPr>
          <w:p>
            <w:pPr>
              <w:spacing w:after="0"/>
              <w:rPr>
                <w:sz w:val="1"/>
                <w:szCs w:val="1"/>
                <w:color w:val="auto"/>
              </w:rPr>
            </w:pPr>
          </w:p>
        </w:tc>
      </w:tr>
      <w:tr>
        <w:trPr>
          <w:trHeight w:val="174"/>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increase (decrease) in cash and cash equivalents and restricted cash</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9,737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(6,354)</w:t>
            </w:r>
          </w:p>
        </w:tc>
        <w:tc>
          <w:tcPr>
            <w:tcW w:w="0" w:type="dxa"/>
            <w:vAlign w:val="bottom"/>
          </w:tcPr>
          <w:p>
            <w:pPr>
              <w:spacing w:after="0"/>
              <w:rPr>
                <w:sz w:val="1"/>
                <w:szCs w:val="1"/>
                <w:color w:val="auto"/>
              </w:rPr>
            </w:pPr>
          </w:p>
        </w:tc>
      </w:tr>
      <w:tr>
        <w:trPr>
          <w:trHeight w:val="171"/>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and restricted cash, beginning of period</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96,658</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147,710</w:t>
            </w:r>
          </w:p>
        </w:tc>
        <w:tc>
          <w:tcPr>
            <w:tcW w:w="0" w:type="dxa"/>
            <w:vAlign w:val="bottom"/>
          </w:tcPr>
          <w:p>
            <w:pPr>
              <w:spacing w:after="0"/>
              <w:rPr>
                <w:sz w:val="1"/>
                <w:szCs w:val="1"/>
                <w:color w:val="auto"/>
              </w:rPr>
            </w:pPr>
          </w:p>
        </w:tc>
      </w:tr>
      <w:tr>
        <w:trPr>
          <w:trHeight w:val="19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and restricted cash, end of period</w:t>
            </w:r>
          </w:p>
        </w:tc>
        <w:tc>
          <w:tcPr>
            <w:tcW w:w="98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106,395</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141,356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disclosure of cash flow information: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80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interest</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2,912</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Cash paid for income taxes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2,439</w:t>
            </w:r>
          </w:p>
        </w:tc>
        <w:tc>
          <w:tcPr>
            <w:tcW w:w="100" w:type="dxa"/>
            <w:vAlign w:val="bottom"/>
          </w:tcPr>
          <w:p>
            <w:pPr>
              <w:spacing w:after="0"/>
              <w:rPr>
                <w:sz w:val="14"/>
                <w:szCs w:val="14"/>
                <w:color w:val="auto"/>
              </w:rPr>
            </w:pP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2,251</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Noncash investing and financing items: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Stock-based compensation capitalized as software development costs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1,561</w:t>
            </w:r>
          </w:p>
        </w:tc>
        <w:tc>
          <w:tcPr>
            <w:tcW w:w="100" w:type="dxa"/>
            <w:vAlign w:val="bottom"/>
          </w:tcPr>
          <w:p>
            <w:pPr>
              <w:spacing w:after="0"/>
              <w:rPr>
                <w:sz w:val="14"/>
                <w:szCs w:val="14"/>
                <w:color w:val="auto"/>
              </w:rPr>
            </w:pP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1,399</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and equipment and capitalized software in accounts payable and accrued expenses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Right-of-use assets acquired through operating leases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6,402</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Reconciliation of cash and cash equivalents and restricted cash to the Condensed Consolidated Balance Sheets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2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53,234</w:t>
            </w:r>
          </w:p>
        </w:tc>
        <w:tc>
          <w:tcPr>
            <w:tcW w:w="100" w:type="dxa"/>
            <w:vAlign w:val="bottom"/>
          </w:tcPr>
          <w:p>
            <w:pPr>
              <w:spacing w:after="0"/>
              <w:rPr>
                <w:sz w:val="14"/>
                <w:szCs w:val="14"/>
                <w:color w:val="auto"/>
              </w:rPr>
            </w:pP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97,795</w:t>
            </w:r>
          </w:p>
        </w:tc>
        <w:tc>
          <w:tcPr>
            <w:tcW w:w="0" w:type="dxa"/>
            <w:vAlign w:val="bottom"/>
          </w:tcPr>
          <w:p>
            <w:pPr>
              <w:spacing w:after="0"/>
              <w:rPr>
                <w:sz w:val="1"/>
                <w:szCs w:val="1"/>
                <w:color w:val="auto"/>
              </w:rPr>
            </w:pPr>
          </w:p>
        </w:tc>
      </w:tr>
      <w:tr>
        <w:trPr>
          <w:trHeight w:val="180"/>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included in other current assets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30,591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20,986</w:t>
            </w:r>
          </w:p>
        </w:tc>
        <w:tc>
          <w:tcPr>
            <w:tcW w:w="0" w:type="dxa"/>
            <w:vAlign w:val="bottom"/>
          </w:tcPr>
          <w:p>
            <w:pPr>
              <w:spacing w:after="0"/>
              <w:rPr>
                <w:sz w:val="1"/>
                <w:szCs w:val="1"/>
                <w:color w:val="auto"/>
              </w:rPr>
            </w:pPr>
          </w:p>
        </w:tc>
      </w:tr>
      <w:tr>
        <w:trPr>
          <w:trHeight w:val="171"/>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included in settlement assets, net</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22,570</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22,575</w:t>
            </w:r>
          </w:p>
        </w:tc>
        <w:tc>
          <w:tcPr>
            <w:tcW w:w="0" w:type="dxa"/>
            <w:vAlign w:val="bottom"/>
          </w:tcPr>
          <w:p>
            <w:pPr>
              <w:spacing w:after="0"/>
              <w:rPr>
                <w:sz w:val="1"/>
                <w:szCs w:val="1"/>
                <w:color w:val="auto"/>
              </w:rPr>
            </w:pPr>
          </w:p>
        </w:tc>
      </w:tr>
      <w:tr>
        <w:trPr>
          <w:trHeight w:val="19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cash, cash equivalents and restricted cash</w:t>
            </w:r>
          </w:p>
        </w:tc>
        <w:tc>
          <w:tcPr>
            <w:tcW w:w="98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106,395</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141,356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1 – GENERAL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Expensify, Inc. ("Expensify") was incorporated in Delaware on April 29, 2009. Expensify offers a 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license arrangements and offers unique pricing options for small and medium-sized businesses ("SMBs") and enterprises on a per-active-member basis.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Expensify also offers an Expensify charge card (the "Expensify Card"), which is primarily distributed to corporate customers in the United States ("U.S.") who subsequently distribute the card to their employees for business use. The Expensify Card allows customers to have real-time control over their employees' spending and compliance with spending limits in addition to eReceipt reporting on purchases.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June 30, 2024, the Expensify Card consisted of two card programs operating concurrently. Under the original Expensify Card program launched in 2020 (the “Legacy Card Program”), Expensify has an agreement with the payment processor, Marqeta, Inc. ("Marqeta"), and relies on Marqeta to manage the relationship with the issuing bank, Sutton Bank, and the card network, Visa, in authorizing and settling transactions. In October 2023, Expensify augmented the Expensify Card program by entering into an agreement with a new issuing bank, The Bancorp Bank, N.A. ("Bancorp"), to issue Expensify Cards to customers and authorize and settle transactions on the Visa card network (the “Updated Card Program”). The Updated Card Program launched in February 2024 and all new Expensify Cards issued subsequent to the launch of the Updated Card Program operate under that program.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5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accompanying condensed consolidated financial statements include the accounts of Expensify, its wholly-owned subsidiaries, and Expensify.org (collectively, the "Company") and have been prepared in accordance with U.S. generally accepted accounting principles ("GAAP") and the applicable rules and regulations of the Securities and Exchange Commission ("SEC") for interim reporting in conformity with the instructions to Form 10-Q and Article 10 of Regulation S-X. Certain information and footnote disclosures normally included in financial statements presented in accordance with GAAP have been condensed or omitted pursuant to such SEC rules. These condensed consolidated financial statements should be read in conjunction with the consolidated financial statements and notes thereto included in the Annual Report on Form 10-K for the year ended December 31, 2023 ("2023 Annual Report").</w:t>
      </w:r>
    </w:p>
    <w:p>
      <w:pPr>
        <w:spacing w:after="0" w:line="10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All intercompany transactions and balances have been eliminated in consolidation. In the opinion of management, the accompanying condensed consolidated financial statements reflect all normal and recurring adjustments that are necessary for the fair presentation of the Company's financial position, results of operations, equity, and cash flows for the periods presented.</w:t>
      </w:r>
    </w:p>
    <w:p>
      <w:pPr>
        <w:spacing w:after="0" w:line="10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Results of operations for the three and six months ended June 30, 2024 are not necessarily indicative of the results that may be expected for the year ending December 31, 2024 or for any other future annual or interim period.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at the date of the condensed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are evaluated on an ongoing basis. Actual results could differ from those estimates. Changes in estimates are recorded in the period in which they become known.</w:t>
      </w:r>
    </w:p>
    <w:p>
      <w:pPr>
        <w:spacing w:after="0" w:line="11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Estimates and assumptions by management affect the Company’s classification of employee and employee-related expenses, the useful lives and recoverability of long-lived assets and deferred contract acquisition costs, income taxes, capitalization of internal-use software costs, stock-based compensation and the Company's incremental borrowing rate utilized to measure its lease right-of-use ("ROU") assets and lease liabilities.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Updates to Significant Accounting Policies</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Company’s significant accounting policies are discussed in Note 2 of the 2023 Annual Report. Since the date the 2023 Annual Report was filed with the SEC, there have been no material changes to the Company's significant accounting policies, including the adoption status of recent accounting pronouncements.</w:t>
      </w:r>
    </w:p>
    <w:p>
      <w:pPr>
        <w:spacing w:after="0" w:line="88"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NOTE 2 - REVENUE AND CERTAIN STATEMENT OF OPERATIONS COMPONENTS</w:t>
      </w:r>
    </w:p>
    <w:p>
      <w:pPr>
        <w:spacing w:after="0" w:line="17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The table below provides the Company's total revenue by geographic region based on the currency of the subscription (in thousands). No other individual country outside of the United States accounted for more than 10% of total revenue.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6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72,122</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locations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6,863</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78,985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No individual customer represented more than 10% of the Company’s total revenue during the three and six months ended June 30, 2024 and 2023.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Cashback Rewards</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offers a cashback rewards program to all Expensify Card customers based on volume of Expensify Card transactions and Software as a Service ("SaaS") subscription tier. Cashback rewards are earned on a monthly basis and are applied against outstanding customer receivables or paid out the following month. The Company considers the cashback payments to customers as consideration payable to a customer and it is recorded as a reduction to Revenue within the Condensed Consolidated Statements of Operations. Cashback rewards were $2.0 million and $1.8 million for the three months ended June 30, 2024 and 2023, respectively. Cashback rewards were $4.0 million and $3.0 million for the six months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Interchange</w:t>
      </w:r>
    </w:p>
    <w:p>
      <w:pPr>
        <w:spacing w:after="0" w:line="1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generates revenue from the authorization and settlement of Expensify Card transactions under the Updated Card Program. The Company is contractually entitled to all interchange generated on Expensify Card transactions based on its agreement with the issuing bank. Under the Updated Card Program, the Company is the principal in the transaction (i.e. the Company controls the services) and recognizes interchange as revenue on a gross basis within Revenue on the accompanying Condensed Consolidated Statements of Operations. Interchange revenue was $0.5 million for both the three and six months ended June 30, 2024.</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From a Vendor, Net</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receives consideration from a vendor for monetizing Expensify Card activities under the Legacy Card Program. This consideration, net of credit card processing fees paid to the vendor, is included as a reduction to Cost of revenue, net within the Condensed Consolidated Statements of Operations. Consideration from a vendor, net was $3.1 million and $2.4 million for the three months ended June 30, 2024 and 2023, respectively. Consideration from a vendor, net was $6.3 million and $4.5 million for the six months ended June 30, 2024 and 2023,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3 - CERTAIN BALANCE SHEET COMPONENTS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consisted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 June 30,</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Card posted collateral for funds held for customers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Cash in transit for funds held for customers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5,107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Expensify.org restricted cash</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Income tax receivable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2,993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restricted cash</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Deferred contract acquisition costs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Payments LLC restricted cash</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net consisted of the following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As of June 30,</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98"/>
              </w:rPr>
              <w:t>28,697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center"/>
              <w:ind w:left="677"/>
              <w:spacing w:after="0"/>
              <w:rPr>
                <w:sz w:val="20"/>
                <w:szCs w:val="20"/>
                <w:color w:val="auto"/>
              </w:rPr>
            </w:pPr>
            <w:r>
              <w:rPr>
                <w:rFonts w:ascii="Arial" w:cs="Arial" w:eastAsia="Arial" w:hAnsi="Arial"/>
                <w:sz w:val="18"/>
                <w:szCs w:val="18"/>
                <w:color w:val="auto"/>
                <w:w w:val="98"/>
              </w:rPr>
              <w:t>22,683</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557"/>
              <w:spacing w:after="0"/>
              <w:rPr>
                <w:sz w:val="20"/>
                <w:szCs w:val="20"/>
                <w:color w:val="auto"/>
              </w:rPr>
            </w:pPr>
            <w:r>
              <w:rPr>
                <w:rFonts w:ascii="Arial" w:cs="Arial" w:eastAsia="Arial" w:hAnsi="Arial"/>
                <w:sz w:val="18"/>
                <w:szCs w:val="18"/>
                <w:color w:val="auto"/>
              </w:rPr>
              <w:t>(12,691)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657"/>
              <w:spacing w:after="0"/>
              <w:rPr>
                <w:sz w:val="20"/>
                <w:szCs w:val="20"/>
                <w:color w:val="auto"/>
              </w:rPr>
            </w:pPr>
            <w:r>
              <w:rPr>
                <w:rFonts w:ascii="Arial" w:cs="Arial" w:eastAsia="Arial" w:hAnsi="Arial"/>
                <w:sz w:val="18"/>
                <w:szCs w:val="18"/>
                <w:color w:val="auto"/>
              </w:rPr>
              <w:t>(10,189)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center"/>
              <w:ind w:left="577"/>
              <w:spacing w:after="0"/>
              <w:rPr>
                <w:sz w:val="20"/>
                <w:szCs w:val="20"/>
                <w:color w:val="auto"/>
              </w:rPr>
            </w:pPr>
            <w:r>
              <w:rPr>
                <w:rFonts w:ascii="Arial" w:cs="Arial" w:eastAsia="Arial" w:hAnsi="Arial"/>
                <w:sz w:val="18"/>
                <w:szCs w:val="18"/>
                <w:color w:val="auto"/>
                <w:w w:val="98"/>
              </w:rPr>
              <w:t>16,006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center"/>
              <w:ind w:left="677"/>
              <w:spacing w:after="0"/>
              <w:rPr>
                <w:sz w:val="20"/>
                <w:szCs w:val="20"/>
                <w:color w:val="auto"/>
              </w:rPr>
            </w:pPr>
            <w:r>
              <w:rPr>
                <w:rFonts w:ascii="Arial" w:cs="Arial" w:eastAsia="Arial" w:hAnsi="Arial"/>
                <w:sz w:val="18"/>
                <w:szCs w:val="18"/>
                <w:color w:val="auto"/>
                <w:w w:val="98"/>
              </w:rPr>
              <w:t>12,494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Amortization expense related to capitalized software development costs is recorded in Cost of revenue, net on the Condensed Consolidated Statements of Operations. Amortization expense was $1.4 million and $ 0.8 million for the three months ended June 30, 2024 and 2023, respectively. Amortization expense was $2.5 million and $1.5 million for the six months ended June 30, 2024 and 2023,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 June 30,</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1,930</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Commercial building</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6,493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23,251</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Depreciation expense related to property and equipment is recorded in General and administrative, Sales and marketing, and Interest and other expenses, net on the Condensed Consolidated Statements of Operations. Depreciation expense related to property and equipment was $0.2 million and $0.4 million for the three months ended June 30, 2024 and 2023, respectively. Depreciation expense related to property and equipment was $0.5 million and $0.9 million for the six months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consisted of the following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 June 30,</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Sales, payroll and other taxes payable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3,389</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Cashback rewards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Partner payouts and advertising fees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1,486</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Restricted common stock liability for early stock option exercises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 reports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Matching Plan payroll liability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card processing fees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Hosting and license fees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Commissions payable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4 - COMMITMENTS AND CONTINGENCIES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and Operating Lease Arrangements</w:t>
      </w:r>
    </w:p>
    <w:p>
      <w:pPr>
        <w:spacing w:after="0" w:line="15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Company did not enter into any new lease agreements during the six months ended June 30, 2024. The components of lease cost reflected in the Condensed Consolidated Statements of Operations for all leases were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Borders>
              <w:top w:val="single" w:sz="8" w:color="auto"/>
            </w:tcBorders>
          </w:tcPr>
          <w:p>
            <w:pPr>
              <w:spacing w:after="0"/>
              <w:rPr>
                <w:sz w:val="19"/>
                <w:szCs w:val="19"/>
                <w:color w:val="auto"/>
              </w:rPr>
            </w:pPr>
          </w:p>
        </w:tc>
        <w:tc>
          <w:tcPr>
            <w:tcW w:w="2720" w:type="dxa"/>
            <w:vAlign w:val="bottom"/>
            <w:tcBorders>
              <w:top w:val="single" w:sz="8" w:color="auto"/>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2840" w:type="dxa"/>
            <w:vAlign w:val="bottom"/>
            <w:tcBorders>
              <w:top w:val="single" w:sz="8" w:color="auto"/>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7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Amortization of ROU assets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finance lease cost</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r>
      <w:tr>
        <w:trPr>
          <w:trHeight w:val="21"/>
        </w:trPr>
        <w:tc>
          <w:tcPr>
            <w:tcW w:w="4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was as follows (in thousands, except as noted within):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As of June 30,</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7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2023</w:t>
            </w:r>
          </w:p>
        </w:tc>
      </w:tr>
      <w:tr>
        <w:trPr>
          <w:trHeight w:val="224"/>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ROU assets (included within Lease right-of-use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364</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ROU assets (included within Lease right-of-use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5,488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6,071</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772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ind w:left="1100"/>
              <w:spacing w:after="0"/>
              <w:rPr>
                <w:sz w:val="20"/>
                <w:szCs w:val="20"/>
                <w:color w:val="auto"/>
              </w:rPr>
            </w:pPr>
            <w:r>
              <w:rPr>
                <w:rFonts w:ascii="Arial" w:cs="Arial" w:eastAsia="Arial" w:hAnsi="Arial"/>
                <w:sz w:val="18"/>
                <w:szCs w:val="18"/>
                <w:color w:val="auto"/>
                <w:w w:val="96"/>
              </w:rPr>
              <w:t>2.67</w:t>
            </w:r>
          </w:p>
        </w:tc>
      </w:tr>
      <w:tr>
        <w:trPr>
          <w:trHeight w:val="229"/>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6"/>
              </w:rPr>
              <w:t>9.18</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9"/>
              </w:rPr>
              <w:t>8.10 %</w:t>
            </w:r>
          </w:p>
        </w:tc>
      </w:tr>
      <w:tr>
        <w:trPr>
          <w:trHeight w:val="239"/>
        </w:trPr>
        <w:tc>
          <w:tcPr>
            <w:tcW w:w="77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8.30 %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ind w:left="772"/>
              <w:spacing w:after="0"/>
              <w:rPr>
                <w:sz w:val="20"/>
                <w:szCs w:val="20"/>
                <w:color w:val="auto"/>
              </w:rPr>
            </w:pPr>
            <w:r>
              <w:rPr>
                <w:rFonts w:ascii="Arial" w:cs="Arial" w:eastAsia="Arial" w:hAnsi="Arial"/>
                <w:sz w:val="18"/>
                <w:szCs w:val="18"/>
                <w:color w:val="auto"/>
                <w:w w:val="99"/>
              </w:rPr>
              <w:t>8.30 %</w:t>
            </w:r>
          </w:p>
        </w:tc>
      </w:tr>
      <w:tr>
        <w:trPr>
          <w:trHeight w:val="45"/>
        </w:trPr>
        <w:tc>
          <w:tcPr>
            <w:tcW w:w="7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443"/>
        </w:trPr>
        <w:tc>
          <w:tcPr>
            <w:tcW w:w="772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8"/>
        </w:trPr>
        <w:tc>
          <w:tcPr>
            <w:tcW w:w="7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7"/>
          </w:tcPr>
          <w:p>
            <w:pPr>
              <w:spacing w:after="0"/>
              <w:rPr>
                <w:sz w:val="15"/>
                <w:szCs w:val="15"/>
                <w:color w:val="auto"/>
              </w:rPr>
            </w:pPr>
          </w:p>
        </w:tc>
      </w:tr>
      <w:tr>
        <w:trPr>
          <w:trHeight w:val="201"/>
        </w:trPr>
        <w:tc>
          <w:tcPr>
            <w:tcW w:w="7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7"/>
          </w:tcPr>
          <w:p>
            <w:pPr>
              <w:jc w:val="center"/>
              <w:ind w:right="9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7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r>
      <w:tr>
        <w:trPr>
          <w:trHeight w:val="211"/>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29"/>
        </w:trPr>
        <w:tc>
          <w:tcPr>
            <w:tcW w:w="7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cash flows from finance leases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9"/>
        </w:trPr>
        <w:tc>
          <w:tcPr>
            <w:tcW w:w="772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45"/>
        </w:trPr>
        <w:tc>
          <w:tcPr>
            <w:tcW w:w="7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443"/>
        </w:trPr>
        <w:tc>
          <w:tcPr>
            <w:tcW w:w="7720" w:type="dxa"/>
            <w:vAlign w:val="bottom"/>
          </w:tcPr>
          <w:p>
            <w:pPr>
              <w:spacing w:after="0"/>
              <w:rPr>
                <w:sz w:val="20"/>
                <w:szCs w:val="20"/>
                <w:color w:val="auto"/>
              </w:rPr>
            </w:pPr>
            <w:r>
              <w:rPr>
                <w:rFonts w:ascii="Arial" w:cs="Arial" w:eastAsia="Arial" w:hAnsi="Arial"/>
                <w:sz w:val="18"/>
                <w:szCs w:val="18"/>
                <w:color w:val="auto"/>
              </w:rPr>
              <w:t>Maturities of lease liabilities as of June 30, 2024 were as follows (in thousands):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9"/>
        </w:trPr>
        <w:tc>
          <w:tcPr>
            <w:tcW w:w="7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27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2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Finance leases</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Operating leases</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2024</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307</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ind w:left="772"/>
              <w:spacing w:after="0"/>
              <w:rPr>
                <w:sz w:val="20"/>
                <w:szCs w:val="20"/>
                <w:color w:val="auto"/>
              </w:rPr>
            </w:pPr>
            <w:r>
              <w:rPr>
                <w:rFonts w:ascii="Arial" w:cs="Arial" w:eastAsia="Arial" w:hAnsi="Arial"/>
                <w:sz w:val="18"/>
                <w:szCs w:val="18"/>
                <w:color w:val="auto"/>
                <w:w w:val="97"/>
              </w:rPr>
              <w:t>1,079</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7"/>
              </w:rPr>
              <w:t>1,018</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2027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ind w:left="772"/>
              <w:spacing w:after="0"/>
              <w:rPr>
                <w:sz w:val="20"/>
                <w:szCs w:val="20"/>
                <w:color w:val="auto"/>
              </w:rPr>
            </w:pPr>
            <w:r>
              <w:rPr>
                <w:rFonts w:ascii="Arial" w:cs="Arial" w:eastAsia="Arial" w:hAnsi="Arial"/>
                <w:sz w:val="18"/>
                <w:szCs w:val="18"/>
                <w:color w:val="auto"/>
                <w:w w:val="97"/>
              </w:rPr>
              <w:t>1,033</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7"/>
              </w:rPr>
              <w:t>1,063</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772"/>
              <w:spacing w:after="0"/>
              <w:rPr>
                <w:sz w:val="20"/>
                <w:szCs w:val="20"/>
                <w:color w:val="auto"/>
              </w:rPr>
            </w:pPr>
            <w:r>
              <w:rPr>
                <w:rFonts w:ascii="Arial" w:cs="Arial" w:eastAsia="Arial" w:hAnsi="Arial"/>
                <w:sz w:val="18"/>
                <w:szCs w:val="18"/>
                <w:color w:val="auto"/>
                <w:w w:val="97"/>
              </w:rPr>
              <w:t>4,499</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center"/>
              <w:ind w:left="772"/>
              <w:spacing w:after="0"/>
              <w:rPr>
                <w:sz w:val="20"/>
                <w:szCs w:val="20"/>
                <w:color w:val="auto"/>
              </w:rPr>
            </w:pPr>
            <w:r>
              <w:rPr>
                <w:rFonts w:ascii="Arial" w:cs="Arial" w:eastAsia="Arial" w:hAnsi="Arial"/>
                <w:sz w:val="18"/>
                <w:szCs w:val="18"/>
                <w:color w:val="auto"/>
                <w:w w:val="97"/>
              </w:rPr>
              <w:t>8,999</w:t>
            </w: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(2,725)</w:t>
            </w:r>
          </w:p>
        </w:tc>
      </w:tr>
      <w:tr>
        <w:trPr>
          <w:trHeight w:val="229"/>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Lease liabilities, current</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171</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center"/>
              <w:ind w:left="772"/>
              <w:spacing w:after="0"/>
              <w:rPr>
                <w:sz w:val="20"/>
                <w:szCs w:val="20"/>
                <w:color w:val="auto"/>
              </w:rPr>
            </w:pPr>
            <w:r>
              <w:rPr>
                <w:rFonts w:ascii="Arial" w:cs="Arial" w:eastAsia="Arial" w:hAnsi="Arial"/>
                <w:sz w:val="18"/>
                <w:szCs w:val="18"/>
                <w:color w:val="auto"/>
                <w:w w:val="97"/>
              </w:rPr>
              <w:t>5,947</w:t>
            </w:r>
          </w:p>
        </w:tc>
      </w:tr>
      <w:tr>
        <w:trPr>
          <w:trHeight w:val="21"/>
        </w:trPr>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
        </w:trPr>
        <w:tc>
          <w:tcPr>
            <w:tcW w:w="7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Amortizing Term Mortgage</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August 2019, the Company entered into an $8.3 million amortizing term mortgage agreement with Canadian Imperial Bank of Commerce ("CIBC") for the Company's commercial building located in Portland, Oregon. The agreement requires principal and interest payments to be made each month over a five-year period. Interest accrues at a fixed rate of 5.00% per year until August 2024, at which point the remaining outstanding principal balance on the amortizing term mortgage is due in full. The borrowings are secured by the building. The outstanding balance of the amortizing term mortgage was $7.6 million and $7.7 million as of June 30, 2024 and December 31, 2023, respectively.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and Security Agreement</w:t>
      </w:r>
    </w:p>
    <w:p>
      <w:pPr>
        <w:spacing w:after="0" w:line="15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September 2021, the Company amended and restated its loan and security agreement with CIBC (the "2021 Amended Loan and Security Agreement") which consisted of a $45.0 million initial term loan, the option to enter into an additional $30.0 million delayed term loan that expired in March 2023, and a monthly revolving line of credit of $25.0 million. Under the 2021 Amended Loan and Security Agreement, the initial term loan of $45.0 million was payable over a 60-month period with principal and accrued interest payments due each quarter, commencing on September 30, 2021. The 2021 Amended Loan and Security Agreement amortized in equal quarterly installments of</w:t>
      </w:r>
    </w:p>
    <w:p>
      <w:pPr>
        <w:spacing w:after="0" w:line="3" w:lineRule="exact"/>
        <w:rPr>
          <w:sz w:val="20"/>
          <w:szCs w:val="20"/>
          <w:color w:val="auto"/>
        </w:rPr>
      </w:pPr>
    </w:p>
    <w:p>
      <w:pPr>
        <w:ind w:right="540"/>
        <w:spacing w:after="0" w:line="254" w:lineRule="auto"/>
        <w:rPr>
          <w:sz w:val="20"/>
          <w:szCs w:val="20"/>
          <w:color w:val="auto"/>
        </w:rPr>
      </w:pPr>
      <w:r>
        <w:rPr>
          <w:rFonts w:ascii="Arial" w:cs="Arial" w:eastAsia="Arial" w:hAnsi="Arial"/>
          <w:sz w:val="18"/>
          <w:szCs w:val="18"/>
          <w:color w:val="auto"/>
        </w:rPr>
        <w:t>$0.1 million through September 30, 2024, $0.2 million beginning October 1, 2024 and $0.6 million beginning October 1, 2025, with any remaining principal balance due and payable on maturity in September 2026. The amounts borrowed accrued interest at the bank’s reference rate plus 2.25% beginning on September 30, 2021 and continued on a quarterly basis through maturity of the term loan. The borrowings were secured by substantially all the Company’s assets. The then outstanding balance of $36.0 million and $0.1 million of accrued interest on the term loan were repaid in full on October 12, 2023.</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February 2024, the Company entered into a Second Amended and Restated Loan and Security Agreement (as amended by the First Amendment described below, and as may be further amended from time to time, the "2024 Amended Loan and Security Agreement") with CIBC. The 2024 Amended Loan and Security Agreement amends and restates the 2021 Amended Loan and Security Agreement, to extend the maturity date of the revolving line of credit from September 2024 to September 2025, remove certain provisions related to the term loan that was repaid in full in October 2023 and make certain changes to the positive and negative covenants intended to better align with the operations of the Company. The 2024 Amended Loan and Security Agreement continues to provide for a $25.0 million revolving credit facility. Borrowings under the revolving line of credit accrue interest at CIBC’s reference rate plus 1.00% (9.50% as of June 30, 2024) and are secured by substantially all of the Company's assets. In May 2024, the Company entered into a First Amendment to the 2024 Amended Loan and Security Agreement, which amended the covenant restricting the amount of repurchases of common stock to allow for certain additional repurchase activity and provided a waiver for the Company's non-compliance during prior periods with the previous version of such covenant.</w:t>
      </w:r>
    </w:p>
    <w:p>
      <w:pPr>
        <w:spacing w:after="0" w:line="104"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The Company incurred an immaterial amount of costs in connection with entering into the 2024 Amended Loan and Security Agreement. These debt issuance costs are reflected as a deferred asset within Other current assets on the Condensed Consolidated Balance Sheets and are being amortized to interest expense on a straight-line basis over the term of the agreement. As of June 30, 2024, the unamortized debt issuance costs included within Other current assets was $0.1 million.</w:t>
      </w:r>
    </w:p>
    <w:p>
      <w:pPr>
        <w:spacing w:after="0" w:line="10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April 24, 2024, the Company entered into an irrevocable standby letter of credit (the "Letter of Credit") issued under the 2024 Amended Loan and Security Agreement to reduce cash collateral requirements in connection with the Updated Card Program. The Letter of Credit was issued in the amount of $1.0 million for the benefit of Bancorp and expires on March 20, 2025. No amounts have been drawn on the Letter of Credit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of June 30, 2024 and December 31, 2023, there were $15.0 million of borrowings under the revolving line of credit. As of June 30, 2024, there was $9.0 million of capacity available for additional borrowings.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Future aggregate annual principal payments on long-term debt as of June 30, 2024 is expected to be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7"/>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2024</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2027</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principal payments</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w:t>
            </w:r>
          </w:p>
        </w:tc>
      </w:tr>
      <w:tr>
        <w:trPr>
          <w:trHeight w:val="229"/>
        </w:trPr>
        <w:tc>
          <w:tcPr>
            <w:tcW w:w="9660" w:type="dxa"/>
            <w:vAlign w:val="bottom"/>
          </w:tcPr>
          <w:p>
            <w:pPr>
              <w:ind w:left="240"/>
              <w:spacing w:after="0"/>
              <w:rPr>
                <w:sz w:val="20"/>
                <w:szCs w:val="20"/>
                <w:color w:val="auto"/>
              </w:rPr>
            </w:pPr>
            <w:r>
              <w:rPr>
                <w:rFonts w:ascii="Arial" w:cs="Arial" w:eastAsia="Arial" w:hAnsi="Arial"/>
                <w:sz w:val="18"/>
                <w:szCs w:val="18"/>
                <w:color w:val="auto"/>
              </w:rPr>
              <w:t>Less: unamortized original issue discount and debt issuance costs</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Current portion of long-term debt, net of unamortized original issue discount and debt issuance costs</w:t>
            </w: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Long-term debt, net of unamortized original issue discount and debt issuance costs</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9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
        </w:trPr>
        <w:tc>
          <w:tcPr>
            <w:tcW w:w="9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0"/>
        <w:spacing w:after="0" w:line="503" w:lineRule="auto"/>
        <w:rPr>
          <w:sz w:val="20"/>
          <w:szCs w:val="20"/>
          <w:color w:val="auto"/>
        </w:rPr>
      </w:pPr>
      <w:r>
        <w:rPr>
          <w:rFonts w:ascii="Arial" w:cs="Arial" w:eastAsia="Arial" w:hAnsi="Arial"/>
          <w:sz w:val="18"/>
          <w:szCs w:val="18"/>
          <w:color w:val="auto"/>
        </w:rPr>
        <w:t xml:space="preserve">Additionally, $15.0 million of outstanding borrowings under the revolving line of credit are due in September 2025 upon maturity of the facility. As of June 30, 2024, the Company was in compliance with all debt covenants. </w:t>
      </w:r>
      <w:r>
        <w:rPr>
          <w:rFonts w:ascii="Arial" w:cs="Arial" w:eastAsia="Arial" w:hAnsi="Arial"/>
          <w:sz w:val="18"/>
          <w:szCs w:val="18"/>
          <w:b w:val="1"/>
          <w:bCs w:val="1"/>
          <w:color w:val="auto"/>
        </w:rPr>
        <w:t>Defined Contribution Plans</w:t>
      </w:r>
    </w:p>
    <w:p>
      <w:pPr>
        <w:spacing w:after="0" w:line="21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sponsors a U.S. 401(k) defined contribution plan for all eligible employees who elect to participate. The Company is permitted to make discretionary profit sharing and 401(k) matching contributions as defined in the plan and as approved by the Board of Directors. Effective January 1, 2018, the Company matches up to 4.50% of each participant’s eligible compensation. No discretionary profit-sharing contributions were made during the three and six months ended June 30, 2024 and 2023. The Company’s 401(k) matching contributions were $0.2 million for both the three months ended June 30, 2024 and 2023. The Company’s 401(k) matching contributions were $0.4 million and $0.5 million for the six months ended June 30, 2024 and 2023,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From time to time in the normal course of business, the Company may be involved in claims, proceedings and litigation. In the case of any litigation, the Company records a provision for a liability when management believes that it is both probable that a liability has been incurred, and the amount of the loss can be reasonably estimated. The Company reviews such provisions at least quarterly and adjusts such provisions to reflect the impact of negotiations, settlements, rulings, advice of legal counsel and other information and events pertaining to a particular case.</w:t>
      </w:r>
    </w:p>
    <w:p>
      <w:pPr>
        <w:spacing w:after="0" w:line="11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As of June 30, 2024, there were no legal contingency matters, either individually or in aggregate, that would have a material adverse effect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5 - STOCK INCENTIVE PLANS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and 2019 Stock Plans</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2009, the Board of Directors approved the 2009 Stock Plan ("2009 Stock Plan"). As amended in 2015, the 2009 Stock Plan permitted the Company to grant up to 16,495,150 shares of common stock. In January 2018, the Company increased the number of shares of common stock reserved under the 2009 Stock Plan by 535,130 shares to 17,030,280 shares. In April 2019, the Board of Directors approved the adoption of the 2019 Stock Plan ("2019 Stock Plan", and together with the 2009 Stock Plan, "Stock Plans"). The 2019 Stock Plan permitted the Company to grant up to 8,173,970 additional shares, increasing the overall common stock reserved for grant under the Stock Plans to 25,204,250 shares. In September 2021, the Board of Directors approved the grant of 8,679,380 restricted stock units under the 2019 Stock Plan, covering an aggregate of 4,339,690 shares of each of Class A and LT50 common stock effective immediately prior to the effectiveness of the Company's IPO Registration Statement on Form S-1 ("IPO Registration Statement") on November 9, 2021. On November 9, 2021, the Board of Directors amended and restated the 2019 Stock Plan to, among other things, increase the common stock reserved for issuance under the 2019 Stock Plan to an aggregate of 16,856,770 shares of Class A and LT50 common stock.</w:t>
      </w:r>
    </w:p>
    <w:p>
      <w:pPr>
        <w:spacing w:after="0" w:line="11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Following the completion of the initial public offering of the Company’s Class A common stock ("IPO"), the Company did not and does not intend to make any further grants under the Stock Plans. However, the Stock Plans will continue to govern the terms and conditions of the outstanding awards granted under the Stock Plans.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("2021 Plan") and the Company's 2021 Stock Purchase and Matching Plan ("Matching Plan" and together with the 2021 Plan, "2021 Incentive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Incentive Plans</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November 2021, the Board of Directors adopted, and its stockholders approved, the 2021 Incentive Plans, which both became effective immediately before the effectiveness of the IPO Registration Statement and use a combined share reserve. Under the 2021 Incentive Plans, 11,676,932 shares of Class A common stock were initially reserved for issuance pursuant to a variety of stock-based awards, including incentive stock options, nonqualified stock options, stock appreciation rights, restricted stock awards, restricted stock units ("RSUs"), and other forms of equity and cash compensation under the 2021 Plan and purchase rights and matching awards under the Matching Plan. The number of shares initially reserved for issuance or transfer pursuant to awards under the 2021 Incentive Plans will be increased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The number of shares of Class A common stock reserved for issuance under the 2021 Incentive Plans as of June 30, 2024 and December 31, 2023 was 27,396,255 shares and 22,282,735 shares, respectively. The number of shares will automatically increase each subsequent January 1 through January 1, 2031, by the lesser of (A) 6% of the aggregate number of shares of all classes of common stock outstanding on the immediately preceding calendar year end, or (B) such lesser number of shares as determined by the Company’s Board of Directors or compensation committee; provided, however, that no more than 87,576,990 shares of Class A common stock may be issued upon the exercise of incentive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Matching Plan</w:t>
      </w:r>
    </w:p>
    <w:p>
      <w:pPr>
        <w:spacing w:after="0" w:line="15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Matching Plan operates using consecutive three-month offering periods that commenced on March 15, 2022. Employees, consultants and directors (collectively, "Service Providers") of the Company can participate in the Matching Plan by electing to contribute compensation through payroll deductions or from fee payments or may be granted discretionary awards under the Matching Plan. On the last day of the offering period the contributions made during the offering period are used to purchase shares of Class A common stock.</w:t>
      </w:r>
    </w:p>
    <w:p>
      <w:pPr>
        <w:spacing w:after="0" w:line="1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price at which Class A common stock is purchased under the Matching Plan equals the average of the high and low trading price of a share of Class A common stock as of the last trading day of the offering period. At the end of each offering period, the Company may provide a discretionary match up to 1/10 of a share of Class A common stock for each share of Class A common stock purchased by or issued to a Service Provider under the Matching Plan that is retained through the end of the applicable offering period. No fractional shares will be issued by the Company. The Company will round to the nearest full share for shares purchased by a Service Provider as well as any matched shares issued to a Service Provider under the Matching Plan. The match rate applicable to each offering period shall be limited to 1.50% of the shares of any class of capital stock outstanding as of the exercise date applicable to such offering period. The Company estimates the fair value of matched shares provided under the Matching Plan using the Black-Scholes option-pricing model on the date of grant. The Company recognizes stock-based compensation expense related to the matched shares pursuant to its Matching Plan on a straight-line basis over the applicable three-month offering period.</w:t>
      </w:r>
    </w:p>
    <w:p>
      <w:pPr>
        <w:spacing w:after="0" w:line="10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Service Providers who participated in the Matching Plan for the offering period ended June 14, 2024 purchased a total of 808,836 Class A common shares, based on a purchase price of $1.35, resulting in gross cash proceeds to the Company of $1.1 million.</w:t>
      </w:r>
    </w:p>
    <w:p>
      <w:pPr>
        <w:spacing w:after="0" w:line="8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Service Providers who participated in the Matching Plan for the offering period ended June 14, 2023 purchased a total of 140,158 Class A common shares, based on a purchase price of $6.97, resulting in gross cash proceeds to the Company of $1.0 million.</w:t>
      </w:r>
    </w:p>
    <w:p>
      <w:pPr>
        <w:spacing w:after="0" w:line="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offering period ended June 14, 2024, the Company elected to match each share of Class A common stock purchased or issued under the Matching Plan with 1/20 of a share of Class A common stock. The Company granted a total of 157,138 shares of Class A common stock as a matching contribution under the Matching Plan with no shares withheld for taxes, during the three months ended June 30, 2024. The Company granted a total of 267,222 shares of Class A common stock as a matching contribution under the Matching Plan with no shares withheld for taxes, during the six months ended June 30, 2024.</w:t>
      </w:r>
    </w:p>
    <w:p>
      <w:pPr>
        <w:spacing w:after="0" w:line="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offering period ended June 14, 2023, the Company elected to match each share of Class A common stock purchased or issued under the Matching Plan with 1/20 of a share of Class A common stock. The Company granted a total of 20,748 shares of Class A common stock as a matching contribution under the Matching Plan, net of a total of 6,817 shares withheld for taxes, during the three months ended June 30, 2023. The Company granted a total of 36,846 shares of Class A common stock as a matching contribution under the Matching Plan, net of a total of 6,817 shares withheld for taxes, during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fair value of awards granted as a result of the Company match under the Matching Plan was estimated using the Black-Scholes option pricing model with the following weighted 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63"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23495</wp:posOffset>
            </wp:positionV>
            <wp:extent cx="21513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35" w:lineRule="exact"/>
        <w:rPr>
          <w:sz w:val="20"/>
          <w:szCs w:val="20"/>
          <w:color w:val="auto"/>
        </w:rPr>
      </w:pPr>
    </w:p>
    <w:p>
      <w:pPr>
        <w:ind w:left="5040"/>
        <w:spacing w:after="0"/>
        <w:tabs>
          <w:tab w:leader="none" w:pos="676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ind w:right="6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23495</wp:posOffset>
            </wp:positionV>
            <wp:extent cx="21513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35" w:lineRule="exact"/>
        <w:rPr>
          <w:sz w:val="20"/>
          <w:szCs w:val="20"/>
          <w:color w:val="auto"/>
        </w:rPr>
      </w:pPr>
    </w:p>
    <w:p>
      <w:pPr>
        <w:spacing w:after="0"/>
        <w:tabs>
          <w:tab w:leader="none" w:pos="1720" w:val="left"/>
        </w:tabs>
        <w:rPr>
          <w:sz w:val="20"/>
          <w:szCs w:val="20"/>
          <w:color w:val="auto"/>
        </w:rPr>
      </w:pP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35" w:lineRule="exact"/>
        <w:rPr>
          <w:sz w:val="20"/>
          <w:szCs w:val="20"/>
          <w:color w:val="auto"/>
        </w:rPr>
      </w:pPr>
    </w:p>
    <w:p>
      <w:pPr>
        <w:sectPr>
          <w:pgSz w:w="11900" w:h="16838" w:orient="portrait"/>
          <w:cols w:equalWidth="0" w:num="2">
            <w:col w:w="7800" w:space="720"/>
            <w:col w:w="27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common stock per share</w:t>
            </w: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1.40</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7.15</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7.31</w:t>
            </w:r>
          </w:p>
        </w:tc>
      </w:tr>
      <w:tr>
        <w:trPr>
          <w:trHeight w:val="229"/>
        </w:trPr>
        <w:tc>
          <w:tcPr>
            <w:tcW w:w="4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dividend yield </w:t>
            </w:r>
            <w:r>
              <w:rPr>
                <w:rFonts w:ascii="Arial" w:cs="Arial" w:eastAsia="Arial" w:hAnsi="Arial"/>
                <w:sz w:val="23"/>
                <w:szCs w:val="23"/>
                <w:color w:val="auto"/>
                <w:vertAlign w:val="superscript"/>
              </w:rPr>
              <w:t>(1)</w:t>
            </w:r>
          </w:p>
        </w:tc>
        <w:tc>
          <w:tcPr>
            <w:tcW w:w="6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6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5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(2)</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43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(3)</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65.7 %</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70.8 %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76.3 %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66.3 %</w:t>
            </w:r>
          </w:p>
        </w:tc>
      </w:tr>
      <w:tr>
        <w:trPr>
          <w:trHeight w:val="229"/>
        </w:trPr>
        <w:tc>
          <w:tcPr>
            <w:tcW w:w="4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Expected life (in years) </w:t>
            </w:r>
            <w:r>
              <w:rPr>
                <w:rFonts w:ascii="Arial" w:cs="Arial" w:eastAsia="Arial" w:hAnsi="Arial"/>
                <w:sz w:val="23"/>
                <w:szCs w:val="23"/>
                <w:color w:val="auto"/>
                <w:vertAlign w:val="superscript"/>
              </w:rPr>
              <w:t>(4)</w:t>
            </w: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54"/>
        </w:trPr>
        <w:tc>
          <w:tcPr>
            <w:tcW w:w="43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bl>
    <w:p>
      <w:pPr>
        <w:spacing w:after="0" w:line="68"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Company has no history or expectation of paying cash dividends on its common stock.</w:t>
      </w:r>
    </w:p>
    <w:p>
      <w:pPr>
        <w:spacing w:after="0" w:line="24" w:lineRule="exact"/>
        <w:rPr>
          <w:rFonts w:ascii="Arial" w:cs="Arial" w:eastAsia="Arial" w:hAnsi="Arial"/>
          <w:sz w:val="13"/>
          <w:szCs w:val="13"/>
          <w:color w:val="auto"/>
        </w:rPr>
      </w:pP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risk-free interest rate is based on the U.S. Treasury yield for a term consistent with the expected life of the awards in effect at the time of grant.</w:t>
      </w:r>
    </w:p>
    <w:p>
      <w:pPr>
        <w:spacing w:after="0" w:line="12" w:lineRule="exact"/>
        <w:rPr>
          <w:rFonts w:ascii="Arial" w:cs="Arial" w:eastAsia="Arial" w:hAnsi="Arial"/>
          <w:sz w:val="13"/>
          <w:szCs w:val="13"/>
          <w:color w:val="auto"/>
        </w:rPr>
      </w:pP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Company estimates volatility of its common stock at the date of the grant based on the expected weighted average volatility of its Class A common stock.</w:t>
      </w:r>
    </w:p>
    <w:p>
      <w:pPr>
        <w:spacing w:after="0" w:line="12" w:lineRule="exact"/>
        <w:rPr>
          <w:rFonts w:ascii="Arial" w:cs="Arial" w:eastAsia="Arial" w:hAnsi="Arial"/>
          <w:sz w:val="13"/>
          <w:szCs w:val="13"/>
          <w:color w:val="auto"/>
        </w:rPr>
      </w:pP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expected life of awards granted as a Company match within the Matching Plan represents the duration of each offering period under the terms of the Matching Plan.</w:t>
      </w:r>
    </w:p>
    <w:p>
      <w:pPr>
        <w:spacing w:after="0" w:line="14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Company has made discretionary contributions under the Matching Plan to eligible Service Providers. The Company granted a total of 456,858 shares of Class A common stock as discretionary contributions under the Matching Plan with no shares withheld for taxes, during the three months ended June 30, 2024. The Company granted a total of 935,377 shares of Class A common stock as discretionary contributions under the Matching Plan with no shares withheld for taxes, during the six months ended June 30, 2024.</w:t>
      </w:r>
    </w:p>
    <w:p>
      <w:pPr>
        <w:spacing w:after="0" w:line="109"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Company granted a total of 75,311 shares of Class A common stock as discretionary contributions under the Matching Plan, net of a total of 35,391 shares withheld for taxes, during the three and six months ended June 30, 2023.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5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On September 24, 2021, under the 2019 Stock Plan, the Company approved the grant of Class A and LT50 common stock RSUs to Service Providers effective November 9, 2021, the date the Company amended its Certificate of Incorporation, to include, among other things, LT50 common stock. RSUs granted to Service Providers on November 9, 2021 that were approved in September 2021 vest upon the satisfaction of both a performance and service condition. The performance condition was satisfied immediately prior to the effectiveness of the IPO Registration Statement. The service condition is satisfied over eight years with 1/8 of the grant having vested on September 15, 2022 and quarterly vesting of 1/32 of the grant every December 15, March 15, June 15 and September 15 (each, a "Specified Quarterly Date") thereafter until fully vested, in each case subject to continued service to the Company. All RSUs granted to Service Providers after the IPO, under the 2021 Plan, have a service condition only, which is satisfied over eight years from the vesting commencement date corresponding to one of the Specified Quarterly Dates nearest the date of grant, with 1/8 of each grant vesting on the first anniversary of the vesting commencement date and 1/32 of each grant vesting in equal quarterly installments thereafter until fully vested, in each case, subject to continued service to the Company.</w:t>
      </w:r>
    </w:p>
    <w:p>
      <w:pPr>
        <w:spacing w:after="0" w:line="11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Pursuant to the Company's Non-Employee Director Compensation Program, which was adopted under the 2021 Incentive Plans, the Company granted 230,064 Class A common stock RSUs for the six months ended June 30, 2024. A total of 60,363 Class A common RSUs vested during the six months ended June 30, 2024 related to previously-granted RSU awards as the quarterly service conditions were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2024, RSU activity for Service Providers and non-employee directors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Class A Common</w:t>
            </w:r>
          </w:p>
        </w:tc>
        <w:tc>
          <w:tcPr>
            <w:tcW w:w="1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63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LT50 Common Stock</w:t>
            </w:r>
          </w:p>
        </w:tc>
        <w:tc>
          <w:tcPr>
            <w:tcW w:w="100" w:type="dxa"/>
            <w:vAlign w:val="bottom"/>
          </w:tcPr>
          <w:p>
            <w:pPr>
              <w:spacing w:after="0"/>
              <w:rPr>
                <w:sz w:val="12"/>
                <w:szCs w:val="12"/>
                <w:color w:val="auto"/>
              </w:rPr>
            </w:pPr>
          </w:p>
        </w:tc>
        <w:tc>
          <w:tcPr>
            <w:tcW w:w="15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9"/>
        </w:trPr>
        <w:tc>
          <w:tcPr>
            <w:tcW w:w="634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w:t>
            </w: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55"/>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2023</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2,742,273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2,646,332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30"/>
        </w:trPr>
        <w:tc>
          <w:tcPr>
            <w:tcW w:w="6340" w:type="dxa"/>
            <w:vAlign w:val="bottom"/>
          </w:tcPr>
          <w:p>
            <w:pPr>
              <w:ind w:left="240"/>
              <w:spacing w:after="0"/>
              <w:rPr>
                <w:sz w:val="20"/>
                <w:szCs w:val="20"/>
                <w:color w:val="auto"/>
              </w:rPr>
            </w:pPr>
            <w:r>
              <w:rPr>
                <w:rFonts w:ascii="Arial" w:cs="Arial" w:eastAsia="Arial" w:hAnsi="Arial"/>
                <w:sz w:val="18"/>
                <w:szCs w:val="18"/>
                <w:color w:val="auto"/>
              </w:rPr>
              <w:t>RSUs 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230,064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RSUs 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(268,543)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RSUs cancelled/forfeited/expired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(280,230)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(280,230)</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37.79</w:t>
            </w:r>
          </w:p>
        </w:tc>
        <w:tc>
          <w:tcPr>
            <w:tcW w:w="0" w:type="dxa"/>
            <w:vAlign w:val="bottom"/>
          </w:tcPr>
          <w:p>
            <w:pPr>
              <w:spacing w:after="0"/>
              <w:rPr>
                <w:sz w:val="1"/>
                <w:szCs w:val="1"/>
                <w:color w:val="auto"/>
              </w:rPr>
            </w:pPr>
          </w:p>
        </w:tc>
      </w:tr>
      <w:tr>
        <w:trPr>
          <w:trHeight w:val="248"/>
        </w:trPr>
        <w:tc>
          <w:tcPr>
            <w:tcW w:w="6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June 30,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2,423,564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2,160,613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of June 30, 2024, there was $119.2 million of unamortized stock-based compensation cost related to unvested RSUs, which is expected to be recognized over the remaining weighted average life of 4.91 years. As of December 31, 2023, there was $153.4 million of unamortized stock-based compensation cost related to unvested RSUs, which was expected to be recognized over the remaining weighted average life of 5.37 years.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Stock Plans and the 2021 Plan provide for the grant of incentive and nonstatutory stock options to Service Providers. Under the Stock Plans and the 2021 Plan, the exercise price of incentive stock options must be equal to at least 110% of the fair market value of the common stock on the grant date for a “ten-percent holder” or 100% of the fair market value of the common stock on the grant date for any other participant. The exercise price of nonstatutory options granted must be equal to at least 100% of the fair market value of the Company’s common stock on the date of grant.</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has only granted options under the Stock Plans. Options typically vest over four years and are exercisable at any time after the grant date, provided that Service Providers exercising unvested options receive restricted common stock that is subject to repurchase at the original exercise price upon termination of service. The repurchase right lapses in accordance with the vesting schedule of the exercised option. Early exercises of options prior to vesting are not deemed to be substantive exercises for accounting purposes and accordingly, amounts received for early exercises of unvested options are recorded as a liability. These repurchase terms are considered to be a forfeiture provision and do not result in variable accounting. There was an immaterial amount of exercised restricted common stock repurchased during the six months ended June 30, 2024 and 2023.</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2024 and December 31, 2023, there were 222,450 and 393,251 shares subject to repurchase, respectively, related to unvested stock options that had been early exercised. As of June 30, 2024 and December 31, 2023, the Company recorded a liability related to shares subject to repurchase of $0.3 million and $0.6 million, respectively, which is included within Accrued expenses and other liabilities in the accompanying Condensed Consolidated Balance Sheets. These amounts are reclassified to Common stock and Additional paid-in capital as the underlying shares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Weighted average</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remaining contractual</w:t>
            </w:r>
          </w:p>
        </w:tc>
        <w:tc>
          <w:tcPr>
            <w:tcW w:w="0" w:type="dxa"/>
            <w:vAlign w:val="bottom"/>
          </w:tcPr>
          <w:p>
            <w:pPr>
              <w:spacing w:after="0"/>
              <w:rPr>
                <w:sz w:val="1"/>
                <w:szCs w:val="1"/>
                <w:color w:val="auto"/>
              </w:rPr>
            </w:pPr>
          </w:p>
        </w:tc>
      </w:tr>
      <w:tr>
        <w:trPr>
          <w:trHeight w:val="139"/>
        </w:trPr>
        <w:tc>
          <w:tcPr>
            <w:tcW w:w="6340" w:type="dxa"/>
            <w:vAlign w:val="bottom"/>
          </w:tcPr>
          <w:p>
            <w:pPr>
              <w:spacing w:after="0"/>
              <w:rPr>
                <w:sz w:val="12"/>
                <w:szCs w:val="12"/>
                <w:color w:val="auto"/>
              </w:rPr>
            </w:pPr>
          </w:p>
        </w:tc>
        <w:tc>
          <w:tcPr>
            <w:tcW w:w="15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rPr>
              <w:t>exercise price per</w:t>
            </w:r>
          </w:p>
        </w:tc>
        <w:tc>
          <w:tcPr>
            <w:tcW w:w="15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life</w:t>
            </w:r>
          </w:p>
        </w:tc>
        <w:tc>
          <w:tcPr>
            <w:tcW w:w="0" w:type="dxa"/>
            <w:vAlign w:val="bottom"/>
          </w:tcPr>
          <w:p>
            <w:pPr>
              <w:spacing w:after="0"/>
              <w:rPr>
                <w:sz w:val="1"/>
                <w:szCs w:val="1"/>
                <w:color w:val="auto"/>
              </w:rPr>
            </w:pPr>
          </w:p>
        </w:tc>
      </w:tr>
      <w:tr>
        <w:trPr>
          <w:trHeight w:val="197"/>
        </w:trPr>
        <w:tc>
          <w:tcPr>
            <w:tcW w:w="634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24"/>
        </w:trPr>
        <w:tc>
          <w:tcPr>
            <w:tcW w:w="63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Outstanding at December 31, 2023</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5,902,591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9"/>
        </w:trPr>
        <w:tc>
          <w:tcPr>
            <w:tcW w:w="634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(56,529)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cancelled/forfeited/expired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60"/>
              <w:spacing w:after="0"/>
              <w:rPr>
                <w:sz w:val="20"/>
                <w:szCs w:val="20"/>
                <w:color w:val="auto"/>
              </w:rPr>
            </w:pPr>
            <w:r>
              <w:rPr>
                <w:rFonts w:ascii="Arial" w:cs="Arial" w:eastAsia="Arial" w:hAnsi="Arial"/>
                <w:sz w:val="18"/>
                <w:szCs w:val="18"/>
                <w:color w:val="auto"/>
              </w:rPr>
              <w:t>Outstanding at June 30, 2024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5,733,748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Exercisable at June 30, 2024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5,697,308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54"/>
        </w:trPr>
        <w:tc>
          <w:tcPr>
            <w:tcW w:w="63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total pretax intrinsic value of options outstanding at June 30, 2024 and December 31, 2023 was $3.8 million and $8.9 million, respectively. The total pretax intrinsic value of options exercisable at June 30, 2024 was $3.8 million. The intrinsic value is the difference between the estimated fair market value of the Company’s common stock at the date of exercise and the exercise price for in-the-money options.</w:t>
      </w:r>
    </w:p>
    <w:p>
      <w:pPr>
        <w:spacing w:after="0" w:line="10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As of June 30, 2024, there was $2.4 million of unrecognized stock-based compensation cost related to unvested stock options, which is expected to be recognized over a weighted average period of 0.51 years. As of December 31, 2023, there was $4.1 million of unrecognized stock-based compensation cost related to unvested stock options, which was expected to be recognized over a weighted average period of 0.75 years.</w:t>
      </w:r>
    </w:p>
    <w:p>
      <w:pPr>
        <w:spacing w:after="0" w:line="9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Cash received from option exercises and purchases of shares under the Stock Plans for both the six months ended June 30, 2024 and 2023 was $0.1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summarizes the stock-based compensation recognized for options granted under the 2009 Stock Plan, options and RSUs granted under the 2019 Stock Plan, RSUs granted under the 2021 Plan and matching and discretionary shares issued under the Matching Plan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Matching Plan shares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13,290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18,649</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17,466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21,744</w:t>
            </w:r>
          </w:p>
        </w:tc>
        <w:tc>
          <w:tcPr>
            <w:tcW w:w="0" w:type="dxa"/>
            <w:vAlign w:val="bottom"/>
          </w:tcPr>
          <w:p>
            <w:pPr>
              <w:spacing w:after="0"/>
              <w:rPr>
                <w:sz w:val="1"/>
                <w:szCs w:val="1"/>
                <w:color w:val="auto"/>
              </w:rPr>
            </w:pPr>
          </w:p>
        </w:tc>
      </w:tr>
      <w:tr>
        <w:trPr>
          <w:trHeight w:val="184"/>
        </w:trPr>
        <w:tc>
          <w:tcPr>
            <w:tcW w:w="474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Less: stock-based compensation capitalized as software</w:t>
            </w:r>
          </w:p>
        </w:tc>
        <w:tc>
          <w:tcPr>
            <w:tcW w:w="98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35"/>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 costs</w:t>
            </w:r>
          </w:p>
        </w:tc>
        <w:tc>
          <w:tcPr>
            <w:tcW w:w="9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Stock-based compensation expense is allocated based on the cost center to which the award holder spent time during the reported periods. Stock-based compensation expense is included in the following components of expenses on the accompanying Condensed Consolidated Statements of Operations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00" w:type="dxa"/>
            <w:vAlign w:val="bottom"/>
            <w:tcBorders>
              <w:top w:val="single" w:sz="8" w:color="auto"/>
            </w:tcBorders>
          </w:tcPr>
          <w:p>
            <w:pPr>
              <w:spacing w:after="0"/>
              <w:rPr>
                <w:sz w:val="19"/>
                <w:szCs w:val="19"/>
                <w:color w:val="auto"/>
              </w:rPr>
            </w:pPr>
          </w:p>
        </w:tc>
        <w:tc>
          <w:tcPr>
            <w:tcW w:w="3320" w:type="dxa"/>
            <w:vAlign w:val="bottom"/>
            <w:tcBorders>
              <w:top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70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4,661</w:t>
            </w: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and marketing</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6 - INCOME TAXES</w:t>
      </w:r>
    </w:p>
    <w:p>
      <w:pPr>
        <w:spacing w:after="0" w:line="18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For the three and six months ended June 30, 2024, the Company prepared its interim tax provision by applying a year-to-date effective tax rate, which the Company believes results in the best estimate of the annual effective tax rate.</w:t>
      </w:r>
    </w:p>
    <w:p>
      <w:pPr>
        <w:spacing w:after="0" w:line="7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Company recorded a provision for income taxes of $2.7 million and $0.4 million for the three months ended June 30, 2024 and 2023, respectively, which resulted in effective tax rates of (6,641.5)% and (3.4)%, respectively.</w:t>
      </w:r>
    </w:p>
    <w:p>
      <w:pPr>
        <w:spacing w:after="0" w:line="8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Company recorded a provision for income taxes of $3.8 million and $2.2 million for the six months ended June 30, 2024 and 2023, respectively, which resulted in effective tax rates of (134.8)% and (14.6)%, respectively.</w:t>
      </w:r>
    </w:p>
    <w:p>
      <w:pPr>
        <w:spacing w:after="0" w:line="8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principal reasons for the difference between the statutory rate and the effective rate for 2024 were primarily due to non-deductible stock-based compensation and the change in valuation allowance. The principal reasons for the difference between the statutory rate and the effective rate for 2023 were primarily due to non-deductible stock-based compensation, Section 162(m) of the Internal Revenue Code ("IRC") compensation limitations, and the change in valuation allowance.</w:t>
      </w:r>
    </w:p>
    <w:p>
      <w:pPr>
        <w:spacing w:after="0" w:line="9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Company follows the provisions of ASC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ASC 740-10 prescribes a comprehensive model for the recognition, measurement, presentation and disclosure in financial statements of uncertain tax positions that have been taken or expected to be taken on a tax return. As of June 30, 2024 and December 31, 2023, the Company recorded an uncertain tax position liability of $1.8 million and $1.5 million, respectively, within Other liabilities on the Condensed Consolidated Balance Sheets. This liability includes $0.2 million and an immaterial amount of interest and penalties as of June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7 - NET LOSS PER SHARE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1"/>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300"/>
              <w:spacing w:after="0"/>
              <w:rPr>
                <w:sz w:val="20"/>
                <w:szCs w:val="20"/>
                <w:color w:val="auto"/>
              </w:rPr>
            </w:pPr>
            <w:r>
              <w:rPr>
                <w:rFonts w:ascii="Arial" w:cs="Arial" w:eastAsia="Arial" w:hAnsi="Arial"/>
                <w:sz w:val="18"/>
                <w:szCs w:val="18"/>
                <w:color w:val="auto"/>
              </w:rPr>
              <w:t>Net loss, basic and 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(2,764)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(11,304)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(17,249)</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6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shares of common stock used to</w:t>
            </w:r>
          </w:p>
        </w:tc>
        <w:tc>
          <w:tcPr>
            <w:tcW w:w="360" w:type="dxa"/>
            <w:vAlign w:val="bottom"/>
          </w:tcPr>
          <w:p>
            <w:pPr>
              <w:spacing w:after="0"/>
              <w:rPr>
                <w:sz w:val="15"/>
                <w:szCs w:val="15"/>
                <w:color w:val="auto"/>
              </w:rPr>
            </w:pPr>
          </w:p>
        </w:tc>
        <w:tc>
          <w:tcPr>
            <w:tcW w:w="1220" w:type="dxa"/>
            <w:vAlign w:val="bottom"/>
            <w:vMerge w:val="restart"/>
          </w:tcPr>
          <w:p>
            <w:pPr>
              <w:ind w:left="240"/>
              <w:spacing w:after="0"/>
              <w:rPr>
                <w:sz w:val="20"/>
                <w:szCs w:val="20"/>
                <w:color w:val="auto"/>
              </w:rPr>
            </w:pPr>
            <w:r>
              <w:rPr>
                <w:rFonts w:ascii="Arial" w:cs="Arial" w:eastAsia="Arial" w:hAnsi="Arial"/>
                <w:sz w:val="18"/>
                <w:szCs w:val="18"/>
                <w:color w:val="auto"/>
              </w:rPr>
              <w:t>86,593,955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82,011,477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85,867,683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81,890,624</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compute net loss per share, basic and diluted</w:t>
            </w: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54"/>
        </w:trPr>
        <w:tc>
          <w:tcPr>
            <w:tcW w:w="46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rights, including the liquidation and dividend rights, of the holders of Class A, LT10 and LT50 common stock are identical, except with respect to voting, conversion and transfer rights. Each share of Class A common stock is entitled to one vote per share, each share of LT10 common stock is entitled to ten votes per share and each share of LT50 common stock is entitled to 50 votes per share. Each share of LT10 and LT50 common stock is convertible into one share of Class A common stock voluntarily at the option of the holder after the satisfaction of certain requirements, which includes a ten-month notice period for LT10 common stock and a 50-month notice period for LT50 common stock to convert to Class A common stock, or automatically upon certain events. The Class A common stock has no conversion rights. As the liquidation and dividend rights are identical for Class A, LT10 and LT50 common stock, the undistributed earnings are allocated on a proportional basis based on the number of weighted average shares within each class of common stock during the period and the resulting net loss per share attributable to common stockholders will be the same for the Class A, LT10 and LT50 common stock on an individual or combined basis.</w:t>
      </w:r>
    </w:p>
    <w:p>
      <w:pPr>
        <w:spacing w:after="0" w:line="11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as the effect would have been anti-dilutive:</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660" w:type="dxa"/>
            <w:vAlign w:val="bottom"/>
            <w:tcBorders>
              <w:top w:val="single" w:sz="8" w:color="auto"/>
            </w:tcBorders>
          </w:tcPr>
          <w:p>
            <w:pPr>
              <w:spacing w:after="0"/>
              <w:rPr>
                <w:sz w:val="19"/>
                <w:szCs w:val="19"/>
                <w:color w:val="auto"/>
              </w:rPr>
            </w:pPr>
          </w:p>
        </w:tc>
        <w:tc>
          <w:tcPr>
            <w:tcW w:w="3320" w:type="dxa"/>
            <w:vAlign w:val="bottom"/>
            <w:tcBorders>
              <w:top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Three Months Ended June 30,</w:t>
            </w:r>
          </w:p>
        </w:tc>
        <w:tc>
          <w:tcPr>
            <w:tcW w:w="3200" w:type="dxa"/>
            <w:vAlign w:val="bottom"/>
            <w:tcBorders>
              <w:top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660" w:type="dxa"/>
            <w:vAlign w:val="bottom"/>
            <w:tcBorders>
              <w:bottom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15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r>
      <w:tr>
        <w:trPr>
          <w:trHeight w:val="224"/>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stock options</w:t>
            </w:r>
          </w:p>
        </w:tc>
        <w:tc>
          <w:tcPr>
            <w:tcW w:w="1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1,197,970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4,061,602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1,283,359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4,213,114</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Matching shares</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48"/>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1,197,970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4,061,849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1,283,359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4,213,466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Expensify, Inc.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8 - EQUITY</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10, 2022, the Executive Committee of the Board of Directors approved a share repurchase program with authorization to purchase up to $ 50.0 million of shares of Class A common stock ("2022 Share Repurchase Program"). The Company may repurchase shares from time to time through open market purchases, in privately negotiated transactions or by other means, including the use of trading plans intended to qualify under Rule 10b5-1 of the Securities Exchange Act of 1934, in accordance with applicable securities laws and other restrictions.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2022 Share Repurchase Program does not obligate the Company to acquire any particular amount of Class A common stock, and the program may be suspended or terminated at any time by the Company at its discretion without prior notice.</w:t>
      </w:r>
    </w:p>
    <w:p>
      <w:pPr>
        <w:spacing w:after="0" w:line="100"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During the three and six months ended June 30, 2024, the Company did not repurchase any shares of Class A common stock under the 2022 Share Repurchase Program. During the three and six months ended June 30, 2023, the Company repurchased 504,493 shares of Class A common stock under the 2022 Share Repurchase Program, at a total cost to the Company of $3.0 million.</w:t>
      </w:r>
    </w:p>
    <w:p>
      <w:pPr>
        <w:spacing w:after="0" w:line="8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9 - RELATED PARTY TRANSACTIONS</w:t>
      </w:r>
    </w:p>
    <w:p>
      <w:pPr>
        <w:spacing w:after="0" w:line="1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six months ended June 30, 2024 and 2023, Expensify, Inc. made no contributions and contributed $0.2 million, respectively, to Expensify.org, a nonprofit benefit organization established by the Company. There were no commitments from Expensify, Inc. that remained open for contribution as of June 30, 2024 and December 31, 2023.</w:t>
      </w:r>
    </w:p>
    <w:p>
      <w:pPr>
        <w:spacing w:after="0" w:line="103"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There are no other significant related party transactions for the Company as of June 30, 2024, except as noted elsewhere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060"/>
        <w:spacing w:after="0" w:line="288" w:lineRule="auto"/>
        <w:rPr>
          <w:sz w:val="20"/>
          <w:szCs w:val="20"/>
          <w:color w:val="auto"/>
        </w:rPr>
      </w:pPr>
      <w:r>
        <w:rPr>
          <w:rFonts w:ascii="Arial" w:cs="Arial" w:eastAsia="Arial" w:hAnsi="Arial"/>
          <w:sz w:val="29"/>
          <w:szCs w:val="29"/>
          <w:b w:val="1"/>
          <w:bCs w:val="1"/>
          <w:color w:val="auto"/>
        </w:rPr>
        <w:t>Item 2. Management's Discussion and Analysis of Financial Condition and Results of Operations</w:t>
      </w:r>
    </w:p>
    <w:p>
      <w:pPr>
        <w:spacing w:after="0" w:line="5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and with our audited consolidated financial statements included in our Annual Report on Form 10-K for the year ended December 31, 2023 ("2023 Annual Report"). This discussion contains forward-looking statements based upon current plans, expectations and beliefs involving risks and uncertainties. Our actual results could differ materially from those anticipated in these forward-looking statements as a result of various factors, including those set forth under Part I, Item 1A. "Risk Factors" in our 2023 Annual Report and included elsewhere in this Quarterly Report on Form 10-Q. See "Special Note Regarding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15 million members to our community and processed and automated 1.7 billion expense transactions on our platform as of June 30, 2024, freeing people to spend less time managing expenses and more time doing the things they love. For the quarter ended June 30, 2024, an average of 684,000 paid members across an average of 44,000 companies and over 200 countries and territories used Expensify to make money easy.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2020, when we launched the Expensify Card, it has operated under one card program (the “Legacy Card Program”). In February 2024, we launched a new card program (the "Updated Card Program"). The Legacy Card Program operates under an agreement with the payment processor, Marqeta, Inc. ("Marqeta"), and relies on Marqeta to manage the relationship with the issuing bank, Sutton Bank, and the card network, Visa, in authorizing and settling transactions. The Updated Card Program operates under an agreement with a new issuing bank, The Bancorp Bank, N.A. ("Bancorp"), to issue Expensify Cards to customers and authorize and settle transactions on the Visa card network.</w:t>
      </w:r>
    </w:p>
    <w:p>
      <w:pPr>
        <w:spacing w:after="0" w:line="112"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All new Expensify Cards issued subsequent to the launch of the Updated Card Program will operate under such program. Our transition of cardholders from the Legacy Card Program to the Updated Card Program has commenced, and we currently expect full completion of this transition by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Components of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generate revenue from subscription fees based on the usage of our cloud-based expense management software platform under arrangements paid monthly in arrears that are either (i) month-to-month and can be terminated by either party without penalty at any time or</w:t>
      </w:r>
    </w:p>
    <w:p>
      <w:pPr>
        <w:ind w:right="40" w:firstLine="8"/>
        <w:spacing w:after="0" w:line="253" w:lineRule="auto"/>
        <w:tabs>
          <w:tab w:leader="none" w:pos="25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arrangements based on a minimum number of monthly members. Annual subscription customers who wish to terminate their contracts before the end of the term are required to pay the remaining obligation in full plus any fees or penalties set forth in the agreement.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for customers on bespoke service contracts.</w:t>
      </w:r>
    </w:p>
    <w:p>
      <w:pPr>
        <w:spacing w:after="0" w:line="10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contracts with our customers include two performance obligations: access to the hosted software service, inclusive of all features available within the platform, and the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spacing w:after="0" w:line="11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offer a cashback rewards program to all customers based on volume of Expensify Card transactions and Software as a Service ("SaaS") subscription tier. Cashback rewards are earned on a monthly basis and are applied against outstanding customer receivables or are paid out the following month. We consider our cashback rewards as consideration payable to a customer, and they are recorded as contra revenue within Revenue on the Condensed Consolidated Statements of Operations. Cashback rewards applied against outstanding customer receivables are reflected as a reduction to Accounts receivable, net on the Condensed Consolidated Balance Sheets. Cashback rewards liability is recorded within Accrued expenses and other liabilities on the Condensed Consolidated Balance Sheets. The cashback rewards fluctuate over time as customers meet eligibility requirements in conjunction with the applicable SaaS subscription tier of each customer and the timing of payments made to customers.</w:t>
      </w:r>
    </w:p>
    <w:p>
      <w:pPr>
        <w:spacing w:after="0" w:line="117" w:lineRule="exact"/>
        <w:rPr>
          <w:sz w:val="20"/>
          <w:szCs w:val="20"/>
          <w:color w:val="auto"/>
        </w:rPr>
      </w:pPr>
    </w:p>
    <w:p>
      <w:pPr>
        <w:ind w:right="100"/>
        <w:spacing w:after="0" w:line="318" w:lineRule="auto"/>
        <w:rPr>
          <w:sz w:val="20"/>
          <w:szCs w:val="20"/>
          <w:color w:val="auto"/>
        </w:rPr>
      </w:pPr>
      <w:r>
        <w:rPr>
          <w:rFonts w:ascii="Arial" w:cs="Arial" w:eastAsia="Arial" w:hAnsi="Arial"/>
          <w:sz w:val="17"/>
          <w:szCs w:val="17"/>
          <w:color w:val="auto"/>
        </w:rPr>
        <w:t>As of June 30, 2024, the Expensify Card consisted of two card programs operating concurrently: the Legacy Card Program and the Updated Card Program. All new Expensify Cards issued subsequent to the launch of the Updated Card Program operate under that program.</w:t>
      </w:r>
    </w:p>
    <w:p>
      <w:pPr>
        <w:spacing w:after="0" w:line="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Updated Card Program, we generate revenue from the authorization and settlement of Expensify Card transactions and are contractually entitled to all interchange generated on Expensify Card transactions based on our agreement with the issuing bank. Under the Updated Card Program, we are the principal in the transaction (i.e. we control the services) and recognize interchange as revenue on a gross basis within Revenue on the accompanying Condensed Consolidated Statements of Operations. Interchange revenue was $0.5 million for both the three and six months ended June 30, 2024.</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w:t>
      </w:r>
    </w:p>
    <w:p>
      <w:pPr>
        <w:spacing w:after="0" w:line="15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Cost of revenue, net primarily consists of expenses related to hosting our service, including the costs of data center capacity, credit card processing fees, third-party software license fees, outsourcing costs to support customer service and outsourcing costs to support our patented scanning technology SmartScan, net of consideration from a vendor. Additional costs include amortization of finance right-of-use assets, amortization expense on capitalized software development costs and personnel-related expenses, including stock-based compensation and employee costs attributable to supporting our customers and maintenance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Consideration from a vendor is related to the Expensify Card under the Legacy Card Program, where we use a third-party vendor to issue Expensify Cards and process the related transactions.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(our remainder portion, "Expensify interchange amount"). The vendor also charges us fees ("vendor fees") for the services it provides to us. Due to the nature of the vendor agreement, we do not record the Expensify interchange amount as revenue under the Legacy Card Program. Instead, the net of the Expensify interchange amount and vendor fees are paid to us, which we record as "Consideration from a vendor, net," a contra expense in Cost of revenue, net on the Condensed Consolidated Statements of Operations. The following summarizes these various amounts for each of the periods presented: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00" w:type="dxa"/>
            <w:vAlign w:val="bottom"/>
            <w:tcBorders>
              <w:top w:val="single" w:sz="8" w:color="auto"/>
            </w:tcBorders>
          </w:tcPr>
          <w:p>
            <w:pPr>
              <w:spacing w:after="0"/>
              <w:rPr>
                <w:sz w:val="19"/>
                <w:szCs w:val="19"/>
                <w:color w:val="auto"/>
              </w:rPr>
            </w:pPr>
          </w:p>
        </w:tc>
        <w:tc>
          <w:tcPr>
            <w:tcW w:w="26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7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r>
      <w:tr>
        <w:trPr>
          <w:trHeight w:val="196"/>
        </w:trPr>
        <w:tc>
          <w:tcPr>
            <w:tcW w:w="4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interchange amount</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4,918</w:t>
            </w: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Vendor fees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(254)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Consideration from a vendor, net</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Research and development expenses consist primarily of personnel-related expenses, including stock-based compensation, and external contributor costs incurred related to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11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General and administrative expenses primarily consist of personnel-related expenses, including stock-based compensation, for any employee time allocated to administrative functions, including finance and accounting, legal and human resources. In addition to personnel-related expenses, general and administrative expenses consist of rent, utilities, depreciation on property and equipment, amortization of operating right-of-use assets, information technology and external professional services, including finance and accounting, audit, tax, legal and compliance, and human resources.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42"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Sales and marketing expenses primarily consist of personnel-related expenses, including stock-based compensation, advertising expenses, depreciation on property and equipment, outsourcing costs for sales and product demos, branding and public relations expenses and referral fees for strategic partners and other benefits that we provide to our referral and affiliate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4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Interest and other expenses, net, consist primarily of interest paid under our credit facilities with Canadian Imperial Bank of Commerce ("CIBC"). It also includes the results of operations of our Fifth &amp; Harvey, LLC subsidiary, which holds title to and manages operations of the operating lease for lots in Portland, Oregon that are currently used to host multiple portable food vendors open to the general public, as well as realized gains and losses on foreign currency transactions and foreign currency remeasurement.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Income taxes primarily consist of income taxes in the United States, United Kingdom, Australia, Netherlands and Canada, as well as states in the United States in which we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Results of Operations</w:t>
      </w:r>
    </w:p>
    <w:p>
      <w:pPr>
        <w:spacing w:after="0" w:line="16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financial statements and notes included elsewhere in this Quarterly Report on Form 10-Q.</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each of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180" w:type="dxa"/>
            <w:vAlign w:val="bottom"/>
            <w:tcBorders>
              <w:top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340" w:type="dxa"/>
            <w:vAlign w:val="bottom"/>
            <w:gridSpan w:val="9"/>
          </w:tcPr>
          <w:p>
            <w:pPr>
              <w:jc w:val="right"/>
              <w:ind w:right="10"/>
              <w:spacing w:after="0"/>
              <w:rPr>
                <w:sz w:val="20"/>
                <w:szCs w:val="20"/>
                <w:color w:val="auto"/>
              </w:rPr>
            </w:pPr>
            <w:r>
              <w:rPr>
                <w:rFonts w:ascii="Arial" w:cs="Arial" w:eastAsia="Arial" w:hAnsi="Arial"/>
                <w:sz w:val="14"/>
                <w:szCs w:val="14"/>
                <w:b w:val="1"/>
                <w:bCs w:val="1"/>
                <w:color w:val="auto"/>
              </w:rPr>
              <w:t>(in thousands, except percentages, share and per share data)</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33,288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38,884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66,823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78,985</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 net</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14,363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16,925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28,947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32,700</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18,925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21,959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37,876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46,285</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6,389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5,094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12,318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10,512</w:t>
            </w:r>
          </w:p>
        </w:tc>
        <w:tc>
          <w:tcPr>
            <w:tcW w:w="0" w:type="dxa"/>
            <w:vAlign w:val="bottom"/>
          </w:tcPr>
          <w:p>
            <w:pPr>
              <w:spacing w:after="0"/>
              <w:rPr>
                <w:sz w:val="1"/>
                <w:szCs w:val="1"/>
                <w:color w:val="auto"/>
              </w:rPr>
            </w:pPr>
          </w:p>
        </w:tc>
      </w:tr>
      <w:tr>
        <w:trPr>
          <w:trHeight w:val="229"/>
        </w:trPr>
        <w:tc>
          <w:tcPr>
            <w:tcW w:w="4320" w:type="dxa"/>
            <w:vAlign w:val="bottom"/>
          </w:tcPr>
          <w:p>
            <w:pPr>
              <w:ind w:left="2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9,245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11,712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20,676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24,141</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3,072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14,714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6,456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23,897</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18,706</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31,520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39,450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58,550</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(9,561)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(12,265)</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expenses, net</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(260)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(10,928)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(15,048)</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(2,723)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(3,757)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(2,764)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(11,304)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(6,545)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(17,249)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184"/>
        </w:trPr>
        <w:tc>
          <w:tcPr>
            <w:tcW w:w="4320" w:type="dxa"/>
            <w:vAlign w:val="bottom"/>
          </w:tcPr>
          <w:p>
            <w:pPr>
              <w:ind w:left="20"/>
              <w:spacing w:after="0" w:line="183" w:lineRule="exact"/>
              <w:rPr>
                <w:sz w:val="20"/>
                <w:szCs w:val="20"/>
                <w:color w:val="auto"/>
              </w:rPr>
            </w:pPr>
            <w:r>
              <w:rPr>
                <w:rFonts w:ascii="Arial" w:cs="Arial" w:eastAsia="Arial" w:hAnsi="Arial"/>
                <w:sz w:val="18"/>
                <w:szCs w:val="18"/>
                <w:color w:val="auto"/>
              </w:rPr>
              <w:t>Weighted average shares of common stock used to</w:t>
            </w: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320" w:type="dxa"/>
            <w:vAlign w:val="bottom"/>
          </w:tcPr>
          <w:p>
            <w:pPr>
              <w:ind w:left="180"/>
              <w:spacing w:after="0"/>
              <w:rPr>
                <w:sz w:val="20"/>
                <w:szCs w:val="20"/>
                <w:color w:val="auto"/>
              </w:rPr>
            </w:pPr>
            <w:r>
              <w:rPr>
                <w:rFonts w:ascii="Arial" w:cs="Arial" w:eastAsia="Arial" w:hAnsi="Arial"/>
                <w:sz w:val="18"/>
                <w:szCs w:val="18"/>
                <w:color w:val="auto"/>
              </w:rPr>
              <w:t>compute net loss per share:</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86,593,955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82,011,477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85,867,683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81,890,624</w:t>
            </w: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0"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4800" w:type="dxa"/>
            <w:vAlign w:val="bottom"/>
            <w:tcBorders>
              <w:top w:val="single" w:sz="8" w:color="auto"/>
            </w:tcBorders>
          </w:tcPr>
          <w:p>
            <w:pPr>
              <w:spacing w:after="0"/>
              <w:rPr>
                <w:sz w:val="19"/>
                <w:szCs w:val="19"/>
                <w:color w:val="auto"/>
              </w:rPr>
            </w:pPr>
          </w:p>
        </w:tc>
        <w:tc>
          <w:tcPr>
            <w:tcW w:w="24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00" w:type="dxa"/>
            <w:vAlign w:val="bottom"/>
          </w:tcPr>
          <w:p>
            <w:pPr>
              <w:spacing w:after="0"/>
              <w:rPr>
                <w:sz w:val="17"/>
                <w:szCs w:val="17"/>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r>
      <w:tr>
        <w:trPr>
          <w:trHeight w:val="196"/>
        </w:trPr>
        <w:tc>
          <w:tcPr>
            <w:tcW w:w="4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0"/>
        </w:trPr>
        <w:tc>
          <w:tcPr>
            <w:tcW w:w="4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 net</w:t>
            </w:r>
          </w:p>
        </w:tc>
        <w:tc>
          <w:tcPr>
            <w:tcW w:w="960" w:type="dxa"/>
            <w:vAlign w:val="bottom"/>
            <w:shd w:val="clear" w:color="auto" w:fill="CCEEFF"/>
          </w:tcPr>
          <w:p>
            <w:pPr>
              <w:jc w:val="right"/>
              <w:ind w:right="813"/>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2,886</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14"/>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3,600</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6,906</w:t>
            </w:r>
          </w:p>
        </w:tc>
      </w:tr>
      <w:tr>
        <w:trPr>
          <w:trHeight w:val="183"/>
        </w:trPr>
        <w:tc>
          <w:tcPr>
            <w:tcW w:w="480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3,144</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2,455</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5,894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4,661</w:t>
            </w:r>
          </w:p>
        </w:tc>
      </w:tr>
      <w:tr>
        <w:trPr>
          <w:trHeight w:val="195"/>
        </w:trPr>
        <w:tc>
          <w:tcPr>
            <w:tcW w:w="4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1,703</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2,376</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5,020</w:t>
            </w:r>
          </w:p>
        </w:tc>
      </w:tr>
      <w:tr>
        <w:trPr>
          <w:trHeight w:val="18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Sales and marketing</w:t>
            </w: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648</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1,910</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3,758</w:t>
            </w:r>
          </w:p>
        </w:tc>
      </w:tr>
      <w:tr>
        <w:trPr>
          <w:trHeight w:val="20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96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8,381</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0"/>
              </w:rPr>
              <w:t>10,341</w:t>
            </w: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15,905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20,345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960"/>
        <w:spacing w:after="0" w:line="441" w:lineRule="auto"/>
        <w:rPr>
          <w:sz w:val="20"/>
          <w:szCs w:val="20"/>
          <w:color w:val="auto"/>
        </w:rPr>
      </w:pPr>
      <w:r>
        <w:rPr>
          <w:rFonts w:ascii="Arial" w:cs="Arial" w:eastAsia="Arial" w:hAnsi="Arial"/>
          <w:sz w:val="18"/>
          <w:szCs w:val="18"/>
          <w:b w:val="1"/>
          <w:bCs w:val="1"/>
          <w:color w:val="auto"/>
        </w:rPr>
        <w:t xml:space="preserve">COMPARISON OF THE THREE MONTHS ENDED JUNE 30, 2024 AND 2023 </w:t>
      </w:r>
      <w:r>
        <w:rPr>
          <w:rFonts w:ascii="Arial" w:cs="Arial" w:eastAsia="Arial" w:hAnsi="Arial"/>
          <w:sz w:val="18"/>
          <w:szCs w:val="18"/>
          <w:b w:val="1"/>
          <w:bCs w:val="1"/>
          <w:i w:val="1"/>
          <w:iCs w:val="1"/>
          <w:color w:val="auto"/>
        </w:rPr>
        <w:t>Revenue</w:t>
      </w:r>
    </w:p>
    <w:tbl>
      <w:tblPr>
        <w:tblLayout w:type="fixed"/>
        <w:tblInd w:w="0" w:type="dxa"/>
        <w:tblCellMar>
          <w:top w:w="0" w:type="dxa"/>
          <w:left w:w="0" w:type="dxa"/>
          <w:bottom w:w="0" w:type="dxa"/>
          <w:right w:w="0" w:type="dxa"/>
        </w:tblCellMar>
      </w:tblPr>
      <w:tr>
        <w:trPr>
          <w:trHeight w:val="209"/>
        </w:trPr>
        <w:tc>
          <w:tcPr>
            <w:tcW w:w="46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8"/>
                <w:szCs w:val="18"/>
                <w:color w:val="auto"/>
              </w:rPr>
            </w:pPr>
          </w:p>
        </w:tc>
      </w:tr>
      <w:tr>
        <w:trPr>
          <w:trHeight w:val="196"/>
        </w:trPr>
        <w:tc>
          <w:tcPr>
            <w:tcW w:w="46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33,288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38,884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(5,596)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54"/>
        </w:trPr>
        <w:tc>
          <w:tcPr>
            <w:tcW w:w="46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decreased by $5.6 million, or 14%, for the three months ended June 30, 2024 compared to the same period in 2023, primarily due to (i) a decrease in billable activity across our user base, including a decrease in pay-per-use billable activity which has a higher average fee per member than our annual members, and (ii) an increase in contra revenue related to cashback payments driven by the increased adoption and spend captured from members using the Expensify Card. These decreases were partially offset by an increase in interchange revenue under the Updated Card Program.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tcPr>
          <w:p>
            <w:pPr>
              <w:spacing w:after="0"/>
              <w:rPr>
                <w:sz w:val="19"/>
                <w:szCs w:val="19"/>
                <w:color w:val="auto"/>
              </w:rPr>
            </w:pPr>
          </w:p>
        </w:tc>
      </w:tr>
      <w:tr>
        <w:trPr>
          <w:trHeight w:val="196"/>
        </w:trPr>
        <w:tc>
          <w:tcPr>
            <w:tcW w:w="44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w:t>
            </w:r>
          </w:p>
        </w:tc>
      </w:tr>
      <w:tr>
        <w:trPr>
          <w:trHeight w:val="196"/>
        </w:trPr>
        <w:tc>
          <w:tcPr>
            <w:tcW w:w="4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60" w:type="dxa"/>
            <w:vAlign w:val="bottom"/>
            <w:gridSpan w:val="4"/>
          </w:tcPr>
          <w:p>
            <w:pPr>
              <w:jc w:val="right"/>
              <w:ind w:right="999"/>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7"/>
                <w:szCs w:val="17"/>
                <w:color w:val="auto"/>
              </w:rPr>
            </w:pPr>
          </w:p>
        </w:tc>
      </w:tr>
      <w:tr>
        <w:trPr>
          <w:trHeight w:val="231"/>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14,363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16,925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(2,562)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97"/>
              <w:spacing w:after="0"/>
              <w:rPr>
                <w:sz w:val="20"/>
                <w:szCs w:val="20"/>
                <w:color w:val="auto"/>
              </w:rPr>
            </w:pPr>
            <w:r>
              <w:rPr>
                <w:rFonts w:ascii="Arial" w:cs="Arial" w:eastAsia="Arial" w:hAnsi="Arial"/>
                <w:sz w:val="18"/>
                <w:szCs w:val="18"/>
                <w:color w:val="auto"/>
              </w:rPr>
              <w:t>18,925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7"/>
              <w:spacing w:after="0"/>
              <w:rPr>
                <w:sz w:val="20"/>
                <w:szCs w:val="20"/>
                <w:color w:val="auto"/>
              </w:rPr>
            </w:pPr>
            <w:r>
              <w:rPr>
                <w:rFonts w:ascii="Arial" w:cs="Arial" w:eastAsia="Arial" w:hAnsi="Arial"/>
                <w:sz w:val="18"/>
                <w:szCs w:val="18"/>
                <w:color w:val="auto"/>
              </w:rPr>
              <w:t>21,959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559"/>
              <w:spacing w:after="0"/>
              <w:rPr>
                <w:sz w:val="20"/>
                <w:szCs w:val="20"/>
                <w:color w:val="auto"/>
              </w:rPr>
            </w:pPr>
            <w:r>
              <w:rPr>
                <w:rFonts w:ascii="Arial" w:cs="Arial" w:eastAsia="Arial" w:hAnsi="Arial"/>
                <w:sz w:val="18"/>
                <w:szCs w:val="18"/>
                <w:color w:val="auto"/>
              </w:rPr>
              <w:t>(3,034)</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Cost of revenue, net decreased by $2.6 million, or 15%, for the three months ended June 30, 2024 compared to the same period in 2023. Cost of revenue, net decreased primarily due to (i) decreased outsourcing activities related to maintaining our platform, and (ii) a decrease in allocated employee and employee related expenses resulting from lower stock-based compensation. Further, there was an increase in Consideration from a vendor, net, driven primarily by a higher number of members using the Expensify Card under the Legacy Card Program and the increased spend captured from such members, which reduced Cost of revenue, net by $3.1 million and $2.4 million for the three months ended June 30, 2024 and 2023, respectively.</w:t>
      </w:r>
    </w:p>
    <w:p>
      <w:pPr>
        <w:spacing w:after="0" w:line="115"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Gross margin increased to 57% for the three months ended June 30, 2024 compared to 56% in the same period in 2023 due to the factors described in the preceding paragraphs for Revenue and Cost of revenue, net.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Borders>
              <w:top w:val="single" w:sz="8" w:color="auto"/>
            </w:tcBorders>
          </w:tcPr>
          <w:p>
            <w:pPr>
              <w:spacing w:after="0"/>
              <w:rPr>
                <w:sz w:val="19"/>
                <w:szCs w:val="19"/>
                <w:color w:val="auto"/>
              </w:rPr>
            </w:pPr>
          </w:p>
        </w:tc>
        <w:tc>
          <w:tcPr>
            <w:tcW w:w="2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bottom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00" w:type="dxa"/>
            <w:vAlign w:val="bottom"/>
            <w:gridSpan w:val="5"/>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6,389</w:t>
            </w:r>
          </w:p>
        </w:tc>
        <w:tc>
          <w:tcPr>
            <w:tcW w:w="10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1,295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54"/>
        </w:trPr>
        <w:tc>
          <w:tcPr>
            <w:tcW w:w="46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Research and development expenses increased by $1.3 million, or 25%, for the three months ended June 30, 2024 compared to the same period in 2023, primarily due to an increase in employee time spent on project initiatives and new product features, partially offset by lower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16"/>
        </w:trPr>
        <w:tc>
          <w:tcPr>
            <w:tcW w:w="4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3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9,245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11,712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(2,467)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54"/>
        </w:trPr>
        <w:tc>
          <w:tcPr>
            <w:tcW w:w="46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General and administrative expenses decreased by $2.5 million, or 21%, for the three months ended June 30, 2024 compared to the same period in 2023, primarily due to a decrease in allocated employee and employee related expenses resulting from a decrease in employee time devoted to administrative functions related to maintenance activities in regards to compliance with Section 404 of the Sarbanes-Oxley Act and other public company requirements and lower stock-based compensation expense.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8"/>
                <w:szCs w:val="18"/>
                <w:color w:val="auto"/>
              </w:rPr>
            </w:pPr>
          </w:p>
        </w:tc>
        <w:tc>
          <w:tcPr>
            <w:tcW w:w="1880" w:type="dxa"/>
            <w:vAlign w:val="bottom"/>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8"/>
                <w:szCs w:val="18"/>
                <w:color w:val="auto"/>
              </w:rPr>
            </w:pPr>
          </w:p>
        </w:tc>
      </w:tr>
      <w:tr>
        <w:trPr>
          <w:trHeight w:val="223"/>
        </w:trPr>
        <w:tc>
          <w:tcPr>
            <w:tcW w:w="46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16"/>
        </w:trPr>
        <w:tc>
          <w:tcPr>
            <w:tcW w:w="4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3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3,072</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14,714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(11,642)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54"/>
        </w:trPr>
        <w:tc>
          <w:tcPr>
            <w:tcW w:w="46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color w:val="auto"/>
        </w:rPr>
        <w:t>Sales and marketing expenses decreased by $11.6 million, or 79%, for the three months ended June 30, 2024 compared to the same period in 2023, primarily due to (i) a decrease in marketing event spend, (ii) a decrease in outsourcing activities related to sales and product demos,</w:t>
      </w:r>
    </w:p>
    <w:p>
      <w:pPr>
        <w:spacing w:after="0" w:line="2" w:lineRule="exact"/>
        <w:rPr>
          <w:sz w:val="20"/>
          <w:szCs w:val="20"/>
          <w:color w:val="auto"/>
        </w:rPr>
      </w:pPr>
    </w:p>
    <w:p>
      <w:pPr>
        <w:ind w:right="460" w:firstLine="8"/>
        <w:spacing w:after="0" w:line="266" w:lineRule="auto"/>
        <w:tabs>
          <w:tab w:leader="none" w:pos="29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in allocated employee and employee related expenses resulting from a decrease in employee time devoted to sales and marketing activities and lower stock-based compensation expense, and (iv) a decrease in advertising spend.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(260)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1,107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54"/>
        </w:trPr>
        <w:tc>
          <w:tcPr>
            <w:tcW w:w="46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Interest and other expenses, net decreased by $1.1 million, or 81%, for the three months ended June 30, 2024 compared to the same period in 2023, primarily due to a decrease in interest expense incurred due to the repayment of the term loan component of the 2021 Amended Loan and Security Agreement (as defined below) on October 12,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bottom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80" w:type="dxa"/>
            <w:vAlign w:val="bottom"/>
            <w:gridSpan w:val="5"/>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(2,723)</w:t>
            </w:r>
          </w:p>
        </w:tc>
        <w:tc>
          <w:tcPr>
            <w:tcW w:w="108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(376)  $</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(2,347)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624 %</w:t>
            </w:r>
          </w:p>
        </w:tc>
      </w:tr>
      <w:tr>
        <w:trPr>
          <w:trHeight w:val="54"/>
        </w:trPr>
        <w:tc>
          <w:tcPr>
            <w:tcW w:w="46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recorded a provision from income taxes of $2.7 million during the three months ended June 30, 2024 compared to a provision for income taxes of $0.4 million for the same period in 2023.</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three months ended June 30, 2024 and 2023, our effective income tax rate was (6,641.5)% and (3.4)%, respectively. The effective income tax rate differs from the statutory rate in 2024 and 2023 primarily due to non-deductible stock-based compensation, Section 162(m) of the Internal Revenue Code ("IRC") compensation limitations, and the change in valuation allowance.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2024 and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66,823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78,985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(12,162)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54"/>
        </w:trPr>
        <w:tc>
          <w:tcPr>
            <w:tcW w:w="46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 decreased by $12.2 million, or 15%, for the six months ended June 30, 2024 compared to the same period in 2023, primarily due to</w:t>
      </w:r>
    </w:p>
    <w:p>
      <w:pPr>
        <w:spacing w:after="0" w:line="27" w:lineRule="exact"/>
        <w:rPr>
          <w:sz w:val="20"/>
          <w:szCs w:val="20"/>
          <w:color w:val="auto"/>
        </w:rPr>
      </w:pPr>
    </w:p>
    <w:p>
      <w:pPr>
        <w:ind w:firstLine="8"/>
        <w:spacing w:after="0" w:line="255" w:lineRule="auto"/>
        <w:tabs>
          <w:tab w:leader="none" w:pos="21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billable activity across our user base, including a decrease in pay-per-use billable activity which has a higher average fee per member than our annual members, and (ii) an increase in contra revenue related to cashback payments driven by the increased adoption and spend captured from members using the Expensify Card. These decreases were partially offset by an increase in interchange revenue under the Updated Card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tcPr>
          <w:p>
            <w:pPr>
              <w:spacing w:after="0"/>
              <w:rPr>
                <w:sz w:val="19"/>
                <w:szCs w:val="19"/>
                <w:color w:val="auto"/>
              </w:rPr>
            </w:pPr>
          </w:p>
        </w:tc>
      </w:tr>
      <w:tr>
        <w:trPr>
          <w:trHeight w:val="196"/>
        </w:trPr>
        <w:tc>
          <w:tcPr>
            <w:tcW w:w="44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w:t>
            </w:r>
          </w:p>
        </w:tc>
      </w:tr>
      <w:tr>
        <w:trPr>
          <w:trHeight w:val="196"/>
        </w:trPr>
        <w:tc>
          <w:tcPr>
            <w:tcW w:w="4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60" w:type="dxa"/>
            <w:vAlign w:val="bottom"/>
            <w:gridSpan w:val="4"/>
          </w:tcPr>
          <w:p>
            <w:pPr>
              <w:jc w:val="right"/>
              <w:ind w:right="999"/>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7"/>
                <w:szCs w:val="17"/>
                <w:color w:val="auto"/>
              </w:rPr>
            </w:pPr>
          </w:p>
        </w:tc>
      </w:tr>
      <w:tr>
        <w:trPr>
          <w:trHeight w:val="231"/>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28,947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32,700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(3,753)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4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97"/>
              <w:spacing w:after="0"/>
              <w:rPr>
                <w:sz w:val="20"/>
                <w:szCs w:val="20"/>
                <w:color w:val="auto"/>
              </w:rPr>
            </w:pPr>
            <w:r>
              <w:rPr>
                <w:rFonts w:ascii="Arial" w:cs="Arial" w:eastAsia="Arial" w:hAnsi="Arial"/>
                <w:sz w:val="18"/>
                <w:szCs w:val="18"/>
                <w:color w:val="auto"/>
              </w:rPr>
              <w:t>37,876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7"/>
              <w:spacing w:after="0"/>
              <w:rPr>
                <w:sz w:val="20"/>
                <w:szCs w:val="20"/>
                <w:color w:val="auto"/>
              </w:rPr>
            </w:pPr>
            <w:r>
              <w:rPr>
                <w:rFonts w:ascii="Arial" w:cs="Arial" w:eastAsia="Arial" w:hAnsi="Arial"/>
                <w:sz w:val="18"/>
                <w:szCs w:val="18"/>
                <w:color w:val="auto"/>
              </w:rPr>
              <w:t>46,285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559"/>
              <w:spacing w:after="0"/>
              <w:rPr>
                <w:sz w:val="20"/>
                <w:szCs w:val="20"/>
                <w:color w:val="auto"/>
              </w:rPr>
            </w:pPr>
            <w:r>
              <w:rPr>
                <w:rFonts w:ascii="Arial" w:cs="Arial" w:eastAsia="Arial" w:hAnsi="Arial"/>
                <w:sz w:val="18"/>
                <w:szCs w:val="18"/>
                <w:color w:val="auto"/>
              </w:rPr>
              <w:t>(8,409)</w:t>
            </w: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Cost of revenue, net decreased by $3.8 million, or 11%, for the six months ended June 30, 2024 compared to the same period in 2023. Cost of revenue, net decreased primarily due to (i) a decrease in allocated employee and employee related expenses resulting from lower base stock-based compensation, and (ii) an increase in Consideration from a vendor, net, driven primarily by a higher number of members using the Expensify Card under the Legacy Card Program and the increase in spend captured from such members, which reduced Cost of revenue, net by $6.3 million and $4.5 million for the six months ended June 30, 2024 and 2023, respectively.</w:t>
      </w:r>
    </w:p>
    <w:p>
      <w:pPr>
        <w:spacing w:after="0" w:line="9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Gross margin decreased to 57% for the six months ended June 30, 2024 compared to 59% in the same period in 2023 due to the factors described in the preceding paragraphs for Revenue and Cost of Revenue,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12,318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10,512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1,806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54"/>
        </w:trPr>
        <w:tc>
          <w:tcPr>
            <w:tcW w:w="4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Research and development expenses increased by $1.8 million, or 17%, for the six months ended June 30, 2024 compared to the same period in 2023, primarily due to an increase in employee time spent on project initiatives and new product features, partially offset by lower stock-based compensation expense.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2024</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16"/>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20,676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24,141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(3,465)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54"/>
        </w:trPr>
        <w:tc>
          <w:tcPr>
            <w:tcW w:w="4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General and administrative expenses decreased by $3.5 million, or 14%, for the six months ended June 30, 2024 compared to the same period in 2023, primarily due to a decrease in allocated employee and employee related expenses resulting from a decrease in employee time devoted to administrative functions related to maintenance activities in regards to compliance with Section 404 of the Sarbanes-Oxley Act and other public company requirements and lower stock-based compensation expense.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8"/>
                <w:szCs w:val="18"/>
                <w:color w:val="auto"/>
              </w:rPr>
            </w:pPr>
          </w:p>
        </w:tc>
        <w:tc>
          <w:tcPr>
            <w:tcW w:w="1880" w:type="dxa"/>
            <w:vAlign w:val="bottom"/>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8"/>
                <w:szCs w:val="18"/>
                <w:color w:val="auto"/>
              </w:rPr>
            </w:pPr>
          </w:p>
        </w:tc>
      </w:tr>
      <w:tr>
        <w:trPr>
          <w:trHeight w:val="223"/>
        </w:trPr>
        <w:tc>
          <w:tcPr>
            <w:tcW w:w="46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16"/>
        </w:trPr>
        <w:tc>
          <w:tcPr>
            <w:tcW w:w="4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8"/>
                <w:szCs w:val="18"/>
                <w:color w:val="auto"/>
              </w:rPr>
            </w:pPr>
          </w:p>
        </w:tc>
      </w:tr>
      <w:tr>
        <w:trPr>
          <w:trHeight w:val="23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6,456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23,897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(17,441)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54"/>
        </w:trPr>
        <w:tc>
          <w:tcPr>
            <w:tcW w:w="46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Sales and marketing expenses decreased by $17.4 million, or 73%, for the six months ended June 30, 2024 compared to the same period in 2023, primarily due to (i) a decrease in marketing event spend, (ii) a decrease in outsourcing activities related to sales and product demos,</w:t>
      </w:r>
    </w:p>
    <w:p>
      <w:pPr>
        <w:spacing w:after="0" w:line="2" w:lineRule="exact"/>
        <w:rPr>
          <w:sz w:val="20"/>
          <w:szCs w:val="20"/>
          <w:color w:val="auto"/>
        </w:rPr>
      </w:pPr>
    </w:p>
    <w:p>
      <w:pPr>
        <w:ind w:right="460" w:firstLine="8"/>
        <w:spacing w:after="0" w:line="266" w:lineRule="auto"/>
        <w:tabs>
          <w:tab w:leader="none" w:pos="2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allocated employee and employee related expenses resulting from a decrease in employee time devoted to sales and marketing activities and lower stock-based compensation expense, and (iv) a decrease in advertising spend.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(1,214)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1,569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54"/>
        </w:trPr>
        <w:tc>
          <w:tcPr>
            <w:tcW w:w="46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Interest and other expenses, net decreased by $1.6 million, or 56%, for the six months ended June 30, 2024 compared to the same period in 2023, primarily due to a decrease in interest expense incurred due to the repayment of the term loan component of the 2021 Amended Loan and Security Agreement (as defined below) on October 12,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Borders>
              <w:top w:val="single" w:sz="8" w:color="auto"/>
            </w:tcBorders>
          </w:tcPr>
          <w:p>
            <w:pPr>
              <w:spacing w:after="0"/>
              <w:rPr>
                <w:sz w:val="19"/>
                <w:szCs w:val="19"/>
                <w:color w:val="auto"/>
              </w:rPr>
            </w:pPr>
          </w:p>
        </w:tc>
        <w:tc>
          <w:tcPr>
            <w:tcW w:w="2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bottom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80" w:type="dxa"/>
            <w:vAlign w:val="bottom"/>
            <w:gridSpan w:val="5"/>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(3,757)</w:t>
            </w:r>
          </w:p>
        </w:tc>
        <w:tc>
          <w:tcPr>
            <w:tcW w:w="100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(2,201)  $</w:t>
            </w:r>
          </w:p>
        </w:tc>
        <w:tc>
          <w:tcPr>
            <w:tcW w:w="18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(1,556)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54"/>
        </w:trPr>
        <w:tc>
          <w:tcPr>
            <w:tcW w:w="4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recorded a provision for income taxes of $3.8 million during the six months ended June 30, 2024 compared to a provision for income taxes of $2.2 million for the same period in 2023.</w:t>
      </w:r>
    </w:p>
    <w:p>
      <w:pPr>
        <w:spacing w:after="0" w:line="7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effective income tax rate was (134.8)% and (14.6)% during the six months ended June 30, 2024 and 2023, respectively. The effective income tax rate differs from the statutory rate in 2024 primarily due to non-deductible stock-based compensation and the change in valuation allowance. The effective income tax rate differs from the statutory rate in 2023 primarily due to non-deductible stock-based compensation, Section 162(m) of the IRC compensation limitations, and the change in valuation allowance.</w:t>
      </w:r>
    </w:p>
    <w:p>
      <w:pPr>
        <w:spacing w:after="0" w:line="9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Key Business Metrics and Non-GAAP Financial Measures</w:t>
      </w:r>
    </w:p>
    <w:p>
      <w:pPr>
        <w:spacing w:after="0" w:line="16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supplement the reporting of our financial information determined under U.S. generally accepted accounting principles ("GAAP") with certain business metrics and non-GAAP financial measures which we regularly review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our financial information presented in accordance with GAAP and may be different from similarly titled metrics or measures presented by other companies.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Members</w:t>
      </w:r>
    </w:p>
    <w:p>
      <w:pPr>
        <w:spacing w:after="0" w:line="14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believe that our ability to increase the number of paid members on our platform will drive our success as a business. Our customers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during any particular quarter. For small and medium businesses ("SMBs") or sole proprietors with only one employee, the business owner may also be the only paid member.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average number of paid members for each of the periods presented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56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Paid members</w:t>
            </w:r>
          </w:p>
        </w:tc>
      </w:tr>
      <w:tr>
        <w:trPr>
          <w:trHeight w:val="224"/>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30, 2024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3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June 30, 2023</w:t>
            </w:r>
          </w:p>
        </w:tc>
        <w:tc>
          <w:tcPr>
            <w:tcW w:w="156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45"/>
        </w:trPr>
        <w:tc>
          <w:tcPr>
            <w:tcW w:w="9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Non-GAAP Financial Measures</w:t>
      </w:r>
    </w:p>
    <w:p>
      <w:pPr>
        <w:spacing w:after="0" w:line="15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4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define adjusted EBITDA as net loss from operations excluding provision for income taxes, interest and other expenses, net, depreciation and amortization and stock-based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100" w:type="dxa"/>
            <w:vAlign w:val="bottom"/>
            <w:tcBorders>
              <w:top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3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2023</w:t>
            </w:r>
          </w:p>
        </w:tc>
      </w:tr>
      <w:tr>
        <w:trPr>
          <w:trHeight w:val="196"/>
        </w:trPr>
        <w:tc>
          <w:tcPr>
            <w:tcW w:w="4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6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1"/>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10,190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2,156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17,304</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10,869</w:t>
            </w:r>
          </w:p>
        </w:tc>
      </w:tr>
      <w:tr>
        <w:trPr>
          <w:trHeight w:val="239"/>
        </w:trPr>
        <w:tc>
          <w:tcPr>
            <w:tcW w:w="432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31 %</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26 %</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45"/>
        </w:trPr>
        <w:tc>
          <w:tcPr>
            <w:tcW w:w="43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and Non-GAAP Net Income Margin</w:t>
      </w:r>
    </w:p>
    <w:p>
      <w:pPr>
        <w:spacing w:after="0" w:line="15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define non-GAAP net income as net loss from operations in accordance with GAAP excluding stock-based compensation. We define non-GAAP net income margin as non-GAAP net income divided by total revenue for the same period. We are focused on profitable growth and we consider non-GAAP net income to be an important measure because it helps illustrate underlying trends in our business that could otherwise be masked by the effect of stock-based compensation expense, which is not considered indicative of the core operating performance of our business.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3020" w:type="dxa"/>
            <w:vAlign w:val="bottom"/>
            <w:tcBorders>
              <w:top w:val="single" w:sz="8" w:color="auto"/>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2023</w:t>
            </w:r>
          </w:p>
        </w:tc>
      </w:tr>
      <w:tr>
        <w:trPr>
          <w:trHeight w:val="196"/>
        </w:trPr>
        <w:tc>
          <w:tcPr>
            <w:tcW w:w="4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500" w:type="dxa"/>
            <w:vAlign w:val="bottom"/>
            <w:gridSpan w:val="5"/>
          </w:tcPr>
          <w:p>
            <w:pPr>
              <w:jc w:val="right"/>
              <w:ind w:right="459"/>
              <w:spacing w:after="0"/>
              <w:rPr>
                <w:sz w:val="20"/>
                <w:szCs w:val="20"/>
                <w:color w:val="auto"/>
              </w:rPr>
            </w:pPr>
            <w:r>
              <w:rPr>
                <w:rFonts w:ascii="Arial" w:cs="Arial" w:eastAsia="Arial" w:hAnsi="Arial"/>
                <w:sz w:val="14"/>
                <w:szCs w:val="14"/>
                <w:b w:val="1"/>
                <w:bCs w:val="1"/>
                <w:color w:val="auto"/>
              </w:rPr>
              <w:t>(in thousands, except percentages)</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 (loss)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5,617</w:t>
            </w:r>
          </w:p>
        </w:tc>
        <w:tc>
          <w:tcPr>
            <w:tcW w:w="106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(963)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9,360</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3,096</w:t>
            </w:r>
          </w:p>
        </w:tc>
      </w:tr>
      <w:tr>
        <w:trPr>
          <w:trHeight w:val="239"/>
        </w:trPr>
        <w:tc>
          <w:tcPr>
            <w:tcW w:w="4320" w:type="dxa"/>
            <w:vAlign w:val="bottom"/>
          </w:tcPr>
          <w:p>
            <w:pPr>
              <w:ind w:left="20"/>
              <w:spacing w:after="0"/>
              <w:rPr>
                <w:sz w:val="20"/>
                <w:szCs w:val="20"/>
                <w:color w:val="auto"/>
              </w:rPr>
            </w:pPr>
            <w:r>
              <w:rPr>
                <w:rFonts w:ascii="Arial" w:cs="Arial" w:eastAsia="Arial" w:hAnsi="Arial"/>
                <w:sz w:val="18"/>
                <w:szCs w:val="18"/>
                <w:color w:val="auto"/>
              </w:rPr>
              <w:t>Non-GAAP net income (loss) margin</w:t>
            </w: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17 %</w:t>
            </w: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14 %</w:t>
            </w:r>
          </w:p>
        </w:tc>
        <w:tc>
          <w:tcPr>
            <w:tcW w:w="4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45"/>
        </w:trPr>
        <w:tc>
          <w:tcPr>
            <w:tcW w:w="43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the most directly comparable GAAP financial measure to each of these non-GAAP financial measures.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gridSpan w:val="7"/>
          </w:tcPr>
          <w:p>
            <w:pPr>
              <w:ind w:left="20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54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(2,764)</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(11,304)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(6,545)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(17,249)</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2,723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376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3,757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1,590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1,376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8,381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10,341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15,905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20,345</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5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10,190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2,156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17,304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10,869</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54"/>
        </w:trPr>
        <w:tc>
          <w:tcPr>
            <w:tcW w:w="434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3"/>
        </w:trPr>
        <w:tc>
          <w:tcPr>
            <w:tcW w:w="4860" w:type="dxa"/>
            <w:vAlign w:val="bottom"/>
            <w:gridSpan w:val="3"/>
          </w:tcPr>
          <w:p>
            <w:pPr>
              <w:spacing w:after="0"/>
              <w:rPr>
                <w:sz w:val="20"/>
                <w:szCs w:val="20"/>
                <w:color w:val="auto"/>
              </w:rPr>
            </w:pPr>
            <w:r>
              <w:rPr>
                <w:rFonts w:ascii="Arial" w:cs="Arial" w:eastAsia="Arial" w:hAnsi="Arial"/>
                <w:sz w:val="18"/>
                <w:szCs w:val="18"/>
                <w:i w:val="1"/>
                <w:iCs w:val="1"/>
                <w:color w:val="auto"/>
              </w:rPr>
              <w:t>Non-GAAP Net Income and Non-GAAP Net Income Margin</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8"/>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960" w:type="dxa"/>
            <w:vAlign w:val="bottom"/>
            <w:gridSpan w:val="8"/>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2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0" w:type="dxa"/>
            <w:vAlign w:val="bottom"/>
            <w:gridSpan w:val="7"/>
          </w:tcPr>
          <w:p>
            <w:pPr>
              <w:ind w:left="200"/>
              <w:spacing w:after="0"/>
              <w:rPr>
                <w:sz w:val="20"/>
                <w:szCs w:val="20"/>
                <w:color w:val="auto"/>
              </w:rPr>
            </w:pPr>
            <w:r>
              <w:rPr>
                <w:rFonts w:ascii="Arial" w:cs="Arial" w:eastAsia="Arial" w:hAnsi="Arial"/>
                <w:sz w:val="14"/>
                <w:szCs w:val="14"/>
                <w:b w:val="1"/>
                <w:bCs w:val="1"/>
                <w:color w:val="auto"/>
              </w:rPr>
              <w:t>(in thousands, except percentages)</w:t>
            </w: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5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(2,764)</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(11,304)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(6,545)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(17,249)</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8,381</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10,341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15,905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20,345</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(loss)</w:t>
            </w: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5,617</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(963)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9,360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Non-GAAP net income (loss) margin</w:t>
            </w: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45"/>
        </w:trPr>
        <w:tc>
          <w:tcPr>
            <w:tcW w:w="4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Liquidity and Capital Resources</w:t>
      </w:r>
    </w:p>
    <w:p>
      <w:pPr>
        <w:spacing w:after="0" w:line="1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Since our inception, we have financed our operations primarily through our cash flow from operations, sales of our equity securities and borrowings under our credit facilities. In November 2021, upon completion of our IPO, we received aggregate net proceeds of approximately $57.5 million after deducting underwriting discounts and commissions of approximately $4.9 million and offering costs of approximately $8.0 million. As of June 30, 2024, we had $53.2 million in cash and cash equivalents and $22.6 million in outstanding indebtedness.</w:t>
      </w:r>
    </w:p>
    <w:p>
      <w:pPr>
        <w:spacing w:after="0" w:line="10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and growth strategy for the next 12 months and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0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9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r>
      <w:tr>
        <w:trPr>
          <w:trHeight w:val="196"/>
        </w:trPr>
        <w:tc>
          <w:tcPr>
            <w:tcW w:w="7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1"/>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12,788</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100" w:type="dxa"/>
            <w:vAlign w:val="bottom"/>
            <w:shd w:val="clear" w:color="auto" w:fill="CCEEFF"/>
          </w:tcPr>
          <w:p>
            <w:pPr>
              <w:spacing w:after="0"/>
              <w:rPr>
                <w:sz w:val="20"/>
                <w:szCs w:val="20"/>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(4,867)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9"/>
                <w:szCs w:val="19"/>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(11,040)</w:t>
            </w:r>
          </w:p>
        </w:tc>
        <w:tc>
          <w:tcPr>
            <w:tcW w:w="100" w:type="dxa"/>
            <w:vAlign w:val="bottom"/>
            <w:shd w:val="clear" w:color="auto" w:fill="CCEEFF"/>
          </w:tcPr>
          <w:p>
            <w:pPr>
              <w:spacing w:after="0"/>
              <w:rPr>
                <w:sz w:val="19"/>
                <w:szCs w:val="19"/>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9,737</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(6,354)</w:t>
            </w:r>
          </w:p>
        </w:tc>
        <w:tc>
          <w:tcPr>
            <w:tcW w:w="100" w:type="dxa"/>
            <w:vAlign w:val="bottom"/>
          </w:tcPr>
          <w:p>
            <w:pPr>
              <w:spacing w:after="0"/>
              <w:rPr>
                <w:sz w:val="19"/>
                <w:szCs w:val="19"/>
                <w:color w:val="auto"/>
              </w:rPr>
            </w:pPr>
          </w:p>
        </w:tc>
      </w:tr>
      <w:tr>
        <w:trPr>
          <w:trHeight w:val="21"/>
        </w:trPr>
        <w:tc>
          <w:tcPr>
            <w:tcW w:w="7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58" w:lineRule="exact"/>
        <w:rPr>
          <w:sz w:val="20"/>
          <w:szCs w:val="20"/>
          <w:color w:val="auto"/>
        </w:rPr>
      </w:pPr>
    </w:p>
    <w:p>
      <w:pPr>
        <w:jc w:val="both"/>
        <w:ind w:right="300"/>
        <w:spacing w:after="0" w:line="268" w:lineRule="auto"/>
        <w:rPr>
          <w:sz w:val="20"/>
          <w:szCs w:val="20"/>
          <w:color w:val="auto"/>
        </w:rPr>
      </w:pPr>
      <w:r>
        <w:rPr>
          <w:rFonts w:ascii="Arial" w:cs="Arial" w:eastAsia="Arial" w:hAnsi="Arial"/>
          <w:sz w:val="18"/>
          <w:szCs w:val="18"/>
          <w:color w:val="auto"/>
        </w:rPr>
        <w:t>Net cash provided by operating activities was $ 12.8 million for the six months ended June 30, 2024 compared to $7.2 million for the same period in 2023. The increase was primarily due to a decrease in marketing event and advertising spend, decreased outsourcing activities related to sales and product demos offset by a decrease in revenue.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4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Net cash used in investing activities was $4.9 million for the six months ended June 30, 2024, primarily consisting of software development costs.</w:t>
      </w:r>
    </w:p>
    <w:p>
      <w:pPr>
        <w:spacing w:after="0" w:line="8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Net cash used in investing activities increased for the six months ended June 30, 2024 compared to the same period in 2023, primarily due to an increase in employee and external contributor software development costs.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44"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Net cash provided by financing activities was $1.8 million for the six months ended June 30, 2024, primarily consisting of proceeds from common stock purchased under the Company's 2021 Stock Purchase and Matching Plan ("Matching Plan").</w:t>
      </w:r>
    </w:p>
    <w:p>
      <w:pPr>
        <w:spacing w:after="0" w:line="8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During the six months ended June 30, 2023, net cash used in financing activities primarily consisted of principal payments on the term loan, the repurchase and retirement of common stock, and payments for employees taxes withheld from stock-based awards, which were partially offset by proceeds from common stock purchased under the Matching Plan.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Amortizing Term Mortgage</w:t>
      </w:r>
    </w:p>
    <w:p>
      <w:pPr>
        <w:spacing w:after="0" w:line="15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August 2019, the Company entered into an $8.3 million amortizing term mortgage agreement with Canadian Imperial Bank of Commerce ("CIBC") for the Company's commercial building located in Portland, Oregon. The agreement requires principal and interest payments due each month over a five-year period. Interest accrues at a fixed rate of 5.00% per year until August 2024, at which point the remaining outstanding principal balance on the amortizing term mortgage is due in full. The borrowings are secured by the building. The outstanding balance of the amortizing term mortgage was $7.6 million as of June 30, 2024. See Note 4 to our condensed consolidated financial statements included elsewhere in this Quarterly Report on Form 10-Q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4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September 2021, we amended and restated our loan and security agreement with CIBC (the "2021 Amended Loan and Security Agreement") which consisted of a $45.0 million initial term loan, the option to enter into an additional $30.0 million delayed term loan that expired in March 2023, and a monthly revolving line of credit of $25.0 million. Under the 2021 Amended Loan and Security Agreement, the initial term loan of $45.0 million was payable over a 60-month period with principal and accrued interest payments due each quarter, commencing on September 30, 2021. The 2021 Amended Term Loan and Security Agreement amortized in equal quarterly installments of $0.1 million through September 30, 2024, $0.2 million beginning October 1, 2024 and $0.6 million beginning October 1, 2025, with any remaining principal balance due and payable on maturity in September 2026. The amounts borrowed accrued interest at the bank’s reference rate plus 2.25% beginning on September 30, 2021 and continued on a quarterly basis through maturity of the term loan. The borrowings were secured by substantially all our assets. The then outstanding balance of $36.0 million and $0.1 million of accrued interest on the term loan were repaid in full on October 12, 2023.</w:t>
      </w:r>
    </w:p>
    <w:p>
      <w:pPr>
        <w:spacing w:after="0" w:line="11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February 2024, we entered into a Second Amended and Restated Loan and Security Agreement (as amended by the First Amendment described below, and as may be further amended from time to time, the "2024 Amended Loan and Security Agreement") with CIBC. The 2024 Amended Loan and Security Agreement amends and restates the 2021 Amended Loan and Security Agreement, to extend the maturity date of the revolving line of credit from September 2024 to September 2025, remove certain provisions related to the term loan that was repaid in full in October 2023, and make certain changes to the positive and negative covenants intended to better align with our operations. The 2024 Amended Loan and Security Agreement continues to provide for a $25.0 million revolving credit facility. Borrowings under the revolving line of credit accrue interest at CIBC’s reference rate plus 1.00% (9.50% as of June 30, 2024) and are secured by substantially all our assets. In May 2024, we entered into a First Amendment to the 2024 Amended Loan and Security Agreement, which amended the covenant restricting the amount of repurchases of common stock to allow for certain additional repurchase activity and provided a waiver for our non-compliance during prior periods with the previous version of such covenant.</w:t>
      </w:r>
    </w:p>
    <w:p>
      <w:pPr>
        <w:spacing w:after="0" w:line="11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incurred an immaterial amount of costs in connection with entering into the 2024 Amended Loan and Security Agreement. These debt issuance costs are reflected as a deferred asset within Other current assets on the Condensed Consolidated Balance Sheets and are being amortized to interest expense on a straight-line basis over the term of the agreement. As of June 30, 2024, the unamortized debt issuance costs included within Other current assets was $0.1 million.</w:t>
      </w:r>
    </w:p>
    <w:p>
      <w:pPr>
        <w:spacing w:after="0" w:line="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24, 2024, we entered into an irrevocable standby letter of credit (the "Letter of Credit") issued under the 2024 Amended Loan and Security Agreement to reduce cash collateral requirements in connection with the Updated Card Program. The Letter of Credit was issued in the amount of $1.0 million for the benefit of Bancorp and expires on March 20, 2025. No amounts have been drawn on the Letter of Credit as of June 30, 2024. The outstanding balance of the revolving line of credit was $15.0 million as of June 30, 2024. See Note 4 to our condensed consolidated financial statements included elsewhere in this Quarterly Report on Form 10-Q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to customary covenants under the 2024 Amended Loan and Security Agreement, which, unless waived by CIBC, restrict our and our subsidiaries' ability to, among other things, incur additional indebtedness, create or incur liens, permit a change of control, merge or consolidate with other companies, sell or transfer assets, pay dividends or make distributions, make acquisitions, investments or loans, or payments and prepayments of subordinated indebtedness, subject to certain exceptions. We must also maintain certain financial covenants: a total liquidity ratio, as defined in the 2024 Amended Loan and Security Agreement, tested each quarter, of not less than 1.10 to 1.00 from the quarter ending March 31, 2024, not less than 1.20 to 1.00 from the quarter ending June 30, 2024 and each quarter thereafter, and a total EBITDA net leverage ratio, as defined in the 2024 Amended Loan and Security Agreement, tested each quarter, of not less than 2.50 to 1.00 from the quarter ended March 31, 2025 and each quarter thereafter.</w:t>
      </w:r>
    </w:p>
    <w:p>
      <w:pPr>
        <w:spacing w:after="0" w:line="117" w:lineRule="exact"/>
        <w:rPr>
          <w:sz w:val="20"/>
          <w:szCs w:val="20"/>
          <w:color w:val="auto"/>
        </w:rPr>
      </w:pPr>
    </w:p>
    <w:p>
      <w:pPr>
        <w:ind w:right="180"/>
        <w:spacing w:after="0" w:line="318" w:lineRule="auto"/>
        <w:rPr>
          <w:sz w:val="20"/>
          <w:szCs w:val="20"/>
          <w:color w:val="auto"/>
        </w:rPr>
      </w:pPr>
      <w:r>
        <w:rPr>
          <w:rFonts w:ascii="Arial" w:cs="Arial" w:eastAsia="Arial" w:hAnsi="Arial"/>
          <w:sz w:val="17"/>
          <w:szCs w:val="17"/>
          <w:color w:val="auto"/>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2024, we were in compliance with all debt covenants.</w:t>
      </w:r>
    </w:p>
    <w:p>
      <w:pPr>
        <w:spacing w:after="0" w:line="12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Contractual Obligations and Commitments</w:t>
      </w:r>
    </w:p>
    <w:p>
      <w:pPr>
        <w:spacing w:after="0" w:line="18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of June 30, 2024, there have been no material changes in our contractual obligations and commitments as disclosed in our 2023 Annual Report.</w:t>
      </w:r>
    </w:p>
    <w:p>
      <w:pPr>
        <w:spacing w:after="0" w:line="5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Indemnification Agreements</w:t>
      </w:r>
    </w:p>
    <w:p>
      <w:pPr>
        <w:spacing w:after="0" w:line="16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Condensed Consolidated Balance Sheets, Condensed Consolidated Statements of Operations, Condensed Consolidated Statements of Changes in Stockholders’ Equity, or Condensed Consolidated Statements of Cash Flows.</w:t>
      </w:r>
    </w:p>
    <w:p>
      <w:pPr>
        <w:spacing w:after="0" w:line="8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Off-Balance Sheet Arrangements</w:t>
      </w:r>
    </w:p>
    <w:p>
      <w:pPr>
        <w:spacing w:after="0" w:line="1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Critical Accounting Policies and Estimates</w:t>
      </w:r>
    </w:p>
    <w:p>
      <w:pPr>
        <w:spacing w:after="0" w:line="16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condensed consolidated financial statements included elsewhere herein have been prepared in accordance with GAAP. The preparation of our condensed consolidated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Part II, Item 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included in our 2023 Annual Report.</w:t>
      </w:r>
    </w:p>
    <w:p>
      <w:pPr>
        <w:spacing w:after="0" w:line="11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Recent Accounting Pronouncements</w:t>
      </w:r>
    </w:p>
    <w:p>
      <w:pPr>
        <w:spacing w:after="0" w:line="16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See Note 1 to our condensed consolidated financial statements included elsewhere in this Quarterly Report on Form 10-Q for recently issued accounting pronouncements not yet adopted as of the date of this Quarterly Report on Form 10-Q.</w:t>
      </w:r>
    </w:p>
    <w:p>
      <w:pPr>
        <w:spacing w:after="0" w:line="7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3. Quantitative and Qualitative Disclosures About Market Risk</w:t>
      </w:r>
    </w:p>
    <w:p>
      <w:pPr>
        <w:spacing w:after="0" w:line="16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There have been no material changes in our market risk from the disclosure included under Part II, Item 7A. “Quantitative and Qualitative Disclosures About Market Risk” in our 2023 Annual Report.</w:t>
      </w:r>
    </w:p>
    <w:p>
      <w:pPr>
        <w:spacing w:after="0" w:line="7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4. Controls and Procedures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("Exchange Act")), as of the end of the period covered by this Quarterly Report on Form 10-Q. Our disclosure controls and procedures are designed to provide reasonable assurance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Securities and Exchange Commission's ("SEC") rules and forms. Based on such evaluation, our chief executive officer and chief financial officer have concluded that as of June 30, 2024, our disclosure controls and procedures were effective at a reasonable assurance level.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EFFECTIVENESS OF CONTROLS AND PROCEDURES</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II - Other Information</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 Legal Proceedings</w:t>
      </w:r>
    </w:p>
    <w:p>
      <w:pPr>
        <w:spacing w:after="0" w:line="16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November 29, 2023, a putative securities class action (the “Putative Class Action”) was filed in the United States District Court for the District of Oregon captioned Wilhite v. Expensify, Inc., et al., Case No. 3:23-cv-01784-JR, naming us, two of our executive officers and two of our former directors as defendants (collectively, the "Defendants"). The lawsuit is purportedly brought on behalf of all those who purchase or acquired our stock pursuant or traceable to our initial public offering (“IPO”). The complaint alleges claims under Sections 11 and 15 of the Securities Act of 1933 based on allegedly false or misleading statements in the offering documents filed in connection with our IPO. The lawsuit seeks unspecified damages and other relief. On January 29, 2024, three shareholders moved to be appointed lead plaintiff in the Putative Class Action. The court appointed a lead plaintiff and lead counsel on March 11, 2024. Pursuant to the parties' stipulation, the lead plaintiff's amended complaint was filed May 10, 2024, naming six of our current board members as additional defendants (together with the Defendants, the "Amended Defendants"). Amended Defendants' motion to dismiss the amended complaint was filed on July 9, 2024. The lead plaintiff's opposition is due September 6, 2024, and the Amended Defendants' reply is due October 18, 2024. The court has not yet scheduled a hearing on the Amended Defendants' motion to dismiss. The Amended Defendants deny the allegations of wrongdoing and will continue to vigorously defend against the claims in the Putative Class Action.</w:t>
      </w:r>
    </w:p>
    <w:p>
      <w:pPr>
        <w:spacing w:after="0" w:line="12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On May 10, 2024, a shareholder derivative lawsuit (the "Derivative Action") was filed in the United States District Court for the District of Oregon captioned O'Halloran v. Barrett et al., Case No. 3:24-cv-00775, naming us, all of our current board members and executive officers and two of our former directors as defendants (collectively, the "Derivative Defendants"). The Derivative Defendants deny the allegations of wrongdoing and will continue to vigorously defend against the claims in the Derivative Action.</w:t>
      </w:r>
    </w:p>
    <w:p>
      <w:pPr>
        <w:spacing w:after="0" w:line="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matters described above, 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0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1A. Risk Factors</w:t>
      </w:r>
    </w:p>
    <w:p>
      <w:pPr>
        <w:spacing w:after="0" w:line="16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There have been no material changes to the risk factors set forth in Part I, Item IA. "Risk Factors" of our 2023 Annual Report. You should carefully read and consider the risks and uncertainties, together with all of the other information included in the 2023 Annual Report and this Quarterly Report on Form 10-Q, including the section titled “Management’s Discussion and Analysis of Financial Condition and Results of Operations” and our condensed consolidated financial statements and related notes, and other documents that we file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2. Unregistered Sales of Equity Securities and Use of Proceeds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sets forth information regarding our purchases of shares of Class A common stock during the three months ended June 30, 2024.</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Maximum number</w:t>
            </w:r>
          </w:p>
        </w:tc>
        <w:tc>
          <w:tcPr>
            <w:tcW w:w="0" w:type="dxa"/>
            <w:vAlign w:val="bottom"/>
          </w:tcPr>
          <w:p>
            <w:pPr>
              <w:spacing w:after="0"/>
              <w:rPr>
                <w:sz w:val="1"/>
                <w:szCs w:val="1"/>
                <w:color w:val="auto"/>
              </w:rPr>
            </w:pPr>
          </w:p>
        </w:tc>
      </w:tr>
      <w:tr>
        <w:trPr>
          <w:trHeight w:val="181"/>
        </w:trPr>
        <w:tc>
          <w:tcPr>
            <w:tcW w:w="4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9"/>
              </w:rPr>
              <w:t>(or approximate</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dollar value) of</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9"/>
              </w:rPr>
              <w:t>Weighted average</w:t>
            </w:r>
          </w:p>
        </w:tc>
        <w:tc>
          <w:tcPr>
            <w:tcW w:w="16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shares purchased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shares that may</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16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Total number of</w:t>
            </w:r>
          </w:p>
        </w:tc>
        <w:tc>
          <w:tcPr>
            <w:tcW w:w="80" w:type="dxa"/>
            <w:vAlign w:val="bottom"/>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16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as part of publicly</w:t>
            </w:r>
          </w:p>
        </w:tc>
        <w:tc>
          <w:tcPr>
            <w:tcW w:w="100" w:type="dxa"/>
            <w:vAlign w:val="bottom"/>
          </w:tcPr>
          <w:p>
            <w:pPr>
              <w:spacing w:after="0"/>
              <w:rPr>
                <w:sz w:val="16"/>
                <w:szCs w:val="16"/>
                <w:color w:val="auto"/>
              </w:rPr>
            </w:pPr>
          </w:p>
        </w:tc>
        <w:tc>
          <w:tcPr>
            <w:tcW w:w="166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9"/>
              </w:rPr>
              <w:t>yet be purchased</w:t>
            </w: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price paid per</w:t>
            </w:r>
          </w:p>
        </w:tc>
        <w:tc>
          <w:tcPr>
            <w:tcW w:w="16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announced</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under the</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19"/>
                <w:szCs w:val="19"/>
                <w:color w:val="auto"/>
              </w:rPr>
            </w:pPr>
          </w:p>
        </w:tc>
        <w:tc>
          <w:tcPr>
            <w:tcW w:w="1640" w:type="dxa"/>
            <w:vAlign w:val="bottom"/>
          </w:tcPr>
          <w:p>
            <w:pPr>
              <w:ind w:left="40"/>
              <w:spacing w:after="0"/>
              <w:rPr>
                <w:sz w:val="20"/>
                <w:szCs w:val="20"/>
                <w:color w:val="auto"/>
              </w:rPr>
            </w:pPr>
            <w:r>
              <w:rPr>
                <w:rFonts w:ascii="Arial" w:cs="Arial" w:eastAsia="Arial" w:hAnsi="Arial"/>
                <w:sz w:val="18"/>
                <w:szCs w:val="18"/>
                <w:b w:val="1"/>
                <w:bCs w:val="1"/>
                <w:color w:val="auto"/>
              </w:rPr>
              <w:t>shares purchased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share</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8"/>
              </w:rPr>
              <w:t>programs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center"/>
              <w:ind w:right="50"/>
              <w:spacing w:after="0" w:line="230" w:lineRule="exact"/>
              <w:rPr>
                <w:sz w:val="20"/>
                <w:szCs w:val="20"/>
                <w:color w:val="auto"/>
              </w:rPr>
            </w:pPr>
            <w:r>
              <w:rPr>
                <w:rFonts w:ascii="Arial" w:cs="Arial" w:eastAsia="Arial" w:hAnsi="Arial"/>
                <w:sz w:val="18"/>
                <w:szCs w:val="18"/>
                <w:b w:val="1"/>
                <w:bCs w:val="1"/>
                <w:color w:val="auto"/>
                <w:w w:val="93"/>
              </w:rPr>
              <w:t>program</w:t>
            </w:r>
            <w:r>
              <w:rPr>
                <w:rFonts w:ascii="Arial" w:cs="Arial" w:eastAsia="Arial" w:hAnsi="Arial"/>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1 - 30, 2024</w:t>
            </w:r>
          </w:p>
        </w:tc>
        <w:tc>
          <w:tcPr>
            <w:tcW w:w="164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41,000,003</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May 1 - 31, 2024</w:t>
            </w:r>
          </w:p>
        </w:tc>
        <w:tc>
          <w:tcPr>
            <w:tcW w:w="1640" w:type="dxa"/>
            <w:vAlign w:val="bottom"/>
          </w:tcPr>
          <w:p>
            <w:pPr>
              <w:ind w:left="1440"/>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620" w:type="dxa"/>
            <w:vAlign w:val="bottom"/>
          </w:tcPr>
          <w:p>
            <w:pPr>
              <w:ind w:left="1420"/>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41,000,003</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1 - 30, 2024</w:t>
            </w:r>
          </w:p>
        </w:tc>
        <w:tc>
          <w:tcPr>
            <w:tcW w:w="164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41,000,003</w:t>
            </w:r>
          </w:p>
        </w:tc>
        <w:tc>
          <w:tcPr>
            <w:tcW w:w="0" w:type="dxa"/>
            <w:vAlign w:val="bottom"/>
          </w:tcPr>
          <w:p>
            <w:pPr>
              <w:spacing w:after="0"/>
              <w:rPr>
                <w:sz w:val="1"/>
                <w:szCs w:val="1"/>
                <w:color w:val="auto"/>
              </w:rPr>
            </w:pP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Three months ended June 30, 2024</w:t>
            </w:r>
          </w:p>
        </w:tc>
        <w:tc>
          <w:tcPr>
            <w:tcW w:w="164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340" w:right="20" w:hanging="332"/>
        <w:spacing w:after="0" w:line="274" w:lineRule="auto"/>
        <w:tabs>
          <w:tab w:leader="none" w:pos="37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On May 12, 2022, we announced the approval of a share repurchase program with authorization to purchase up to $50.0 million of our Class A common stock at management’s discretion. The repurchase program does not have an expiration date, does not obligate us to repurchase any specific number of shares and may be modified, suspended or terminated at any time at our discretion. At June 30, 2024, we had approximately $41.0 million remaining under the share repurchase authorization, not including amounts used for net share settlement of vested equity incentive awards.</w:t>
      </w:r>
    </w:p>
    <w:p>
      <w:pPr>
        <w:spacing w:after="0" w:line="7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3. Defaults Upon Senior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4. Mine Safety Disclosures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5. 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gridSpan w:val="4"/>
          </w:tcPr>
          <w:p>
            <w:pPr>
              <w:ind w:left="620"/>
              <w:spacing w:after="0"/>
              <w:rPr>
                <w:sz w:val="20"/>
                <w:szCs w:val="20"/>
                <w:color w:val="auto"/>
              </w:rPr>
            </w:pPr>
            <w:r>
              <w:rPr>
                <w:rFonts w:ascii="Arial" w:cs="Arial" w:eastAsia="Arial" w:hAnsi="Arial"/>
                <w:sz w:val="18"/>
                <w:szCs w:val="18"/>
                <w:b w:val="1"/>
                <w:bCs w:val="1"/>
                <w:color w:val="auto"/>
              </w:rPr>
              <w:t>Trading Arrangement</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880" w:type="dxa"/>
            <w:vAlign w:val="bottom"/>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Action</w:t>
            </w:r>
          </w:p>
        </w:tc>
        <w:tc>
          <w:tcPr>
            <w:tcW w:w="100" w:type="dxa"/>
            <w:vAlign w:val="bottom"/>
            <w:vMerge w:val="restart"/>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Date</w:t>
            </w:r>
          </w:p>
        </w:tc>
        <w:tc>
          <w:tcPr>
            <w:tcW w:w="100" w:type="dxa"/>
            <w:vAlign w:val="bottom"/>
            <w:vMerge w:val="restart"/>
          </w:tcPr>
          <w:p>
            <w:pPr>
              <w:spacing w:after="0"/>
              <w:rPr>
                <w:sz w:val="15"/>
                <w:szCs w:val="15"/>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Rule 10b5-1</w:t>
            </w:r>
            <w:r>
              <w:rPr>
                <w:rFonts w:ascii="Arial" w:cs="Arial" w:eastAsia="Arial" w:hAnsi="Arial"/>
                <w:sz w:val="23"/>
                <w:szCs w:val="23"/>
                <w:b w:val="1"/>
                <w:bCs w:val="1"/>
                <w:color w:val="auto"/>
                <w:w w:val="95"/>
                <w:vertAlign w:val="superscript"/>
              </w:rPr>
              <w:t>(1)</w:t>
            </w:r>
          </w:p>
        </w:tc>
        <w:tc>
          <w:tcPr>
            <w:tcW w:w="100" w:type="dxa"/>
            <w:vAlign w:val="bottom"/>
            <w:vMerge w:val="restart"/>
          </w:tcPr>
          <w:p>
            <w:pPr>
              <w:spacing w:after="0"/>
              <w:rPr>
                <w:sz w:val="15"/>
                <w:szCs w:val="15"/>
                <w:color w:val="auto"/>
              </w:rPr>
            </w:pPr>
          </w:p>
        </w:tc>
        <w:tc>
          <w:tcPr>
            <w:tcW w:w="1560" w:type="dxa"/>
            <w:vAlign w:val="bottom"/>
            <w:gridSpan w:val="2"/>
          </w:tcPr>
          <w:p>
            <w:pPr>
              <w:jc w:val="center"/>
              <w:ind w:right="80"/>
              <w:spacing w:after="0" w:line="181" w:lineRule="exact"/>
              <w:rPr>
                <w:sz w:val="20"/>
                <w:szCs w:val="20"/>
                <w:color w:val="auto"/>
              </w:rPr>
            </w:pPr>
            <w:r>
              <w:rPr>
                <w:rFonts w:ascii="Arial" w:cs="Arial" w:eastAsia="Arial" w:hAnsi="Arial"/>
                <w:sz w:val="18"/>
                <w:szCs w:val="18"/>
                <w:b w:val="1"/>
                <w:bCs w:val="1"/>
                <w:color w:val="auto"/>
                <w:w w:val="99"/>
              </w:rPr>
              <w:t>Non-Rule 10b5-</w:t>
            </w:r>
          </w:p>
        </w:tc>
        <w:tc>
          <w:tcPr>
            <w:tcW w:w="1600" w:type="dxa"/>
            <w:vAlign w:val="bottom"/>
            <w:gridSpan w:val="2"/>
          </w:tcPr>
          <w:p>
            <w:pPr>
              <w:jc w:val="center"/>
              <w:ind w:right="80"/>
              <w:spacing w:after="0" w:line="181" w:lineRule="exact"/>
              <w:rPr>
                <w:sz w:val="20"/>
                <w:szCs w:val="20"/>
                <w:color w:val="auto"/>
              </w:rPr>
            </w:pPr>
            <w:r>
              <w:rPr>
                <w:rFonts w:ascii="Arial" w:cs="Arial" w:eastAsia="Arial" w:hAnsi="Arial"/>
                <w:sz w:val="18"/>
                <w:szCs w:val="18"/>
                <w:b w:val="1"/>
                <w:bCs w:val="1"/>
                <w:color w:val="auto"/>
                <w:w w:val="98"/>
              </w:rPr>
              <w:t>Total Shares to</w:t>
            </w: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Expiration Date</w:t>
            </w:r>
          </w:p>
        </w:tc>
        <w:tc>
          <w:tcPr>
            <w:tcW w:w="0" w:type="dxa"/>
            <w:vAlign w:val="bottom"/>
          </w:tcPr>
          <w:p>
            <w:pPr>
              <w:spacing w:after="0"/>
              <w:rPr>
                <w:sz w:val="1"/>
                <w:szCs w:val="1"/>
                <w:color w:val="auto"/>
              </w:rPr>
            </w:pPr>
          </w:p>
        </w:tc>
      </w:tr>
      <w:tr>
        <w:trPr>
          <w:trHeight w:val="243"/>
        </w:trPr>
        <w:tc>
          <w:tcPr>
            <w:tcW w:w="18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4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480" w:type="dxa"/>
            <w:vAlign w:val="bottom"/>
            <w:tcBorders>
              <w:bottom w:val="single" w:sz="8" w:color="auto"/>
            </w:tcBorders>
          </w:tcPr>
          <w:p>
            <w:pPr>
              <w:jc w:val="center"/>
              <w:ind w:right="529"/>
              <w:spacing w:after="0" w:line="243" w:lineRule="exact"/>
              <w:rPr>
                <w:sz w:val="20"/>
                <w:szCs w:val="20"/>
                <w:color w:val="auto"/>
              </w:rPr>
            </w:pPr>
            <w:r>
              <w:rPr>
                <w:rFonts w:ascii="Arial" w:cs="Arial" w:eastAsia="Arial" w:hAnsi="Arial"/>
                <w:sz w:val="28"/>
                <w:szCs w:val="28"/>
                <w:b w:val="1"/>
                <w:bCs w:val="1"/>
                <w:color w:val="auto"/>
                <w:vertAlign w:val="subscript"/>
              </w:rPr>
              <w:t>1</w:t>
            </w:r>
            <w:r>
              <w:rPr>
                <w:rFonts w:ascii="Arial" w:cs="Arial" w:eastAsia="Arial" w:hAnsi="Arial"/>
                <w:sz w:val="11"/>
                <w:szCs w:val="11"/>
                <w:b w:val="1"/>
                <w:bCs w:val="1"/>
                <w:color w:val="auto"/>
              </w:rPr>
              <w:t>(2)</w:t>
            </w:r>
          </w:p>
        </w:tc>
        <w:tc>
          <w:tcPr>
            <w:tcW w:w="8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be Sold</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8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Ryan Schaffer, Chief</w:t>
            </w:r>
          </w:p>
        </w:tc>
        <w:tc>
          <w:tcPr>
            <w:tcW w:w="15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7"/>
              </w:rPr>
              <w:t>Adopt</w:t>
            </w:r>
          </w:p>
        </w:tc>
        <w:tc>
          <w:tcPr>
            <w:tcW w:w="148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w w:val="99"/>
              </w:rPr>
              <w:t>February 29,</w:t>
            </w:r>
          </w:p>
        </w:tc>
        <w:tc>
          <w:tcPr>
            <w:tcW w:w="100" w:type="dxa"/>
            <w:vAlign w:val="bottom"/>
            <w:shd w:val="clear" w:color="auto" w:fill="CCEEFF"/>
          </w:tcPr>
          <w:p>
            <w:pPr>
              <w:spacing w:after="0"/>
              <w:rPr>
                <w:sz w:val="14"/>
                <w:szCs w:val="14"/>
                <w:color w:val="auto"/>
              </w:rPr>
            </w:pPr>
          </w:p>
        </w:tc>
        <w:tc>
          <w:tcPr>
            <w:tcW w:w="15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9"/>
              </w:rPr>
              <w:t>X</w:t>
            </w: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center"/>
              <w:ind w:right="230"/>
              <w:spacing w:after="0"/>
              <w:rPr>
                <w:sz w:val="20"/>
                <w:szCs w:val="20"/>
                <w:color w:val="auto"/>
              </w:rPr>
            </w:pPr>
            <w:r>
              <w:rPr>
                <w:rFonts w:ascii="Arial" w:cs="Arial" w:eastAsia="Arial" w:hAnsi="Arial"/>
                <w:sz w:val="18"/>
                <w:szCs w:val="18"/>
                <w:color w:val="auto"/>
              </w:rPr>
              <w:t>100,000</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Financial Officer</w:t>
            </w:r>
            <w:r>
              <w:rPr>
                <w:rFonts w:ascii="Arial" w:cs="Arial" w:eastAsia="Arial" w:hAnsi="Arial"/>
                <w:sz w:val="23"/>
                <w:szCs w:val="23"/>
                <w:color w:val="auto"/>
                <w:vertAlign w:val="superscript"/>
              </w:rPr>
              <w:t>*</w:t>
            </w:r>
          </w:p>
        </w:tc>
        <w:tc>
          <w:tcPr>
            <w:tcW w:w="1560" w:type="dxa"/>
            <w:vAlign w:val="bottom"/>
            <w:gridSpan w:val="2"/>
            <w:vMerge w:val="continue"/>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2024</w:t>
            </w:r>
          </w:p>
        </w:tc>
        <w:tc>
          <w:tcPr>
            <w:tcW w:w="100" w:type="dxa"/>
            <w:vAlign w:val="bottom"/>
            <w:shd w:val="clear" w:color="auto" w:fill="CCEEFF"/>
          </w:tcPr>
          <w:p>
            <w:pPr>
              <w:spacing w:after="0"/>
              <w:rPr>
                <w:sz w:val="21"/>
                <w:szCs w:val="21"/>
                <w:color w:val="auto"/>
              </w:rPr>
            </w:pPr>
          </w:p>
        </w:tc>
        <w:tc>
          <w:tcPr>
            <w:tcW w:w="1560" w:type="dxa"/>
            <w:vAlign w:val="bottom"/>
            <w:gridSpan w:val="2"/>
            <w:vMerge w:val="continue"/>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2024</w:t>
            </w:r>
          </w:p>
        </w:tc>
        <w:tc>
          <w:tcPr>
            <w:tcW w:w="0" w:type="dxa"/>
            <w:vAlign w:val="bottom"/>
          </w:tcPr>
          <w:p>
            <w:pPr>
              <w:spacing w:after="0"/>
              <w:rPr>
                <w:sz w:val="1"/>
                <w:szCs w:val="1"/>
                <w:color w:val="auto"/>
              </w:rPr>
            </w:pPr>
          </w:p>
        </w:tc>
      </w:tr>
      <w:tr>
        <w:trPr>
          <w:trHeight w:val="175"/>
        </w:trPr>
        <w:tc>
          <w:tcPr>
            <w:tcW w:w="1880" w:type="dxa"/>
            <w:vAlign w:val="bottom"/>
          </w:tcPr>
          <w:p>
            <w:pPr>
              <w:ind w:left="20"/>
              <w:spacing w:after="0" w:line="176" w:lineRule="exact"/>
              <w:rPr>
                <w:sz w:val="20"/>
                <w:szCs w:val="20"/>
                <w:color w:val="auto"/>
              </w:rPr>
            </w:pPr>
            <w:r>
              <w:rPr>
                <w:rFonts w:ascii="Arial" w:cs="Arial" w:eastAsia="Arial" w:hAnsi="Arial"/>
                <w:sz w:val="18"/>
                <w:szCs w:val="18"/>
                <w:color w:val="auto"/>
              </w:rPr>
              <w:t>David Barrett, Chief</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Adopt</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June 6, 2024</w:t>
            </w:r>
          </w:p>
        </w:tc>
        <w:tc>
          <w:tcPr>
            <w:tcW w:w="15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9"/>
              </w:rPr>
              <w:t>X</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vMerge w:val="restart"/>
          </w:tcPr>
          <w:p>
            <w:pPr>
              <w:jc w:val="center"/>
              <w:ind w:right="170"/>
              <w:spacing w:after="0"/>
              <w:rPr>
                <w:sz w:val="20"/>
                <w:szCs w:val="20"/>
                <w:color w:val="auto"/>
              </w:rPr>
            </w:pPr>
            <w:r>
              <w:rPr>
                <w:rFonts w:ascii="Arial" w:cs="Arial" w:eastAsia="Arial" w:hAnsi="Arial"/>
                <w:sz w:val="18"/>
                <w:szCs w:val="18"/>
                <w:color w:val="auto"/>
              </w:rPr>
              <w:t>1,515,358</w:t>
            </w:r>
            <w:r>
              <w:rPr>
                <w:rFonts w:ascii="Arial" w:cs="Arial" w:eastAsia="Arial" w:hAnsi="Arial"/>
                <w:sz w:val="23"/>
                <w:szCs w:val="23"/>
                <w:color w:val="auto"/>
                <w:vertAlign w:val="superscript"/>
              </w:rPr>
              <w:t>(4)</w:t>
            </w:r>
          </w:p>
        </w:tc>
        <w:tc>
          <w:tcPr>
            <w:tcW w:w="10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rPr>
              <w:t>March 15, 2025</w:t>
            </w:r>
          </w:p>
        </w:tc>
        <w:tc>
          <w:tcPr>
            <w:tcW w:w="0" w:type="dxa"/>
            <w:vAlign w:val="bottom"/>
          </w:tcPr>
          <w:p>
            <w:pPr>
              <w:spacing w:after="0"/>
              <w:rPr>
                <w:sz w:val="1"/>
                <w:szCs w:val="1"/>
                <w:color w:val="auto"/>
              </w:rPr>
            </w:pPr>
          </w:p>
        </w:tc>
      </w:tr>
      <w:tr>
        <w:trPr>
          <w:trHeight w:val="316"/>
        </w:trPr>
        <w:tc>
          <w:tcPr>
            <w:tcW w:w="1880" w:type="dxa"/>
            <w:vAlign w:val="bottom"/>
          </w:tcPr>
          <w:p>
            <w:pPr>
              <w:ind w:left="20"/>
              <w:spacing w:after="0"/>
              <w:rPr>
                <w:sz w:val="20"/>
                <w:szCs w:val="20"/>
                <w:color w:val="auto"/>
              </w:rPr>
            </w:pPr>
            <w:r>
              <w:rPr>
                <w:rFonts w:ascii="Arial" w:cs="Arial" w:eastAsia="Arial" w:hAnsi="Arial"/>
                <w:sz w:val="18"/>
                <w:szCs w:val="18"/>
                <w:color w:val="auto"/>
              </w:rPr>
              <w:t>Executive Officer</w:t>
            </w:r>
          </w:p>
        </w:tc>
        <w:tc>
          <w:tcPr>
            <w:tcW w:w="1560" w:type="dxa"/>
            <w:vAlign w:val="bottom"/>
            <w:gridSpan w:val="2"/>
            <w:vMerge w:val="continue"/>
          </w:tcPr>
          <w:p>
            <w:pPr>
              <w:spacing w:after="0"/>
              <w:rPr>
                <w:sz w:val="24"/>
                <w:szCs w:val="24"/>
                <w:color w:val="auto"/>
              </w:rPr>
            </w:pPr>
          </w:p>
        </w:tc>
        <w:tc>
          <w:tcPr>
            <w:tcW w:w="1580" w:type="dxa"/>
            <w:vAlign w:val="bottom"/>
            <w:gridSpan w:val="2"/>
            <w:vMerge w:val="continue"/>
          </w:tcPr>
          <w:p>
            <w:pPr>
              <w:spacing w:after="0"/>
              <w:rPr>
                <w:sz w:val="24"/>
                <w:szCs w:val="24"/>
                <w:color w:val="auto"/>
              </w:rPr>
            </w:pPr>
          </w:p>
        </w:tc>
        <w:tc>
          <w:tcPr>
            <w:tcW w:w="156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Intended to satisfy the affirmative defense of Rule 10b5-1(c).</w:t>
      </w:r>
    </w:p>
    <w:p>
      <w:pPr>
        <w:spacing w:after="0" w:line="24" w:lineRule="exact"/>
        <w:rPr>
          <w:rFonts w:ascii="Arial" w:cs="Arial" w:eastAsia="Arial" w:hAnsi="Arial"/>
          <w:sz w:val="13"/>
          <w:szCs w:val="13"/>
          <w:color w:val="auto"/>
        </w:rPr>
      </w:pPr>
    </w:p>
    <w:p>
      <w:pPr>
        <w:ind w:left="340" w:hanging="332"/>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Not intended to satisfy the affirmative defense of Rule 10b5-1(c).</w:t>
      </w:r>
    </w:p>
    <w:p>
      <w:pPr>
        <w:spacing w:after="0" w:line="12" w:lineRule="exact"/>
        <w:rPr>
          <w:rFonts w:ascii="Arial" w:cs="Arial" w:eastAsia="Arial" w:hAnsi="Arial"/>
          <w:sz w:val="13"/>
          <w:szCs w:val="13"/>
          <w:color w:val="auto"/>
        </w:rPr>
      </w:pPr>
    </w:p>
    <w:p>
      <w:pPr>
        <w:ind w:left="340" w:hanging="332"/>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the exercise and sale of up to 100,000 non-qualified stock options.</w:t>
      </w:r>
    </w:p>
    <w:p>
      <w:pPr>
        <w:spacing w:after="0" w:line="12" w:lineRule="exact"/>
        <w:rPr>
          <w:rFonts w:ascii="Arial" w:cs="Arial" w:eastAsia="Arial" w:hAnsi="Arial"/>
          <w:sz w:val="13"/>
          <w:szCs w:val="13"/>
          <w:color w:val="auto"/>
        </w:rPr>
      </w:pPr>
    </w:p>
    <w:p>
      <w:pPr>
        <w:ind w:left="340" w:hanging="332"/>
        <w:spacing w:after="0"/>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actual number of shares sold under the trading plan will depend on the current share price when sales occur, this estimation is based on the closing share price on July 23, 2024.</w:t>
      </w:r>
    </w:p>
    <w:p>
      <w:pPr>
        <w:spacing w:after="0" w:line="149" w:lineRule="exact"/>
        <w:rPr>
          <w:sz w:val="20"/>
          <w:szCs w:val="20"/>
          <w:color w:val="auto"/>
        </w:rPr>
      </w:pPr>
    </w:p>
    <w:p>
      <w:pPr>
        <w:ind w:left="340" w:right="120" w:hanging="332"/>
        <w:spacing w:after="0" w:line="302" w:lineRule="auto"/>
        <w:tabs>
          <w:tab w:leader="none" w:pos="219"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inadvertently omitted to disclose this 10b5-1 trading plan adopted by Ryan Schaffer, our Chief Financial Officer, on February 29, 2024, in item 5 of Part II in our Quarterly Report on Form 10-Q for the quarter ended March 31, 2024.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Retirement</w:t>
      </w:r>
    </w:p>
    <w:p>
      <w:pPr>
        <w:spacing w:after="0" w:line="15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August 8, 2024, the Company filed a Certificate of Retirement with the Secretary of State of the State of Delaware to retire 3,123,508 shares of LT10 common stock, par value $0.0001 per share, of the Company (“LT10 Common Stock”). All 3,123,508 shares of LT10 Common Stock were converted into 3,123,508 shares of Class A common stock, par value $0.0001 per share, of the Company (the “Class A Common Stock”), in connection with the conversion of the LT10 Common Stock. The Company’s Amended and Restated Certificate of Incorporation requires that any shares of LT10 Common Stock that are converted into shares of Class A Common Stock be retired and may not be reissued.</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Effective upon filing, the Certificate of Retirement amended the Amended and Restated Certificate of Incorporation of the Company to reduce the total authorized number of shares of capital stock of the Company by 3,123,508 shares. The total number of authorized shares of the Company is now 1,056,840,831, such shares consisting of 1,000,000,000 shares designated Class A Common Stock, 21,871,197 shares designated LT10 Common Stock, 24,969,634 shares designated LT50 Common Stock, each with a par value of $0.0001 per share, of the Company, and 10,000,000 shares designated preferred stock, par value $0.0001 per share, of the Company. A copy of the Certificate of Retirement is attached as Exhibit 3.2 hereto.</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Prior Shares Issued Under the Expensify, Inc. 2021 Stock Purchase and Matching Plan</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August 5, 2024, the Board of Directors adopted resolutions (the “Resolutions”) approving the ratification of the issuance of 37,927 shares of Class A Common Stock under the Matching Plan, which may constitute shares of putative stock pursuant to Section 204 of the Delaware General Corporation Law (the “Ratification”). The issuance of such shares occurred on June 15, 2024 and, due to an inadvertent error in one of the inputs of a formula to calculate the number of matching shares under the Matching Plan, the issuance of such shares may not have been duly authorized by the Board of Directors in accordance with Section 152 of the General Corporation Law of the State of Delaware. Any claim that any defective corporate act or putative stock ratified pursuant to the Ratification is void or voidable due to the failure of authorization specified in the Resolutions, or that the Delaware Court of Chancery should declare in its discretion that the Ratification in accordance with Section 204 of the Delaware General Corporation Law not be effective or be effective only on certain conditions, must be brought within the later of (i) 120 days from the validation effective time (which is August 5, 2024) and (ii) the giving of this notice (which is deemed given on the date that this Quarterly Report on Form 10-Q is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6.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Incorporated by Reference</w:t>
            </w:r>
          </w:p>
        </w:tc>
        <w:tc>
          <w:tcPr>
            <w:tcW w:w="1740" w:type="dxa"/>
            <w:vAlign w:val="bottom"/>
            <w:tcBorders>
              <w:bottom w:val="single" w:sz="8" w:color="auto"/>
            </w:tcBorders>
          </w:tcPr>
          <w:p>
            <w:pPr>
              <w:spacing w:after="0"/>
              <w:rPr>
                <w:sz w:val="17"/>
                <w:szCs w:val="17"/>
                <w:color w:val="auto"/>
              </w:rPr>
            </w:pPr>
          </w:p>
        </w:tc>
      </w:tr>
      <w:tr>
        <w:trPr>
          <w:trHeight w:val="398"/>
        </w:trPr>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4180" w:type="dxa"/>
            <w:vAlign w:val="bottom"/>
            <w:gridSpan w:val="17"/>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24"/>
                <w:szCs w:val="24"/>
                <w:color w:val="auto"/>
              </w:rPr>
            </w:pPr>
          </w:p>
        </w:tc>
        <w:tc>
          <w:tcPr>
            <w:tcW w:w="1220" w:type="dxa"/>
            <w:vAlign w:val="bottom"/>
          </w:tcPr>
          <w:p>
            <w:pPr>
              <w:jc w:val="center"/>
              <w:ind w:left="22"/>
              <w:spacing w:after="0"/>
              <w:rPr>
                <w:sz w:val="20"/>
                <w:szCs w:val="20"/>
                <w:color w:val="auto"/>
              </w:rPr>
            </w:pPr>
            <w:r>
              <w:rPr>
                <w:rFonts w:ascii="Arial" w:cs="Arial" w:eastAsia="Arial" w:hAnsi="Arial"/>
                <w:sz w:val="14"/>
                <w:szCs w:val="14"/>
                <w:b w:val="1"/>
                <w:bCs w:val="1"/>
                <w:color w:val="auto"/>
              </w:rPr>
              <w:t>Form</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File No.</w:t>
            </w:r>
          </w:p>
        </w:tc>
        <w:tc>
          <w:tcPr>
            <w:tcW w:w="1160" w:type="dxa"/>
            <w:vAlign w:val="bottom"/>
          </w:tcPr>
          <w:p>
            <w:pPr>
              <w:ind w:left="320"/>
              <w:spacing w:after="0"/>
              <w:rPr>
                <w:sz w:val="20"/>
                <w:szCs w:val="20"/>
                <w:color w:val="auto"/>
              </w:rPr>
            </w:pPr>
            <w:r>
              <w:rPr>
                <w:rFonts w:ascii="Arial" w:cs="Arial" w:eastAsia="Arial" w:hAnsi="Arial"/>
                <w:sz w:val="14"/>
                <w:szCs w:val="14"/>
                <w:b w:val="1"/>
                <w:bCs w:val="1"/>
                <w:color w:val="auto"/>
              </w:rPr>
              <w:t>Exhibit</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Filing Date</w:t>
            </w:r>
          </w:p>
        </w:tc>
      </w:tr>
      <w:tr>
        <w:trPr>
          <w:trHeight w:val="170"/>
        </w:trPr>
        <w:tc>
          <w:tcPr>
            <w:tcW w:w="1300" w:type="dxa"/>
            <w:vAlign w:val="bottom"/>
            <w:tcBorders>
              <w:top w:val="single" w:sz="8" w:color="auto"/>
            </w:tcBorders>
          </w:tcPr>
          <w:p>
            <w:pPr>
              <w:ind w:left="140"/>
              <w:spacing w:after="0" w:line="170" w:lineRule="exact"/>
              <w:rPr>
                <w:sz w:val="20"/>
                <w:szCs w:val="20"/>
                <w:color w:val="auto"/>
              </w:rPr>
            </w:pPr>
            <w:r>
              <w:rPr>
                <w:rFonts w:ascii="Arial" w:cs="Arial" w:eastAsia="Arial" w:hAnsi="Arial"/>
                <w:sz w:val="15"/>
                <w:szCs w:val="15"/>
                <w:color w:val="auto"/>
              </w:rPr>
              <w:t>3.1</w:t>
            </w:r>
            <w:r>
              <w:rPr>
                <w:rFonts w:ascii="Arial" w:cs="Arial" w:eastAsia="Arial" w:hAnsi="Arial"/>
                <w:sz w:val="19"/>
                <w:szCs w:val="19"/>
                <w:color w:val="auto"/>
                <w:vertAlign w:val="superscript"/>
              </w:rPr>
              <w:t>*</w:t>
            </w:r>
          </w:p>
        </w:tc>
        <w:tc>
          <w:tcPr>
            <w:tcW w:w="80" w:type="dxa"/>
            <w:vAlign w:val="bottom"/>
          </w:tcPr>
          <w:p>
            <w:pPr>
              <w:spacing w:after="0"/>
              <w:rPr>
                <w:sz w:val="14"/>
                <w:szCs w:val="14"/>
                <w:color w:val="auto"/>
              </w:rPr>
            </w:pPr>
          </w:p>
        </w:tc>
        <w:tc>
          <w:tcPr>
            <w:tcW w:w="4180" w:type="dxa"/>
            <w:vAlign w:val="bottom"/>
            <w:tcBorders>
              <w:top w:val="single" w:sz="8" w:color="auto"/>
            </w:tcBorders>
            <w:gridSpan w:val="17"/>
          </w:tcPr>
          <w:p>
            <w:pPr>
              <w:spacing w:after="0" w:line="170" w:lineRule="exact"/>
              <w:rPr>
                <w:sz w:val="20"/>
                <w:szCs w:val="20"/>
                <w:color w:val="auto"/>
              </w:rPr>
            </w:pPr>
            <w:r>
              <w:rPr>
                <w:rFonts w:ascii="Arial" w:cs="Arial" w:eastAsia="Arial" w:hAnsi="Arial"/>
                <w:sz w:val="16"/>
                <w:szCs w:val="16"/>
                <w:color w:val="0000FF"/>
              </w:rPr>
              <w:t>Amended and Restated Certificate of Incorporation of the</w:t>
            </w:r>
          </w:p>
        </w:tc>
        <w:tc>
          <w:tcPr>
            <w:tcW w:w="100" w:type="dxa"/>
            <w:vAlign w:val="bottom"/>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rPr>
              <w:t>Registrant.</w:t>
            </w:r>
          </w:p>
        </w:tc>
        <w:tc>
          <w:tcPr>
            <w:tcW w:w="332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3.2</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7"/>
          </w:tcPr>
          <w:p>
            <w:pPr>
              <w:spacing w:after="0"/>
              <w:rPr>
                <w:sz w:val="20"/>
                <w:szCs w:val="20"/>
                <w:color w:val="auto"/>
              </w:rPr>
            </w:pPr>
            <w:r>
              <w:rPr>
                <w:rFonts w:ascii="Arial" w:cs="Arial" w:eastAsia="Arial" w:hAnsi="Arial"/>
                <w:sz w:val="16"/>
                <w:szCs w:val="16"/>
                <w:color w:val="0000FF"/>
              </w:rPr>
              <w:t>Certificate of Retirement of 3,123,508 Shares of LT10</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4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Common Stock.</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21"/>
                <w:szCs w:val="21"/>
                <w:color w:val="auto"/>
              </w:rPr>
            </w:pPr>
          </w:p>
        </w:tc>
        <w:tc>
          <w:tcPr>
            <w:tcW w:w="4180" w:type="dxa"/>
            <w:vAlign w:val="bottom"/>
            <w:gridSpan w:val="17"/>
          </w:tcPr>
          <w:p>
            <w:pPr>
              <w:spacing w:after="0"/>
              <w:rPr>
                <w:rFonts w:ascii="Arial" w:cs="Arial" w:eastAsia="Arial" w:hAnsi="Arial"/>
                <w:sz w:val="16"/>
                <w:szCs w:val="16"/>
                <w:color w:val="0000FF"/>
              </w:rPr>
            </w:pPr>
            <w:hyperlink r:id="rId115">
              <w:r>
                <w:rPr>
                  <w:rFonts w:ascii="Arial" w:cs="Arial" w:eastAsia="Arial" w:hAnsi="Arial"/>
                  <w:sz w:val="16"/>
                  <w:szCs w:val="16"/>
                  <w:color w:val="0000FF"/>
                </w:rPr>
                <w:t>Amended and Restated Bylaws of the Registrant.</w:t>
              </w:r>
            </w:hyperlink>
          </w:p>
        </w:tc>
        <w:tc>
          <w:tcPr>
            <w:tcW w:w="100" w:type="dxa"/>
            <w:vAlign w:val="bottom"/>
          </w:tcPr>
          <w:p>
            <w:pPr>
              <w:spacing w:after="0"/>
              <w:rPr>
                <w:sz w:val="21"/>
                <w:szCs w:val="21"/>
                <w:color w:val="auto"/>
              </w:rPr>
            </w:pPr>
          </w:p>
        </w:tc>
        <w:tc>
          <w:tcPr>
            <w:tcW w:w="1220" w:type="dxa"/>
            <w:vAlign w:val="bottom"/>
          </w:tcPr>
          <w:p>
            <w:pPr>
              <w:jc w:val="center"/>
              <w:ind w:left="2"/>
              <w:spacing w:after="0"/>
              <w:rPr>
                <w:sz w:val="20"/>
                <w:szCs w:val="20"/>
                <w:color w:val="auto"/>
              </w:rPr>
            </w:pPr>
            <w:r>
              <w:rPr>
                <w:rFonts w:ascii="Arial" w:cs="Arial" w:eastAsia="Arial" w:hAnsi="Arial"/>
                <w:sz w:val="16"/>
                <w:szCs w:val="16"/>
                <w:color w:val="auto"/>
              </w:rPr>
              <w:t>8-K</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001-41043</w:t>
            </w:r>
          </w:p>
        </w:tc>
        <w:tc>
          <w:tcPr>
            <w:tcW w:w="1160" w:type="dxa"/>
            <w:vAlign w:val="bottom"/>
          </w:tcPr>
          <w:p>
            <w:pPr>
              <w:jc w:val="right"/>
              <w:ind w:right="402"/>
              <w:spacing w:after="0"/>
              <w:rPr>
                <w:sz w:val="20"/>
                <w:szCs w:val="20"/>
                <w:color w:val="auto"/>
              </w:rPr>
            </w:pPr>
            <w:r>
              <w:rPr>
                <w:rFonts w:ascii="Arial" w:cs="Arial" w:eastAsia="Arial" w:hAnsi="Arial"/>
                <w:sz w:val="16"/>
                <w:szCs w:val="16"/>
                <w:color w:val="auto"/>
              </w:rPr>
              <w:t>3.2</w:t>
            </w:r>
          </w:p>
        </w:tc>
        <w:tc>
          <w:tcPr>
            <w:tcW w:w="1740" w:type="dxa"/>
            <w:vAlign w:val="bottom"/>
          </w:tcPr>
          <w:p>
            <w:pPr>
              <w:jc w:val="center"/>
              <w:spacing w:after="0"/>
              <w:rPr>
                <w:sz w:val="20"/>
                <w:szCs w:val="20"/>
                <w:color w:val="auto"/>
              </w:rPr>
            </w:pPr>
            <w:r>
              <w:rPr>
                <w:rFonts w:ascii="Arial" w:cs="Arial" w:eastAsia="Arial" w:hAnsi="Arial"/>
                <w:sz w:val="16"/>
                <w:szCs w:val="16"/>
                <w:color w:val="auto"/>
              </w:rPr>
              <w:t>November 15, 2021</w:t>
            </w: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21"/>
                <w:szCs w:val="21"/>
                <w:color w:val="auto"/>
              </w:rPr>
            </w:pPr>
          </w:p>
        </w:tc>
        <w:tc>
          <w:tcPr>
            <w:tcW w:w="4180" w:type="dxa"/>
            <w:vAlign w:val="bottom"/>
            <w:gridSpan w:val="17"/>
          </w:tcPr>
          <w:p>
            <w:pPr>
              <w:spacing w:after="0"/>
              <w:rPr>
                <w:rFonts w:ascii="Arial" w:cs="Arial" w:eastAsia="Arial" w:hAnsi="Arial"/>
                <w:sz w:val="16"/>
                <w:szCs w:val="16"/>
                <w:color w:val="0000FF"/>
              </w:rPr>
            </w:pPr>
            <w:hyperlink r:id="rId116">
              <w:r>
                <w:rPr>
                  <w:rFonts w:ascii="Arial" w:cs="Arial" w:eastAsia="Arial" w:hAnsi="Arial"/>
                  <w:sz w:val="16"/>
                  <w:szCs w:val="16"/>
                  <w:color w:val="0000FF"/>
                </w:rPr>
                <w:t>First Amendment to the Second Amended and Restated</w:t>
              </w:r>
            </w:hyperlink>
          </w:p>
        </w:tc>
        <w:tc>
          <w:tcPr>
            <w:tcW w:w="100" w:type="dxa"/>
            <w:vAlign w:val="bottom"/>
          </w:tcPr>
          <w:p>
            <w:pPr>
              <w:spacing w:after="0"/>
              <w:rPr>
                <w:sz w:val="21"/>
                <w:szCs w:val="21"/>
                <w:color w:val="auto"/>
              </w:rPr>
            </w:pPr>
          </w:p>
        </w:tc>
        <w:tc>
          <w:tcPr>
            <w:tcW w:w="1220" w:type="dxa"/>
            <w:vAlign w:val="bottom"/>
          </w:tcPr>
          <w:p>
            <w:pPr>
              <w:jc w:val="center"/>
              <w:ind w:left="22"/>
              <w:spacing w:after="0"/>
              <w:rPr>
                <w:sz w:val="20"/>
                <w:szCs w:val="20"/>
                <w:color w:val="auto"/>
              </w:rPr>
            </w:pPr>
            <w:r>
              <w:rPr>
                <w:rFonts w:ascii="Arial" w:cs="Arial" w:eastAsia="Arial" w:hAnsi="Arial"/>
                <w:sz w:val="16"/>
                <w:szCs w:val="16"/>
                <w:color w:val="auto"/>
              </w:rPr>
              <w:t>10-Q</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001-41043</w:t>
            </w:r>
          </w:p>
        </w:tc>
        <w:tc>
          <w:tcPr>
            <w:tcW w:w="1160" w:type="dxa"/>
            <w:vAlign w:val="bottom"/>
          </w:tcPr>
          <w:p>
            <w:pPr>
              <w:jc w:val="right"/>
              <w:ind w:right="362"/>
              <w:spacing w:after="0"/>
              <w:rPr>
                <w:sz w:val="20"/>
                <w:szCs w:val="20"/>
                <w:color w:val="auto"/>
              </w:rPr>
            </w:pPr>
            <w:r>
              <w:rPr>
                <w:rFonts w:ascii="Arial" w:cs="Arial" w:eastAsia="Arial" w:hAnsi="Arial"/>
                <w:sz w:val="16"/>
                <w:szCs w:val="16"/>
                <w:color w:val="auto"/>
              </w:rPr>
              <w:t>10.2</w:t>
            </w: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May 9, 2024</w:t>
            </w: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6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116">
              <w:r>
                <w:rPr>
                  <w:rFonts w:ascii="Arial" w:cs="Arial" w:eastAsia="Arial" w:hAnsi="Arial"/>
                  <w:sz w:val="16"/>
                  <w:szCs w:val="16"/>
                  <w:color w:val="0000FF"/>
                </w:rPr>
                <w:t>Loan and Security Agreement, dated as of May 7, 2024,</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4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116">
              <w:r>
                <w:rPr>
                  <w:rFonts w:ascii="Arial" w:cs="Arial" w:eastAsia="Arial" w:hAnsi="Arial"/>
                  <w:sz w:val="16"/>
                  <w:szCs w:val="16"/>
                  <w:color w:val="0000FF"/>
                </w:rPr>
                <w:t>by and among Expensify, Inc., the Lenders party thereto</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116">
              <w:r>
                <w:rPr>
                  <w:rFonts w:ascii="Arial" w:cs="Arial" w:eastAsia="Arial" w:hAnsi="Arial"/>
                  <w:sz w:val="16"/>
                  <w:szCs w:val="16"/>
                  <w:color w:val="0000FF"/>
                </w:rPr>
                <w:t>and Canadian Imperial Bank of Commerce</w:t>
              </w:r>
            </w:hyperlink>
          </w:p>
        </w:tc>
        <w:tc>
          <w:tcPr>
            <w:tcW w:w="940" w:type="dxa"/>
            <w:vAlign w:val="bottom"/>
            <w:tcBorders>
              <w:top w:val="single" w:sz="8" w:color="0000FF"/>
            </w:tcBorders>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31.1</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7"/>
          </w:tcPr>
          <w:p>
            <w:pPr>
              <w:spacing w:after="0"/>
              <w:rPr>
                <w:sz w:val="20"/>
                <w:szCs w:val="20"/>
                <w:color w:val="auto"/>
              </w:rPr>
            </w:pPr>
            <w:r>
              <w:rPr>
                <w:rFonts w:ascii="Arial" w:cs="Arial" w:eastAsia="Arial" w:hAnsi="Arial"/>
                <w:sz w:val="16"/>
                <w:szCs w:val="16"/>
                <w:color w:val="0000FF"/>
              </w:rPr>
              <w:t>Certification of the Principal Executive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Rules 13a-14(a) and 15d-14(a) under the Securities</w:t>
            </w:r>
          </w:p>
        </w:tc>
        <w:tc>
          <w:tcPr>
            <w:tcW w:w="42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80" w:type="dxa"/>
            <w:vAlign w:val="bottom"/>
            <w:gridSpan w:val="17"/>
          </w:tcPr>
          <w:p>
            <w:pPr>
              <w:spacing w:after="0" w:line="142" w:lineRule="exact"/>
              <w:rPr>
                <w:sz w:val="20"/>
                <w:szCs w:val="20"/>
                <w:color w:val="auto"/>
              </w:rPr>
            </w:pPr>
            <w:r>
              <w:rPr>
                <w:rFonts w:ascii="Arial" w:cs="Arial" w:eastAsia="Arial" w:hAnsi="Arial"/>
                <w:sz w:val="16"/>
                <w:szCs w:val="16"/>
                <w:color w:val="0000FF"/>
              </w:rPr>
              <w:t>Exchange Act of 1934, as amended, as adopted pursuant</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to Section 302 of the Sarbanes-Oxley Act of 2002.</w:t>
            </w:r>
          </w:p>
        </w:tc>
        <w:tc>
          <w:tcPr>
            <w:tcW w:w="54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31.2</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7"/>
          </w:tcPr>
          <w:p>
            <w:pPr>
              <w:spacing w:after="0"/>
              <w:rPr>
                <w:sz w:val="20"/>
                <w:szCs w:val="20"/>
                <w:color w:val="auto"/>
              </w:rPr>
            </w:pPr>
            <w:r>
              <w:rPr>
                <w:rFonts w:ascii="Arial" w:cs="Arial" w:eastAsia="Arial" w:hAnsi="Arial"/>
                <w:sz w:val="16"/>
                <w:szCs w:val="16"/>
                <w:color w:val="0000FF"/>
              </w:rPr>
              <w:t>Certification of the Principal Financial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Rules 13a-14(a) and 15d-14(a) under the Securities</w:t>
            </w:r>
          </w:p>
        </w:tc>
        <w:tc>
          <w:tcPr>
            <w:tcW w:w="380" w:type="dxa"/>
            <w:vAlign w:val="bottom"/>
            <w:tcBorders>
              <w:top w:val="single" w:sz="8" w:color="0000FF"/>
            </w:tcBorders>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80" w:type="dxa"/>
            <w:vAlign w:val="bottom"/>
            <w:gridSpan w:val="17"/>
          </w:tcPr>
          <w:p>
            <w:pPr>
              <w:spacing w:after="0" w:line="142" w:lineRule="exact"/>
              <w:rPr>
                <w:sz w:val="20"/>
                <w:szCs w:val="20"/>
                <w:color w:val="auto"/>
              </w:rPr>
            </w:pPr>
            <w:r>
              <w:rPr>
                <w:rFonts w:ascii="Arial" w:cs="Arial" w:eastAsia="Arial" w:hAnsi="Arial"/>
                <w:sz w:val="16"/>
                <w:szCs w:val="16"/>
                <w:color w:val="0000FF"/>
              </w:rPr>
              <w:t>Exchange Act of 1934, as amended, as adopted pursuant</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to Section 302 of the Sarbanes-Oxley Act of 2002.</w:t>
            </w:r>
          </w:p>
        </w:tc>
        <w:tc>
          <w:tcPr>
            <w:tcW w:w="540" w:type="dxa"/>
            <w:vAlign w:val="bottom"/>
            <w:tcBorders>
              <w:top w:val="single" w:sz="8" w:color="0000FF"/>
            </w:tcBorders>
            <w:gridSpan w:val="10"/>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7"/>
          </w:tcPr>
          <w:p>
            <w:pPr>
              <w:spacing w:after="0"/>
              <w:rPr>
                <w:sz w:val="20"/>
                <w:szCs w:val="20"/>
                <w:color w:val="auto"/>
              </w:rPr>
            </w:pPr>
            <w:r>
              <w:rPr>
                <w:rFonts w:ascii="Arial" w:cs="Arial" w:eastAsia="Arial" w:hAnsi="Arial"/>
                <w:sz w:val="16"/>
                <w:szCs w:val="16"/>
                <w:color w:val="0000FF"/>
              </w:rPr>
              <w:t>Certification of the Principal Executive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40" w:type="dxa"/>
            <w:vAlign w:val="bottom"/>
            <w:tcBorders>
              <w:top w:val="single" w:sz="8" w:color="0000FF"/>
            </w:tcBorders>
            <w:gridSpan w:val="15"/>
          </w:tcPr>
          <w:p>
            <w:pPr>
              <w:spacing w:after="0" w:line="142" w:lineRule="exact"/>
              <w:rPr>
                <w:sz w:val="20"/>
                <w:szCs w:val="20"/>
                <w:color w:val="auto"/>
              </w:rPr>
            </w:pPr>
            <w:r>
              <w:rPr>
                <w:rFonts w:ascii="Arial" w:cs="Arial" w:eastAsia="Arial" w:hAnsi="Arial"/>
                <w:sz w:val="16"/>
                <w:szCs w:val="16"/>
                <w:color w:val="0000FF"/>
              </w:rPr>
              <w:t>18 U.S.C. Section 1350, as adopted pursuant to Section</w:t>
            </w: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80" w:type="dxa"/>
            <w:vAlign w:val="bottom"/>
            <w:tcBorders>
              <w:top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10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1340" w:type="dxa"/>
            <w:vAlign w:val="bottom"/>
            <w:gridSpan w:val="1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7"/>
          </w:tcPr>
          <w:p>
            <w:pPr>
              <w:spacing w:after="0"/>
              <w:rPr>
                <w:sz w:val="20"/>
                <w:szCs w:val="20"/>
                <w:color w:val="auto"/>
              </w:rPr>
            </w:pPr>
            <w:r>
              <w:rPr>
                <w:rFonts w:ascii="Arial" w:cs="Arial" w:eastAsia="Arial" w:hAnsi="Arial"/>
                <w:sz w:val="16"/>
                <w:szCs w:val="16"/>
                <w:color w:val="0000FF"/>
              </w:rPr>
              <w:t>Certification of the Principal Financial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00" w:type="dxa"/>
            <w:vAlign w:val="bottom"/>
            <w:tcBorders>
              <w:top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18 U.S.C. Section 1350, as adopted pursuant to Section</w:t>
            </w:r>
          </w:p>
        </w:tc>
        <w:tc>
          <w:tcPr>
            <w:tcW w:w="8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80" w:type="dxa"/>
            <w:vAlign w:val="bottom"/>
            <w:tcBorders>
              <w:top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10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344"/>
        </w:trPr>
        <w:tc>
          <w:tcPr>
            <w:tcW w:w="1380" w:type="dxa"/>
            <w:vAlign w:val="bottom"/>
            <w:gridSpan w:val="2"/>
          </w:tcPr>
          <w:p>
            <w:pPr>
              <w:ind w:left="140"/>
              <w:spacing w:after="0"/>
              <w:rPr>
                <w:sz w:val="20"/>
                <w:szCs w:val="20"/>
                <w:color w:val="auto"/>
              </w:rPr>
            </w:pPr>
            <w:r>
              <w:rPr>
                <w:rFonts w:ascii="Arial" w:cs="Arial" w:eastAsia="Arial" w:hAnsi="Arial"/>
                <w:sz w:val="16"/>
                <w:szCs w:val="16"/>
                <w:color w:val="auto"/>
              </w:rPr>
              <w:t>101.INS</w:t>
            </w:r>
            <w:r>
              <w:rPr>
                <w:rFonts w:ascii="Arial" w:cs="Arial" w:eastAsia="Arial" w:hAnsi="Arial"/>
                <w:sz w:val="21"/>
                <w:szCs w:val="21"/>
                <w:color w:val="auto"/>
                <w:vertAlign w:val="superscript"/>
              </w:rPr>
              <w:t>*</w:t>
            </w:r>
          </w:p>
        </w:tc>
        <w:tc>
          <w:tcPr>
            <w:tcW w:w="284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auto"/>
              </w:rPr>
              <w:t>Inline XBRL Instance Document.</w:t>
            </w:r>
          </w:p>
        </w:tc>
        <w:tc>
          <w:tcPr>
            <w:tcW w:w="1340" w:type="dxa"/>
            <w:vAlign w:val="bottom"/>
            <w:gridSpan w:val="14"/>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0"/>
        </w:trPr>
        <w:tc>
          <w:tcPr>
            <w:tcW w:w="1380" w:type="dxa"/>
            <w:vAlign w:val="bottom"/>
            <w:gridSpan w:val="2"/>
          </w:tcPr>
          <w:p>
            <w:pPr>
              <w:ind w:left="140"/>
              <w:spacing w:after="0"/>
              <w:rPr>
                <w:sz w:val="20"/>
                <w:szCs w:val="20"/>
                <w:color w:val="auto"/>
              </w:rPr>
            </w:pPr>
            <w:r>
              <w:rPr>
                <w:rFonts w:ascii="Arial" w:cs="Arial" w:eastAsia="Arial" w:hAnsi="Arial"/>
                <w:sz w:val="16"/>
                <w:szCs w:val="16"/>
                <w:color w:val="auto"/>
              </w:rPr>
              <w:t>101.SCH</w:t>
            </w:r>
            <w:r>
              <w:rPr>
                <w:rFonts w:ascii="Arial" w:cs="Arial" w:eastAsia="Arial" w:hAnsi="Arial"/>
                <w:sz w:val="21"/>
                <w:szCs w:val="21"/>
                <w:color w:val="auto"/>
                <w:vertAlign w:val="superscript"/>
              </w:rPr>
              <w:t>*</w:t>
            </w:r>
          </w:p>
        </w:tc>
        <w:tc>
          <w:tcPr>
            <w:tcW w:w="4180" w:type="dxa"/>
            <w:vAlign w:val="bottom"/>
            <w:gridSpan w:val="17"/>
          </w:tcPr>
          <w:p>
            <w:pPr>
              <w:spacing w:after="0"/>
              <w:rPr>
                <w:sz w:val="20"/>
                <w:szCs w:val="20"/>
                <w:color w:val="auto"/>
              </w:rPr>
            </w:pPr>
            <w:r>
              <w:rPr>
                <w:rFonts w:ascii="Arial" w:cs="Arial" w:eastAsia="Arial" w:hAnsi="Arial"/>
                <w:sz w:val="16"/>
                <w:szCs w:val="16"/>
                <w:color w:val="auto"/>
              </w:rPr>
              <w:t>Inline XBRL Taxonomy Extension Schema Document.</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163"/>
        </w:trPr>
        <w:tc>
          <w:tcPr>
            <w:tcW w:w="1380" w:type="dxa"/>
            <w:vAlign w:val="bottom"/>
            <w:gridSpan w:val="2"/>
          </w:tcPr>
          <w:p>
            <w:pPr>
              <w:ind w:left="140"/>
              <w:spacing w:after="0" w:line="163" w:lineRule="exact"/>
              <w:rPr>
                <w:sz w:val="20"/>
                <w:szCs w:val="20"/>
                <w:color w:val="auto"/>
              </w:rPr>
            </w:pPr>
            <w:r>
              <w:rPr>
                <w:rFonts w:ascii="Arial" w:cs="Arial" w:eastAsia="Arial" w:hAnsi="Arial"/>
                <w:sz w:val="14"/>
                <w:szCs w:val="14"/>
                <w:color w:val="auto"/>
              </w:rPr>
              <w:t>101.CAL</w:t>
            </w:r>
            <w:r>
              <w:rPr>
                <w:rFonts w:ascii="Arial" w:cs="Arial" w:eastAsia="Arial" w:hAnsi="Arial"/>
                <w:sz w:val="18"/>
                <w:szCs w:val="18"/>
                <w:color w:val="auto"/>
                <w:vertAlign w:val="superscript"/>
              </w:rPr>
              <w:t>*</w:t>
            </w:r>
          </w:p>
        </w:tc>
        <w:tc>
          <w:tcPr>
            <w:tcW w:w="4180" w:type="dxa"/>
            <w:vAlign w:val="bottom"/>
            <w:gridSpan w:val="17"/>
          </w:tcPr>
          <w:p>
            <w:pPr>
              <w:spacing w:after="0" w:line="163" w:lineRule="exact"/>
              <w:rPr>
                <w:sz w:val="20"/>
                <w:szCs w:val="20"/>
                <w:color w:val="auto"/>
              </w:rPr>
            </w:pPr>
            <w:r>
              <w:rPr>
                <w:rFonts w:ascii="Arial" w:cs="Arial" w:eastAsia="Arial" w:hAnsi="Arial"/>
                <w:sz w:val="16"/>
                <w:szCs w:val="16"/>
                <w:color w:val="auto"/>
              </w:rPr>
              <w:t>Inline XBRL Taxonomy Extension Calculation Linkbase</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15"/>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7"/>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1380" w:type="dxa"/>
            <w:vAlign w:val="bottom"/>
            <w:gridSpan w:val="2"/>
          </w:tcPr>
          <w:p>
            <w:pPr>
              <w:ind w:left="140"/>
              <w:spacing w:after="0" w:line="218" w:lineRule="exact"/>
              <w:rPr>
                <w:sz w:val="20"/>
                <w:szCs w:val="20"/>
                <w:color w:val="auto"/>
              </w:rPr>
            </w:pPr>
            <w:r>
              <w:rPr>
                <w:rFonts w:ascii="Arial" w:cs="Arial" w:eastAsia="Arial" w:hAnsi="Arial"/>
                <w:sz w:val="16"/>
                <w:szCs w:val="16"/>
                <w:color w:val="auto"/>
              </w:rPr>
              <w:t>101.DEF</w:t>
            </w:r>
            <w:r>
              <w:rPr>
                <w:rFonts w:ascii="Arial" w:cs="Arial" w:eastAsia="Arial" w:hAnsi="Arial"/>
                <w:sz w:val="21"/>
                <w:szCs w:val="21"/>
                <w:color w:val="auto"/>
                <w:vertAlign w:val="superscript"/>
              </w:rPr>
              <w:t>*</w:t>
            </w:r>
          </w:p>
        </w:tc>
        <w:tc>
          <w:tcPr>
            <w:tcW w:w="4180" w:type="dxa"/>
            <w:vAlign w:val="bottom"/>
            <w:gridSpan w:val="17"/>
          </w:tcPr>
          <w:p>
            <w:pPr>
              <w:spacing w:after="0"/>
              <w:rPr>
                <w:sz w:val="20"/>
                <w:szCs w:val="20"/>
                <w:color w:val="auto"/>
              </w:rPr>
            </w:pPr>
            <w:r>
              <w:rPr>
                <w:rFonts w:ascii="Arial" w:cs="Arial" w:eastAsia="Arial" w:hAnsi="Arial"/>
                <w:sz w:val="16"/>
                <w:szCs w:val="16"/>
                <w:color w:val="auto"/>
              </w:rPr>
              <w:t>Inline XBRL Taxonomy Extension Definition Linkbase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5"/>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7"/>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1380" w:type="dxa"/>
            <w:vAlign w:val="bottom"/>
            <w:gridSpan w:val="2"/>
          </w:tcPr>
          <w:p>
            <w:pPr>
              <w:ind w:left="140"/>
              <w:spacing w:after="0" w:line="218" w:lineRule="exact"/>
              <w:rPr>
                <w:sz w:val="20"/>
                <w:szCs w:val="20"/>
                <w:color w:val="auto"/>
              </w:rPr>
            </w:pPr>
            <w:r>
              <w:rPr>
                <w:rFonts w:ascii="Arial" w:cs="Arial" w:eastAsia="Arial" w:hAnsi="Arial"/>
                <w:sz w:val="16"/>
                <w:szCs w:val="16"/>
                <w:color w:val="auto"/>
              </w:rPr>
              <w:t>101.PRE</w:t>
            </w:r>
            <w:r>
              <w:rPr>
                <w:rFonts w:ascii="Arial" w:cs="Arial" w:eastAsia="Arial" w:hAnsi="Arial"/>
                <w:sz w:val="21"/>
                <w:szCs w:val="21"/>
                <w:color w:val="auto"/>
                <w:vertAlign w:val="superscript"/>
              </w:rPr>
              <w:t>*</w:t>
            </w:r>
          </w:p>
        </w:tc>
        <w:tc>
          <w:tcPr>
            <w:tcW w:w="4180" w:type="dxa"/>
            <w:vAlign w:val="bottom"/>
            <w:gridSpan w:val="17"/>
          </w:tcPr>
          <w:p>
            <w:pPr>
              <w:spacing w:after="0"/>
              <w:rPr>
                <w:sz w:val="20"/>
                <w:szCs w:val="20"/>
                <w:color w:val="auto"/>
              </w:rPr>
            </w:pPr>
            <w:r>
              <w:rPr>
                <w:rFonts w:ascii="Arial" w:cs="Arial" w:eastAsia="Arial" w:hAnsi="Arial"/>
                <w:sz w:val="16"/>
                <w:szCs w:val="16"/>
                <w:color w:val="auto"/>
              </w:rPr>
              <w:t>Inline XBRL Taxonomy Extension Presentation Linkable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5"/>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7"/>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1300" w:type="dxa"/>
            <w:vAlign w:val="bottom"/>
          </w:tcPr>
          <w:p>
            <w:pPr>
              <w:ind w:left="140"/>
              <w:spacing w:after="0" w:line="218" w:lineRule="exact"/>
              <w:rPr>
                <w:sz w:val="20"/>
                <w:szCs w:val="20"/>
                <w:color w:val="auto"/>
              </w:rPr>
            </w:pPr>
            <w:r>
              <w:rPr>
                <w:rFonts w:ascii="Arial" w:cs="Arial" w:eastAsia="Arial" w:hAnsi="Arial"/>
                <w:sz w:val="16"/>
                <w:szCs w:val="16"/>
                <w:color w:val="auto"/>
              </w:rPr>
              <w:t>104</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4180" w:type="dxa"/>
            <w:vAlign w:val="bottom"/>
            <w:gridSpan w:val="17"/>
          </w:tcPr>
          <w:p>
            <w:pPr>
              <w:spacing w:after="0"/>
              <w:rPr>
                <w:sz w:val="20"/>
                <w:szCs w:val="20"/>
                <w:color w:val="auto"/>
              </w:rPr>
            </w:pPr>
            <w:r>
              <w:rPr>
                <w:rFonts w:ascii="Arial" w:cs="Arial" w:eastAsia="Arial" w:hAnsi="Arial"/>
                <w:sz w:val="16"/>
                <w:szCs w:val="16"/>
                <w:color w:val="auto"/>
              </w:rPr>
              <w:t>Cover Page Interactive Data File (embedded within the</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5"/>
        </w:trPr>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gridSpan w:val="17"/>
          </w:tcPr>
          <w:p>
            <w:pPr>
              <w:spacing w:after="0"/>
              <w:rPr>
                <w:sz w:val="20"/>
                <w:szCs w:val="20"/>
                <w:color w:val="auto"/>
              </w:rPr>
            </w:pPr>
            <w:r>
              <w:rPr>
                <w:rFonts w:ascii="Arial" w:cs="Arial" w:eastAsia="Arial" w:hAnsi="Arial"/>
                <w:sz w:val="16"/>
                <w:szCs w:val="16"/>
                <w:color w:val="auto"/>
              </w:rPr>
              <w:t>Inline XBRL document).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55"/>
        </w:trPr>
        <w:tc>
          <w:tcPr>
            <w:tcW w:w="1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740" w:type="dxa"/>
            <w:vAlign w:val="bottom"/>
          </w:tcPr>
          <w:p>
            <w:pPr>
              <w:spacing w:after="0"/>
              <w:rPr>
                <w:sz w:val="4"/>
                <w:szCs w:val="4"/>
                <w:color w:val="auto"/>
              </w:rPr>
            </w:pPr>
          </w:p>
        </w:tc>
      </w:tr>
    </w:tbl>
    <w:p>
      <w:pPr>
        <w:spacing w:after="0" w:line="122" w:lineRule="exact"/>
        <w:rPr>
          <w:sz w:val="20"/>
          <w:szCs w:val="20"/>
          <w:color w:val="auto"/>
        </w:rPr>
      </w:pPr>
    </w:p>
    <w:p>
      <w:pPr>
        <w:ind w:left="360" w:hanging="334"/>
        <w:spacing w:after="0"/>
        <w:tabs>
          <w:tab w:leader="none" w:pos="3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0" w:lineRule="exact"/>
        <w:rPr>
          <w:sz w:val="20"/>
          <w:szCs w:val="20"/>
          <w:color w:val="auto"/>
        </w:rPr>
      </w:pPr>
    </w:p>
    <w:p>
      <w:pPr>
        <w:ind w:left="360" w:right="440" w:hanging="334"/>
        <w:spacing w:after="0" w:line="238" w:lineRule="auto"/>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17780</wp:posOffset>
            </wp:positionV>
            <wp:extent cx="61804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Signatures</w:t>
      </w:r>
    </w:p>
    <w:p>
      <w:pPr>
        <w:spacing w:after="0" w:line="318"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740" w:type="dxa"/>
            <w:vAlign w:val="bottom"/>
          </w:tcPr>
          <w:p>
            <w:pPr>
              <w:spacing w:after="0"/>
              <w:rPr>
                <w:sz w:val="21"/>
                <w:szCs w:val="21"/>
                <w:color w:val="auto"/>
              </w:rPr>
            </w:pPr>
          </w:p>
        </w:tc>
        <w:tc>
          <w:tcPr>
            <w:tcW w:w="7480" w:type="dxa"/>
            <w:vAlign w:val="bottom"/>
            <w:gridSpan w:val="2"/>
          </w:tcPr>
          <w:p>
            <w:pPr>
              <w:ind w:left="2040"/>
              <w:spacing w:after="0"/>
              <w:rPr>
                <w:sz w:val="20"/>
                <w:szCs w:val="20"/>
                <w:color w:val="auto"/>
              </w:rPr>
            </w:pPr>
            <w:r>
              <w:rPr>
                <w:rFonts w:ascii="Arial" w:cs="Arial" w:eastAsia="Arial" w:hAnsi="Arial"/>
                <w:sz w:val="18"/>
                <w:szCs w:val="18"/>
                <w:b w:val="1"/>
                <w:bCs w:val="1"/>
                <w:color w:val="auto"/>
              </w:rPr>
              <w:t>EXPENSIFY, INC.</w:t>
            </w:r>
          </w:p>
        </w:tc>
      </w:tr>
      <w:tr>
        <w:trPr>
          <w:trHeight w:val="474"/>
        </w:trPr>
        <w:tc>
          <w:tcPr>
            <w:tcW w:w="3740" w:type="dxa"/>
            <w:vAlign w:val="bottom"/>
          </w:tcPr>
          <w:p>
            <w:pPr>
              <w:spacing w:after="0"/>
              <w:rPr>
                <w:sz w:val="20"/>
                <w:szCs w:val="20"/>
                <w:color w:val="auto"/>
              </w:rPr>
            </w:pPr>
            <w:r>
              <w:rPr>
                <w:rFonts w:ascii="Arial" w:cs="Arial" w:eastAsia="Arial" w:hAnsi="Arial"/>
                <w:sz w:val="18"/>
                <w:szCs w:val="18"/>
                <w:color w:val="auto"/>
              </w:rPr>
              <w:t>Date: August 8, 2024</w:t>
            </w:r>
          </w:p>
        </w:tc>
        <w:tc>
          <w:tcPr>
            <w:tcW w:w="7480" w:type="dxa"/>
            <w:vAlign w:val="bottom"/>
            <w:gridSpan w:val="2"/>
          </w:tcPr>
          <w:p>
            <w:pPr>
              <w:ind w:left="2240"/>
              <w:spacing w:after="0"/>
              <w:rPr>
                <w:sz w:val="20"/>
                <w:szCs w:val="20"/>
                <w:color w:val="auto"/>
              </w:rPr>
            </w:pPr>
            <w:r>
              <w:rPr>
                <w:rFonts w:ascii="Arial" w:cs="Arial" w:eastAsia="Arial" w:hAnsi="Arial"/>
                <w:sz w:val="18"/>
                <w:szCs w:val="18"/>
                <w:color w:val="auto"/>
              </w:rPr>
              <w:t>By: /s/ David Barrett</w:t>
            </w:r>
          </w:p>
        </w:tc>
      </w:tr>
      <w:tr>
        <w:trPr>
          <w:trHeight w:val="218"/>
        </w:trPr>
        <w:tc>
          <w:tcPr>
            <w:tcW w:w="3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Barrett</w:t>
            </w:r>
          </w:p>
        </w:tc>
      </w:tr>
      <w:tr>
        <w:trPr>
          <w:trHeight w:val="232"/>
        </w:trPr>
        <w:tc>
          <w:tcPr>
            <w:tcW w:w="3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7"/>
        </w:trPr>
        <w:tc>
          <w:tcPr>
            <w:tcW w:w="3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82"/>
        </w:trPr>
        <w:tc>
          <w:tcPr>
            <w:tcW w:w="3740" w:type="dxa"/>
            <w:vAlign w:val="bottom"/>
          </w:tcPr>
          <w:p>
            <w:pPr>
              <w:spacing w:after="0"/>
              <w:rPr>
                <w:sz w:val="20"/>
                <w:szCs w:val="20"/>
                <w:color w:val="auto"/>
              </w:rPr>
            </w:pPr>
            <w:r>
              <w:rPr>
                <w:rFonts w:ascii="Arial" w:cs="Arial" w:eastAsia="Arial" w:hAnsi="Arial"/>
                <w:sz w:val="18"/>
                <w:szCs w:val="18"/>
                <w:color w:val="auto"/>
              </w:rPr>
              <w:t>Date: August 8, 2024</w:t>
            </w:r>
          </w:p>
        </w:tc>
        <w:tc>
          <w:tcPr>
            <w:tcW w:w="7480" w:type="dxa"/>
            <w:vAlign w:val="bottom"/>
            <w:gridSpan w:val="2"/>
          </w:tcPr>
          <w:p>
            <w:pPr>
              <w:ind w:left="2240"/>
              <w:spacing w:after="0"/>
              <w:rPr>
                <w:sz w:val="20"/>
                <w:szCs w:val="20"/>
                <w:color w:val="auto"/>
              </w:rPr>
            </w:pPr>
            <w:r>
              <w:rPr>
                <w:rFonts w:ascii="Arial" w:cs="Arial" w:eastAsia="Arial" w:hAnsi="Arial"/>
                <w:sz w:val="18"/>
                <w:szCs w:val="18"/>
                <w:color w:val="auto"/>
              </w:rPr>
              <w:t>By: /s/ Ryan Schaffer</w:t>
            </w:r>
          </w:p>
        </w:tc>
      </w:tr>
      <w:tr>
        <w:trPr>
          <w:trHeight w:val="218"/>
        </w:trPr>
        <w:tc>
          <w:tcPr>
            <w:tcW w:w="3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Ryan Schaffer</w:t>
            </w:r>
          </w:p>
        </w:tc>
      </w:tr>
      <w:tr>
        <w:trPr>
          <w:trHeight w:val="232"/>
        </w:trPr>
        <w:tc>
          <w:tcPr>
            <w:tcW w:w="3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7"/>
        </w:trPr>
        <w:tc>
          <w:tcPr>
            <w:tcW w:w="3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22"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INCORPORATION OF</w:t>
      </w:r>
    </w:p>
    <w:p>
      <w:pPr>
        <w:spacing w:after="0" w:line="26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EXPENSIFY, INC.</w:t>
      </w: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Expensify, Inc., a corporation organized and existing under the General Corporation Law of the State of Delaware (the “</w:t>
      </w:r>
      <w:r>
        <w:rPr>
          <w:rFonts w:ascii="Times New Roman" w:cs="Times New Roman" w:eastAsia="Times New Roman" w:hAnsi="Times New Roman"/>
          <w:sz w:val="21"/>
          <w:szCs w:val="21"/>
          <w:u w:val="single" w:color="auto"/>
          <w:color w:val="auto"/>
        </w:rPr>
        <w:t>DGCL</w:t>
      </w:r>
      <w:r>
        <w:rPr>
          <w:rFonts w:ascii="Times New Roman" w:cs="Times New Roman" w:eastAsia="Times New Roman" w:hAnsi="Times New Roman"/>
          <w:sz w:val="21"/>
          <w:szCs w:val="2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hereby certifies as follows:</w:t>
      </w:r>
    </w:p>
    <w:p>
      <w:pPr>
        <w:spacing w:after="0" w:line="196" w:lineRule="exact"/>
        <w:rPr>
          <w:sz w:val="20"/>
          <w:szCs w:val="20"/>
          <w:color w:val="auto"/>
        </w:rPr>
      </w:pPr>
    </w:p>
    <w:p>
      <w:pPr>
        <w:jc w:val="center"/>
        <w:ind w:left="2900" w:right="400" w:hanging="2499"/>
        <w:spacing w:after="0" w:line="258" w:lineRule="auto"/>
        <w:tabs>
          <w:tab w:leader="none" w:pos="619"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Expensify, Inc. The date of the filing of its original certificate of incorporation with the Secretary of State of the State of Delaware was April 29, 2009.</w:t>
      </w:r>
    </w:p>
    <w:p>
      <w:pPr>
        <w:spacing w:after="0" w:line="158" w:lineRule="exact"/>
        <w:rPr>
          <w:rFonts w:ascii="Times New Roman" w:cs="Times New Roman" w:eastAsia="Times New Roman" w:hAnsi="Times New Roman"/>
          <w:sz w:val="22"/>
          <w:szCs w:val="22"/>
          <w:color w:val="auto"/>
        </w:rPr>
      </w:pPr>
    </w:p>
    <w:p>
      <w:pPr>
        <w:ind w:left="100" w:right="100" w:firstLine="90"/>
        <w:spacing w:after="0" w:line="260" w:lineRule="auto"/>
        <w:tabs>
          <w:tab w:leader="none" w:pos="403"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Amended and Restated Certificate of Incorporation (this “</w:t>
      </w:r>
      <w:r>
        <w:rPr>
          <w:rFonts w:ascii="Times New Roman" w:cs="Times New Roman" w:eastAsia="Times New Roman" w:hAnsi="Times New Roman"/>
          <w:sz w:val="21"/>
          <w:szCs w:val="21"/>
          <w:u w:val="single" w:color="auto"/>
          <w:color w:val="auto"/>
        </w:rPr>
        <w:t>Certificate of Incorporation</w:t>
      </w:r>
      <w:r>
        <w:rPr>
          <w:rFonts w:ascii="Times New Roman" w:cs="Times New Roman" w:eastAsia="Times New Roman" w:hAnsi="Times New Roman"/>
          <w:sz w:val="21"/>
          <w:szCs w:val="21"/>
          <w:color w:val="auto"/>
        </w:rPr>
        <w:t>”), which restates, integrates and further amends the certificate of incorporation of this corporation as heretofore amended and restated, has been duly adopted by</w:t>
      </w:r>
    </w:p>
    <w:p>
      <w:pPr>
        <w:jc w:val="center"/>
        <w:ind w:left="260" w:right="260" w:firstLine="177"/>
        <w:spacing w:after="0" w:line="27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 in accordance with Sections 242 and 245 of the DGCL and has been adopted by the requisite vote of the stockholders of the corporation, acting by written consent in lieu of a meeting in accordance with Section 228 of the DGCL.</w:t>
      </w:r>
    </w:p>
    <w:p>
      <w:pPr>
        <w:spacing w:after="0" w:line="146" w:lineRule="exact"/>
        <w:rPr>
          <w:rFonts w:ascii="Times New Roman" w:cs="Times New Roman" w:eastAsia="Times New Roman" w:hAnsi="Times New Roman"/>
          <w:sz w:val="21"/>
          <w:szCs w:val="21"/>
          <w:color w:val="auto"/>
        </w:rPr>
      </w:pPr>
    </w:p>
    <w:p>
      <w:pPr>
        <w:ind w:left="760" w:hanging="222"/>
        <w:spacing w:after="0"/>
        <w:tabs>
          <w:tab w:leader="none" w:pos="760"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certificate of incorporation of this corporation is hereby amended and restated in its entirety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199390</wp:posOffset>
            </wp:positionV>
            <wp:extent cx="22802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0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b w:val="1"/>
          <w:bCs w:val="1"/>
          <w:u w:val="single" w:color="auto"/>
          <w:color w:val="auto"/>
        </w:rPr>
        <w:t>NAME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name of the corporation is “Expensify, Inc.” (hereinafter called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2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b w:val="1"/>
          <w:bCs w:val="1"/>
          <w:u w:val="single" w:color="auto"/>
          <w:color w:val="auto"/>
        </w:rPr>
        <w:t>REGISTERED OFFICE AND AGENT</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address of the Corporation’s registered office in the State of Delaware is 3500 South DuPont Highway, Dover, Delaware, County of Kent, 19901. The name of its registered agent at such address is Incorporating Services, Ltd.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PURPOSE</w:t>
      </w:r>
    </w:p>
    <w:p>
      <w:pPr>
        <w:spacing w:after="0" w:line="21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The purpose of the Corporation is to engage in any lawful act or activity for which corporations may be organized under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7" w:right="339" w:bottom="1440" w:gutter="0" w:footer="0" w:header="0"/>
        </w:sectPr>
      </w:pPr>
    </w:p>
    <w:bookmarkStart w:id="51" w:name="page52"/>
    <w:bookmarkEnd w:id="51"/>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CAPITAL STOCK</w:t>
      </w:r>
    </w:p>
    <w:p>
      <w:pPr>
        <w:spacing w:after="0" w:line="21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Authorized Shares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The total number of shares of all classes of capital stock which the Corporation shall have authority to issue is 1,060,000,000 shares, consisting of one billion (1,000,000,000) shares of Class A Common Stock, par value $0.0001 per share (“</w:t>
      </w:r>
      <w:r>
        <w:rPr>
          <w:rFonts w:ascii="Times New Roman" w:cs="Times New Roman" w:eastAsia="Times New Roman" w:hAnsi="Times New Roman"/>
          <w:sz w:val="22"/>
          <w:szCs w:val="22"/>
          <w:u w:val="single" w:color="auto"/>
          <w:color w:val="auto"/>
        </w:rPr>
        <w:t>Class A Common Stock</w:t>
      </w:r>
      <w:r>
        <w:rPr>
          <w:rFonts w:ascii="Times New Roman" w:cs="Times New Roman" w:eastAsia="Times New Roman" w:hAnsi="Times New Roman"/>
          <w:sz w:val="22"/>
          <w:szCs w:val="22"/>
          <w:color w:val="auto"/>
        </w:rPr>
        <w:t>”), 25 million (25,000,000) shares of LT10 Common Stock, par value $0.0001 per share (“</w:t>
      </w:r>
      <w:r>
        <w:rPr>
          <w:rFonts w:ascii="Times New Roman" w:cs="Times New Roman" w:eastAsia="Times New Roman" w:hAnsi="Times New Roman"/>
          <w:sz w:val="22"/>
          <w:szCs w:val="22"/>
          <w:u w:val="single" w:color="auto"/>
          <w:color w:val="auto"/>
        </w:rPr>
        <w:t>LT10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25 million (25,000,000) shares of LT50 Common Stock, par value $0.0001 per share (“</w:t>
      </w:r>
      <w:r>
        <w:rPr>
          <w:rFonts w:ascii="Times New Roman" w:cs="Times New Roman" w:eastAsia="Times New Roman" w:hAnsi="Times New Roman"/>
          <w:sz w:val="22"/>
          <w:szCs w:val="22"/>
          <w:u w:val="single" w:color="auto"/>
          <w:color w:val="auto"/>
        </w:rPr>
        <w:t>LT50 Common Stock</w:t>
      </w:r>
      <w:r>
        <w:rPr>
          <w:rFonts w:ascii="Times New Roman" w:cs="Times New Roman" w:eastAsia="Times New Roman" w:hAnsi="Times New Roman"/>
          <w:sz w:val="22"/>
          <w:szCs w:val="22"/>
          <w:color w:val="auto"/>
        </w:rPr>
        <w:t>,” and together with the LT10 Common Stock, the “</w:t>
      </w:r>
      <w:r>
        <w:rPr>
          <w:rFonts w:ascii="Times New Roman" w:cs="Times New Roman" w:eastAsia="Times New Roman" w:hAnsi="Times New Roman"/>
          <w:sz w:val="22"/>
          <w:szCs w:val="22"/>
          <w:u w:val="single" w:color="auto"/>
          <w:color w:val="auto"/>
        </w:rPr>
        <w:t>LT Common Stock</w:t>
      </w:r>
      <w:r>
        <w:rPr>
          <w:rFonts w:ascii="Times New Roman" w:cs="Times New Roman" w:eastAsia="Times New Roman" w:hAnsi="Times New Roman"/>
          <w:sz w:val="22"/>
          <w:szCs w:val="22"/>
          <w:color w:val="auto"/>
        </w:rPr>
        <w:t>,” and together with the Class A Common Stock,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and ten million (10,000,000) shares of Preferred Stock, par value $0.0001 per share (“</w:t>
      </w:r>
      <w:r>
        <w:rPr>
          <w:rFonts w:ascii="Times New Roman" w:cs="Times New Roman" w:eastAsia="Times New Roman" w:hAnsi="Times New Roman"/>
          <w:sz w:val="22"/>
          <w:szCs w:val="22"/>
          <w:u w:val="single" w:color="auto"/>
          <w:color w:val="auto"/>
        </w:rPr>
        <w:t>Preferred Stock</w:t>
      </w:r>
      <w:r>
        <w:rPr>
          <w:rFonts w:ascii="Times New Roman" w:cs="Times New Roman" w:eastAsia="Times New Roman" w:hAnsi="Times New Roman"/>
          <w:sz w:val="22"/>
          <w:szCs w:val="22"/>
          <w:color w:val="auto"/>
        </w:rPr>
        <w:t>”). Subject to the rights of holders of any series of Preferred Stock, the number of authorized shares of Class A Common Stock, LT10 Common Stock and LT50 Common Stock or Preferred Stock may be increased or decreased (but not below (i) the number of shares thereof then outstanding and (ii) with respect to the Class A Common Stock, the number of shares of Class A Common Stock reserved pursuant to Section 3(G)(ix) of this Article IV) by the affirmative vote of the holders of capital stock representing a majority of the voting power of all the then-outstanding shares of capital stock of the Corporation entitled to vote thereon irrespective of the provisions of Section 242(b)(2) of the DGCL.</w:t>
      </w:r>
    </w:p>
    <w:p>
      <w:pPr>
        <w:spacing w:after="0" w:line="18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Preferred Stock</w:t>
      </w:r>
    </w:p>
    <w:p>
      <w:pPr>
        <w:spacing w:after="0" w:line="22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2"/>
          <w:szCs w:val="22"/>
          <w:color w:val="auto"/>
        </w:rPr>
        <w:t>Preferred Stock may be issued from time to time in one or more series, each of such series to have such terms as stated or expressed herein and in the resolution or resolutions providing for the issue of such series adopted by the Board of Directors of the Corporation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as hereinafter provided. Subject to the rights of the holders of any series of Preferred Stock and except as otherwise provided by law, any shares of Preferred Stock that may be redeemed, purchased or acquired by the Corporation may be reissued by the Corporation.</w:t>
      </w:r>
    </w:p>
    <w:p>
      <w:pPr>
        <w:spacing w:after="0" w:line="19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Authority is hereby expressly granted to the Board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DGCL,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DGCL. Without limiting the generality of the foregoing, the resolutions providing for issuance of any series of Preferred Stock may provide that such series shall be superior, equal or junior to any other series of Preferred Stock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Common Stock</w:t>
      </w:r>
    </w:p>
    <w:p>
      <w:pPr>
        <w:spacing w:after="0" w:line="220" w:lineRule="exact"/>
        <w:rPr>
          <w:sz w:val="20"/>
          <w:szCs w:val="20"/>
          <w:color w:val="auto"/>
        </w:rPr>
      </w:pPr>
    </w:p>
    <w:p>
      <w:pPr>
        <w:jc w:val="both"/>
        <w:ind w:firstLine="656"/>
        <w:spacing w:after="0" w:line="241" w:lineRule="auto"/>
        <w:tabs>
          <w:tab w:leader="none" w:pos="1177"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Equal Status</w:t>
      </w:r>
      <w:r>
        <w:rPr>
          <w:rFonts w:ascii="Times New Roman" w:cs="Times New Roman" w:eastAsia="Times New Roman" w:hAnsi="Times New Roman"/>
          <w:sz w:val="22"/>
          <w:szCs w:val="22"/>
          <w:color w:val="auto"/>
        </w:rPr>
        <w:t>. Except as otherwise required by law or as expressly set forth in this Section 3 of Article IV, shares of Class A Common Stock, LT10 Common Stock and LT50 Common Stock shall have the same rights, privileges and powers, rank equally, share ratably and be identical in all respects as to all matters. The voting, dividend, liquidation and other rights, powers and preferences of the holders of Class A Common Stock, LT10 Common Stock and LT50 Common Stock are subject to, and qualified by, the rights, powers and preferences of holders of the Preferred Stock of any series as may be designated by the Board upon any issuance of the Preferred Stock of any series.</w:t>
      </w:r>
    </w:p>
    <w:p>
      <w:pPr>
        <w:spacing w:after="0" w:line="176" w:lineRule="exact"/>
        <w:rPr>
          <w:rFonts w:ascii="Times New Roman" w:cs="Times New Roman" w:eastAsia="Times New Roman" w:hAnsi="Times New Roman"/>
          <w:sz w:val="22"/>
          <w:szCs w:val="22"/>
          <w:color w:val="auto"/>
        </w:rPr>
      </w:pPr>
    </w:p>
    <w:p>
      <w:pPr>
        <w:jc w:val="both"/>
        <w:ind w:firstLine="656"/>
        <w:spacing w:after="0" w:line="260" w:lineRule="auto"/>
        <w:tabs>
          <w:tab w:leader="none" w:pos="1165"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Voting</w:t>
      </w:r>
      <w:r>
        <w:rPr>
          <w:rFonts w:ascii="Times New Roman" w:cs="Times New Roman" w:eastAsia="Times New Roman" w:hAnsi="Times New Roman"/>
          <w:sz w:val="21"/>
          <w:szCs w:val="21"/>
          <w:color w:val="auto"/>
        </w:rPr>
        <w:t>. Except as otherwise required by applicable law, at all meetings of stockholders and on all matters submitted to a vote of stockholders of the Corporation generally, each holder of Class A Common Stock, as such, shall have the right to one</w:t>
      </w:r>
    </w:p>
    <w:p>
      <w:pPr>
        <w:jc w:val="both"/>
        <w:ind w:firstLine="8"/>
        <w:spacing w:after="0" w:line="248" w:lineRule="auto"/>
        <w:tabs>
          <w:tab w:leader="none" w:pos="31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vote per share of Class A Common Stock held of record by such holder, each holder of LT10 Common Stock, as such, shall have the right to ten (10) votes per share of LT10 Common Stock held of record by such holder, and each holder of LT50 Common Stock, as such, shall have the right to fifty (50) votes per share of LT50 Common Stock held of record by such holder. Except as otherwise required by applicable law or provided in this Certificate of Incorporation, the holders of shares of Class A Common Stock, LT10 Common Stock and LT50 Common Stock, as such, shall (i) at all times vote together as a single class on all matters (including the election of directors) submitted to a vote of the stockholders of the Corporation generally, (ii) be entitled to notice of any stockholders’ meeting in accordance with the Amended and Restated Bylaws of the Corporation (as the same may be amended and/or restated from time to time, the “</w:t>
      </w:r>
      <w:r>
        <w:rPr>
          <w:rFonts w:ascii="Times New Roman" w:cs="Times New Roman" w:eastAsia="Times New Roman" w:hAnsi="Times New Roman"/>
          <w:sz w:val="21"/>
          <w:szCs w:val="21"/>
          <w:u w:val="single" w:color="auto"/>
          <w:color w:val="auto"/>
        </w:rPr>
        <w:t>Bylaws</w:t>
      </w:r>
      <w:r>
        <w:rPr>
          <w:rFonts w:ascii="Times New Roman" w:cs="Times New Roman" w:eastAsia="Times New Roman" w:hAnsi="Times New Roman"/>
          <w:sz w:val="21"/>
          <w:szCs w:val="21"/>
          <w:color w:val="auto"/>
        </w:rPr>
        <w:t xml:space="preserve">”), and (iii) be entitled to vote upon such matters and in such manner as may be provided by applicable law;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except as otherwise required by applicable law, holders of Class A Common Stock, LT10 Common Stock and LT50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applicable law. There shall be no cumulative voting.</w:t>
      </w:r>
    </w:p>
    <w:p>
      <w:pPr>
        <w:spacing w:after="0" w:line="174" w:lineRule="exact"/>
        <w:rPr>
          <w:rFonts w:ascii="Times New Roman" w:cs="Times New Roman" w:eastAsia="Times New Roman" w:hAnsi="Times New Roman"/>
          <w:sz w:val="21"/>
          <w:szCs w:val="21"/>
          <w:color w:val="auto"/>
        </w:rPr>
      </w:pPr>
    </w:p>
    <w:p>
      <w:pPr>
        <w:jc w:val="both"/>
        <w:ind w:firstLine="656"/>
        <w:spacing w:after="0" w:line="238" w:lineRule="auto"/>
        <w:tabs>
          <w:tab w:leader="none" w:pos="1287"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Rights</w:t>
      </w:r>
      <w:r>
        <w:rPr>
          <w:rFonts w:ascii="Times New Roman" w:cs="Times New Roman" w:eastAsia="Times New Roman" w:hAnsi="Times New Roman"/>
          <w:sz w:val="22"/>
          <w:szCs w:val="22"/>
          <w:color w:val="auto"/>
        </w:rPr>
        <w:t xml:space="preserve">. Subject to applicable law and the rights, if any, of the holders of any outstanding series of Preferred Stock or any class or series of stock having a preference over or the right to participate with the Class A Common Stock, LT10 Common Stock or LT50 Common Stock with respect to the payment of dividends in cash, property or shares of capital stock of the Corporation, dividends may be declared and paid on the shares of Class A Common Stock, LT10 Common Stock or LT50 Common Stock, out of any assets of the Corporation legally available therefore at such times and in such amounts as the Board in its discretion shall determine;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in the event a dividend is paid in the form of shares of Class A Common Stock, LT10 Common Stock or LT50 Common Stock (or in rights to acquire, or securities convertible into or exchangeable for, such shares), then holders of Class A Common Stock shall be entitled to receive shares of Class A Common Stock (or rights to acquire, or securities convertible into or exchangeable for, such shares, as the case may be), holders of LT10 Common Stock shall be entitled to receive shares of LT10 Common Stock (or rights to acquire, or securities convertible into or exchangeable for, such shares, as the case may be), and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of LT50 Common Stock shall be entitled to receive shares of LT50 Common Stock (or rights to acquire, or securities convertible into or exchangeable for, such shares, as the case may be), with holders of shares of Class A Common Stock, LT10 Common Stock and LT50 Common Stock receiving, on a per share basis, an identical number of shares of Class A Common Stock, LT10 Common Stock or LT50 Common Stock as the case may be (or rights to acquire, or securities convertible into or exchangeable for, such shares, as the case may be), as applicable. Notwithstanding the foregoing, the Board may declare and the Corporation may pay a disparate dividend per share of Class A Common Stock, LT10 Common Stock or LT50 Common Stock (whether the disparity shall be in the amount of such dividend payable per share, the form in which such dividend is payable (whether it shall be payable in cash, shares of capital stock of the Corporation, other securities of the Corporation, or any combination of the foregoing), the timing of the payment, or otherwise).</w:t>
      </w:r>
    </w:p>
    <w:p>
      <w:pPr>
        <w:spacing w:after="0" w:line="199" w:lineRule="exact"/>
        <w:rPr>
          <w:sz w:val="20"/>
          <w:szCs w:val="20"/>
          <w:color w:val="auto"/>
        </w:rPr>
      </w:pPr>
    </w:p>
    <w:p>
      <w:pPr>
        <w:jc w:val="both"/>
        <w:ind w:firstLine="656"/>
        <w:spacing w:after="0"/>
        <w:tabs>
          <w:tab w:leader="none" w:pos="127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Subdivisions, Combinations or Reclassifications</w:t>
      </w:r>
      <w:r>
        <w:rPr>
          <w:rFonts w:ascii="Times New Roman" w:cs="Times New Roman" w:eastAsia="Times New Roman" w:hAnsi="Times New Roman"/>
          <w:sz w:val="22"/>
          <w:szCs w:val="22"/>
          <w:color w:val="auto"/>
        </w:rPr>
        <w:t xml:space="preserve">. Shares of Class A Common Stock, LT10 Common Stock and LT50 Common Stock may not be subdivided, combined or reclassified unless the shares of the other classes are concurrently therewith proportionately subdivided, combined or reclassified in a manner that maintains the same proportionate equity ownership between the holders of the outstanding Class A Common Stock, LT10 Common Stock and LT50 Common Stock on the record date for such subdivision, combination or reclassification;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shares of one such class may be subdivided, combined or reclassified in a different or disproportionate manner if such subdivision, combination or reclassification is approved by the affirmative vote of the holders of a majority of the outstanding shares of Class A Common Stock, LT10 Common Stock and LT50 Common Stock, each voting separately as a class.</w:t>
      </w:r>
    </w:p>
    <w:p>
      <w:pPr>
        <w:spacing w:after="0" w:line="176" w:lineRule="exact"/>
        <w:rPr>
          <w:rFonts w:ascii="Times New Roman" w:cs="Times New Roman" w:eastAsia="Times New Roman" w:hAnsi="Times New Roman"/>
          <w:sz w:val="22"/>
          <w:szCs w:val="22"/>
          <w:color w:val="auto"/>
        </w:rPr>
      </w:pPr>
    </w:p>
    <w:p>
      <w:pPr>
        <w:jc w:val="both"/>
        <w:ind w:firstLine="656"/>
        <w:spacing w:after="0" w:line="239" w:lineRule="auto"/>
        <w:tabs>
          <w:tab w:leader="none" w:pos="115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Liquidation, Dissolution or Winding Up</w:t>
      </w:r>
      <w:r>
        <w:rPr>
          <w:rFonts w:ascii="Times New Roman" w:cs="Times New Roman" w:eastAsia="Times New Roman" w:hAnsi="Times New Roman"/>
          <w:sz w:val="22"/>
          <w:szCs w:val="22"/>
          <w:color w:val="auto"/>
        </w:rPr>
        <w:t>. Subject to the preferential or other rights of any holders of Preferred Stock then outstanding, upon the dissolution, distribution of assets, liquidation or winding up of the Corporation, whether voluntary or involuntary, holders of Class A Common Stock, LT10 Common Stock and LT50 Common Stock will be entitled to receive ratably all assets of the Corporation available for distribution to its stockholders unless disparate or different treatment of the shares of each such class with respect to distributions upon any such liquidation, dissolution, distribution of assets or winding up is approved by the affirmative vote of the holders of a majority of the outstanding shares of Class A Common Stock, LT10 Common Stock and LT50 Common Stock, each voting separately as a class.</w:t>
      </w:r>
    </w:p>
    <w:p>
      <w:pPr>
        <w:spacing w:after="0" w:line="194"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Transfers of Shares of LT Common Stock</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tabs>
          <w:tab w:leader="none" w:pos="1817"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maximum extent permitted under applicable law, no holder of LT Common Stock shall Transfer any shares of LT Common Stock to any person or entity unless the requirements set forth in Section 3(H) of this Article IV have been satisfied. “Transfer” of a share of LT Common Stock means any sale, contract to sell, assignment, transfer, conveyance, hypothecation, pledge, sale of any option or contract to purchase, purchase of any option or contract to sell, grant of any option, right or warrant to purchase, hedging, swap or other agreement or transaction that transfers, in whole or in part, any of the economic consequences of ownership, (including, without limitation, any short sale or the purchase or sale of, or entry into, any put or call option, or combination thereof, forward, swap or any other derivative transaction or instrument, however described or defined), loan, or other transfer or disposition of such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or any legal or beneficial interest in such share, whether or not for value, whether direct or indirect, whether any such transaction is to be settled by delivery of such share of LT Common Stock, in cash or otherwise, and whether voluntary or involuntary or by operation of law, and shall include, without limitation, (a) a transfer of a share of LT Common Stock to a broker or other nominee (regardless of whether or not there is a corresponding change in beneficial ownership) or (b) the transfer of, or entering into a binding agreement with respect to, the exclusive power (whether directly or indirectly) to vote or direct the voting of such share of LT Common Stock, including by proxy, voting agreement or otherwise;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a “Transfer” shall not include:</w:t>
      </w:r>
    </w:p>
    <w:p>
      <w:pPr>
        <w:spacing w:after="0" w:line="1" w:lineRule="exact"/>
        <w:rPr>
          <w:sz w:val="20"/>
          <w:szCs w:val="20"/>
          <w:color w:val="auto"/>
        </w:rPr>
      </w:pPr>
    </w:p>
    <w:p>
      <w:pPr>
        <w:jc w:val="both"/>
        <w:ind w:firstLine="8"/>
        <w:spacing w:after="0" w:line="236" w:lineRule="auto"/>
        <w:tabs>
          <w:tab w:leader="none" w:pos="32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a proxy to officers or directors of the Corporation at the request of the Board in connection with actions to be taken at an annual or special meeting of stockholders; (2) any Transfer to or by the trust (the “</w:t>
      </w:r>
      <w:r>
        <w:rPr>
          <w:rFonts w:ascii="Times New Roman" w:cs="Times New Roman" w:eastAsia="Times New Roman" w:hAnsi="Times New Roman"/>
          <w:sz w:val="22"/>
          <w:szCs w:val="22"/>
          <w:u w:val="single" w:color="auto"/>
          <w:color w:val="auto"/>
        </w:rPr>
        <w:t>Expensify Voting Trust</w:t>
      </w:r>
      <w:r>
        <w:rPr>
          <w:rFonts w:ascii="Times New Roman" w:cs="Times New Roman" w:eastAsia="Times New Roman" w:hAnsi="Times New Roman"/>
          <w:sz w:val="22"/>
          <w:szCs w:val="22"/>
          <w:color w:val="auto"/>
        </w:rPr>
        <w:t>”) established under that certain Voting Trust Agreement, dated as of November 9, 2021, by and between the Company and the holders named therein (as it may be amended and/or restated from time to time in accordance with its terms, the “</w:t>
      </w:r>
      <w:r>
        <w:rPr>
          <w:rFonts w:ascii="Times New Roman" w:cs="Times New Roman" w:eastAsia="Times New Roman" w:hAnsi="Times New Roman"/>
          <w:sz w:val="22"/>
          <w:szCs w:val="22"/>
          <w:u w:val="single" w:color="auto"/>
          <w:color w:val="auto"/>
        </w:rPr>
        <w:t>Voting Trust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(3) a Transfer to a decedent’s estate upon the death of a holder of LT Common Stock; (4) an Exchange as defined in and pursuant to Section 3(H)(iii) of this Article IV; or (5) the fact that the spouse of any holder of LT Common Stock possesses or obtains an interest in such holder’s shares of LT Common Stock arising solely by reason of the application of the property transfer laws of any jurisdiction, so long as no other event or circumstance shall exist or have occurred that constitutes a Transfer of such shares of LT Common Stock.</w:t>
      </w:r>
    </w:p>
    <w:p>
      <w:pPr>
        <w:spacing w:after="0" w:line="180" w:lineRule="exact"/>
        <w:rPr>
          <w:rFonts w:ascii="Times New Roman" w:cs="Times New Roman" w:eastAsia="Times New Roman" w:hAnsi="Times New Roman"/>
          <w:sz w:val="22"/>
          <w:szCs w:val="22"/>
          <w:color w:val="auto"/>
        </w:rPr>
      </w:pPr>
    </w:p>
    <w:p>
      <w:pPr>
        <w:jc w:val="both"/>
        <w:ind w:right="20" w:firstLine="1304"/>
        <w:spacing w:after="0" w:line="250" w:lineRule="auto"/>
        <w:tabs>
          <w:tab w:leader="none" w:pos="1817"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Board shall be able to waive, upon the affirmative vote of a majority of the members of the Board, any or all of the requirements of Section 3(H) of this Article IV with respect to the Transfer of any shares of LT Common Stock.</w:t>
      </w:r>
    </w:p>
    <w:p>
      <w:pPr>
        <w:spacing w:after="0" w:line="167"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99"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Transfer of shares of LT Common Stock not made in accordance with this Section 3(F) and Section 3(H), or pursuant to Section 3(G), of this Article IV shall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and the Corporation shall not treat the transferee in such transaction as a holder of such shares for any purpose.</w:t>
      </w:r>
    </w:p>
    <w:p>
      <w:pPr>
        <w:spacing w:after="0" w:line="181"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of LT Common Stock</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29"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Conversion by Holder of LT Common Stock</w:t>
      </w:r>
      <w:r>
        <w:rPr>
          <w:rFonts w:ascii="Times New Roman" w:cs="Times New Roman" w:eastAsia="Times New Roman" w:hAnsi="Times New Roman"/>
          <w:sz w:val="22"/>
          <w:szCs w:val="22"/>
          <w:color w:val="auto"/>
        </w:rPr>
        <w:t>. Each share of LT Common Stock shall be convertible into one (1) fully paid and nonassessable share of Class A Common Stock at the option of the holder thereof solely upon the satisfaction of and subject to the requirements set forth in Section 3(H) of this Article IV.</w:t>
      </w:r>
    </w:p>
    <w:p>
      <w:pPr>
        <w:spacing w:after="0" w:line="167" w:lineRule="exact"/>
        <w:rPr>
          <w:rFonts w:ascii="Times New Roman" w:cs="Times New Roman" w:eastAsia="Times New Roman" w:hAnsi="Times New Roman"/>
          <w:sz w:val="22"/>
          <w:szCs w:val="22"/>
          <w:color w:val="auto"/>
        </w:rPr>
      </w:pPr>
    </w:p>
    <w:p>
      <w:pPr>
        <w:jc w:val="both"/>
        <w:ind w:firstLine="1304"/>
        <w:spacing w:after="0"/>
        <w:tabs>
          <w:tab w:leader="none" w:pos="1789"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Conversion Upon Certain Transfers</w:t>
      </w:r>
      <w:r>
        <w:rPr>
          <w:rFonts w:ascii="Times New Roman" w:cs="Times New Roman" w:eastAsia="Times New Roman" w:hAnsi="Times New Roman"/>
          <w:sz w:val="22"/>
          <w:szCs w:val="22"/>
          <w:color w:val="auto"/>
        </w:rPr>
        <w:t xml:space="preserve">. Except in the case of a Non-Converting Transfer, each share of LT Common Stock shall automatically, without further action by the Corporation or the holder thereof, convert into one (1) fully paid and nonassessable share of Class A Common Stock upon the occurrence of a Transfer of such share of LT Common Stock, </w:t>
      </w:r>
      <w:r>
        <w:rPr>
          <w:rFonts w:ascii="Times New Roman" w:cs="Times New Roman" w:eastAsia="Times New Roman" w:hAnsi="Times New Roman"/>
          <w:sz w:val="22"/>
          <w:szCs w:val="22"/>
          <w:i w:val="1"/>
          <w:iCs w:val="1"/>
          <w:color w:val="auto"/>
        </w:rPr>
        <w:t>provided that</w:t>
      </w:r>
      <w:r>
        <w:rPr>
          <w:rFonts w:ascii="Times New Roman" w:cs="Times New Roman" w:eastAsia="Times New Roman" w:hAnsi="Times New Roman"/>
          <w:sz w:val="22"/>
          <w:szCs w:val="22"/>
          <w:color w:val="auto"/>
        </w:rPr>
        <w:t xml:space="preserve"> such Transfer is made in compliance with the requirements outlined in Section 3(F) and Section 3(H) of this Article IV. For the avoidance of doubt, any Transfer of shares of LT Common Stock not made in accordance with such provisions shall be void and the Corporation shall not treat the transferee in such transaction as a holder of such shares for any purposes. A “</w:t>
      </w:r>
      <w:r>
        <w:rPr>
          <w:rFonts w:ascii="Times New Roman" w:cs="Times New Roman" w:eastAsia="Times New Roman" w:hAnsi="Times New Roman"/>
          <w:sz w:val="22"/>
          <w:szCs w:val="22"/>
          <w:u w:val="single" w:color="auto"/>
          <w:color w:val="auto"/>
        </w:rPr>
        <w:t>Non-Converting Transfer</w:t>
      </w:r>
      <w:r>
        <w:rPr>
          <w:rFonts w:ascii="Times New Roman" w:cs="Times New Roman" w:eastAsia="Times New Roman" w:hAnsi="Times New Roman"/>
          <w:sz w:val="22"/>
          <w:szCs w:val="22"/>
          <w:color w:val="auto"/>
        </w:rPr>
        <w:t>” means a Transfer of shares of LT Common Stock (i) to be held in trust by the Trustees of the Expensify Voting Trust; (ii) in an Exchange as defined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and pursuant to Section 3(H)(iii) of this Article IV; (iii) to the estate of a decedent holder of LT Common Stock, upon such holder’s death; or (iv) approved in advance by the affirmative vote of a majority of the members of the Board.</w:t>
      </w:r>
    </w:p>
    <w:p>
      <w:pPr>
        <w:spacing w:after="0" w:line="144" w:lineRule="exact"/>
        <w:rPr>
          <w:sz w:val="20"/>
          <w:szCs w:val="20"/>
          <w:color w:val="auto"/>
        </w:rPr>
      </w:pPr>
    </w:p>
    <w:p>
      <w:pPr>
        <w:jc w:val="both"/>
        <w:ind w:firstLine="1304"/>
        <w:spacing w:after="0" w:line="244" w:lineRule="auto"/>
        <w:tabs>
          <w:tab w:leader="none" w:pos="1957"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Automatic Conversion Upon Reduction in Outstanding Shares</w:t>
      </w:r>
      <w:r>
        <w:rPr>
          <w:rFonts w:ascii="Times New Roman" w:cs="Times New Roman" w:eastAsia="Times New Roman" w:hAnsi="Times New Roman"/>
          <w:sz w:val="22"/>
          <w:szCs w:val="22"/>
          <w:color w:val="auto"/>
        </w:rPr>
        <w:t>. Each outstanding share of LT Common Stock shall automatically, without further action by the Corporation or the holder thereof, convert into one (1) fully paid and nonassessable share of Class A Common Stock upon the first date on which the then-outstanding shares of LT Common Stock represent less than two percent (2%) of all then-outstanding shares of Common Stock.</w:t>
      </w:r>
    </w:p>
    <w:p>
      <w:pPr>
        <w:spacing w:after="0" w:line="186"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9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Policies and Procedures</w:t>
      </w:r>
      <w:r>
        <w:rPr>
          <w:rFonts w:ascii="Times New Roman" w:cs="Times New Roman" w:eastAsia="Times New Roman" w:hAnsi="Times New Roman"/>
          <w:sz w:val="22"/>
          <w:szCs w:val="22"/>
          <w:color w:val="auto"/>
        </w:rPr>
        <w:t>. The Corporation may, from time to time, establish such policies and procedures, not in violation of applicable law or the other provisions of this Certificate of Incorporation, relating to the conversion of the LT Common Stock into Class A Common Stock and the general administration of this multi-class stock structure, including the issuance of stock certificates with respect thereto, as it may deem necessary or advisable, and may from time to time request that holders of shares of LT Common Stock furnish such certifications, affidavits or other proof to the Corporation as it deems necessary to verify the ownership of LT Common Stock and to confirm that a conversion to Class A Common Stock has not previously occurred. A determination by the Board that a Transfer has resulted or will result in a conversion of the LT Common Stock to Class A Common Stock shall be conclusive and binding on all persons to the fullest extent permitted by law.</w:t>
      </w:r>
    </w:p>
    <w:p>
      <w:pPr>
        <w:spacing w:after="0" w:line="19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6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Converted Stock</w:t>
      </w:r>
      <w:r>
        <w:rPr>
          <w:rFonts w:ascii="Times New Roman" w:cs="Times New Roman" w:eastAsia="Times New Roman" w:hAnsi="Times New Roman"/>
          <w:sz w:val="22"/>
          <w:szCs w:val="22"/>
          <w:color w:val="auto"/>
        </w:rPr>
        <w:t>. In the event any shares of LT Common Stock are converted into shares of Class A Common Stock pursuant to this Section 3, the shares of LT Common Stock so converted shall be retired and shall not be reissued by the Corporation.</w:t>
      </w:r>
    </w:p>
    <w:p>
      <w:pPr>
        <w:spacing w:after="0" w:line="167"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05"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Conversion on Payment of Dividends</w:t>
      </w:r>
      <w:r>
        <w:rPr>
          <w:rFonts w:ascii="Times New Roman" w:cs="Times New Roman" w:eastAsia="Times New Roman" w:hAnsi="Times New Roman"/>
          <w:sz w:val="21"/>
          <w:szCs w:val="21"/>
          <w:color w:val="auto"/>
        </w:rPr>
        <w:t xml:space="preserve">. Notwithstanding anything to the contrary in this Section 3(G), if the date on which any share of LT Common Stock is converted into Class A Common Stock pursuant to the provisions of this Section 3(G) occurs after the record date for the determination of holders of LT Common Stock entitled to receive any dividend to be paid on the shares of LT Common Stock, the holder of such shares of LT Common Stock as of such record date will be entitled to receive such dividend on such payment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notwithstanding any other provision of this Certificate of Incorporation, to the extent that any such dividend is payable in shares of LT Common Stock (or rights to acquire, or securities convertible into or exchangeable for, such shares, as the case may be), such dividend shall be deemed to have been declared, and shall be payable in, shares of Class A Common Stock (or rights to acquire, or securities convertible into or exchangeable for, such shares, as the case may be), and no shares of LT Common Stock shall be issued in payment thereof.</w:t>
      </w:r>
    </w:p>
    <w:p>
      <w:pPr>
        <w:spacing w:after="0" w:line="171" w:lineRule="exact"/>
        <w:rPr>
          <w:sz w:val="20"/>
          <w:szCs w:val="20"/>
          <w:color w:val="auto"/>
        </w:rPr>
      </w:pPr>
    </w:p>
    <w:p>
      <w:pPr>
        <w:jc w:val="both"/>
        <w:ind w:firstLine="1304"/>
        <w:spacing w:after="0" w:line="248" w:lineRule="auto"/>
        <w:tabs>
          <w:tab w:leader="none" w:pos="195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Reserved for Issuance</w:t>
      </w:r>
      <w:r>
        <w:rPr>
          <w:rFonts w:ascii="Times New Roman" w:cs="Times New Roman" w:eastAsia="Times New Roman" w:hAnsi="Times New Roman"/>
          <w:sz w:val="22"/>
          <w:szCs w:val="22"/>
          <w:color w:val="auto"/>
        </w:rPr>
        <w:t>. The Corporation shall at all times reserve and keep available out of its authorized but unissued shares of Class A Common Stock, solely for the purpose of effecting the conversion of the shares of LT Common Stock, such number of shares of Class A Common Stock as shall from time to time be sufficient to effect the conversion of all outstanding shares of LT Common Stock into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ind w:left="1180" w:hanging="524"/>
        <w:spacing w:after="0"/>
        <w:tabs>
          <w:tab w:leader="none" w:pos="11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LT Common Stock Transfer and Conversion Requirements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38" w:lineRule="auto"/>
        <w:tabs>
          <w:tab w:leader="none" w:pos="1824"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Requirement</w:t>
      </w:r>
      <w:r>
        <w:rPr>
          <w:rFonts w:ascii="Times New Roman" w:cs="Times New Roman" w:eastAsia="Times New Roman" w:hAnsi="Times New Roman"/>
          <w:sz w:val="22"/>
          <w:szCs w:val="22"/>
          <w:color w:val="auto"/>
        </w:rPr>
        <w:t>. Before any shares of LT Common Stock shall be converted into shares of Class A Common Stock pursuant to Section 3(G)(i) of this Article IV or Transferred pursuant to Section 3(F) of this Article IV, the holder of such shares, or if such shares are held in the Expensify Voting Trust, the beneficial holder of such shares, shall provide written notice of such conversion or Transfer intent, delivered simultaneously to the Trustees (as defined in the Voting Trust Agreement) of the Expensify Voting Trust in the manner set forth in the Voting Trust Agreement and to the Corporation at its principal corporate office, and shall state therein the number of shares of LT10 Common Stock and/or LT50 Common Stock to be so converted or Transferred. From and after the time that a holder of LT Common Stock is no longer an employee of or other service provider to the Corporation or any of its subsidiaries, the Corporation shall have the right to submit a written notice of conversion on such holder’s behalf, without the consent of such holder, delivered to the holder at the address of such holder set forth in the Company’s books and records.</w:t>
      </w:r>
    </w:p>
    <w:p>
      <w:pPr>
        <w:spacing w:after="0" w:line="191" w:lineRule="exact"/>
        <w:rPr>
          <w:rFonts w:ascii="Times New Roman" w:cs="Times New Roman" w:eastAsia="Times New Roman" w:hAnsi="Times New Roman"/>
          <w:sz w:val="22"/>
          <w:szCs w:val="22"/>
          <w:color w:val="auto"/>
        </w:rPr>
      </w:pPr>
    </w:p>
    <w:p>
      <w:pPr>
        <w:jc w:val="both"/>
        <w:ind w:firstLine="1304"/>
        <w:spacing w:after="0" w:line="244" w:lineRule="auto"/>
        <w:tabs>
          <w:tab w:leader="none" w:pos="1789"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Period</w:t>
      </w:r>
      <w:r>
        <w:rPr>
          <w:rFonts w:ascii="Times New Roman" w:cs="Times New Roman" w:eastAsia="Times New Roman" w:hAnsi="Times New Roman"/>
          <w:sz w:val="22"/>
          <w:szCs w:val="22"/>
          <w:color w:val="auto"/>
        </w:rPr>
        <w:t>. The “Notice Period” for each share of LT10 Common Stock shall be ten (10) months, and for each share of LT50 Common Stock shall be fifty (50) months, following the receipt of notice as set forth in Section 3(H)(i) of this Article IV.</w:t>
      </w:r>
    </w:p>
    <w:p>
      <w:pPr>
        <w:spacing w:after="0" w:line="186" w:lineRule="exact"/>
        <w:rPr>
          <w:rFonts w:ascii="Times New Roman" w:cs="Times New Roman" w:eastAsia="Times New Roman" w:hAnsi="Times New Roman"/>
          <w:sz w:val="22"/>
          <w:szCs w:val="22"/>
          <w:color w:val="auto"/>
        </w:rPr>
      </w:pPr>
    </w:p>
    <w:p>
      <w:pPr>
        <w:jc w:val="both"/>
        <w:ind w:firstLine="1304"/>
        <w:spacing w:after="0" w:line="237" w:lineRule="auto"/>
        <w:tabs>
          <w:tab w:leader="none" w:pos="187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During the applicable Notice Period, the Trustees shall attempt to identify a holder of shares of Class A Common Stock who is an employee of or other service provider to the Corporation or a subsidiary and is interested in exchanging shares of Class A Common Stock (a “</w:t>
      </w:r>
      <w:r>
        <w:rPr>
          <w:rFonts w:ascii="Times New Roman" w:cs="Times New Roman" w:eastAsia="Times New Roman" w:hAnsi="Times New Roman"/>
          <w:sz w:val="22"/>
          <w:szCs w:val="22"/>
          <w:u w:val="single" w:color="auto"/>
          <w:color w:val="auto"/>
        </w:rPr>
        <w:t>Class A Transferor</w:t>
      </w:r>
      <w:r>
        <w:rPr>
          <w:rFonts w:ascii="Times New Roman" w:cs="Times New Roman" w:eastAsia="Times New Roman" w:hAnsi="Times New Roman"/>
          <w:sz w:val="22"/>
          <w:szCs w:val="22"/>
          <w:color w:val="auto"/>
        </w:rPr>
        <w:t>”) for the shares of LT Common Stock subject to the notice, on a one-for-one basis (an “</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If a Class A Transferor is identified, the Trustees shall provide written notice to the holder of shares of LT Common Stock seeking to convert or Transfer shares of LT Common Stock pursuant to this Section 3(H) (the “</w:t>
      </w:r>
      <w:r>
        <w:rPr>
          <w:rFonts w:ascii="Times New Roman" w:cs="Times New Roman" w:eastAsia="Times New Roman" w:hAnsi="Times New Roman"/>
          <w:sz w:val="22"/>
          <w:szCs w:val="22"/>
          <w:u w:val="single" w:color="auto"/>
          <w:color w:val="auto"/>
        </w:rPr>
        <w:t>LT Holder</w:t>
      </w:r>
      <w:r>
        <w:rPr>
          <w:rFonts w:ascii="Times New Roman" w:cs="Times New Roman" w:eastAsia="Times New Roman" w:hAnsi="Times New Roman"/>
          <w:sz w:val="22"/>
          <w:szCs w:val="22"/>
          <w:color w:val="auto"/>
        </w:rPr>
        <w:t>”), the Class A Transferor and the Corporation, at its principal corporate office, stating the names of such LT Holder and Class A Transferor, the date on which the applicable notice period expires (the “</w:t>
      </w:r>
      <w:r>
        <w:rPr>
          <w:rFonts w:ascii="Times New Roman" w:cs="Times New Roman" w:eastAsia="Times New Roman" w:hAnsi="Times New Roman"/>
          <w:sz w:val="22"/>
          <w:szCs w:val="22"/>
          <w:u w:val="single" w:color="auto"/>
          <w:color w:val="auto"/>
        </w:rPr>
        <w:t>Notice Expiration Date</w:t>
      </w:r>
      <w:r>
        <w:rPr>
          <w:rFonts w:ascii="Times New Roman" w:cs="Times New Roman" w:eastAsia="Times New Roman" w:hAnsi="Times New Roman"/>
          <w:sz w:val="22"/>
          <w:szCs w:val="22"/>
          <w:color w:val="auto"/>
        </w:rPr>
        <w:t xml:space="preserve">”), and any applicable instructions to facilitate the Exchange. Prior to the Notice Expiration Date, (x) the Class A Transferor shall be required to deliver to the Corporation a written instrument or instruments of transfer with respect to the shares of Class A Common Stock that are the subject of the Exchange, in form satisfactory to the Corporation, duly executed by such Class A Transferor, as well as, if applicable, a certificate or certificates representing such shares,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if such shares of Class A Common Stock are held in the Expensify Voting Trust, such items shall be provided by the Trustees, (y) the LT Holder shall be required to deliver to the Trustees any written instrument or instruments requested by the Trustees, and (z) if the Class A Transferor is not a party to the Voting Trust Agreement, the Class A Transferor shall deliver to the Trustees an executed joinder agreement such that following the Exchange the Class A Transferor shall be a party to the Voting Trust Agreement and the shares of LT Common Stock subject to the Exchange shall remain in the Voting Trust. The Exchange shall be deemed effective immediately prior to the close of business on the first business day following the Notice Expiration Date;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Corporation may extend such effective date by up to five (5) days if necessary to effectuate the Exchange (such date,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Corporation shall, as soon as practicable after the Effective Date, issue and deliver to such LT Holder a certificate or certificates representing the number of shares of Class A Common Stock to which such holder is entitled upon the Exchange (if such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Class A Common Stock are certificated) or shall register such shares of Class A Common Stock in book-entry form (if such shares of Class A Common Stock are uncertificated), and the Trustees shall revise the Trust Register (as defined in the Voting Trust Agreement) accordingly, in each case effective as of the Effective Date.</w:t>
      </w:r>
    </w:p>
    <w:p>
      <w:pPr>
        <w:spacing w:after="0" w:line="181" w:lineRule="exact"/>
        <w:rPr>
          <w:sz w:val="20"/>
          <w:szCs w:val="20"/>
          <w:color w:val="auto"/>
        </w:rPr>
      </w:pPr>
    </w:p>
    <w:p>
      <w:pPr>
        <w:jc w:val="both"/>
        <w:ind w:firstLine="1304"/>
        <w:spacing w:after="0" w:line="236" w:lineRule="auto"/>
        <w:tabs>
          <w:tab w:leader="none" w:pos="199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of LT Common Stock if No Exchange</w:t>
      </w:r>
      <w:r>
        <w:rPr>
          <w:rFonts w:ascii="Times New Roman" w:cs="Times New Roman" w:eastAsia="Times New Roman" w:hAnsi="Times New Roman"/>
          <w:sz w:val="22"/>
          <w:szCs w:val="22"/>
          <w:color w:val="auto"/>
        </w:rPr>
        <w:t>. If the Trustees are unable to identify a Class A Transferor to participate in an Exchange prior to the Notice Expiration Date, they shall provide written notice to the Corporation no later than one business day prior to the Notice Expiration Date, and the Corporation shall, as soon as practicable following the Notice Expiration Date, effectuate the conversion of the shares of LT Common Stock subject to the notice into shares of Class A Common Stock on a one-for-one basis in accordance with this Section 3(H)(iv). In the event of such a conversion, as soon as practicable following the Notice Expiration Date, the holder of record of LT Common Stock shall surrender the certificate or certificates therefor (if any), duly endorsed, at the principal corporate office of the Corporation and shall provide written notice (the “</w:t>
      </w:r>
      <w:r>
        <w:rPr>
          <w:rFonts w:ascii="Times New Roman" w:cs="Times New Roman" w:eastAsia="Times New Roman" w:hAnsi="Times New Roman"/>
          <w:sz w:val="22"/>
          <w:szCs w:val="22"/>
          <w:u w:val="single" w:color="auto"/>
          <w:color w:val="auto"/>
        </w:rPr>
        <w:t>Conversion Notice</w:t>
      </w:r>
      <w:r>
        <w:rPr>
          <w:rFonts w:ascii="Times New Roman" w:cs="Times New Roman" w:eastAsia="Times New Roman" w:hAnsi="Times New Roman"/>
          <w:sz w:val="22"/>
          <w:szCs w:val="22"/>
          <w:color w:val="auto"/>
        </w:rPr>
        <w:t>”) to the Corporation at its principal corporate office stating therein the name or names (i) in which the certificate or certificates representing the shares of Class A Common Stock into which the shares of LT Common Stock being converted are to be issued (if such shares of Class A Common Stock are certificated), or (ii) in which such shares of Class A Common Stock are to be registered in book-entry form (if such shares of Class A Common Stock are uncertificated). If the shares of Class A Common Stock into which shares of LT Common Stock are to be converted are to be issued in a name or names other than the name of the beneficial holder of the shares of LT Common Stock being converted, such notice shall be accompanied by a written instrument or instruments of transfer, in form satisfactory to the Corporation, duly executed by the holder. The Corporation shall, as soon as practicable thereafter, issue and deliver to such holder, or to the nominee or nominees of such holder, a certificate or certificates representing the number of shares of Class A Common Stock to which such holder shall be entitled upon conversion (if such shares of Class A Common Stock are certificated) or shall register such shares of Class A Common Stock in book-entry form (if such shares of Class A Common Stock are uncertificated). Any such conversion shall be deemed effective immediately prior to the close of business on the date of such surrender of the shares of LT Common Stock to be converted(the “</w:t>
      </w:r>
      <w:r>
        <w:rPr>
          <w:rFonts w:ascii="Times New Roman" w:cs="Times New Roman" w:eastAsia="Times New Roman" w:hAnsi="Times New Roman"/>
          <w:sz w:val="22"/>
          <w:szCs w:val="22"/>
          <w:u w:val="single" w:color="auto"/>
          <w:color w:val="auto"/>
        </w:rPr>
        <w:t>Conversion Effective Time</w:t>
      </w:r>
      <w:r>
        <w:rPr>
          <w:rFonts w:ascii="Times New Roman" w:cs="Times New Roman" w:eastAsia="Times New Roman" w:hAnsi="Times New Roman"/>
          <w:sz w:val="22"/>
          <w:szCs w:val="22"/>
          <w:color w:val="auto"/>
        </w:rPr>
        <w:t>”), which may occur following or contemporaneously with the provision of the Conversion Notice. The shares of Class A Common Stock issuable upon such conversion shall be deemed outstanding as of the Conversion Effective Time, and the person or persons entitled to receive the shares of Class A Common Stock issuable upon such conversion shall be deemed to be the record holder or holders of such shares of Class A Common Stock as of the Conversion Effective Time.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OF THE CERTIFICATE OF INCORPORATION</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The Corporation reserves the right to amend, alter, change, adopt or repeal any provision contained in this Certificate of Incorporation, in the manner now or hereafter prescribed by statute, and all rights conferred upon stockholders herein are granted subject to this reservation;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notwithstanding any other provision of this Certificate of Incorporation or any provision of law that might otherwise permit a lesser vote or no vote, but in addition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any vote of the holders of shares of any class or series of capital stock of the Corporation required by law or by this Certificate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Incorporation:</w:t>
      </w:r>
    </w:p>
    <w:p>
      <w:pPr>
        <w:spacing w:after="0" w:line="182" w:lineRule="exact"/>
        <w:rPr>
          <w:sz w:val="20"/>
          <w:szCs w:val="20"/>
          <w:color w:val="auto"/>
        </w:rPr>
      </w:pPr>
    </w:p>
    <w:p>
      <w:pPr>
        <w:jc w:val="both"/>
        <w:ind w:firstLine="656"/>
        <w:spacing w:after="0" w:line="237" w:lineRule="auto"/>
        <w:tabs>
          <w:tab w:leader="none" w:pos="104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shares of LT10 Common Stock remain outstanding, the Corporation shall not, without the prior affirmative vote of the holders of a majority of the outstanding shares of LT10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LT10 Common Stock or other rights, powers, preferences or privileges of the shares of LT10 Common Stock; (2) to provide for each share of LT50 Common Stock to have more than fifty (50) votes per share or for each share of Class A Common Stock to have more than one (1) vote per share or any rights to a separate class vote of the holders of the LT50 Common Stock or the shares of Class A Common Stock other than as provided by this Certificate of Incorporation or required by the DGCL; or (3) to otherwise adversely impact the rights, powers, preferences or privileges of the shares of LT10 Common Stock in a manner that is disparate from the manner in which it affects the rights, powers, preferences or privileges of the shares of LT50 Common Stock or the shares of Class A Common Stock;</w:t>
      </w:r>
    </w:p>
    <w:p>
      <w:pPr>
        <w:spacing w:after="0" w:line="201" w:lineRule="exact"/>
        <w:rPr>
          <w:rFonts w:ascii="Times New Roman" w:cs="Times New Roman" w:eastAsia="Times New Roman" w:hAnsi="Times New Roman"/>
          <w:sz w:val="22"/>
          <w:szCs w:val="22"/>
          <w:color w:val="auto"/>
        </w:rPr>
      </w:pPr>
    </w:p>
    <w:p>
      <w:pPr>
        <w:jc w:val="both"/>
        <w:ind w:firstLine="656"/>
        <w:spacing w:after="0" w:line="237" w:lineRule="auto"/>
        <w:tabs>
          <w:tab w:leader="none" w:pos="103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shares of LT50 Common Stock remain outstanding, the Corporation shall not, without the prior affirmative vote of the holders of a majority of the outstanding shares of LT50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(1) that alters or changes, any of the voting, conversion, dividend or liquidation provisions of the shares of LT50 Common Stock or other rights, powers, preferences or privileges of the shares of LT50 Common Stock; (2) to provide for each share of LT10 Common Stock to have more than ten (10) votes per share or for each share of Class A Common Stock to have more than one (1) vote per share or any rights to a separate class vote of the holders of the LT10 Common Stock or the shares of Class A Common Stock other than as provided by this Certificate of Incorporation or required by the DGCL; or (3) to otherwise adversely impact the rights, powers, preferences or privileges of the shares of LT50 Common Stock in a manner that is disparate from the manner in which it affects the rights, powers, preferences or privileges of the shares of LT10 Common Stock or the shares of Class A Common Stock; and</w:t>
      </w:r>
    </w:p>
    <w:p>
      <w:pPr>
        <w:spacing w:after="0" w:line="188" w:lineRule="exact"/>
        <w:rPr>
          <w:rFonts w:ascii="Times New Roman" w:cs="Times New Roman" w:eastAsia="Times New Roman" w:hAnsi="Times New Roman"/>
          <w:sz w:val="22"/>
          <w:szCs w:val="22"/>
          <w:color w:val="auto"/>
        </w:rPr>
      </w:pPr>
    </w:p>
    <w:p>
      <w:pPr>
        <w:jc w:val="both"/>
        <w:ind w:firstLine="656"/>
        <w:spacing w:after="0" w:line="241" w:lineRule="auto"/>
        <w:tabs>
          <w:tab w:leader="none" w:pos="101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shares of Class A Common Stock remain outstanding, the Corporation shall not, without the prior affirmative vote of the holders of a majority of the outstanding shares of Class A Common Stock, voting as a separate class, in addition to any other vote required by applicable law or this Certificate of Incorporation, directly or indirectly, whether by amendment, or through merger, recapitalization, consolidation or otherwise, amend, alter, change, repeal or adopt any provision of this Certificate of Incorporation to provide for each share of LT10 Common Stock to have more than ten (10) votes per share or for each share of LT50 Common Stock to have more than fifty (50) votes per share or for any rights to a separate class vote of the holders of shares of LT10 Common Stock or LT50 Common Stock, or of LT10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and LT50 Common Stock voting together as a single class, other than as provided by this Certificate of Incorporation or required by the DGCL.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OF BYLAWS</w:t>
      </w:r>
    </w:p>
    <w:p>
      <w:pPr>
        <w:spacing w:after="0" w:line="21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In furtherance and not in limitation of the powers conferred by the DGCL, the Board shall have the power to adopt, amend, alter or repeal the Bylaws. The stockholders shall also have the power to adopt, amend, alter or repeal the Bylaws; provided, however, that in addition to any vote of the holders of any class or series of stock of the Corporation required by law or by this Certificate of Incorporation, such action by stockholders shall require the affirmative vote of the holders of at least a majority of the voting power of all of the then-outstanding shares of capital stock of the corporation entitled to vote generally in the election of directors, voting together as a single class.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BOARD OF DIRECTORS</w:t>
      </w:r>
    </w:p>
    <w:p>
      <w:pPr>
        <w:spacing w:after="0" w:line="21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1.</w:t>
      </w:r>
      <w:r>
        <w:rPr>
          <w:sz w:val="20"/>
          <w:szCs w:val="20"/>
          <w:color w:val="auto"/>
        </w:rPr>
        <w:tab/>
      </w:r>
      <w:r>
        <w:rPr>
          <w:rFonts w:ascii="Times New Roman" w:cs="Times New Roman" w:eastAsia="Times New Roman" w:hAnsi="Times New Roman"/>
          <w:sz w:val="21"/>
          <w:szCs w:val="21"/>
          <w:u w:val="single" w:color="auto"/>
          <w:color w:val="auto"/>
        </w:rPr>
        <w:t>Number of Directors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656"/>
        <w:spacing w:after="0" w:line="271" w:lineRule="auto"/>
        <w:tabs>
          <w:tab w:leader="none" w:pos="1315"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and affairs of the Corporation shall be managed by or under the direction of the Board, except as otherwise provided by law.</w:t>
      </w:r>
    </w:p>
    <w:p>
      <w:pPr>
        <w:spacing w:after="0" w:line="144" w:lineRule="exact"/>
        <w:rPr>
          <w:rFonts w:ascii="Times New Roman" w:cs="Times New Roman" w:eastAsia="Times New Roman" w:hAnsi="Times New Roman"/>
          <w:sz w:val="22"/>
          <w:szCs w:val="22"/>
          <w:color w:val="auto"/>
        </w:rPr>
      </w:pPr>
    </w:p>
    <w:p>
      <w:pPr>
        <w:jc w:val="both"/>
        <w:ind w:firstLine="656"/>
        <w:spacing w:after="0" w:line="250" w:lineRule="auto"/>
        <w:tabs>
          <w:tab w:leader="none" w:pos="117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rights of holders of any series of Preferred Stock to elect directors, the number of the directors of the Corporation shall be fixed from time to time by resolution of the Board, but shall initially be eight (8) members. Unless and except to the extent that the Bylaws shall so require, the election of directors of the Corporation need not be by written ballot.</w:t>
      </w:r>
    </w:p>
    <w:p>
      <w:pPr>
        <w:spacing w:after="0" w:line="16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Terms of Office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Subject to the rights of holders of any series of Preferred Stock to elect directors, each director shall serve for a term ending on the date of the next annual meeting of stockholders following the annual meeting of stockholders at which such director was elected;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the term of each director shall continue until the election and qualification of his or her successor and be subject to his or her earlier death, disqualification, resignation or removal.</w:t>
      </w:r>
    </w:p>
    <w:p>
      <w:pPr>
        <w:spacing w:after="0" w:line="17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19"/>
          <w:szCs w:val="19"/>
          <w:u w:val="single" w:color="auto"/>
          <w:color w:val="auto"/>
        </w:rPr>
        <w:t>Vacancies</w:t>
      </w:r>
    </w:p>
    <w:p>
      <w:pPr>
        <w:spacing w:after="0" w:line="22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Subject to the rights of holders of any series of Preferred Stock, any newly created directorship that results from an increase in the number of directors or any vacancies on the Board that result from the death, resignation, disqualification or removal from office or from any other cause shall be filled solely by the affirmative vote of a majority of the members of the Board then in office, even if less than a quorum of the Board, or by a sole remaining director, and shall not be filled by the stockholders. Any director so chosen shall hold office until his or her successor shall be duly elected and qualified or until his or her earlier death, disqualification, resignation or removal.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4.</w:t>
      </w:r>
      <w:r>
        <w:rPr>
          <w:sz w:val="20"/>
          <w:szCs w:val="20"/>
          <w:color w:val="auto"/>
        </w:rPr>
        <w:tab/>
      </w:r>
      <w:r>
        <w:rPr>
          <w:rFonts w:ascii="Times New Roman" w:cs="Times New Roman" w:eastAsia="Times New Roman" w:hAnsi="Times New Roman"/>
          <w:sz w:val="21"/>
          <w:szCs w:val="21"/>
          <w:u w:val="single" w:color="auto"/>
          <w:color w:val="auto"/>
        </w:rPr>
        <w:t>Removal</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Subject to the rights of the holders of any series of Preferred Stock, any director may be removed from office at any time, with or without cause, by the affirmative vote of stockholders holding at least a majority in voting power of the shares of capital stock of the Corporation then entitled to vote generally in the election of directors, voting together as a single class.</w:t>
      </w:r>
    </w:p>
    <w:p>
      <w:pPr>
        <w:spacing w:after="0" w:line="16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5.</w:t>
      </w:r>
      <w:r>
        <w:rPr>
          <w:sz w:val="20"/>
          <w:szCs w:val="20"/>
          <w:color w:val="auto"/>
        </w:rPr>
        <w:tab/>
      </w:r>
      <w:r>
        <w:rPr>
          <w:rFonts w:ascii="Times New Roman" w:cs="Times New Roman" w:eastAsia="Times New Roman" w:hAnsi="Times New Roman"/>
          <w:sz w:val="21"/>
          <w:szCs w:val="21"/>
          <w:u w:val="single" w:color="auto"/>
          <w:color w:val="auto"/>
        </w:rPr>
        <w:t>Committees</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 xml:space="preserve">For as long as the Expensify Voting Trust holds securities representing at least 50% of the voting power of outstanding capital stock of the Corporation, there shall be an Executive Committee of the Board, consisting of five (5) directors of the Corporation, which shall have and may exercise all the powers and authority of the Board in the management of the business and affairs of the Corporation, and may authorize the seal of the Corporation to be affixed to all papers that may require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committee shall not have power or authority in reference to the following matters: (i) matters that must be approved by an Audit Committee of the Board, (ii) matters that must be approved by a committee qualified to grant equity to persons subject to Section 16 of the Securities and Exchange Act of 1934, as amended, for purposes of exempting transactions pursuant to Section 16b-3 thereunder, (iii) matters required under the DGCL to be approved by the full Board, or (iv) as otherwise required by SEC rules and the Stock Exchange Rules. The Executive Committee may not delegate any or all of its powers and authority to a subcommittee.</w:t>
      </w:r>
    </w:p>
    <w:p>
      <w:pPr>
        <w:spacing w:after="0" w:line="181"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6.</w:t>
      </w:r>
      <w:r>
        <w:rPr>
          <w:sz w:val="20"/>
          <w:szCs w:val="20"/>
          <w:color w:val="auto"/>
        </w:rPr>
        <w:tab/>
      </w:r>
      <w:r>
        <w:rPr>
          <w:rFonts w:ascii="Times New Roman" w:cs="Times New Roman" w:eastAsia="Times New Roman" w:hAnsi="Times New Roman"/>
          <w:sz w:val="21"/>
          <w:szCs w:val="21"/>
          <w:u w:val="single" w:color="auto"/>
          <w:color w:val="auto"/>
        </w:rPr>
        <w:t>Stockholder Nominations and Introduction of Business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Advance notice of stockholder nominations for election of directors and other business to be brought by stockholders before a meeting of stockholders shall be given in the manner provided by the Bylaws.</w:t>
      </w:r>
    </w:p>
    <w:p>
      <w:pPr>
        <w:spacing w:after="0" w:line="15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color w:val="auto"/>
        </w:rPr>
        <w:t>Section 7.</w:t>
      </w:r>
      <w:r>
        <w:rPr>
          <w:sz w:val="20"/>
          <w:szCs w:val="20"/>
          <w:color w:val="auto"/>
        </w:rPr>
        <w:tab/>
      </w:r>
      <w:r>
        <w:rPr>
          <w:rFonts w:ascii="Times New Roman" w:cs="Times New Roman" w:eastAsia="Times New Roman" w:hAnsi="Times New Roman"/>
          <w:sz w:val="21"/>
          <w:szCs w:val="21"/>
          <w:u w:val="single" w:color="auto"/>
          <w:color w:val="auto"/>
        </w:rPr>
        <w:t>Preferred Stock Directors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During any period when the holders of any series of Preferred Stock have the right to elect additional directors as provided for or fixed pursuant to the provisions of Article IV hereof or any certificate of designation of any series of Preferred Stock, then upon commencement and for the duration of the period during which such right continues: (i) the then otherwise total number of authorized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earlier death, disqualification, resignation or removal. Except as otherwise provided for or fixed pursuant to the provisions of Article IV hereof or any certificate of designation of any series of Preferred Stock, whenever the holders of any series of Preferred Stock having such right to elect additional directors are divested of such right pursuant to the provisions of such stock, all such additional directors elected by the holders of such stock, or elected or appointed to fill any vacancies resulting from the death, resignation, disqualification or removal of such additional directors shall automatically cease to be qualified as directors,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terms of office of all such directors shall forthwith terminate and the total authorized number of directors of the Corporation shall be reduced accordingly.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LIMITATION OF DIRECTOR LIABILITY</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1"/>
          <w:szCs w:val="21"/>
          <w:color w:val="auto"/>
        </w:rPr>
        <w:t xml:space="preserve">To the fullest extent permitted by the DGCL as the same exists or as may hereafter be amended, a director of the Corporation shall not be personally liable to the Corporation or its stockholders for monetary damages for breach of fiduciary duty as a director;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nothing contained in this Article VIII shall eliminate or limit the liability of a director</w:t>
      </w:r>
    </w:p>
    <w:p>
      <w:pPr>
        <w:spacing w:after="0" w:line="3" w:lineRule="exact"/>
        <w:rPr>
          <w:sz w:val="20"/>
          <w:szCs w:val="20"/>
          <w:color w:val="auto"/>
        </w:rPr>
      </w:pPr>
    </w:p>
    <w:p>
      <w:pPr>
        <w:jc w:val="both"/>
        <w:ind w:firstLine="8"/>
        <w:spacing w:after="0" w:line="237" w:lineRule="auto"/>
        <w:tabs>
          <w:tab w:leader="none" w:pos="27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breach of the director’s duty of loyalty to the Corporation or its stockholders, (ii) for acts or omissions not in good faith or which involve intentional misconduct or a knowing violation of law, (iii) pursuant to the provisions of Section 174 of the DGCL, or (iv) for any transaction from which the director derived an improper personal benefit. If the DGCL is amended to authorize corporate action further eliminating or limiting the personal liability of directors, then the liability of a director of the Corporation shall be eliminated or limited to the fullest extent permitted by the DGCL, as so amended. No amendment, repeal or modification of this Article VIII shall apply to or have any adverse effect on any right or protection of, or any limitation of the liability of, a director of the Corporation existing at the time of such amendment, repeal or modification with respect to acts or omissions occurring prior to such repeal or modification.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w:t>
      </w:r>
    </w:p>
    <w:p>
      <w:pPr>
        <w:spacing w:after="0" w:line="237" w:lineRule="exact"/>
        <w:rPr>
          <w:sz w:val="20"/>
          <w:szCs w:val="20"/>
          <w:color w:val="auto"/>
        </w:rPr>
      </w:pPr>
    </w:p>
    <w:p>
      <w:pPr>
        <w:jc w:val="both"/>
        <w:ind w:right="20" w:firstLine="648"/>
        <w:spacing w:after="0" w:line="244" w:lineRule="auto"/>
        <w:rPr>
          <w:sz w:val="20"/>
          <w:szCs w:val="20"/>
          <w:color w:val="auto"/>
        </w:rPr>
      </w:pPr>
      <w:r>
        <w:rPr>
          <w:rFonts w:ascii="Times New Roman" w:cs="Times New Roman" w:eastAsia="Times New Roman" w:hAnsi="Times New Roman"/>
          <w:sz w:val="22"/>
          <w:szCs w:val="22"/>
          <w:color w:val="auto"/>
        </w:rPr>
        <w:t>The Corporation shall have the power to provide rights to indemnification and advancement of expenses to its current and former officers, directors, employees and agents and to any person who is or was serving at the request of the Corporation as a director, officer, employee or agent of another corporation, partnership, joint venture, trust or other enterprise.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CONSENT OF STOCKHOLDERS IN LIEU OF MEETING</w:t>
      </w:r>
    </w:p>
    <w:p>
      <w:pPr>
        <w:spacing w:after="0" w:line="21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2"/>
          <w:szCs w:val="22"/>
          <w:color w:val="auto"/>
        </w:rPr>
        <w:t>Subject to the terms of any series of Preferred Stock, (i) prior to the date on which the Expensify Voting Trust ceases to hold securities representing at least a majority of the voting power of outstanding capital stock of the Corporation, any action required or permitted to be taken by the stockholders of the Corporation may be effected by consent in lieu of a meeting and (ii) following such date, any action required or permitted to be taken by the stockholders of the Corporation must be effected at an annual or special meeting of the stockholders and may not be effected by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SPECIAL MEETING OF STOCKHOLDERS</w:t>
      </w: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Subject to the terms of any series of Preferred Stock, special meetings of stockholders for any purpose or purposes may be called at any time by or at the direction of (i) the Board, (ii) the Chairman of the Board, (iii) the Chief Executive Officer of the Corporation or (iv) prior to the date on which the Expensify Voting Trust ceases to hold securities representing at least a majority of the voting power of outstanding capital stock of the Corporation, the holders of a majority of the total voting power of the outstanding shares of capital stock of the Corporation entitled to vote generally in the election of directors. Business transacted at any special meeting of stockholders shall be limited to matters relating to the purpose or purposes stated in the notice of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FORUM SELECTION</w:t>
      </w:r>
    </w:p>
    <w:p>
      <w:pPr>
        <w:spacing w:after="0" w:line="21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Unless the Corporation consents in writing to the selection of an alternative forum, (a) the Court of Chancery (the “</w:t>
      </w:r>
      <w:r>
        <w:rPr>
          <w:rFonts w:ascii="Times New Roman" w:cs="Times New Roman" w:eastAsia="Times New Roman" w:hAnsi="Times New Roman"/>
          <w:sz w:val="22"/>
          <w:szCs w:val="22"/>
          <w:u w:val="single" w:color="auto"/>
          <w:color w:val="auto"/>
        </w:rPr>
        <w:t>Chancery Court</w:t>
      </w:r>
      <w:r>
        <w:rPr>
          <w:rFonts w:ascii="Times New Roman" w:cs="Times New Roman" w:eastAsia="Times New Roman" w:hAnsi="Times New Roman"/>
          <w:sz w:val="22"/>
          <w:szCs w:val="22"/>
          <w:color w:val="auto"/>
        </w:rPr>
        <w: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behalf of the Corporation, (ii) any action, suit or proceeding asserting a claim of breach of a fiduciary duty owed by any current or former director, officer, other employee or stockholder of the Corporation to the Corporation or to the Corporation’s stockholders, (iii) any action, suit or proceeding arising pursuant to any provision of the DGCL or the bylaws of the Corporation or this Restated Certificate (as either may be amended or restated from time to time) or as to which the DGCL confers jurisdiction on the Chancery Court or (iv) any action, suit or proceeding asserting a claim against the Corporation governed by the internal affairs doctrine of the law of the State of Delaware; and (b) subject to the preceding provisions of this Article X, the federal district courts of the United States of America shall be the exclusive forum for the resolution of any complaint asserting a cause or causes of action arising under the Securities Act of 1933, as amended. If any action the subject matter of which is within the scope of clause (a) of the immediately preceding sentence is filed in a court other than the courts in the State of Delaware (a “</w:t>
      </w:r>
      <w:r>
        <w:rPr>
          <w:rFonts w:ascii="Times New Roman" w:cs="Times New Roman" w:eastAsia="Times New Roman" w:hAnsi="Times New Roman"/>
          <w:sz w:val="22"/>
          <w:szCs w:val="22"/>
          <w:u w:val="single" w:color="auto"/>
          <w:color w:val="auto"/>
        </w:rPr>
        <w:t>Foreign Action</w:t>
      </w:r>
      <w:r>
        <w:rPr>
          <w:rFonts w:ascii="Times New Roman" w:cs="Times New Roman" w:eastAsia="Times New Roman" w:hAnsi="Times New Roman"/>
          <w:sz w:val="22"/>
          <w:szCs w:val="22"/>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9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Any person or entity purchasing or otherwise acquiring or holding any interest in any security of the Corporation shall be deemed to have notice of and consented to this Article X. Notwithstanding the foregoing, the provisions of this Article X shall not apply to suits brought to enforce any liability or duty created by the Securities Exchange Act of 1934, as amended, or any other claim for which the federal courts of the United States have exclusive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color w:val="auto"/>
        </w:rPr>
        <w:t>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tabs>
          <w:tab w:leader="none" w:pos="200" w:val="left"/>
          <w:tab w:leader="none" w:pos="200" w:val="left"/>
        </w:tabs>
        <w:rPr>
          <w:sz w:val="20"/>
          <w:szCs w:val="20"/>
          <w:color w:val="auto"/>
        </w:rPr>
      </w:pPr>
      <w:r>
        <w:rPr>
          <w:rFonts w:ascii="Times New Roman" w:cs="Times New Roman" w:eastAsia="Times New Roman" w:hAnsi="Times New Roman"/>
          <w:sz w:val="22"/>
          <w:szCs w:val="22"/>
          <w:color w:val="auto"/>
        </w:rPr>
        <w:t>*</w:t>
        <w:tab/>
        <w:t>*</w:t>
      </w:r>
      <w:r>
        <w:rPr>
          <w:sz w:val="20"/>
          <w:szCs w:val="20"/>
          <w:color w:val="auto"/>
        </w:rPr>
        <w:tab/>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71" w:lineRule="exact"/>
        <w:rPr>
          <w:sz w:val="20"/>
          <w:szCs w:val="20"/>
          <w:color w:val="auto"/>
        </w:rPr>
      </w:pPr>
    </w:p>
    <w:p>
      <w:pPr>
        <w:ind w:right="340" w:firstLine="648"/>
        <w:spacing w:after="0" w:line="309" w:lineRule="auto"/>
        <w:rPr>
          <w:sz w:val="20"/>
          <w:szCs w:val="20"/>
          <w:color w:val="auto"/>
        </w:rPr>
      </w:pPr>
      <w:r>
        <w:rPr>
          <w:rFonts w:ascii="Times New Roman" w:cs="Times New Roman" w:eastAsia="Times New Roman" w:hAnsi="Times New Roman"/>
          <w:sz w:val="22"/>
          <w:szCs w:val="22"/>
          <w:color w:val="auto"/>
        </w:rPr>
        <w:t>IN WITNESS WHEREOF, this Amended and Restated Certificate of Incorporation has been executed this 15th day of November,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22"/>
          <w:szCs w:val="22"/>
          <w:b w:val="1"/>
          <w:bCs w:val="1"/>
          <w:color w:val="auto"/>
        </w:rPr>
        <w:t>EXPENSIFY, INC.</w:t>
      </w:r>
    </w:p>
    <w:p>
      <w:pPr>
        <w:spacing w:after="0" w:line="200" w:lineRule="exact"/>
        <w:rPr>
          <w:sz w:val="20"/>
          <w:szCs w:val="20"/>
          <w:color w:val="auto"/>
        </w:rPr>
      </w:pPr>
    </w:p>
    <w:p>
      <w:pPr>
        <w:spacing w:after="0" w:line="361" w:lineRule="exact"/>
        <w:rPr>
          <w:sz w:val="20"/>
          <w:szCs w:val="20"/>
          <w:color w:val="auto"/>
        </w:rPr>
      </w:pPr>
    </w:p>
    <w:p>
      <w:pPr>
        <w:ind w:left="6400"/>
        <w:spacing w:after="0"/>
        <w:tabs>
          <w:tab w:leader="none" w:pos="6960" w:val="left"/>
        </w:tabs>
        <w:rPr>
          <w:sz w:val="20"/>
          <w:szCs w:val="20"/>
          <w:color w:val="auto"/>
        </w:rPr>
      </w:pPr>
      <w:r>
        <w:rPr>
          <w:rFonts w:ascii="Times New Roman" w:cs="Times New Roman" w:eastAsia="Times New Roman" w:hAnsi="Times New Roman"/>
          <w:sz w:val="22"/>
          <w:szCs w:val="22"/>
          <w:color w:val="auto"/>
        </w:rPr>
        <w:t>By:</w:t>
        <w:tab/>
        <w:t>/s/ David Barrett</w:t>
      </w:r>
    </w:p>
    <w:p>
      <w:pPr>
        <w:spacing w:after="0" w:line="29" w:lineRule="exact"/>
        <w:rPr>
          <w:sz w:val="20"/>
          <w:szCs w:val="20"/>
          <w:color w:val="auto"/>
        </w:rPr>
      </w:pPr>
    </w:p>
    <w:tbl>
      <w:tblPr>
        <w:tblLayout w:type="fixed"/>
        <w:tblInd w:w="6960" w:type="dxa"/>
        <w:tblCellMar>
          <w:top w:w="0" w:type="dxa"/>
          <w:left w:w="0" w:type="dxa"/>
          <w:bottom w:w="0" w:type="dxa"/>
          <w:right w:w="0" w:type="dxa"/>
        </w:tblCellMar>
      </w:tblPr>
      <w:tr>
        <w:trPr>
          <w:trHeight w:val="251"/>
        </w:trPr>
        <w:tc>
          <w:tcPr>
            <w:tcW w:w="760" w:type="dxa"/>
            <w:vAlign w:val="bottom"/>
            <w:tcBorders>
              <w:top w:val="single" w:sz="8" w:color="auto"/>
            </w:tcBorders>
          </w:tcPr>
          <w:p>
            <w:pPr>
              <w:ind w:left="20"/>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3520" w:type="dxa"/>
            <w:vAlign w:val="bottom"/>
            <w:tcBorders>
              <w:top w:val="single" w:sz="8" w:color="auto"/>
            </w:tcBorders>
          </w:tcPr>
          <w:p>
            <w:pPr>
              <w:ind w:left="180"/>
              <w:spacing w:after="0" w:line="251" w:lineRule="exact"/>
              <w:rPr>
                <w:sz w:val="20"/>
                <w:szCs w:val="20"/>
                <w:color w:val="auto"/>
              </w:rPr>
            </w:pPr>
            <w:r>
              <w:rPr>
                <w:rFonts w:ascii="Times New Roman" w:cs="Times New Roman" w:eastAsia="Times New Roman" w:hAnsi="Times New Roman"/>
                <w:sz w:val="22"/>
                <w:szCs w:val="22"/>
                <w:color w:val="auto"/>
              </w:rPr>
              <w:t>David Barrett</w:t>
            </w:r>
          </w:p>
        </w:tc>
      </w:tr>
      <w:tr>
        <w:trPr>
          <w:trHeight w:val="282"/>
        </w:trPr>
        <w:tc>
          <w:tcPr>
            <w:tcW w:w="7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35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670 SHARES OF LT10 COMMON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2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670 outstanding shares of LT10 Common Stock, par value $0.0001 per share (“</w:t>
      </w:r>
      <w:r>
        <w:rPr>
          <w:rFonts w:ascii="Times New Roman" w:cs="Times New Roman" w:eastAsia="Times New Roman" w:hAnsi="Times New Roman"/>
          <w:sz w:val="18"/>
          <w:szCs w:val="18"/>
          <w:u w:val="single" w:color="auto"/>
          <w:color w:val="auto"/>
        </w:rPr>
        <w:t>LT10 Common Stock”</w:t>
      </w:r>
      <w:r>
        <w:rPr>
          <w:rFonts w:ascii="Times New Roman" w:cs="Times New Roman" w:eastAsia="Times New Roman" w:hAnsi="Times New Roman"/>
          <w:sz w:val="18"/>
          <w:szCs w:val="18"/>
          <w:color w:val="auto"/>
        </w:rPr>
        <w:t>), of the Corporation have been converted into 670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may not be reissued by the Corporation.</w:t>
      </w:r>
    </w:p>
    <w:p>
      <w:pPr>
        <w:spacing w:after="0" w:line="108"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670 shares of LT10 Common Stock that converted into 670 shares of Class A Common Stock.</w:t>
      </w:r>
    </w:p>
    <w:p>
      <w:pPr>
        <w:spacing w:after="0" w:line="80"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670 shares, such that the total number of authorized shares of the Corporation shall be 1,059,999,330, such shares consisting of 1,000,000,000 shares designated Class A Common Stock, 24,999,330 shares designated LT10 Common Stock, 25,000,000 shares designated LT50 common stock, par value $0.0001 per share, of the Corporation, and 10,000,000 shares designated preferred stock, par value $0.0001 per share, of the Corporation.</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26th day of April, 2022.</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320" w:top="1440" w:right="739" w:bottom="1440" w:gutter="0" w:footer="0" w:header="0"/>
        </w:sectPr>
      </w:pPr>
    </w:p>
    <w:bookmarkStart w:id="67" w:name="page68"/>
    <w:bookmarkEnd w:id="67"/>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830 SHARES OF LT50 COMMON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2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830 outstanding shares of LT50 Common Stock, par value $0.0001 per share (“</w:t>
      </w:r>
      <w:r>
        <w:rPr>
          <w:rFonts w:ascii="Times New Roman" w:cs="Times New Roman" w:eastAsia="Times New Roman" w:hAnsi="Times New Roman"/>
          <w:sz w:val="18"/>
          <w:szCs w:val="18"/>
          <w:u w:val="single" w:color="auto"/>
          <w:color w:val="auto"/>
        </w:rPr>
        <w:t>LT50 Common Stock”</w:t>
      </w:r>
      <w:r>
        <w:rPr>
          <w:rFonts w:ascii="Times New Roman" w:cs="Times New Roman" w:eastAsia="Times New Roman" w:hAnsi="Times New Roman"/>
          <w:sz w:val="18"/>
          <w:szCs w:val="18"/>
          <w:color w:val="auto"/>
        </w:rPr>
        <w:t>), of the Corporation have been converted into 830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LT50 Common Stock which are converted into shares of Class A Common Stock shall be retired and may not be reissued by the Corporation.</w:t>
      </w:r>
    </w:p>
    <w:p>
      <w:pPr>
        <w:spacing w:after="0" w:line="108"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830 shares of LT50 Common Stock that converted into 830 shares of Class A Common Stock.</w:t>
      </w:r>
    </w:p>
    <w:p>
      <w:pPr>
        <w:spacing w:after="0" w:line="80"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830 shares, such that the total number of authorized shares of the Corporation shall be 1,059,998,500, such shares consisting of 1,000,000,000 shares designated Class A Common Stock, 24,999,330 shares designated LT10 Common Stock, 24,999,170 shares designated LT50 common stock, par value $0.0001 per share, of the Corporation, and 10,000,000 shares designated preferred stock, par value $0.0001 per share, of the Corporation.</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1440" w:right="359" w:bottom="1440" w:gutter="0" w:footer="0" w:header="0"/>
        </w:sectPr>
      </w:pPr>
    </w:p>
    <w:bookmarkStart w:id="68" w:name="page69"/>
    <w:bookmarkEnd w:id="68"/>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WITNESS WHEREOF, the Corporation has caused this Certificate of Retirement to be signed by its duly authorized officer, this 27th day of May, 2022.</w:t>
      </w:r>
    </w:p>
    <w:p>
      <w:pPr>
        <w:spacing w:after="0" w:line="300"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40" w:right="359" w:bottom="1440" w:gutter="0" w:footer="0" w:header="0"/>
        </w:sectPr>
      </w:pPr>
    </w:p>
    <w:bookmarkStart w:id="69" w:name="page70"/>
    <w:bookmarkEnd w:id="69"/>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1,769 SHARES OF LT10 COMMON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1,769 outstanding shares of LT10 Common Stock, par value $0.0001 per share (“</w:t>
      </w:r>
      <w:r>
        <w:rPr>
          <w:rFonts w:ascii="Times New Roman" w:cs="Times New Roman" w:eastAsia="Times New Roman" w:hAnsi="Times New Roman"/>
          <w:sz w:val="18"/>
          <w:szCs w:val="18"/>
          <w:u w:val="single" w:color="auto"/>
          <w:color w:val="auto"/>
        </w:rPr>
        <w:t>LT10 Common Stock”</w:t>
      </w:r>
      <w:r>
        <w:rPr>
          <w:rFonts w:ascii="Times New Roman" w:cs="Times New Roman" w:eastAsia="Times New Roman" w:hAnsi="Times New Roman"/>
          <w:sz w:val="18"/>
          <w:szCs w:val="18"/>
          <w:color w:val="auto"/>
        </w:rPr>
        <w:t>), of the Corporation have been converted into 1,769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may not be reissued by the Corporation.</w:t>
      </w:r>
    </w:p>
    <w:p>
      <w:pPr>
        <w:spacing w:after="0" w:line="108"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1,769 shares of LT10 Common Stock that converted into 1,769 shares of Class A Common Stock.</w:t>
      </w:r>
    </w:p>
    <w:p>
      <w:pPr>
        <w:spacing w:after="0" w:line="80" w:lineRule="exact"/>
        <w:rPr>
          <w:rFonts w:ascii="Times New Roman" w:cs="Times New Roman" w:eastAsia="Times New Roman" w:hAnsi="Times New Roman"/>
          <w:sz w:val="18"/>
          <w:szCs w:val="18"/>
          <w:color w:val="auto"/>
        </w:rPr>
      </w:pPr>
    </w:p>
    <w:p>
      <w:pPr>
        <w:ind w:left="660" w:hanging="328"/>
        <w:spacing w:after="0" w:line="25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the capital stock of the Corporation by 1,769 shares, such that the total number of authorized shares of the Corporation shall be 1,059,996,731, such shares consisting of 1,000,000,000 shares designated Class A Common Stock, 24,997,561 shares designated LT10 Common Stock, 24,999,170 shares designated LT50 common stock, par value $0.0001 per share, of the Corporation, and 10,000,000 shares designated preferred stock, par value $0.0001 per share, of the Corporation.</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1440" w:right="379" w:bottom="1440" w:gutter="0" w:footer="0" w:header="0"/>
        </w:sectPr>
      </w:pPr>
    </w:p>
    <w:bookmarkStart w:id="70" w:name="page71"/>
    <w:bookmarkEnd w:id="70"/>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4th day of August, 2022.</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320" w:top="1440" w:right="699" w:bottom="1440" w:gutter="0" w:footer="0" w:header="0"/>
        </w:sectPr>
      </w:pPr>
    </w:p>
    <w:bookmarkStart w:id="71" w:name="page72"/>
    <w:bookmarkEnd w:id="71"/>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150 SHARES OF LT50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24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outstanding shares of LT50 Common Stock, par value $0.0001 per share (“</w:t>
      </w:r>
      <w:r>
        <w:rPr>
          <w:rFonts w:ascii="Times New Roman" w:cs="Times New Roman" w:eastAsia="Times New Roman" w:hAnsi="Times New Roman"/>
          <w:sz w:val="18"/>
          <w:szCs w:val="18"/>
          <w:u w:val="single" w:color="auto"/>
          <w:color w:val="auto"/>
        </w:rPr>
        <w:t>LT50 Common Stock”</w:t>
      </w:r>
      <w:r>
        <w:rPr>
          <w:rFonts w:ascii="Times New Roman" w:cs="Times New Roman" w:eastAsia="Times New Roman" w:hAnsi="Times New Roman"/>
          <w:sz w:val="18"/>
          <w:szCs w:val="18"/>
          <w:color w:val="auto"/>
        </w:rPr>
        <w:t>), of the Corporation have been converted into 150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LT50 Common Stock which are converted into shares of Class A Common Stock shall be retired and shall not be reissued by the Corporation.</w:t>
      </w:r>
    </w:p>
    <w:p>
      <w:pPr>
        <w:spacing w:after="0" w:line="10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150 shares of LT50 Common Stock that converted into 150 shares of Class A Common Stock.</w:t>
      </w:r>
    </w:p>
    <w:p>
      <w:pPr>
        <w:spacing w:after="0" w:line="80"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150 shares, such that the total number of authorized shares of the Corporation shall be 1,059,996,581, such shares consisting of 1,000,000,000 shares designated Class A Common Stock, 24,997,561 shares designated LT10 Common Stock, 24,999,020 shares designated LT50 Common Stock, par value of $0.0001 per share, of the Corporation, and 10,000,000 shares designated preferred stock, par value $0.0001 per share, of the Corporation.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22nd day of November, 2022.</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400"/>
          </w:cols>
          <w:pgMar w:left="320" w:top="1440" w:right="1179" w:bottom="1440" w:gutter="0" w:footer="0" w:header="0"/>
        </w:sectPr>
      </w:pPr>
    </w:p>
    <w:bookmarkStart w:id="73" w:name="page74"/>
    <w:bookmarkEnd w:id="73"/>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735 SHARES OF LT10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24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735 outstanding shares of LT10 Common Stock, par value $0.0001 per share (“</w:t>
      </w:r>
      <w:r>
        <w:rPr>
          <w:rFonts w:ascii="Times New Roman" w:cs="Times New Roman" w:eastAsia="Times New Roman" w:hAnsi="Times New Roman"/>
          <w:sz w:val="18"/>
          <w:szCs w:val="18"/>
          <w:u w:val="single" w:color="auto"/>
          <w:color w:val="auto"/>
        </w:rPr>
        <w:t>LT10 Common Stock”</w:t>
      </w:r>
      <w:r>
        <w:rPr>
          <w:rFonts w:ascii="Times New Roman" w:cs="Times New Roman" w:eastAsia="Times New Roman" w:hAnsi="Times New Roman"/>
          <w:sz w:val="18"/>
          <w:szCs w:val="18"/>
          <w:color w:val="auto"/>
        </w:rPr>
        <w:t>), of the Corporation have been converted into 735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shall not be reissued by the Corporation.</w:t>
      </w:r>
    </w:p>
    <w:p>
      <w:pPr>
        <w:spacing w:after="0" w:line="10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735 shares of LT10 Common Stock that converted into 735 shares of Class A Common Stock.</w:t>
      </w:r>
    </w:p>
    <w:p>
      <w:pPr>
        <w:spacing w:after="0" w:line="80"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735 shares, such that the total number of authorized shares of the Corporation shall be 1,059,995,846, such shares consisting of 1,000,000,000 shares designated Class A Common Stock, 24,996,826 shares designated LT10 Common Stock, 24,999,020 shares designated LT50 Common Stock, par value of $0.0001 per share, of the Corporation, and 10,000,000 shares designated preferred stock, par value $0.0001 per share, of the Corporation.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8th day of February, 2023.</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320" w:top="1440" w:right="579" w:bottom="1440" w:gutter="0" w:footer="0" w:header="0"/>
        </w:sectPr>
      </w:pPr>
    </w:p>
    <w:bookmarkStart w:id="75" w:name="page76"/>
    <w:bookmarkEnd w:id="75"/>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588 SHARES OF LT10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24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 outstanding shares of LT10 Common Stock, par value $0.0001 per share (“</w:t>
      </w:r>
      <w:r>
        <w:rPr>
          <w:rFonts w:ascii="Times New Roman" w:cs="Times New Roman" w:eastAsia="Times New Roman" w:hAnsi="Times New Roman"/>
          <w:sz w:val="18"/>
          <w:szCs w:val="18"/>
          <w:u w:val="single" w:color="auto"/>
          <w:color w:val="auto"/>
        </w:rPr>
        <w:t>LT10 Common Stock”</w:t>
      </w:r>
      <w:r>
        <w:rPr>
          <w:rFonts w:ascii="Times New Roman" w:cs="Times New Roman" w:eastAsia="Times New Roman" w:hAnsi="Times New Roman"/>
          <w:sz w:val="18"/>
          <w:szCs w:val="18"/>
          <w:color w:val="auto"/>
        </w:rPr>
        <w:t>), of the Corporation have been converted into 588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shall not be reissued by the Corporation.</w:t>
      </w:r>
    </w:p>
    <w:p>
      <w:pPr>
        <w:spacing w:after="0" w:line="108"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588 shares of LT10 Common Stock that converted into 588 shares of Class A Common Stock.</w:t>
      </w:r>
    </w:p>
    <w:p>
      <w:pPr>
        <w:spacing w:after="0" w:line="80"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588 shares, such that the total number of authorized shares of the Corporation shall be 1,059,995,258, such shares consisting of 1,000,000,000 shares designated Class A Common Stock, 24,996,238 shares designated LT10 Common Stock, 24,999,020 shares designated LT50 Common Stock, each with a par value of $0.0001 per share, of the Corporation, and 10,000,000 shares designated preferred stock, par value $0.0001 per share, of the Corporation.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23rd day of June, 2023.</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00"/>
          </w:cols>
          <w:pgMar w:left="320" w:top="1440" w:right="779" w:bottom="1440" w:gutter="0" w:footer="0" w:header="0"/>
        </w:sectPr>
      </w:pPr>
    </w:p>
    <w:bookmarkStart w:id="77" w:name="page78"/>
    <w:bookmarkEnd w:id="77"/>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1,249 SHARES OF LT10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79 SHARES OF LT50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10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1,249 outstanding shares of LT10 Common Stock, par value $0.0001 per share (“</w:t>
      </w:r>
      <w:r>
        <w:rPr>
          <w:rFonts w:ascii="Times New Roman" w:cs="Times New Roman" w:eastAsia="Times New Roman" w:hAnsi="Times New Roman"/>
          <w:sz w:val="18"/>
          <w:szCs w:val="18"/>
          <w:u w:val="single" w:color="auto"/>
          <w:color w:val="auto"/>
        </w:rPr>
        <w:t>LT10 Common Stock”</w:t>
      </w:r>
      <w:r>
        <w:rPr>
          <w:rFonts w:ascii="Times New Roman" w:cs="Times New Roman" w:eastAsia="Times New Roman" w:hAnsi="Times New Roman"/>
          <w:sz w:val="18"/>
          <w:szCs w:val="18"/>
          <w:color w:val="auto"/>
        </w:rPr>
        <w:t>), of the Corporation have been converted into 1,249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outstanding shares of LT50 Common Stock, par value $0.0001 per share (“</w:t>
      </w:r>
      <w:r>
        <w:rPr>
          <w:rFonts w:ascii="Times New Roman" w:cs="Times New Roman" w:eastAsia="Times New Roman" w:hAnsi="Times New Roman"/>
          <w:sz w:val="18"/>
          <w:szCs w:val="18"/>
          <w:u w:val="single" w:color="auto"/>
          <w:color w:val="auto"/>
        </w:rPr>
        <w:t>LT50 Common Stock”</w:t>
      </w:r>
      <w:r>
        <w:rPr>
          <w:rFonts w:ascii="Times New Roman" w:cs="Times New Roman" w:eastAsia="Times New Roman" w:hAnsi="Times New Roman"/>
          <w:sz w:val="18"/>
          <w:szCs w:val="18"/>
          <w:color w:val="auto"/>
        </w:rPr>
        <w:t>), of the Corporation have been converted into 79 shares of Class A Common Stock of the Corporation.</w:t>
      </w:r>
    </w:p>
    <w:p>
      <w:pPr>
        <w:spacing w:after="0" w:line="94"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LT10 Common Stock or LT50 Common Stock which are converted into shares of Class A Common Stock shall be retired and shall not be reissued by the Corporation.</w:t>
      </w:r>
    </w:p>
    <w:p>
      <w:pPr>
        <w:spacing w:after="0" w:line="94"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1,249 shares of LT10 Common Stock and the 79 shares of LT50 Common Stock that converted into 1,249 and 79 shares of Class A Common Stock, respectively, for a total of 1,328 shares of Class A Common Stock.</w:t>
      </w:r>
    </w:p>
    <w:p>
      <w:pPr>
        <w:spacing w:after="0" w:line="108"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1,328 shares, such that the total number of authorized shares of the Corporation shall be 1,059,993,930, such shares consisting of 1,000,000,000 shares designated Class A Common Stock, 24,994,989 shares designated LT10 Common Stock, 24,998,941 shares designated LT50 Common Stock, each with a par value of $0.0001 per share, of the Corporation, and 10,000,000 shares designated preferred stock, par value $0.0001 per share, of the Corporation.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3rd day of August, 2023.</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320" w:top="1440" w:right="679" w:bottom="1440" w:gutter="0" w:footer="0" w:header="0"/>
        </w:sectPr>
      </w:pPr>
    </w:p>
    <w:bookmarkStart w:id="79" w:name="page80"/>
    <w:bookmarkEnd w:id="79"/>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284 SHARES OF LT10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29,307 SHARES OF LT50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2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 outstanding shares of LT10 Common Stock, par value $0.0001 per share (“</w:t>
      </w:r>
      <w:r>
        <w:rPr>
          <w:rFonts w:ascii="Times New Roman" w:cs="Times New Roman" w:eastAsia="Times New Roman" w:hAnsi="Times New Roman"/>
          <w:sz w:val="18"/>
          <w:szCs w:val="18"/>
          <w:u w:val="single" w:color="auto"/>
          <w:color w:val="auto"/>
        </w:rPr>
        <w:t>LT10 Common Stock”</w:t>
      </w:r>
      <w:r>
        <w:rPr>
          <w:rFonts w:ascii="Times New Roman" w:cs="Times New Roman" w:eastAsia="Times New Roman" w:hAnsi="Times New Roman"/>
          <w:sz w:val="18"/>
          <w:szCs w:val="18"/>
          <w:color w:val="auto"/>
        </w:rPr>
        <w:t>), of the Corporation have been converted into 284 shares of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of the Corporation.</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29,307 outstanding shares of LT50 Common Stock, par value $0.0001 per share (“</w:t>
      </w:r>
      <w:r>
        <w:rPr>
          <w:rFonts w:ascii="Times New Roman" w:cs="Times New Roman" w:eastAsia="Times New Roman" w:hAnsi="Times New Roman"/>
          <w:sz w:val="18"/>
          <w:szCs w:val="18"/>
          <w:u w:val="single" w:color="auto"/>
          <w:color w:val="auto"/>
        </w:rPr>
        <w:t>LT50 Common Stock”</w:t>
      </w:r>
      <w:r>
        <w:rPr>
          <w:rFonts w:ascii="Times New Roman" w:cs="Times New Roman" w:eastAsia="Times New Roman" w:hAnsi="Times New Roman"/>
          <w:sz w:val="18"/>
          <w:szCs w:val="18"/>
          <w:color w:val="auto"/>
        </w:rPr>
        <w:t>), of the Corporation have been converted into 29,307 shares of Class A Common Stock of the Corporation.</w:t>
      </w:r>
    </w:p>
    <w:p>
      <w:pPr>
        <w:spacing w:after="0" w:line="94"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LT10 Common Stock or LT50 Common Stock which are converted into shares of Class A Common Stock shall be retired and shall not be reissued by the Corporation.</w:t>
      </w:r>
    </w:p>
    <w:p>
      <w:pPr>
        <w:spacing w:after="0" w:line="94"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284 shares of LT10 Common Stock and the 29,307 shares of LT50 Common Stock that converted into 284 and 29,307 shares of Class A Common Stock, respectively, for a total of 29,591 shares of Class A Common Stock.</w:t>
      </w:r>
    </w:p>
    <w:p>
      <w:pPr>
        <w:spacing w:after="0" w:line="108" w:lineRule="exact"/>
        <w:rPr>
          <w:rFonts w:ascii="Times New Roman" w:cs="Times New Roman" w:eastAsia="Times New Roman" w:hAnsi="Times New Roman"/>
          <w:sz w:val="18"/>
          <w:szCs w:val="18"/>
          <w:color w:val="auto"/>
        </w:rPr>
      </w:pPr>
    </w:p>
    <w:p>
      <w:pPr>
        <w:ind w:left="660" w:right="80" w:hanging="328"/>
        <w:spacing w:after="0" w:line="25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29,591 shares, such that the total number of authorized shares of the Corporation shall be 1,059,964,339, such shares consisting of 1,000,000,000 shares designated Class A Common Stock, 24,994,705 shares designated LT10 Common Stock, 24,969,634 shares designated LT50 Common Stock, each with a par value of $0.0001 per share, of the Corporation, and 10,000,000 shares designated preferred stock, par value $0.0001 per share, of the Corporation.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440" w:right="359" w:bottom="1440" w:gutter="0" w:footer="0" w:header="0"/>
        </w:sectPr>
      </w:pPr>
    </w:p>
    <w:bookmarkStart w:id="80" w:name="page81"/>
    <w:bookmarkEnd w:id="80"/>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12th day of February, 2024.</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1440" w:right="479" w:bottom="1440" w:gutter="0" w:footer="0" w:header="0"/>
        </w:sectPr>
      </w:pPr>
    </w:p>
    <w:bookmarkStart w:id="81" w:name="page82"/>
    <w:bookmarkEnd w:id="81"/>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3,123,508 SHARES OF LT10 COMMON STOCK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540" w:hanging="328"/>
        <w:spacing w:after="0" w:line="312" w:lineRule="auto"/>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3,123,508 outstanding shares of LT10 Common Stock, par value $0.0001 per share (“</w:t>
      </w:r>
      <w:r>
        <w:rPr>
          <w:rFonts w:ascii="Times New Roman" w:cs="Times New Roman" w:eastAsia="Times New Roman" w:hAnsi="Times New Roman"/>
          <w:sz w:val="17"/>
          <w:szCs w:val="17"/>
          <w:u w:val="single" w:color="auto"/>
          <w:color w:val="auto"/>
        </w:rPr>
        <w:t>LT10 Common Stock”</w:t>
      </w:r>
      <w:r>
        <w:rPr>
          <w:rFonts w:ascii="Times New Roman" w:cs="Times New Roman" w:eastAsia="Times New Roman" w:hAnsi="Times New Roman"/>
          <w:sz w:val="17"/>
          <w:szCs w:val="17"/>
          <w:color w:val="auto"/>
        </w:rPr>
        <w:t>), of the Corporation have been converted into 3,123,508 shares of Class A Common Stock, par value $0.0001 per share (“</w:t>
      </w:r>
      <w:r>
        <w:rPr>
          <w:rFonts w:ascii="Times New Roman" w:cs="Times New Roman" w:eastAsia="Times New Roman" w:hAnsi="Times New Roman"/>
          <w:sz w:val="17"/>
          <w:szCs w:val="17"/>
          <w:u w:val="single" w:color="auto"/>
          <w:color w:val="auto"/>
        </w:rPr>
        <w:t>Class A Common Stock”</w:t>
      </w:r>
      <w:r>
        <w:rPr>
          <w:rFonts w:ascii="Times New Roman" w:cs="Times New Roman" w:eastAsia="Times New Roman" w:hAnsi="Times New Roman"/>
          <w:sz w:val="17"/>
          <w:szCs w:val="17"/>
          <w:color w:val="auto"/>
        </w:rPr>
        <w:t>), of the Corporation.</w:t>
      </w:r>
    </w:p>
    <w:p>
      <w:pPr>
        <w:spacing w:after="0" w:line="72" w:lineRule="exact"/>
        <w:rPr>
          <w:rFonts w:ascii="Times New Roman" w:cs="Times New Roman" w:eastAsia="Times New Roman" w:hAnsi="Times New Roman"/>
          <w:sz w:val="17"/>
          <w:szCs w:val="17"/>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shall not be reissued by the Corporation.</w:t>
      </w:r>
    </w:p>
    <w:p>
      <w:pPr>
        <w:spacing w:after="0" w:line="108"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3,123,508 shares of LT10 Common Stock that converted into 3,123,508 shares of Class A Common Stock.</w:t>
      </w:r>
    </w:p>
    <w:p>
      <w:pPr>
        <w:spacing w:after="0" w:line="80" w:lineRule="exact"/>
        <w:rPr>
          <w:rFonts w:ascii="Times New Roman" w:cs="Times New Roman" w:eastAsia="Times New Roman" w:hAnsi="Times New Roman"/>
          <w:sz w:val="18"/>
          <w:szCs w:val="18"/>
          <w:color w:val="auto"/>
        </w:rPr>
      </w:pPr>
    </w:p>
    <w:p>
      <w:pPr>
        <w:ind w:left="660" w:right="100" w:hanging="328"/>
        <w:spacing w:after="0" w:line="25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3,123,508 shares, such that the total number of authorized shares of the Corporation shall be 1,056,840,831, such shares consisting of 1,000,000,000 shares designated Class A Common Stock, 21,871,197 shares designated LT10 Common Stock, 24,969,634 shares designated LT50 Common Stock, each with a par value of $0.0001 per share, of the Corporation, and 10,000,000 shares designated preferred stock, par value $0.0001 per share, of the Corporation.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8th day of August, 2024.</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320" w:top="1440" w:right="69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RETIREMENT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3,123,508 SHARES OF LT10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243(b)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General Corporation Law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State of Delaware</w:t>
      </w:r>
    </w:p>
    <w:p>
      <w:pPr>
        <w:spacing w:after="0" w:line="23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Expensify, Inc.,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(hereinafter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189" w:lineRule="exact"/>
        <w:rPr>
          <w:sz w:val="20"/>
          <w:szCs w:val="20"/>
          <w:color w:val="auto"/>
        </w:rPr>
      </w:pPr>
    </w:p>
    <w:p>
      <w:pPr>
        <w:ind w:left="660" w:right="540" w:hanging="328"/>
        <w:spacing w:after="0" w:line="312" w:lineRule="auto"/>
        <w:tabs>
          <w:tab w:leader="none" w:pos="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3,123,508 outstanding shares of LT10 Common Stock, par value $0.0001 per share (“</w:t>
      </w:r>
      <w:r>
        <w:rPr>
          <w:rFonts w:ascii="Times New Roman" w:cs="Times New Roman" w:eastAsia="Times New Roman" w:hAnsi="Times New Roman"/>
          <w:sz w:val="17"/>
          <w:szCs w:val="17"/>
          <w:u w:val="single" w:color="auto"/>
          <w:color w:val="auto"/>
        </w:rPr>
        <w:t>LT10 Common Stock”</w:t>
      </w:r>
      <w:r>
        <w:rPr>
          <w:rFonts w:ascii="Times New Roman" w:cs="Times New Roman" w:eastAsia="Times New Roman" w:hAnsi="Times New Roman"/>
          <w:sz w:val="17"/>
          <w:szCs w:val="17"/>
          <w:color w:val="auto"/>
        </w:rPr>
        <w:t>), of the Corporation have been converted into 3,123,508 shares of Class A Common Stock, par value $0.0001 per share (“</w:t>
      </w:r>
      <w:r>
        <w:rPr>
          <w:rFonts w:ascii="Times New Roman" w:cs="Times New Roman" w:eastAsia="Times New Roman" w:hAnsi="Times New Roman"/>
          <w:sz w:val="17"/>
          <w:szCs w:val="17"/>
          <w:u w:val="single" w:color="auto"/>
          <w:color w:val="auto"/>
        </w:rPr>
        <w:t>Class A Common Stock”</w:t>
      </w:r>
      <w:r>
        <w:rPr>
          <w:rFonts w:ascii="Times New Roman" w:cs="Times New Roman" w:eastAsia="Times New Roman" w:hAnsi="Times New Roman"/>
          <w:sz w:val="17"/>
          <w:szCs w:val="17"/>
          <w:color w:val="auto"/>
        </w:rPr>
        <w:t>), of the Corporation.</w:t>
      </w:r>
    </w:p>
    <w:p>
      <w:pPr>
        <w:spacing w:after="0" w:line="72" w:lineRule="exact"/>
        <w:rPr>
          <w:rFonts w:ascii="Times New Roman" w:cs="Times New Roman" w:eastAsia="Times New Roman" w:hAnsi="Times New Roman"/>
          <w:sz w:val="17"/>
          <w:szCs w:val="17"/>
          <w:color w:val="auto"/>
        </w:rPr>
      </w:pPr>
    </w:p>
    <w:p>
      <w:pPr>
        <w:jc w:val="both"/>
        <w:ind w:left="66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filed with the Secretary of State of the State of Delaware on November 15, 2021 provides that any shares of LT10 Common Stock which are converted into shares of Class A Common Stock shall be retired and shall not be reissued by the Corporation.</w:t>
      </w:r>
    </w:p>
    <w:p>
      <w:pPr>
        <w:spacing w:after="0" w:line="94"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has adopted resolutions retiring the 3,123,508 shares of LT10 Common Stock that converted into 3,123,508 shares of Class A Common Stock.</w:t>
      </w:r>
    </w:p>
    <w:p>
      <w:pPr>
        <w:spacing w:after="0" w:line="94" w:lineRule="exact"/>
        <w:rPr>
          <w:rFonts w:ascii="Times New Roman" w:cs="Times New Roman" w:eastAsia="Times New Roman" w:hAnsi="Times New Roman"/>
          <w:sz w:val="18"/>
          <w:szCs w:val="18"/>
          <w:color w:val="auto"/>
        </w:rPr>
      </w:pPr>
    </w:p>
    <w:p>
      <w:pPr>
        <w:ind w:left="660" w:right="100" w:hanging="328"/>
        <w:spacing w:after="0" w:line="25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pursuant to the provisions of Section 243(b) of the DGCL, upon the filing of this Certificate of Retirement, the Amended and Restated Certificate of Incorporation of the Corporation shall be amended so as to reduce the total authorized number of shares of capital stock of the Corporation by 3,123,508 shares, such that the total number of authorized shares of the Corporation shall be 1,056,840,831, such shares consisting of 1,000,000,000 shares designated Class A Common Stock, 21,871,197 shares designated LT10 Common Stock, 24,969,634 shares designated LT50 Common Stock, each with a par value of $0.0001 per share, of the Corporation, and 10,000,000 shares designated preferred stock, par value $0.0001 per share, of the Corporation.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240"/>
          </w:cols>
          <w:pgMar w:left="320" w:top="117" w:right="339" w:bottom="1440" w:gutter="0" w:footer="0" w:header="0"/>
        </w:sectPr>
      </w:pPr>
    </w:p>
    <w:bookmarkStart w:id="84" w:name="page85"/>
    <w:bookmarkEnd w:id="84"/>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Retirement to be signed by its duly authorized officer, this 8th day of August, 2024.</w:t>
      </w:r>
    </w:p>
    <w:p>
      <w:pPr>
        <w:spacing w:after="0" w:line="22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Expensify, Inc.</w:t>
      </w:r>
    </w:p>
    <w:p>
      <w:pPr>
        <w:spacing w:after="0" w:line="243" w:lineRule="exact"/>
        <w:rPr>
          <w:sz w:val="20"/>
          <w:szCs w:val="20"/>
          <w:color w:val="auto"/>
        </w:rPr>
      </w:pPr>
    </w:p>
    <w:p>
      <w:pPr>
        <w:ind w:left="8700"/>
        <w:spacing w:after="0"/>
        <w:tabs>
          <w:tab w:leader="none" w:pos="9180" w:val="left"/>
        </w:tabs>
        <w:rPr>
          <w:sz w:val="20"/>
          <w:szCs w:val="20"/>
          <w:color w:val="auto"/>
        </w:rPr>
      </w:pPr>
      <w:r>
        <w:rPr>
          <w:rFonts w:ascii="Times New Roman" w:cs="Times New Roman" w:eastAsia="Times New Roman" w:hAnsi="Times New Roman"/>
          <w:sz w:val="18"/>
          <w:szCs w:val="18"/>
          <w:color w:val="auto"/>
        </w:rPr>
        <w:t>By:</w:t>
        <w:tab/>
        <w:t>/s/ Cole 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17145</wp:posOffset>
            </wp:positionV>
            <wp:extent cx="13030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Cole Eason</w:t>
      </w:r>
    </w:p>
    <w:p>
      <w:pPr>
        <w:spacing w:after="0" w:line="2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880"/>
          </w:cols>
          <w:pgMar w:left="320" w:top="1417" w:right="69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David Barrett, certify that:</w:t>
      </w:r>
    </w:p>
    <w:p>
      <w:pPr>
        <w:spacing w:after="0" w:line="158" w:lineRule="exact"/>
        <w:rPr>
          <w:sz w:val="20"/>
          <w:szCs w:val="20"/>
          <w:color w:val="auto"/>
        </w:rPr>
      </w:pPr>
    </w:p>
    <w:p>
      <w:pPr>
        <w:ind w:left="640" w:hanging="308"/>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Expensify, Inc.;</w:t>
      </w:r>
    </w:p>
    <w:p>
      <w:pPr>
        <w:spacing w:after="0" w:line="144"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ind w:left="660" w:right="20" w:hanging="328"/>
        <w:spacing w:after="0" w:line="245"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300" w:right="540" w:hanging="320"/>
        <w:spacing w:after="0" w:line="275" w:lineRule="auto"/>
        <w:tabs>
          <w:tab w:leader="none" w:pos="1288"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c>
          <w:tcPr>
            <w:tcW w:w="0" w:type="dxa"/>
            <w:vAlign w:val="bottom"/>
          </w:tcPr>
          <w:p>
            <w:pPr>
              <w:spacing w:after="0"/>
              <w:rPr>
                <w:sz w:val="1"/>
                <w:szCs w:val="1"/>
                <w:color w:val="auto"/>
              </w:rPr>
            </w:pPr>
          </w:p>
        </w:tc>
      </w:tr>
      <w:tr>
        <w:trPr>
          <w:trHeight w:val="232"/>
        </w:trPr>
        <w:tc>
          <w:tcPr>
            <w:tcW w:w="6340" w:type="dxa"/>
            <w:vAlign w:val="bottom"/>
            <w:vMerge w:val="restart"/>
          </w:tcPr>
          <w:p>
            <w:pPr>
              <w:spacing w:after="0"/>
              <w:rPr>
                <w:sz w:val="20"/>
                <w:szCs w:val="20"/>
                <w:color w:val="auto"/>
              </w:rPr>
            </w:pPr>
            <w:r>
              <w:rPr>
                <w:rFonts w:ascii="Arial" w:cs="Arial" w:eastAsia="Arial" w:hAnsi="Arial"/>
                <w:sz w:val="18"/>
                <w:szCs w:val="18"/>
                <w:color w:val="auto"/>
              </w:rPr>
              <w:t>Date: August 8, 2024</w:t>
            </w: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Ryan Schaffer, certify that:</w:t>
      </w:r>
    </w:p>
    <w:p>
      <w:pPr>
        <w:spacing w:after="0" w:line="252"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Expensify, Inc.;</w:t>
      </w:r>
    </w:p>
    <w:p>
      <w:pPr>
        <w:spacing w:after="0" w:line="157"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8"/>
          <w:szCs w:val="18"/>
          <w:color w:val="auto"/>
        </w:rPr>
      </w:pPr>
    </w:p>
    <w:p>
      <w:pPr>
        <w:ind w:left="660" w:right="20" w:hanging="328"/>
        <w:spacing w:after="0" w:line="253"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Arial" w:cs="Arial" w:eastAsia="Arial" w:hAnsi="Arial"/>
          <w:sz w:val="18"/>
          <w:szCs w:val="18"/>
          <w:color w:val="auto"/>
        </w:rPr>
      </w:pPr>
    </w:p>
    <w:p>
      <w:pPr>
        <w:ind w:left="1300" w:right="20" w:hanging="320"/>
        <w:spacing w:after="0" w:line="268" w:lineRule="auto"/>
        <w:tabs>
          <w:tab w:leader="none" w:pos="12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Arial" w:cs="Arial" w:eastAsia="Arial" w:hAnsi="Arial"/>
          <w:sz w:val="18"/>
          <w:szCs w:val="18"/>
          <w:color w:val="auto"/>
        </w:rPr>
      </w:pPr>
    </w:p>
    <w:p>
      <w:pPr>
        <w:ind w:left="1300" w:right="540" w:hanging="320"/>
        <w:spacing w:after="0" w:line="291" w:lineRule="auto"/>
        <w:tabs>
          <w:tab w:leader="none" w:pos="1288"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Arial" w:cs="Arial" w:eastAsia="Arial" w:hAnsi="Arial"/>
          <w:sz w:val="17"/>
          <w:szCs w:val="17"/>
          <w:color w:val="auto"/>
        </w:rPr>
      </w:pPr>
    </w:p>
    <w:p>
      <w:pPr>
        <w:ind w:left="1300" w:right="300" w:hanging="320"/>
        <w:spacing w:after="0" w:line="268" w:lineRule="auto"/>
        <w:tabs>
          <w:tab w:leader="none" w:pos="1291"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300" w:right="60" w:hanging="320"/>
        <w:spacing w:after="0" w:line="268" w:lineRule="auto"/>
        <w:tabs>
          <w:tab w:leader="none" w:pos="12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Arial" w:cs="Arial" w:eastAsia="Arial" w:hAnsi="Arial"/>
          <w:sz w:val="18"/>
          <w:szCs w:val="18"/>
          <w:color w:val="auto"/>
        </w:rPr>
      </w:pPr>
    </w:p>
    <w:p>
      <w:pPr>
        <w:jc w:val="both"/>
        <w:ind w:left="1300" w:right="440" w:hanging="320"/>
        <w:spacing w:after="0" w:line="268" w:lineRule="auto"/>
        <w:tabs>
          <w:tab w:leader="none" w:pos="12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1300" w:right="780" w:hanging="320"/>
        <w:spacing w:after="0" w:line="287" w:lineRule="auto"/>
        <w:tabs>
          <w:tab w:leader="none" w:pos="128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c>
          <w:tcPr>
            <w:tcW w:w="0" w:type="dxa"/>
            <w:vAlign w:val="bottom"/>
          </w:tcPr>
          <w:p>
            <w:pPr>
              <w:spacing w:after="0"/>
              <w:rPr>
                <w:sz w:val="1"/>
                <w:szCs w:val="1"/>
                <w:color w:val="auto"/>
              </w:rPr>
            </w:pPr>
          </w:p>
        </w:tc>
      </w:tr>
      <w:tr>
        <w:trPr>
          <w:trHeight w:val="231"/>
        </w:trPr>
        <w:tc>
          <w:tcPr>
            <w:tcW w:w="6340" w:type="dxa"/>
            <w:vAlign w:val="bottom"/>
            <w:vMerge w:val="restart"/>
          </w:tcPr>
          <w:p>
            <w:pPr>
              <w:spacing w:after="0"/>
              <w:rPr>
                <w:sz w:val="20"/>
                <w:szCs w:val="20"/>
                <w:color w:val="auto"/>
              </w:rPr>
            </w:pPr>
            <w:r>
              <w:rPr>
                <w:rFonts w:ascii="Arial" w:cs="Arial" w:eastAsia="Arial" w:hAnsi="Arial"/>
                <w:sz w:val="18"/>
                <w:szCs w:val="18"/>
                <w:color w:val="auto"/>
              </w:rPr>
              <w:t>Date: August 8, 2024</w:t>
            </w: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180" w:lineRule="exact"/>
        <w:rPr>
          <w:sz w:val="20"/>
          <w:szCs w:val="20"/>
          <w:color w:val="auto"/>
        </w:rPr>
      </w:pPr>
    </w:p>
    <w:p>
      <w:pPr>
        <w:ind w:firstLine="208"/>
        <w:spacing w:after="0" w:line="268" w:lineRule="auto"/>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2024 as filed with the Securities and Exchange Commission on the date hereof (the “Report”) fully complies with the requirements of Section 13(a) or Section 15(d), as applicable, of the Securities Exchange Act of 1934, as amended; and</w:t>
      </w:r>
    </w:p>
    <w:p>
      <w:pPr>
        <w:spacing w:after="0" w:line="197" w:lineRule="exact"/>
        <w:rPr>
          <w:rFonts w:ascii="Arial" w:cs="Arial" w:eastAsia="Arial" w:hAnsi="Arial"/>
          <w:sz w:val="18"/>
          <w:szCs w:val="18"/>
          <w:color w:val="auto"/>
        </w:rPr>
      </w:pPr>
    </w:p>
    <w:p>
      <w:pPr>
        <w:ind w:right="120" w:firstLine="208"/>
        <w:spacing w:after="0" w:line="287" w:lineRule="auto"/>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c>
          <w:tcPr>
            <w:tcW w:w="0" w:type="dxa"/>
            <w:vAlign w:val="bottom"/>
          </w:tcPr>
          <w:p>
            <w:pPr>
              <w:spacing w:after="0"/>
              <w:rPr>
                <w:sz w:val="1"/>
                <w:szCs w:val="1"/>
                <w:color w:val="auto"/>
              </w:rPr>
            </w:pPr>
          </w:p>
        </w:tc>
      </w:tr>
      <w:tr>
        <w:trPr>
          <w:trHeight w:val="232"/>
        </w:trPr>
        <w:tc>
          <w:tcPr>
            <w:tcW w:w="6340" w:type="dxa"/>
            <w:vAlign w:val="bottom"/>
            <w:vMerge w:val="restart"/>
          </w:tcPr>
          <w:p>
            <w:pPr>
              <w:spacing w:after="0"/>
              <w:rPr>
                <w:sz w:val="20"/>
                <w:szCs w:val="20"/>
                <w:color w:val="auto"/>
              </w:rPr>
            </w:pPr>
            <w:r>
              <w:rPr>
                <w:rFonts w:ascii="Arial" w:cs="Arial" w:eastAsia="Arial" w:hAnsi="Arial"/>
                <w:sz w:val="18"/>
                <w:szCs w:val="18"/>
                <w:color w:val="auto"/>
              </w:rPr>
              <w:t>Date: August 8, 2024</w:t>
            </w: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180" w:lineRule="exact"/>
        <w:rPr>
          <w:sz w:val="20"/>
          <w:szCs w:val="20"/>
          <w:color w:val="auto"/>
        </w:rPr>
      </w:pPr>
    </w:p>
    <w:p>
      <w:pPr>
        <w:ind w:firstLine="208"/>
        <w:spacing w:after="0" w:line="268" w:lineRule="auto"/>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June 30, 2024 as filed with the Securities and Exchange Commission on the date hereof (the “Report”) fully complies with the requirements of Section 13(a) or Section 15(d), as applicable, of the Securities Exchange Act of 1934, as amended; and</w:t>
      </w:r>
    </w:p>
    <w:p>
      <w:pPr>
        <w:spacing w:after="0" w:line="197" w:lineRule="exact"/>
        <w:rPr>
          <w:rFonts w:ascii="Arial" w:cs="Arial" w:eastAsia="Arial" w:hAnsi="Arial"/>
          <w:sz w:val="18"/>
          <w:szCs w:val="18"/>
          <w:color w:val="auto"/>
        </w:rPr>
      </w:pPr>
    </w:p>
    <w:p>
      <w:pPr>
        <w:ind w:right="120" w:firstLine="208"/>
        <w:spacing w:after="0" w:line="287" w:lineRule="auto"/>
        <w:tabs>
          <w:tab w:leader="none" w:pos="6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c>
          <w:tcPr>
            <w:tcW w:w="0" w:type="dxa"/>
            <w:vAlign w:val="bottom"/>
          </w:tcPr>
          <w:p>
            <w:pPr>
              <w:spacing w:after="0"/>
              <w:rPr>
                <w:sz w:val="1"/>
                <w:szCs w:val="1"/>
                <w:color w:val="auto"/>
              </w:rPr>
            </w:pPr>
          </w:p>
        </w:tc>
      </w:tr>
      <w:tr>
        <w:trPr>
          <w:trHeight w:val="218"/>
        </w:trPr>
        <w:tc>
          <w:tcPr>
            <w:tcW w:w="63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c>
          <w:tcPr>
            <w:tcW w:w="0" w:type="dxa"/>
            <w:vAlign w:val="bottom"/>
          </w:tcPr>
          <w:p>
            <w:pPr>
              <w:spacing w:after="0"/>
              <w:rPr>
                <w:sz w:val="1"/>
                <w:szCs w:val="1"/>
                <w:color w:val="auto"/>
              </w:rPr>
            </w:pPr>
          </w:p>
        </w:tc>
      </w:tr>
      <w:tr>
        <w:trPr>
          <w:trHeight w:val="232"/>
        </w:trPr>
        <w:tc>
          <w:tcPr>
            <w:tcW w:w="6340" w:type="dxa"/>
            <w:vAlign w:val="bottom"/>
            <w:vMerge w:val="restart"/>
          </w:tcPr>
          <w:p>
            <w:pPr>
              <w:spacing w:after="0"/>
              <w:rPr>
                <w:sz w:val="20"/>
                <w:szCs w:val="20"/>
                <w:color w:val="auto"/>
              </w:rPr>
            </w:pPr>
            <w:r>
              <w:rPr>
                <w:rFonts w:ascii="Arial" w:cs="Arial" w:eastAsia="Arial" w:hAnsi="Arial"/>
                <w:sz w:val="18"/>
                <w:szCs w:val="18"/>
                <w:color w:val="auto"/>
              </w:rPr>
              <w:t>Date: August 8, 2024</w:t>
            </w: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7"/>
        </w:trPr>
        <w:tc>
          <w:tcPr>
            <w:tcW w:w="6340" w:type="dxa"/>
            <w:vAlign w:val="bottom"/>
            <w:vMerge w:val="continue"/>
          </w:tcPr>
          <w:p>
            <w:pPr>
              <w:spacing w:after="0"/>
              <w:rPr>
                <w:sz w:val="20"/>
                <w:szCs w:val="20"/>
                <w:color w:val="auto"/>
              </w:rPr>
            </w:pP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x"/>
      <w:numFmt w:val="bullet"/>
      <w:start w:val="1"/>
    </w:lvl>
  </w:abstractNum>
  <w:abstractNum w:abstractNumId="1">
    <w:nsid w:val="2443A858"/>
    <w:multiLevelType w:val="hybridMultilevel"/>
    <w:lvl w:ilvl="0">
      <w:lvlJc w:val="left"/>
      <w:lvlText w:val="o"/>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lowerRoman"/>
      <w:start w:val="2"/>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lowerRoman"/>
      <w:start w:val="3"/>
    </w:lvl>
  </w:abstractNum>
  <w:abstractNum w:abstractNumId="8">
    <w:nsid w:val="B03E0C6"/>
    <w:multiLevelType w:val="hybridMultilevel"/>
    <w:lvl w:ilvl="0">
      <w:lvlJc w:val="left"/>
      <w:lvlText w:val="(%1)"/>
      <w:numFmt w:val="lowerRoman"/>
      <w:start w:val="1"/>
    </w:lvl>
  </w:abstractNum>
  <w:abstractNum w:abstractNumId="9">
    <w:nsid w:val="189A769B"/>
    <w:multiLevelType w:val="hybridMultilevel"/>
    <w:lvl w:ilvl="0">
      <w:lvlJc w:val="left"/>
      <w:lvlText w:val="(%1)"/>
      <w:numFmt w:val="lowerRoman"/>
      <w:start w:val="3"/>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6">
    <w:nsid w:val="8138641"/>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abstractNum>
  <w:abstractNum w:abstractNumId="17">
    <w:nsid w:val="1E7FF521"/>
    <w:multiLevelType w:val="hybridMultilevel"/>
    <w:lvl w:ilvl="0">
      <w:lvlJc w:val="left"/>
      <w:lvlText w:val="%1"/>
      <w:numFmt w:val="decimal"/>
      <w:start w:val="1"/>
    </w:lvl>
    <w:lvl w:ilvl="1">
      <w:lvlJc w:val="left"/>
      <w:lvlText w:val="(%2)"/>
      <w:numFmt w:val="upperLetter"/>
      <w:start w:val="1"/>
    </w:lvl>
  </w:abstractNum>
  <w:abstractNum w:abstractNumId="18">
    <w:nsid w:val="7C3DBD3D"/>
    <w:multiLevelType w:val="hybridMultilevel"/>
    <w:lvl w:ilvl="0">
      <w:lvlJc w:val="left"/>
      <w:lvlText w:val="(%1)"/>
      <w:numFmt w:val="decimal"/>
      <w:start w:val="1"/>
    </w:lvl>
    <w:lvl w:ilvl="1">
      <w:lvlJc w:val="left"/>
      <w:lvlText w:val="(%2)"/>
      <w:numFmt w:val="upperLetter"/>
      <w:start w:val="3"/>
    </w:lvl>
  </w:abstractNum>
  <w:abstractNum w:abstractNumId="19">
    <w:nsid w:val="737B8DDC"/>
    <w:multiLevelType w:val="hybridMultilevel"/>
    <w:lvl w:ilvl="0">
      <w:lvlJc w:val="left"/>
      <w:lvlText w:val="(%1)"/>
      <w:numFmt w:val="upperLetter"/>
      <w:start w:val="4"/>
    </w:lvl>
    <w:lvl w:ilvl="1">
      <w:lvlJc w:val="left"/>
      <w:lvlText w:val="(%2)"/>
      <w:numFmt w:val="lowerRoman"/>
      <w:start w:val="1"/>
    </w:lvl>
  </w:abstractNum>
  <w:abstractNum w:abstractNumId="20">
    <w:nsid w:val="6CEAF087"/>
    <w:multiLevelType w:val="hybridMultilevel"/>
    <w:lvl w:ilvl="0">
      <w:lvlJc w:val="left"/>
      <w:lvlText w:val="(%1)"/>
      <w:numFmt w:val="decimal"/>
      <w:start w:val="1"/>
    </w:lvl>
    <w:lvl w:ilvl="1">
      <w:lvlJc w:val="left"/>
      <w:lvlText w:val="(%2)"/>
      <w:numFmt w:val="upperLetter"/>
      <w:start w:val="6"/>
    </w:lvl>
    <w:lvl w:ilvl="2">
      <w:lvlJc w:val="left"/>
      <w:lvlText w:val="(%3)"/>
      <w:numFmt w:val="lowerRoman"/>
      <w:start w:val="2"/>
    </w:lvl>
  </w:abstractNum>
  <w:abstractNum w:abstractNumId="21">
    <w:nsid w:val="22221A70"/>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22">
    <w:nsid w:val="4516DDE9"/>
    <w:multiLevelType w:val="hybridMultilevel"/>
    <w:lvl w:ilvl="0">
      <w:lvlJc w:val="left"/>
      <w:lvlText w:val="(%1)"/>
      <w:numFmt w:val="lowerRoman"/>
      <w:start w:val="3"/>
    </w:lvl>
  </w:abstractNum>
  <w:abstractNum w:abstractNumId="23">
    <w:nsid w:val="3006C83E"/>
    <w:multiLevelType w:val="hybridMultilevel"/>
    <w:lvl w:ilvl="0">
      <w:lvlJc w:val="left"/>
      <w:lvlText w:val="(%1)"/>
      <w:numFmt w:val="lowerRoman"/>
      <w:start w:val="9"/>
    </w:lvl>
  </w:abstractNum>
  <w:abstractNum w:abstractNumId="24">
    <w:nsid w:val="614FD4A1"/>
    <w:multiLevelType w:val="hybridMultilevel"/>
    <w:lvl w:ilvl="0">
      <w:lvlJc w:val="left"/>
      <w:lvlText w:val="(%1)"/>
      <w:numFmt w:val="upperLetter"/>
      <w:start w:val="8"/>
    </w:lvl>
    <w:lvl w:ilvl="1">
      <w:lvlJc w:val="left"/>
      <w:lvlText w:val="(%2)"/>
      <w:numFmt w:val="lowerRoman"/>
      <w:start w:val="1"/>
    </w:lvl>
  </w:abstractNum>
  <w:abstractNum w:abstractNumId="25">
    <w:nsid w:val="419AC241"/>
    <w:multiLevelType w:val="hybridMultilevel"/>
    <w:lvl w:ilvl="0">
      <w:lvlJc w:val="left"/>
      <w:lvlText w:val="(%1)"/>
      <w:numFmt w:val="lowerRoman"/>
      <w:start w:val="4"/>
    </w:lvl>
  </w:abstractNum>
  <w:abstractNum w:abstractNumId="26">
    <w:nsid w:val="5577F8E1"/>
    <w:multiLevelType w:val="hybridMultilevel"/>
    <w:lvl w:ilvl="0">
      <w:lvlJc w:val="left"/>
      <w:lvlText w:val="(%1)"/>
      <w:numFmt w:val="upperLetter"/>
      <w:start w:val="1"/>
    </w:lvl>
  </w:abstractNum>
  <w:abstractNum w:abstractNumId="27">
    <w:nsid w:val="440BADFC"/>
    <w:multiLevelType w:val="hybridMultilevel"/>
    <w:lvl w:ilvl="0">
      <w:lvlJc w:val="left"/>
      <w:lvlText w:val="(%1)"/>
      <w:numFmt w:val="upperLetter"/>
      <w:start w:val="1"/>
    </w:lvl>
  </w:abstractNum>
  <w:abstractNum w:abstractNumId="28">
    <w:nsid w:val="5072367"/>
    <w:multiLevelType w:val="hybridMultilevel"/>
    <w:lvl w:ilvl="0">
      <w:lvlJc w:val="left"/>
      <w:lvlText w:val="(%1)"/>
      <w:numFmt w:val="lowerRoman"/>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lowerRoman"/>
      <w:start w:val="1"/>
    </w:lvl>
  </w:abstractNum>
  <w:abstractNum w:abstractNumId="42">
    <w:nsid w:val="2A487CB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15" Type="http://schemas.openxmlformats.org/officeDocument/2006/relationships/hyperlink" Target="https://www.sec.gov/Archives/edgar/data/0001476840/000162828021023404/exhibit32-8xkclosing.htm" TargetMode="External"/><Relationship Id="rId116" Type="http://schemas.openxmlformats.org/officeDocument/2006/relationships/hyperlink" Target="https://www.sec.gov/Archives/edgar/data/1476840/000147684024000069/exhibit102-firstamendmen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2024-08-09T05:49:00Z</dcterms:created>
  <dcterms:modified xsi:type="dcterms:W3CDTF">2024-08-09T05:49:00Z</dcterms:modified>
</cp:coreProperties>
</file>