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0001891197</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0001891197-23-000002</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296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2960" w:type="dxa"/>
            <w:vAlign w:val="bottom"/>
            <w:vMerge w:val="restart"/>
          </w:tcPr>
          <w:p>
            <w:pPr>
              <w:ind w:left="15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8714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20826.46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8714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Form 144 amends and supersedes the prior Form 144 filed on November 29, 2023. The number of securities to be sold has been corrected. Note for 3(e): As of November 3, 2023, as stated in Issuer's quarterly report on Form 10-Q for the quarterly period ending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2023-12-08T19:07:07Z</dcterms:created>
  <dcterms:modified xsi:type="dcterms:W3CDTF">2023-12-08T19:07:07Z</dcterms:modified>
</cp:coreProperties>
</file>