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7, 2025</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Expensify,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001-41043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27-0239450</w:t>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pPr>
      <w:r>
        <w:rPr>
          <w:rFonts w:ascii="Times New Roman;serif" w:hAnsi="Times New Roman;serif"/>
          <w:b/>
          <w:color w:val="000000"/>
          <w:sz w:val="20"/>
        </w:rPr>
        <w:t>401 SW 5</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Ave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Portland, Oregon 97204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(971) 365-3939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89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811" w:type="dxa"/>
        <w:jc w:val="center"/>
        <w:tblInd w:w="0" w:type="dxa"/>
        <w:tblLayout w:type="fixed"/>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816"/>
        <w:gridCol w:w="816"/>
        <w:gridCol w:w="1157"/>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16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August 7, 2025, Expensify, Inc. (“Expensify” or the “Company”) issued a press release announcing its financial results for the quarter ended June 30, 2025. A copy of this press release is furnished as Exhibit 99.1 to this current report on Form 8-K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August 7, 2025, the Company posted an investor presentation to its website at https://ir.expensify.com (the “Investor Presentation”). A copy of the Investor Presentation is furnished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pStyle w:val="TextBody"/>
        <w:bidi w:val="0"/>
        <w:spacing w:before="0" w:after="0"/>
        <w:jc w:val="left"/>
        <w:rPr/>
      </w:pPr>
      <w:r>
        <w:rPr/>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2.02 and this Item 7.01, including Exhibits 99.1 and 99.2, is being furnished and shall not be deemed “filed” for purposes of Section 18 of the Securities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76" w:before="0" w:after="16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rFonts w:ascii="Times New Roman;serif" w:hAnsi="Times New Roman;serif"/>
          <w:b w:val="false"/>
          <w:color w:val="000000"/>
          <w:sz w:val="20"/>
        </w:rPr>
        <w:t xml:space="preserve">. </w:t>
      </w:r>
    </w:p>
    <w:tbl>
      <w:tblPr>
        <w:tblW w:w="7916"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39"/>
        <w:gridCol w:w="1939"/>
        <w:gridCol w:w="276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1-8xkq225earnings.htm">
              <w:r>
                <w:rPr>
                  <w:rStyle w:val="InternetLink"/>
                  <w:rFonts w:ascii="Times New Roman;serif" w:hAnsi="Times New Roman;serif"/>
                  <w:b w:val="false"/>
                  <w:color w:val="000080"/>
                  <w:sz w:val="20"/>
                  <w:u w:val="single"/>
                </w:rPr>
                <w:t>Press Release issued by Expensify, Inc., dated</w:t>
              </w:r>
            </w:hyperlink>
            <w:hyperlink w:anchor="exhibit991-8xkq225earnings.htm">
              <w:r>
                <w:rPr>
                  <w:rStyle w:val="InternetLink"/>
                  <w:rFonts w:ascii="Times New Roman;serif" w:hAnsi="Times New Roman;serif"/>
                  <w:b w:val="false"/>
                  <w:color w:val="000080"/>
                  <w:sz w:val="20"/>
                  <w:u w:val="single"/>
                </w:rPr>
                <w:t xml:space="preserve"> August</w:t>
              </w:r>
            </w:hyperlink>
            <w:hyperlink w:anchor="exhibit991-8xkq225earnings.htm">
              <w:r>
                <w:rPr>
                  <w:rStyle w:val="InternetLink"/>
                  <w:rFonts w:ascii="Times New Roman;serif" w:hAnsi="Times New Roman;serif"/>
                  <w:b w:val="false"/>
                  <w:color w:val="000080"/>
                  <w:sz w:val="20"/>
                  <w:u w:val="single"/>
                </w:rPr>
                <w:t xml:space="preserve"> </w:t>
              </w:r>
            </w:hyperlink>
            <w:hyperlink w:anchor="exhibit991-8xkq225earnings.htm">
              <w:r>
                <w:rPr>
                  <w:rStyle w:val="InternetLink"/>
                  <w:rFonts w:ascii="Times New Roman;serif" w:hAnsi="Times New Roman;serif"/>
                  <w:b w:val="false"/>
                  <w:color w:val="000080"/>
                  <w:sz w:val="20"/>
                  <w:u w:val="single"/>
                </w:rPr>
                <w:t>7</w:t>
              </w:r>
            </w:hyperlink>
            <w:hyperlink w:anchor="exhibit991-8xkq225earnings.htm">
              <w:r>
                <w:rPr>
                  <w:rStyle w:val="InternetLink"/>
                  <w:rFonts w:ascii="Times New Roman;serif" w:hAnsi="Times New Roman;serif"/>
                  <w:b w:val="false"/>
                  <w:color w:val="000080"/>
                  <w:sz w:val="20"/>
                  <w:u w:val="single"/>
                </w:rPr>
                <w:t>, 202</w:t>
              </w:r>
            </w:hyperlink>
            <w:hyperlink w:anchor="exhibit991-8xkq225earnings.htm">
              <w:r>
                <w:rPr>
                  <w:rStyle w:val="InternetLink"/>
                  <w:rFonts w:ascii="Times New Roman;serif" w:hAnsi="Times New Roman;serif"/>
                  <w:b w:val="false"/>
                  <w:color w:val="000080"/>
                  <w:sz w:val="20"/>
                  <w:u w:val="single"/>
                </w:rPr>
                <w:t>5</w:t>
              </w:r>
            </w:hyperlink>
            <w:hyperlink w:anchor="exhibit991-8xkq225earnings.htm">
              <w:r>
                <w:rPr>
                  <w:rStyle w:val="InternetLink"/>
                  <w:rFonts w:ascii="Times New Roman;serif" w:hAnsi="Times New Roman;serif"/>
                  <w:b w:val="false"/>
                  <w:color w:val="000080"/>
                  <w:sz w:val="20"/>
                  <w:u w:val="single"/>
                </w:rPr>
                <w:t>.</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2-8xkq225investor.htm">
              <w:r>
                <w:rPr>
                  <w:rStyle w:val="InternetLink"/>
                  <w:rFonts w:ascii="Times New Roman;serif" w:hAnsi="Times New Roman;serif"/>
                  <w:b w:val="false"/>
                  <w:color w:val="000080"/>
                  <w:sz w:val="20"/>
                  <w:u w:val="single"/>
                </w:rPr>
                <w:t xml:space="preserve">Investor Presentation, dated </w:t>
              </w:r>
            </w:hyperlink>
            <w:hyperlink w:anchor="exhibit992-8xkq225investor.htm">
              <w:r>
                <w:rPr>
                  <w:rStyle w:val="InternetLink"/>
                  <w:rFonts w:ascii="Times New Roman;serif" w:hAnsi="Times New Roman;serif"/>
                  <w:b w:val="false"/>
                  <w:color w:val="000080"/>
                  <w:sz w:val="20"/>
                  <w:u w:val="single"/>
                </w:rPr>
                <w:t>August</w:t>
              </w:r>
            </w:hyperlink>
            <w:hyperlink w:anchor="exhibit992-8xkq225investor.htm">
              <w:r>
                <w:rPr>
                  <w:rStyle w:val="InternetLink"/>
                  <w:rFonts w:ascii="Times New Roman;serif" w:hAnsi="Times New Roman;serif"/>
                  <w:b w:val="false"/>
                  <w:color w:val="000080"/>
                  <w:sz w:val="20"/>
                  <w:u w:val="single"/>
                </w:rPr>
                <w:t xml:space="preserve"> </w:t>
              </w:r>
            </w:hyperlink>
            <w:hyperlink w:anchor="exhibit992-8xkq225investor.htm">
              <w:r>
                <w:rPr>
                  <w:rStyle w:val="InternetLink"/>
                  <w:rFonts w:ascii="Times New Roman;serif" w:hAnsi="Times New Roman;serif"/>
                  <w:b w:val="false"/>
                  <w:color w:val="000080"/>
                  <w:sz w:val="20"/>
                  <w:u w:val="single"/>
                </w:rPr>
                <w:t>7</w:t>
              </w:r>
            </w:hyperlink>
            <w:hyperlink w:anchor="exhibit992-8xkq225investor.htm">
              <w:r>
                <w:rPr>
                  <w:rStyle w:val="InternetLink"/>
                  <w:rFonts w:ascii="Times New Roman;serif" w:hAnsi="Times New Roman;serif"/>
                  <w:b w:val="false"/>
                  <w:color w:val="000080"/>
                  <w:sz w:val="20"/>
                  <w:u w:val="single"/>
                </w:rPr>
                <w:t>, 202</w:t>
              </w:r>
            </w:hyperlink>
            <w:hyperlink w:anchor="exhibit992-8xkq225investor.htm">
              <w:r>
                <w:rPr>
                  <w:rStyle w:val="InternetLink"/>
                  <w:rFonts w:ascii="Times New Roman;serif" w:hAnsi="Times New Roman;serif"/>
                  <w:b w:val="false"/>
                  <w:color w:val="000080"/>
                  <w:sz w:val="20"/>
                  <w:u w:val="single"/>
                </w:rPr>
                <w:t>5</w:t>
              </w:r>
            </w:hyperlink>
            <w:hyperlink w:anchor="exhibit992-8xkq225investor.htm">
              <w:r>
                <w:rPr>
                  <w:rStyle w:val="InternetLink"/>
                  <w:rFonts w:ascii="Times New Roman;serif" w:hAnsi="Times New Roman;serif"/>
                  <w:b w:val="false"/>
                  <w:color w:val="000080"/>
                  <w:sz w:val="20"/>
                  <w:u w:val="single"/>
                </w:rPr>
                <w:t>.</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SIGNATURE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3086" w:type="dxa"/>
        <w:jc w:val="right"/>
        <w:tblInd w:w="0" w:type="dxa"/>
        <w:tblLayout w:type="fixed"/>
        <w:tblCellMar>
          <w:top w:w="28" w:type="dxa"/>
          <w:left w:w="28" w:type="dxa"/>
          <w:bottom w:w="28" w:type="dxa"/>
          <w:right w:w="28" w:type="dxa"/>
        </w:tblCellMar>
      </w:tblPr>
      <w:tblGrid>
        <w:gridCol w:w="255"/>
        <w:gridCol w:w="194"/>
        <w:gridCol w:w="196"/>
        <w:gridCol w:w="144"/>
        <w:gridCol w:w="144"/>
        <w:gridCol w:w="144"/>
        <w:gridCol w:w="587"/>
        <w:gridCol w:w="587"/>
        <w:gridCol w:w="835"/>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086"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Expensify,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EXPENSIFY ANNOUNCES Q2 2025 RESULTS</w:t>
      </w:r>
    </w:p>
    <w:p>
      <w:pPr>
        <w:pStyle w:val="TextBody"/>
        <w:bidi w:val="0"/>
        <w:spacing w:lineRule="auto" w:line="300" w:before="0" w:after="160"/>
        <w:jc w:val="center"/>
        <w:rPr>
          <w:rFonts w:ascii="Times New Roman;serif" w:hAnsi="Times New Roman;serif"/>
          <w:b w:val="false"/>
          <w:i/>
          <w:color w:val="000000"/>
          <w:sz w:val="20"/>
        </w:rPr>
      </w:pPr>
      <w:r>
        <w:rPr>
          <w:rFonts w:ascii="Times New Roman;serif" w:hAnsi="Times New Roman;serif"/>
          <w:b w:val="false"/>
          <w:i/>
          <w:color w:val="000000"/>
          <w:sz w:val="20"/>
        </w:rPr>
        <w:t>Total interchange derived from the Expensify Card grew to $5.3 million, an increase of 31% as compared to the same period last year.</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PORTLAND, Ore.--(BUSINESS WIRE)--August 7, 2025-- Expensify, Inc. (Nasdaq: EXFY), a payments superapp that helps individuals and businesses around the world simplify the way they manage money across expenses, corporate cards and bills, today released a letter to shareholders from Founder and CEO David Barrett alongside results for its quarter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A Message From Our Founder</w:t>
      </w:r>
    </w:p>
    <w:p>
      <w:pPr>
        <w:pStyle w:val="TextBody"/>
        <w:bidi w:val="0"/>
        <w:spacing w:lineRule="auto" w:line="300" w:before="0" w:after="160"/>
        <w:jc w:val="left"/>
        <w:rPr/>
      </w:pPr>
      <w:r>
        <w:rPr>
          <w:rFonts w:ascii="Times New Roman;serif" w:hAnsi="Times New Roman;serif"/>
          <w:b w:val="false"/>
          <w:color w:val="000000"/>
          <w:sz w:val="20"/>
        </w:rPr>
        <w:t xml:space="preserve">Q2 finished strong, with </w:t>
      </w:r>
      <w:r>
        <w:rPr>
          <w:rFonts w:ascii="Times New Roman;serif" w:hAnsi="Times New Roman;serif"/>
          <w:b w:val="false"/>
          <w:i/>
          <w:color w:val="000000"/>
          <w:sz w:val="20"/>
        </w:rPr>
        <w:t>F1® The Movie</w:t>
      </w:r>
      <w:r>
        <w:rPr>
          <w:color w:val="000000"/>
        </w:rPr>
        <w:t xml:space="preserve"> </w:t>
      </w:r>
      <w:r>
        <w:rPr>
          <w:rFonts w:ascii="Times New Roman;serif" w:hAnsi="Times New Roman;serif"/>
          <w:b w:val="false"/>
          <w:color w:val="000000"/>
          <w:sz w:val="20"/>
        </w:rPr>
        <w:t>putting the Expensify brand on-screen over an estimated 650 times for a total of more than 35 minutes (sometimes over 10 feet tall, if you saw it in IMAX). With a $500 million box office to date, that's easily tens of millions of moviegoers, with potentially many more to go. We believe that's on pace to be seen by more people than saw our 30 second Superbowl ad, but with over 60x more screen time… and our name on the winning team.</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While ROI on this can be hard to measure, independent brand awareness surveys are already showing 50% gains in our target demographics – and 350% gains in the highly coveted 18-24 demographic, the trendsetters of the future. We couldn't possibly be more pleased with the result of this major bet taken years ago, which we expect to benefit us for years to come. To prepare for this, and in recognition of F1's global appeal, we spent the last quarter strengthening our international offering:</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Most exciting: the Expensify Card is expected to be available in the UK and most of the EU this month (and Canada is on the way)! This means over 30 million more businesses in 18 new countries have access to the Expensify Card for the first time.</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Additionally, we added support for third party card feeds from over 10,000 additional banks, including numerous international banks in F1 viewing regions.</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Card support wouldn't mean much without language support, so we now support 10 total languages, including Spanish, French, German, Italian, Japanese, and more.</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Finally, to lower the barrier to adoption in this new market, we have added support for EUR billing, adding to our other billing options in USD, GBP, AUD, and NZD, with support for CAD on the way.</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Beyond F1 and international expansion, the core business continues its rock solid performance. Q2 cash flows from operating activities is down 4% y/y but FCF is up 10% y/y – even despite F1 payments – supporting a $3.0 million buyback of EXFY shares last quarter, and an increase of the midpoint of our full year 2025 FCF guidance by $2.0 million to $19.0 million - $23.0 million. The migration of customers from Classic to New Expensify continues at a brisk pace as New Expensify gains in capabilities, adds support for local reimbursements to most countries worldwide, and gets just a little faster every day (my personal favorite: switching pages is now 235% faster than it was the first week of March – a small detail, but one that I hit a hundred times a day).</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And last but not least, no message in this day and age would be complete without some mention of AI. This is something I personally spend nearly all my time on, and couldn't be more excited about. I've talked a big game about achieving financial AI supremacy, and Q3 is when we expect to start rolling out features to get us closer to that goal. Stay tuned!</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-david</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Founder and CEO of Expensify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Second Quarter 2025 Highlights</w: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Financial:</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Revenue was $35.8 million, an increase of 7% compared to the same period last year.</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 xml:space="preserve">Generated $8.9 million of cash from operating activities. </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Free cash flow was $6.3 million.</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 xml:space="preserve">Net loss was $8.8 million, compared to $2.8 million for the same period last year. </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Non-GAAP net loss was $1.9 million.</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Adjusted EBITDA was $(1.4) million.</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Interchange derived from the Expensify Card grew to $5.3 million, an increase of 31% compared to the same period last year.</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See Financial Outlook section for Free Cash Flow guidance for fiscal year ending December 31, 2025.</w: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Business:</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Paid members</w:t>
      </w:r>
      <w:r>
        <w:rPr>
          <w:color w:val="000000"/>
        </w:rPr>
        <w:t xml:space="preserve"> </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Paid members were 652,000, a decrease of 5% compared to the same period last year.</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Expensify Travel</w:t>
      </w:r>
      <w:r>
        <w:rPr>
          <w:color w:val="000000"/>
        </w:rPr>
        <w:t xml:space="preserve"> </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Expensify Travel saw a 44% increase in quarterly travel bookings. </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Share repurchase</w:t>
      </w:r>
      <w:r>
        <w:rPr>
          <w:color w:val="000000"/>
        </w:rPr>
        <w:t xml:space="preserve"> </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company repurchased 1,285,336 shares of its Class A common stock, totaling approximately $3.0 million. </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International expansion</w:t>
      </w:r>
      <w:r>
        <w:rPr>
          <w:color w:val="000000"/>
        </w:rPr>
        <w:t xml:space="preserve"> </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company added support for 10,000+ banks worldwide and launched Euro-based billing.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Financial Outlook</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Expensify's outlook statements are based on current estimates, expectations and assumptions and are not a guarantee of future performance. The following statements are forward-looking and actual results could differ materially depending on market conditions and the factors set forth under “Forward-Looking Statements” below. There can be no assurance that the Company will achieve the results expressed by this guidance.</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Free Cash Flow</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Expensify estimates Free Cash Flow of $19.0 million to $23.0 million for the fiscal year ending December 31, 2025.</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does not provide a reconciliation for free cash flow estimates on a forward-looking basis because it is unable, without making unreasonable efforts, to provide a meaningful or reasonably accurate calculation or estimation of net cash provided by operating activities and certain reconciling items on a forward-looking basis, which could be significant to the Company's results.</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Stock Based Compensation</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An estimate of expected stock-based compensation for the next four fiscal quarters is as follows, which is driven primarily by the pre-IPO grant of RSUs issued to all employees (which vest quarterly over eight years with approximately four years remaining).</w:t>
      </w:r>
    </w:p>
    <w:p>
      <w:pPr>
        <w:pStyle w:val="TextBody"/>
        <w:bidi w:val="0"/>
        <w:spacing w:lineRule="auto" w:line="300" w:before="0" w:after="0"/>
        <w:jc w:val="left"/>
        <w:rPr>
          <w:rFonts w:ascii="Times New Roman;serif" w:hAnsi="Times New Roman;serif"/>
          <w:b/>
          <w:color w:val="000000"/>
          <w:sz w:val="20"/>
        </w:rPr>
      </w:pPr>
      <w:r>
        <w:rPr>
          <w:rFonts w:ascii="Times New Roman;serif" w:hAnsi="Times New Roman;serif"/>
          <w:b/>
          <w:color w:val="000000"/>
          <w:sz w:val="20"/>
        </w:rPr>
        <w:t>Est. stock-based compensation (millions)</w:t>
      </w:r>
    </w:p>
    <w:tbl>
      <w:tblPr>
        <w:tblW w:w="8484" w:type="dxa"/>
        <w:jc w:val="left"/>
        <w:tblInd w:w="0" w:type="dxa"/>
        <w:tblLayout w:type="fixed"/>
        <w:tblCellMar>
          <w:top w:w="28" w:type="dxa"/>
          <w:left w:w="28" w:type="dxa"/>
          <w:bottom w:w="28" w:type="dxa"/>
          <w:right w:w="28" w:type="dxa"/>
        </w:tblCellMar>
      </w:tblPr>
      <w:tblGrid>
        <w:gridCol w:w="727"/>
        <w:gridCol w:w="639"/>
        <w:gridCol w:w="644"/>
        <w:gridCol w:w="196"/>
        <w:gridCol w:w="376"/>
        <w:gridCol w:w="109"/>
        <w:gridCol w:w="196"/>
        <w:gridCol w:w="376"/>
        <w:gridCol w:w="109"/>
        <w:gridCol w:w="109"/>
        <w:gridCol w:w="109"/>
        <w:gridCol w:w="109"/>
        <w:gridCol w:w="196"/>
        <w:gridCol w:w="376"/>
        <w:gridCol w:w="109"/>
        <w:gridCol w:w="196"/>
        <w:gridCol w:w="376"/>
        <w:gridCol w:w="109"/>
        <w:gridCol w:w="109"/>
        <w:gridCol w:w="109"/>
        <w:gridCol w:w="109"/>
        <w:gridCol w:w="196"/>
        <w:gridCol w:w="376"/>
        <w:gridCol w:w="109"/>
        <w:gridCol w:w="196"/>
        <w:gridCol w:w="376"/>
        <w:gridCol w:w="109"/>
        <w:gridCol w:w="109"/>
        <w:gridCol w:w="109"/>
        <w:gridCol w:w="109"/>
        <w:gridCol w:w="196"/>
        <w:gridCol w:w="376"/>
        <w:gridCol w:w="109"/>
        <w:gridCol w:w="196"/>
        <w:gridCol w:w="37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9" w:type="dxa"/>
            <w:gridSpan w:val="24"/>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Q2 2026</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High</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Availability of Information on Expensify’s Website</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 xml:space="preserve">Conference Call </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Expensify will host a video call to discuss the financial results and business highlights at 2:00 p.m. Pacific Time today. An investor presentation and the video call information is available on Expensify’s Investor Relations website at https://ir.expensify.com. A replay of the call will be available on the site for three months. </w: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Non-GAAP Financial Measures</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 addition to financial measures prepared in accordance with U.S. generally accepted accounting principles (“GAAP”), we provide certain non-GAAP financial measures, including adjusted EBITDA, non-GAAP net loss, and free cash flow.</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understanding and evaluating our results of operations in the same manner as our management team. These non-</w:t>
      </w: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pStyle w:val="TextBody"/>
        <w:bidi w:val="0"/>
        <w:spacing w:lineRule="auto" w:line="300" w:before="0" w:after="160"/>
        <w:jc w:val="left"/>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We define adjusted EBITDA as net loss excluding (benefit from) provision for income taxes, other (income) expenses, net, depreciation and amortization, and stock-based compensation expense.</w:t>
      </w:r>
    </w:p>
    <w:p>
      <w:pPr>
        <w:pStyle w:val="TextBody"/>
        <w:bidi w:val="0"/>
        <w:spacing w:lineRule="auto" w:line="300" w:before="0" w:after="160"/>
        <w:jc w:val="left"/>
        <w:rPr/>
      </w:pPr>
      <w:r>
        <w:rPr>
          <w:rFonts w:ascii="Times New Roman;serif" w:hAnsi="Times New Roman;serif"/>
          <w:b/>
          <w:color w:val="000000"/>
          <w:sz w:val="20"/>
        </w:rPr>
        <w:t>Non-GAAP net income.</w:t>
      </w:r>
      <w:r>
        <w:rPr>
          <w:color w:val="000000"/>
        </w:rPr>
        <w:t xml:space="preserve"> </w:t>
      </w:r>
      <w:r>
        <w:rPr>
          <w:rFonts w:ascii="Times New Roman;serif" w:hAnsi="Times New Roman;serif"/>
          <w:b w:val="false"/>
          <w:color w:val="000000"/>
          <w:sz w:val="20"/>
        </w:rPr>
        <w:t>We define non-GAAP net income as net loss excluding stock-based compensation expense.</w:t>
      </w:r>
    </w:p>
    <w:p>
      <w:pPr>
        <w:pStyle w:val="TextBody"/>
        <w:bidi w:val="0"/>
        <w:spacing w:lineRule="auto" w:line="300" w:before="0" w:after="160"/>
        <w:jc w:val="left"/>
        <w:rPr/>
      </w:pPr>
      <w:r>
        <w:rPr>
          <w:rFonts w:ascii="Times New Roman;serif" w:hAnsi="Times New Roman;serif"/>
          <w:b/>
          <w:color w:val="000000"/>
          <w:sz w:val="20"/>
        </w:rPr>
        <w:t>Free cash flow.</w:t>
      </w:r>
      <w:r>
        <w:rPr>
          <w:color w:val="000000"/>
        </w:rPr>
        <w:t xml:space="preserve"> </w:t>
      </w:r>
      <w:r>
        <w:rPr>
          <w:rFonts w:ascii="Times New Roman;serif" w:hAnsi="Times New Roman;serif"/>
          <w:b w:val="false"/>
          <w:color w:val="000000"/>
          <w:sz w:val="20"/>
        </w:rPr>
        <w:t>We define Free cash flow as net cash provided by operating activities excluding changes in settlement assets and settlement liabilities, which represent funds held for customers and customer funds in transit, respectively, reduced by the purchases of property and equipment and software development costs.</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The tables at the end of the Condensed Consolidated Financial Statements provide reconciliations to the most directly comparable GAAP financial measure to each of these non-GAAP financial measures.</w: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in this press release, or made during the earnings call, which are not historical facts, are forward-looking statements within the meaning of the Private Securities Litigation Reform Act of 1955. These statements include statements regarding our strategy, future financial condition, future operations, future cash flow, projected costs, prospects, plans, objectives of management and expected market growth, product developments and their potential impact and our stock-based compensation estimates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“ambition,” “objective,” “seeks,” “outlook,”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impact on inflation on us and our members; our borrowing costs, which have and may continue to increase as a result of increases in interest rates;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cash flows, the prevailing stock prices, general economic and market conditions and other considerations that could affect the specific timing, price and size of repurchases under our stock repurchase program or our ability to fund any stock repurchases; geopolitical tensions, including the war in Ukraine and the conflict in Israel, Gaza and surrounding areas; our ability to effectively manage our exposure to fluctuations in foreign currency exchange rates; the size of our addressable markets, market share and market trends; anticipated trends, developments and challenges in our industry, business and the highly competitive markets in which we operate; any adverse impact on our business operations as a result of using artificial intelligence or other machine learning technologies in our </w:t>
      </w: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services;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including geopolitical uncertainty and instability, and their effects on software spending; our ability to protect against security incidents, technical difficulties, or interruptions to our platform; our ability to maintain, protect and enhance our intellectual property; the impact of tariffs and global trade disruptions on us, our customers and our vendors, including the impact on inflation, supply chains and consumer sentiment;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pStyle w:val="TextBody"/>
        <w:bidi w:val="0"/>
        <w:spacing w:lineRule="auto" w:line="300" w:before="160" w:after="160"/>
        <w:jc w:val="left"/>
        <w:rPr>
          <w:rFonts w:ascii="Times New Roman;serif" w:hAnsi="Times New Roman;serif"/>
          <w:b/>
          <w:color w:val="000000"/>
          <w:sz w:val="20"/>
          <w:u w:val="single"/>
        </w:rPr>
      </w:pPr>
      <w:r>
        <w:rPr>
          <w:rFonts w:ascii="Times New Roman;serif" w:hAnsi="Times New Roman;serif"/>
          <w:b/>
          <w:color w:val="000000"/>
          <w:sz w:val="20"/>
          <w:u w:val="single"/>
        </w:rPr>
        <w:t>About Expensify</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Expensify a payments superapp that helps individuals and businesses around the world simplify the way they manage money across expenses, corporate cards and bills. More than 15 million people use Expensify's free features, which include corporate cards, expense tracking, next-day reimbursement, invoicing, bill pay, and travel booking in one app. All free. Whether you own a small business, manage a team, or close the books for your clients, Expensify makes it easy so you have more time to focus on what really matters.</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Nick Tooker</w:t>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investors@expensify.com</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Press Contact</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James Dean</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press@expensify.com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in thousands, except share data) </w:t>
      </w:r>
    </w:p>
    <w:tbl>
      <w:tblPr>
        <w:tblW w:w="10205" w:type="dxa"/>
        <w:jc w:val="center"/>
        <w:tblInd w:w="0" w:type="dxa"/>
        <w:tblLayout w:type="fixed"/>
        <w:tblCellMar>
          <w:top w:w="28" w:type="dxa"/>
          <w:left w:w="28" w:type="dxa"/>
          <w:bottom w:w="28" w:type="dxa"/>
          <w:right w:w="28" w:type="dxa"/>
        </w:tblCellMar>
      </w:tblPr>
      <w:tblGrid>
        <w:gridCol w:w="2789"/>
        <w:gridCol w:w="2349"/>
        <w:gridCol w:w="2384"/>
        <w:gridCol w:w="203"/>
        <w:gridCol w:w="763"/>
        <w:gridCol w:w="112"/>
        <w:gridCol w:w="109"/>
        <w:gridCol w:w="109"/>
        <w:gridCol w:w="109"/>
        <w:gridCol w:w="229"/>
        <w:gridCol w:w="863"/>
        <w:gridCol w:w="186"/>
      </w:tblGrid>
      <w:tr>
        <w:trPr/>
        <w:tc>
          <w:tcPr>
            <w:tcW w:w="2789"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60,519 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48,772 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12,247 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12,701 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assets,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52,715 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42,406 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2,524 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12,089 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24,277 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20,908 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152,282 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136,876 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14,866 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16,232 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13,363 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13,621 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Lease right-of-use assets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5,094 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5,441 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1,011 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187,138 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173,680 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0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liabilities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9,035 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8,240 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current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liabilities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37,093 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28,845 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48,425 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38,010 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non-current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5,378 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5,738 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1,689 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55,323 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45,437 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par value $0.0001; 10,000,000 shares authorized as of June 30, 2025 and December 31, 2024; no shares issued and outstanding as of June 30, 2025 and December 31, 2024</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par value $0.0001 </w:t>
            </w:r>
          </w:p>
          <w:p>
            <w:pPr>
              <w:pStyle w:val="TableContents"/>
              <w:bidi w:val="0"/>
              <w:spacing w:lineRule="auto" w:line="3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Class A common stock; 1,000,000,000 shares authorized as of June 30, 2025 and December 31, 2024; 80,545,905 and 79,471,414 shares of Class A common stock issued and outstanding as of June 30, 2025 and December 31, 2024, respectively </w:t>
            </w:r>
          </w:p>
          <w:p>
            <w:pPr>
              <w:pStyle w:val="TableContents"/>
              <w:bidi w:val="0"/>
              <w:spacing w:lineRule="auto" w:line="300" w:before="0" w:after="0"/>
              <w:jc w:val="left"/>
              <w:rPr>
                <w:rFonts w:ascii="Times New Roman;serif" w:hAnsi="Times New Roman;serif"/>
                <w:b w:val="false"/>
                <w:color w:val="000000"/>
                <w:sz w:val="16"/>
              </w:rPr>
            </w:pPr>
            <w:r>
              <w:rPr>
                <w:rFonts w:ascii="Times New Roman;serif" w:hAnsi="Times New Roman;serif"/>
                <w:b w:val="false"/>
                <w:color w:val="000000"/>
                <w:sz w:val="16"/>
              </w:rPr>
              <w:t>LT10 common stock; 21,871,197 shares authorized as of June 30, 2025 and December 31, 2024; 4,209,827 shares of LT10 common stock issued and outstanding as of June 30, 2025 and December 31, 2024</w:t>
            </w:r>
          </w:p>
          <w:p>
            <w:pPr>
              <w:pStyle w:val="TableContents"/>
              <w:bidi w:val="0"/>
              <w:spacing w:lineRule="auto" w:line="300" w:before="0" w:after="0"/>
              <w:jc w:val="left"/>
              <w:rPr>
                <w:rFonts w:ascii="Times New Roman;serif" w:hAnsi="Times New Roman;serif"/>
                <w:b w:val="false"/>
                <w:color w:val="000000"/>
                <w:sz w:val="16"/>
              </w:rPr>
            </w:pPr>
            <w:r>
              <w:rPr>
                <w:rFonts w:ascii="Times New Roman;serif" w:hAnsi="Times New Roman;serif"/>
                <w:b w:val="false"/>
                <w:color w:val="000000"/>
                <w:sz w:val="16"/>
              </w:rPr>
              <w:t>LT50 common stock; 24,967,114 shares authorized as of June 30, 2025 and December 31, 2024; 7,891,478 and 7,695,524 shares of LT50 common stock issued and outstanding as of June 30, 2025 and December 31, 2024, respectively</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294,591 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279,062 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(162,785)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(150,828)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131,815 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128,243 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2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187,138 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173,680 </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1711"/>
        <w:gridCol w:w="1351"/>
        <w:gridCol w:w="1356"/>
        <w:gridCol w:w="244"/>
        <w:gridCol w:w="837"/>
        <w:gridCol w:w="109"/>
        <w:gridCol w:w="109"/>
        <w:gridCol w:w="109"/>
        <w:gridCol w:w="109"/>
        <w:gridCol w:w="244"/>
        <w:gridCol w:w="837"/>
        <w:gridCol w:w="109"/>
        <w:gridCol w:w="109"/>
        <w:gridCol w:w="109"/>
        <w:gridCol w:w="109"/>
        <w:gridCol w:w="240"/>
        <w:gridCol w:w="841"/>
        <w:gridCol w:w="109"/>
        <w:gridCol w:w="109"/>
        <w:gridCol w:w="109"/>
        <w:gridCol w:w="109"/>
        <w:gridCol w:w="244"/>
        <w:gridCol w:w="837"/>
        <w:gridCol w:w="155"/>
      </w:tblGrid>
      <w:tr>
        <w:trPr/>
        <w:tc>
          <w:tcPr>
            <w:tcW w:w="171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35,764 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33,288 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71,838 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66,823 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Cost of revenue, net </w:t>
            </w:r>
            <w:r>
              <w:rPr>
                <w:rFonts w:ascii="Times New Roman;serif" w:hAnsi="Times New Roman;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35,019 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28,947 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36,819 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37,876 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12,318 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20,676 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6,456 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48,644 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39,450 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(10,338)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(1,574)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(9,449)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(10,612)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(2,788)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(3,757)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(11,957)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(6,545)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used to compute net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92,271,924 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86,593,955 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91,888,633 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85,867,683 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left"/>
        <w:rPr>
          <w:rFonts w:ascii="Times New Roman;serif" w:hAnsi="Times New Roman;serif"/>
          <w:b w:val="false"/>
          <w:color w:val="000000"/>
          <w:sz w:val="16"/>
        </w:rPr>
      </w:pPr>
      <w:r>
        <w:rPr>
          <w:rFonts w:ascii="Times New Roman;serif" w:hAnsi="Times New Roman;serif"/>
          <w:b w:val="false"/>
          <w:color w:val="000000"/>
          <w:sz w:val="16"/>
        </w:rPr>
        <w:t>(1)Includes stock-based compensation expense as follows:</w:t>
      </w:r>
    </w:p>
    <w:tbl>
      <w:tblPr>
        <w:tblW w:w="7800" w:type="dxa"/>
        <w:jc w:val="center"/>
        <w:tblInd w:w="0" w:type="dxa"/>
        <w:tblLayout w:type="fixed"/>
        <w:tblCellMar>
          <w:top w:w="28" w:type="dxa"/>
          <w:left w:w="28" w:type="dxa"/>
          <w:bottom w:w="28" w:type="dxa"/>
          <w:right w:w="28" w:type="dxa"/>
        </w:tblCellMar>
      </w:tblPr>
      <w:tblGrid>
        <w:gridCol w:w="1064"/>
        <w:gridCol w:w="934"/>
        <w:gridCol w:w="941"/>
        <w:gridCol w:w="216"/>
        <w:gridCol w:w="614"/>
        <w:gridCol w:w="120"/>
        <w:gridCol w:w="120"/>
        <w:gridCol w:w="120"/>
        <w:gridCol w:w="120"/>
        <w:gridCol w:w="216"/>
        <w:gridCol w:w="614"/>
        <w:gridCol w:w="120"/>
        <w:gridCol w:w="109"/>
        <w:gridCol w:w="109"/>
        <w:gridCol w:w="109"/>
        <w:gridCol w:w="196"/>
        <w:gridCol w:w="646"/>
        <w:gridCol w:w="109"/>
        <w:gridCol w:w="109"/>
        <w:gridCol w:w="109"/>
        <w:gridCol w:w="109"/>
        <w:gridCol w:w="196"/>
        <w:gridCol w:w="646"/>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 net</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2,770 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2,886 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5,818 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2,018 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3,144 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1,178 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1,703 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961 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stock-based compensation expense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6,927 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8,381 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14,917 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15,905 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8648" w:type="dxa"/>
        <w:jc w:val="left"/>
        <w:tblInd w:w="0" w:type="dxa"/>
        <w:tblLayout w:type="fixed"/>
        <w:tblCellMar>
          <w:top w:w="28" w:type="dxa"/>
          <w:left w:w="28" w:type="dxa"/>
          <w:bottom w:w="28" w:type="dxa"/>
          <w:right w:w="28" w:type="dxa"/>
        </w:tblCellMar>
      </w:tblPr>
      <w:tblGrid>
        <w:gridCol w:w="2342"/>
        <w:gridCol w:w="2055"/>
        <w:gridCol w:w="2067"/>
        <w:gridCol w:w="181"/>
        <w:gridCol w:w="616"/>
        <w:gridCol w:w="109"/>
        <w:gridCol w:w="109"/>
        <w:gridCol w:w="109"/>
        <w:gridCol w:w="109"/>
        <w:gridCol w:w="181"/>
        <w:gridCol w:w="616"/>
        <w:gridCol w:w="154"/>
      </w:tblGrid>
      <w:tr>
        <w:trPr/>
        <w:tc>
          <w:tcPr>
            <w:tcW w:w="2342"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2024</w:t>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operating activities:</w:t>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(11,957)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(6,545)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loss to net cash provided by operating activities: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3,053 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Reduction of operating lease right-of-use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Loss on impairment, receivables and sale or disposal of equipment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15,905 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original issue discount and debt issuance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tax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assets and liabilities: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Settlement assets, net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(7,876)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9,565 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Other current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 and other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Settlement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8,248 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4,887 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Other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operating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13,721 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12,788 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investing activities: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Software development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(4,867)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investing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(1,672)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(4,867)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financing activities: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Principal payments of finance leases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Principal payments of outstanding debt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(75)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for debt issuance costs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Repurchases of early exercised stock options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common stock purchased under Matching Plan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2,004 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common stock upon exercise of stock options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and retirement of common stock</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(3,026)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provided by financing activities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(455)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1,816 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Net increase in cash and cash equivalents and restricted cash</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11,594 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9,737 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 and restricted cash, beginning of period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90,834 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96,658 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 and restricted cash, end of period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102,428 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106,395 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Supplemental disclosure of cash flow information:</w:t>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interest</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income taxes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4,418 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Noncash investing and financing items: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capitalized as software development costs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 and capitalized software in accounts payable and accrued expenses</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Fair value of common stock issued to settle liability-classified restricted stock units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Reconciliation of cash and cash equivalents and restricted cash to the Condensed Consolidated Balance Sheets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60,519 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53,234 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 included in other current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30,591 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 included in settlement assets, net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20,777 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22,570 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Total cash, cash equivalents and restricted cash</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102,428 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106,395 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Reconciliation of GAAP to Non-GAAP Financial Measures</w:t>
      </w:r>
    </w:p>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percentages)</w:t>
      </w:r>
    </w:p>
    <w:p>
      <w:pPr>
        <w:pStyle w:val="TextBody"/>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Adjusted EBITDA and Adjusted EBITDA Margin</w:t>
      </w:r>
    </w:p>
    <w:tbl>
      <w:tblPr>
        <w:tblW w:w="6212" w:type="dxa"/>
        <w:jc w:val="left"/>
        <w:tblInd w:w="0" w:type="dxa"/>
        <w:tblLayout w:type="fixed"/>
        <w:tblCellMar>
          <w:top w:w="28" w:type="dxa"/>
          <w:left w:w="28" w:type="dxa"/>
          <w:bottom w:w="28" w:type="dxa"/>
          <w:right w:w="28" w:type="dxa"/>
        </w:tblCellMar>
      </w:tblPr>
      <w:tblGrid>
        <w:gridCol w:w="1256"/>
        <w:gridCol w:w="1098"/>
        <w:gridCol w:w="1110"/>
        <w:gridCol w:w="211"/>
        <w:gridCol w:w="691"/>
        <w:gridCol w:w="271"/>
        <w:gridCol w:w="109"/>
        <w:gridCol w:w="109"/>
        <w:gridCol w:w="109"/>
        <w:gridCol w:w="211"/>
        <w:gridCol w:w="721"/>
        <w:gridCol w:w="316"/>
      </w:tblGrid>
      <w:tr>
        <w:trPr/>
        <w:tc>
          <w:tcPr>
            <w:tcW w:w="125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(8,788)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(2,764)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margin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6,927 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8,381 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(1,393)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10,190 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Non-GAAP Net Income and Non-GAAP Net Income Margin</w:t>
      </w:r>
    </w:p>
    <w:tbl>
      <w:tblPr>
        <w:tblW w:w="5793" w:type="dxa"/>
        <w:jc w:val="left"/>
        <w:tblInd w:w="0" w:type="dxa"/>
        <w:tblLayout w:type="fixed"/>
        <w:tblCellMar>
          <w:top w:w="28" w:type="dxa"/>
          <w:left w:w="28" w:type="dxa"/>
          <w:bottom w:w="28" w:type="dxa"/>
          <w:right w:w="28" w:type="dxa"/>
        </w:tblCellMar>
      </w:tblPr>
      <w:tblGrid>
        <w:gridCol w:w="1115"/>
        <w:gridCol w:w="975"/>
        <w:gridCol w:w="985"/>
        <w:gridCol w:w="211"/>
        <w:gridCol w:w="691"/>
        <w:gridCol w:w="271"/>
        <w:gridCol w:w="109"/>
        <w:gridCol w:w="109"/>
        <w:gridCol w:w="109"/>
        <w:gridCol w:w="211"/>
        <w:gridCol w:w="691"/>
        <w:gridCol w:w="316"/>
      </w:tblGrid>
      <w:tr>
        <w:trPr/>
        <w:tc>
          <w:tcPr>
            <w:tcW w:w="111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(8,788)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(2,764)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margin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6,927 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8,381 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(1,861)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5,617 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Non-GAAP net (loss) income margin</w:t>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Free Cash Flow and Free Cash Flow Margin</w:t>
      </w:r>
    </w:p>
    <w:tbl>
      <w:tblPr>
        <w:tblW w:w="7067" w:type="dxa"/>
        <w:jc w:val="left"/>
        <w:tblInd w:w="0" w:type="dxa"/>
        <w:tblLayout w:type="fixed"/>
        <w:tblCellMar>
          <w:top w:w="28" w:type="dxa"/>
          <w:left w:w="28" w:type="dxa"/>
          <w:bottom w:w="28" w:type="dxa"/>
          <w:right w:w="28" w:type="dxa"/>
        </w:tblCellMar>
      </w:tblPr>
      <w:tblGrid>
        <w:gridCol w:w="1628"/>
        <w:gridCol w:w="1434"/>
        <w:gridCol w:w="1437"/>
        <w:gridCol w:w="211"/>
        <w:gridCol w:w="616"/>
        <w:gridCol w:w="271"/>
        <w:gridCol w:w="109"/>
        <w:gridCol w:w="109"/>
        <w:gridCol w:w="109"/>
        <w:gridCol w:w="211"/>
        <w:gridCol w:w="616"/>
        <w:gridCol w:w="316"/>
      </w:tblGrid>
      <w:tr>
        <w:trPr/>
        <w:tc>
          <w:tcPr>
            <w:tcW w:w="162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8,916 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9,317 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changes in assets and liabilities: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(3,317)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6,311 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5,718 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margin</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8"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20"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22"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24"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8"/>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26"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28"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0"/>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0"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11"/>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3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12"/>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3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13"/>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36"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14"/>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38"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4" descr=""/>
                    <pic:cNvPicPr>
                      <a:picLocks noChangeAspect="1" noChangeArrowheads="1"/>
                    </pic:cNvPicPr>
                  </pic:nvPicPr>
                  <pic:blipFill>
                    <a:blip r:embed="rId15"/>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0"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pPr>
      <w:r>
        <w:rPr/>
        <w:drawing>
          <wp:inline distT="0" distB="0" distL="0" distR="0">
            <wp:extent cx="9144000" cy="5143500"/>
            <wp:effectExtent l="0" t="0" r="0" b="0"/>
            <wp:docPr id="4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5" descr=""/>
                    <pic:cNvPicPr>
                      <a:picLocks noChangeAspect="1" noChangeArrowheads="1"/>
                    </pic:cNvPicPr>
                  </pic:nvPicPr>
                  <pic:blipFill>
                    <a:blip r:embed="rId16"/>
                    <a:stretch>
                      <a:fillRect/>
                    </a:stretch>
                  </pic:blipFill>
                  <pic:spPr bwMode="auto">
                    <a:xfrm>
                      <a:off x="0" y="0"/>
                      <a:ext cx="9144000" cy="5143500"/>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2"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17"/>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4"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18"/>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6"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8" descr=""/>
                    <pic:cNvPicPr>
                      <a:picLocks noChangeAspect="1" noChangeArrowheads="1"/>
                    </pic:cNvPicPr>
                  </pic:nvPicPr>
                  <pic:blipFill>
                    <a:blip r:embed="rId19"/>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8"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9" descr=""/>
                    <pic:cNvPicPr>
                      <a:picLocks noChangeAspect="1" noChangeArrowheads="1"/>
                    </pic:cNvPicPr>
                  </pic:nvPicPr>
                  <pic:blipFill>
                    <a:blip r:embed="rId20"/>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0"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0" descr=""/>
                    <pic:cNvPicPr>
                      <a:picLocks noChangeAspect="1" noChangeArrowheads="1"/>
                    </pic:cNvPicPr>
                  </pic:nvPicPr>
                  <pic:blipFill>
                    <a:blip r:embed="rId21"/>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5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1" descr=""/>
                    <pic:cNvPicPr>
                      <a:picLocks noChangeAspect="1" noChangeArrowheads="1"/>
                    </pic:cNvPicPr>
                  </pic:nvPicPr>
                  <pic:blipFill>
                    <a:blip r:embed="rId22"/>
                    <a:stretch>
                      <a:fillRect/>
                    </a:stretch>
                  </pic:blipFill>
                  <pic:spPr bwMode="auto">
                    <a:xfrm>
                      <a:off x="0" y="0"/>
                      <a:ext cx="9144000" cy="5143500"/>
                    </a:xfrm>
                    <a:prstGeom prst="rect">
                      <a:avLst/>
                    </a:prstGeom>
                  </pic:spPr>
                </pic:pic>
              </a:graphicData>
            </a:graphic>
          </wp:inline>
        </w:drawing>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15.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4511</Words>
  <Characters>25126</Characters>
  <CharactersWithSpaces>29110</CharactersWithSpaces>
  <Paragraphs>811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