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5528801.xml.htm"/>
      <w:bookmarkStart w:id="1" w:name="kswkform4_1745528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Mills Jason Fahr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73"/>
        <w:gridCol w:w="453"/>
        <w:gridCol w:w="712"/>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03/14/2025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17,923</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295,967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03/15/2025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299,789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14,339</w:t>
            </w:r>
            <w:r>
              <w:rPr>
                <w:rFonts w:ascii="Times;serif" w:hAnsi="Times;serif"/>
                <w:color w:val="008000"/>
                <w:position w:val="7"/>
                <w:sz w:val="16"/>
                <w:sz w:val="20"/>
                <w:shd w:fill="FFFFFF" w:val="clear"/>
              </w:rPr>
              <w:t>(3)</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314,128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03/19/2025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1,996</w:t>
            </w:r>
            <w:r>
              <w:rPr>
                <w:rFonts w:ascii="Times;serif" w:hAnsi="Times;serif"/>
                <w:color w:val="008000"/>
                <w:position w:val="7"/>
                <w:sz w:val="16"/>
                <w:sz w:val="20"/>
                <w:shd w:fill="FFFFFF" w:val="clear"/>
              </w:rPr>
              <w:t>(4)</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w:t>
            </w:r>
            <w:r>
              <w:rPr>
                <w:rFonts w:ascii="Times;serif" w:hAnsi="Times;serif"/>
                <w:color w:val="008000"/>
                <w:position w:val="7"/>
                <w:sz w:val="16"/>
                <w:sz w:val="20"/>
                <w:shd w:fill="FFFFFF" w:val="clear"/>
              </w:rPr>
              <w:t>(5)</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312,132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03/20/2025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3,774</w:t>
            </w:r>
            <w:r>
              <w:rPr>
                <w:rFonts w:ascii="Times;serif" w:hAnsi="Times;serif"/>
                <w:color w:val="008000"/>
                <w:position w:val="7"/>
                <w:sz w:val="16"/>
                <w:sz w:val="20"/>
                <w:shd w:fill="FFFFFF" w:val="clear"/>
              </w:rPr>
              <w:t>(6)</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3.27</w:t>
            </w:r>
            <w:r>
              <w:rPr>
                <w:rFonts w:ascii="Times;serif" w:hAnsi="Times;serif"/>
                <w:color w:val="008000"/>
                <w:position w:val="7"/>
                <w:sz w:val="16"/>
                <w:sz w:val="20"/>
                <w:shd w:fill="FFFFFF" w:val="clear"/>
              </w:rPr>
              <w:t>(7)</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308,358</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92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68,782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LT50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68,782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LT50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3,822</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38,213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w:t>
            </w:r>
            <w:r>
              <w:rPr>
                <w:rFonts w:ascii="Times;serif" w:hAnsi="Times;serif"/>
                <w:color w:val="008000"/>
                <w:position w:val="7"/>
                <w:sz w:val="16"/>
                <w:sz w:val="20"/>
                <w:shd w:fill="FFFFFF" w:val="clear"/>
              </w:rPr>
              <w:t>(11)</w:t>
            </w:r>
            <w:r>
              <w:rPr/>
              <w:t xml:space="preserve"> </w:t>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LT50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534,925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534,925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w:t>
            </w:r>
            <w:r>
              <w:rPr>
                <w:rFonts w:ascii="Times;serif" w:hAnsi="Times;serif"/>
                <w:color w:val="008000"/>
                <w:position w:val="7"/>
                <w:sz w:val="16"/>
                <w:sz w:val="20"/>
                <w:shd w:fill="FFFFFF" w:val="clear"/>
              </w:rPr>
              <w:t>(11)(12)</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purchased pursuant to the Expensify, Inc. 2021 Stock Purchase and Matching Plan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the contingent right to receive one share of Class A common stock. This transaction represents the settlement of vested RSUs in shares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granted as matched shares pursuant to the SPMP.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Reporting Person's pro rata portion of the total shares sold on the transaction date to cover taxes upon the vesting of RSUs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of all shares sold on the transaction date by the Issuer's broker to cover taxes upon the vesting of RSUs for certain employees of the Issuer. These shares were sold in multiple transactions at prices ranging from $3.21 to $3.38,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Reporting Person's pro rata portion of the total shares sold on the transaction date to cover taxes for shares granted as matched shares under the SPMP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$3.22 to $3.33,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vest 12.5% on September 15, 2022 and 1/32nd each quarter thereafter, on December 15th, March 15th, June 15th and September 15th.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Each RSU represents the contingent right to receive one share of LT50 common stock. This transaction represents the settlement of vested RSUs in shares of LT50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Deposited into the Expensify Voting Trust (the "Voting Trust"). The Reporting Person retains investment control and dispositive power over the shares deposited into the Voting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By LILIJK LLC, a manager-managed limited liability company. The investment and voting decisions of LILIJK LLC are made by its manager, the Reporting Person, and its controlling member is the Figueroa-Mills Family Revocable Trust, for which the Reporting Person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1197"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1213</Words>
  <Characters>6328</Characters>
  <CharactersWithSpaces>7410</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