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0001891862</w:t>
            </w:r>
          </w:p>
        </w:tc>
        <w:tc>
          <w:tcPr>
            <w:tcW w:w="2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29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4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2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4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4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4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4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835"/>
        </w:trPr>
        <w:tc>
          <w:tcPr>
            <w:tcW w:w="74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29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400" w:type="dxa"/>
            <w:vAlign w:val="bottom"/>
          </w:tcPr>
          <w:p>
            <w:pPr>
              <w:spacing w:after="0"/>
              <w:rPr>
                <w:sz w:val="24"/>
                <w:szCs w:val="24"/>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5"/>
              </w:rPr>
              <w:t>Expensify,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400" w:type="dxa"/>
            <w:vAlign w:val="bottom"/>
          </w:tcPr>
          <w:p>
            <w:pPr>
              <w:spacing w:after="0"/>
              <w:rPr>
                <w:sz w:val="24"/>
                <w:szCs w:val="24"/>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001-41043</w:t>
            </w:r>
          </w:p>
        </w:tc>
      </w:tr>
      <w:tr>
        <w:trPr>
          <w:trHeight w:val="258"/>
        </w:trPr>
        <w:tc>
          <w:tcPr>
            <w:tcW w:w="3000" w:type="dxa"/>
            <w:vAlign w:val="bottom"/>
          </w:tcPr>
          <w:p>
            <w:pPr>
              <w:spacing w:after="0"/>
              <w:rPr>
                <w:sz w:val="22"/>
                <w:szCs w:val="22"/>
                <w:color w:val="auto"/>
              </w:rPr>
            </w:pPr>
          </w:p>
        </w:tc>
        <w:tc>
          <w:tcPr>
            <w:tcW w:w="4400" w:type="dxa"/>
            <w:vAlign w:val="bottom"/>
          </w:tcPr>
          <w:p>
            <w:pPr>
              <w:spacing w:after="0"/>
              <w:rPr>
                <w:sz w:val="22"/>
                <w:szCs w:val="22"/>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88 Kearny St</w:t>
            </w:r>
          </w:p>
        </w:tc>
      </w:tr>
      <w:tr>
        <w:trPr>
          <w:trHeight w:val="243"/>
        </w:trPr>
        <w:tc>
          <w:tcPr>
            <w:tcW w:w="300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2940" w:type="dxa"/>
            <w:vAlign w:val="bottom"/>
          </w:tcPr>
          <w:p>
            <w:pPr>
              <w:ind w:left="1640"/>
              <w:spacing w:after="0" w:line="243" w:lineRule="exact"/>
              <w:rPr>
                <w:sz w:val="20"/>
                <w:szCs w:val="20"/>
                <w:color w:val="auto"/>
              </w:rPr>
            </w:pPr>
            <w:r>
              <w:rPr>
                <w:rFonts w:ascii="Times New Roman" w:cs="Times New Roman" w:eastAsia="Times New Roman" w:hAnsi="Times New Roman"/>
                <w:sz w:val="22"/>
                <w:szCs w:val="22"/>
                <w:color w:val="auto"/>
              </w:rPr>
              <w:t>Ste 1600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400" w:type="dxa"/>
            <w:vAlign w:val="bottom"/>
          </w:tcPr>
          <w:p>
            <w:pPr>
              <w:spacing w:after="0"/>
              <w:rPr>
                <w:sz w:val="21"/>
                <w:szCs w:val="21"/>
                <w:color w:val="auto"/>
              </w:rPr>
            </w:pPr>
          </w:p>
        </w:tc>
        <w:tc>
          <w:tcPr>
            <w:tcW w:w="2940" w:type="dxa"/>
            <w:vAlign w:val="bottom"/>
          </w:tcPr>
          <w:p>
            <w:pPr>
              <w:ind w:left="1640"/>
              <w:spacing w:after="0" w:line="243" w:lineRule="exact"/>
              <w:rPr>
                <w:sz w:val="20"/>
                <w:szCs w:val="20"/>
                <w:color w:val="auto"/>
              </w:rPr>
            </w:pPr>
            <w:r>
              <w:rPr>
                <w:rFonts w:ascii="Times New Roman" w:cs="Times New Roman" w:eastAsia="Times New Roman" w:hAnsi="Times New Roman"/>
                <w:sz w:val="22"/>
                <w:szCs w:val="22"/>
                <w:color w:val="auto"/>
              </w:rPr>
              <w:t>San Francisco</w:t>
            </w:r>
          </w:p>
        </w:tc>
      </w:tr>
      <w:tr>
        <w:trPr>
          <w:trHeight w:val="243"/>
        </w:trPr>
        <w:tc>
          <w:tcPr>
            <w:tcW w:w="300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2940" w:type="dxa"/>
            <w:vAlign w:val="bottom"/>
          </w:tcPr>
          <w:p>
            <w:pPr>
              <w:ind w:left="1640"/>
              <w:spacing w:after="0" w:line="243" w:lineRule="exact"/>
              <w:rPr>
                <w:sz w:val="20"/>
                <w:szCs w:val="20"/>
                <w:color w:val="auto"/>
              </w:rPr>
            </w:pPr>
            <w:r>
              <w:rPr>
                <w:rFonts w:ascii="Times New Roman" w:cs="Times New Roman" w:eastAsia="Times New Roman" w:hAnsi="Times New Roman"/>
                <w:sz w:val="22"/>
                <w:szCs w:val="22"/>
                <w:color w:val="auto"/>
                <w:w w:val="96"/>
              </w:rPr>
              <w:t>CALIFORNIA</w:t>
            </w:r>
          </w:p>
        </w:tc>
      </w:tr>
      <w:tr>
        <w:trPr>
          <w:trHeight w:val="282"/>
        </w:trPr>
        <w:tc>
          <w:tcPr>
            <w:tcW w:w="30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94108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400" w:type="dxa"/>
            <w:vAlign w:val="bottom"/>
          </w:tcPr>
          <w:p>
            <w:pPr>
              <w:spacing w:after="0"/>
              <w:rPr>
                <w:sz w:val="24"/>
                <w:szCs w:val="24"/>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971-365-3939</w:t>
            </w:r>
          </w:p>
        </w:tc>
      </w:tr>
      <w:tr>
        <w:trPr>
          <w:trHeight w:val="297"/>
        </w:trPr>
        <w:tc>
          <w:tcPr>
            <w:tcW w:w="74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Daniel Vidal</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9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9809</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12751.7</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84278255</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06/15/2026</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820" w:type="dxa"/>
            <w:vAlign w:val="bottom"/>
            <w:gridSpan w:val="2"/>
            <w:vMerge w:val="restart"/>
          </w:tcPr>
          <w:p>
            <w:pPr>
              <w:ind w:left="240"/>
              <w:spacing w:after="0"/>
              <w:rPr>
                <w:sz w:val="20"/>
                <w:szCs w:val="20"/>
                <w:color w:val="auto"/>
              </w:rPr>
            </w:pPr>
            <w:r>
              <w:rPr>
                <w:rFonts w:ascii="Times New Roman" w:cs="Times New Roman" w:eastAsia="Times New Roman" w:hAnsi="Times New Roman"/>
                <w:sz w:val="22"/>
                <w:szCs w:val="22"/>
                <w:color w:val="auto"/>
              </w:rPr>
              <w:t>06/15/2026 SPMP Purchase</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7426</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06/15/2026 Compensation</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2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820" w:type="dxa"/>
            <w:vAlign w:val="bottom"/>
            <w:gridSpan w:val="2"/>
            <w:vMerge w:val="restart"/>
          </w:tcPr>
          <w:p>
            <w:pPr>
              <w:ind w:left="240"/>
              <w:spacing w:after="0"/>
              <w:rPr>
                <w:sz w:val="20"/>
                <w:szCs w:val="20"/>
                <w:color w:val="auto"/>
              </w:rPr>
            </w:pPr>
            <w:r>
              <w:rPr>
                <w:rFonts w:ascii="Times New Roman" w:cs="Times New Roman" w:eastAsia="Times New Roman" w:hAnsi="Times New Roman"/>
                <w:sz w:val="22"/>
                <w:szCs w:val="22"/>
                <w:color w:val="auto"/>
              </w:rPr>
              <w:t>06/15/2026 RSU Vesting</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2383</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06/15/2026 Compensation</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2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Daniel Vidal</w:t>
            </w:r>
          </w:p>
        </w:tc>
        <w:tc>
          <w:tcPr>
            <w:tcW w:w="4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88 Kearny St</w:t>
            </w:r>
          </w:p>
        </w:tc>
        <w:tc>
          <w:tcPr>
            <w:tcW w:w="4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03/17/2026 6158</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4680.08</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Ste 1600</w:t>
            </w:r>
          </w:p>
        </w:tc>
        <w:tc>
          <w:tcPr>
            <w:tcW w:w="4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Daniel Vidal</w:t>
            </w:r>
          </w:p>
        </w:tc>
        <w:tc>
          <w:tcPr>
            <w:tcW w:w="4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88 Kearny St</w:t>
            </w:r>
          </w:p>
        </w:tc>
        <w:tc>
          <w:tcPr>
            <w:tcW w:w="4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03/24/2026 1510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1268.4</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Ste 1600</w:t>
            </w:r>
          </w:p>
        </w:tc>
        <w:tc>
          <w:tcPr>
            <w:tcW w:w="4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98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8"/>
              </w:rPr>
              <w:t>Note for 3(e): As of May 4, 2026, as stated in Issuer's quarterly report on Form 10-K for the fiscal quarter ending</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9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March 31, 2026.</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9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06/12/2026</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9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9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Cole Eason as attorney-in-fact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28th day of November, 2023.</w:t>
      </w:r>
    </w:p>
    <w:p>
      <w:pPr>
        <w:spacing w:after="0" w:line="200" w:lineRule="exact"/>
        <w:rPr>
          <w:sz w:val="20"/>
          <w:szCs w:val="20"/>
          <w:color w:val="auto"/>
        </w:rPr>
      </w:pPr>
    </w:p>
    <w:p>
      <w:pPr>
        <w:spacing w:after="0" w:line="33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Daniel Vidal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Daniel Vidal</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2026-06-12T06:48:07Z</dcterms:created>
  <dcterms:modified xsi:type="dcterms:W3CDTF">2026-06-12T06:48:07Z</dcterms:modified>
</cp:coreProperties>
</file>