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November 9, 2021</w:t>
      </w:r>
    </w:p>
    <w:p>
      <w:pPr>
        <w:spacing w:after="0" w:line="17" w:lineRule="exact"/>
        <w:rPr>
          <w:sz w:val="24"/>
          <w:szCs w:val="24"/>
          <w:color w:val="auto"/>
        </w:rPr>
      </w:pPr>
    </w:p>
    <w:p>
      <w:pPr>
        <w:ind w:left="92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S-8</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REGISTRATION STATEMENT</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UNDER</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EXPENSIFY,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323"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27-0239450</w:t>
      </w:r>
    </w:p>
    <w:p>
      <w:pPr>
        <w:spacing w:after="0" w:line="57" w:lineRule="exact"/>
        <w:rPr>
          <w:sz w:val="24"/>
          <w:szCs w:val="24"/>
          <w:color w:val="auto"/>
        </w:rPr>
      </w:pPr>
    </w:p>
    <w:p>
      <w:pPr>
        <w:sectPr>
          <w:pgSz w:w="11900" w:h="16838" w:orient="portrait"/>
          <w:cols w:equalWidth="0" w:num="2">
            <w:col w:w="7360" w:space="720"/>
            <w:col w:w="3120"/>
          </w:cols>
          <w:pgMar w:left="320" w:top="1440" w:right="379" w:bottom="1440" w:gutter="0" w:footer="0" w:header="0"/>
          <w:type w:val="continuous"/>
        </w:sect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0"/>
          <w:szCs w:val="10"/>
          <w:b w:val="1"/>
          <w:bCs w:val="1"/>
          <w:color w:val="auto"/>
        </w:rPr>
        <w:t>Identification No.)</w:t>
      </w:r>
    </w:p>
    <w:p>
      <w:pPr>
        <w:spacing w:after="0" w:line="177" w:lineRule="exact"/>
        <w:rPr>
          <w:sz w:val="24"/>
          <w:szCs w:val="24"/>
          <w:color w:val="auto"/>
        </w:rPr>
      </w:pPr>
    </w:p>
    <w:p>
      <w:pPr>
        <w:sectPr>
          <w:pgSz w:w="11900" w:h="16838" w:orient="portrait"/>
          <w:cols w:equalWidth="0" w:num="2">
            <w:col w:w="7220" w:space="720"/>
            <w:col w:w="3260"/>
          </w:cols>
          <w:pgMar w:left="320" w:top="1440"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b w:val="1"/>
          <w:bCs w:val="1"/>
          <w:color w:val="auto"/>
        </w:rPr>
        <w:t>401 SW 5</w:t>
      </w:r>
      <w:r>
        <w:rPr>
          <w:rFonts w:ascii="Arial" w:cs="Arial" w:eastAsia="Arial" w:hAnsi="Arial"/>
          <w:sz w:val="9"/>
          <w:szCs w:val="9"/>
          <w:b w:val="1"/>
          <w:bCs w:val="1"/>
          <w:color w:val="auto"/>
        </w:rPr>
        <w:t>th</w:t>
      </w:r>
      <w:r>
        <w:rPr>
          <w:rFonts w:ascii="Arial" w:cs="Arial" w:eastAsia="Arial" w:hAnsi="Arial"/>
          <w:sz w:val="14"/>
          <w:szCs w:val="14"/>
          <w:b w:val="1"/>
          <w:bCs w:val="1"/>
          <w:color w:val="auto"/>
        </w:rPr>
        <w:t xml:space="preserve"> Ave</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Portland, Oregon 97204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0"/>
          <w:szCs w:val="10"/>
          <w:b w:val="1"/>
          <w:bCs w:val="1"/>
          <w:color w:val="auto"/>
        </w:rPr>
        <w:t>(Address, including zip code of Principal Executive Offices)</w:t>
      </w:r>
    </w:p>
    <w:p>
      <w:pPr>
        <w:sectPr>
          <w:pgSz w:w="11900" w:h="16838" w:orient="portrait"/>
          <w:cols w:equalWidth="0" w:num="1">
            <w:col w:w="11200"/>
          </w:cols>
          <w:pgMar w:left="320" w:top="1440" w:right="379" w:bottom="1440" w:gutter="0" w:footer="0" w:header="0"/>
          <w:type w:val="continuous"/>
        </w:sectPr>
      </w:pPr>
    </w:p>
    <w:p>
      <w:pPr>
        <w:spacing w:after="0" w:line="11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Expensify, Inc. 2009 Stock Plan</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Expensify, Inc. 2019 Stock Plan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Expensify, Inc. 2021 Incentive Award Plan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Expensify, Inc. 2021 Non-Qualified Employee Stock Purchase and Matching Plan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(Full title of the plan)</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Ryan Schaffer</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401 SW 5</w:t>
      </w:r>
      <w:r>
        <w:rPr>
          <w:rFonts w:ascii="Arial" w:cs="Arial" w:eastAsia="Arial" w:hAnsi="Arial"/>
          <w:sz w:val="9"/>
          <w:szCs w:val="9"/>
          <w:b w:val="1"/>
          <w:bCs w:val="1"/>
          <w:color w:val="auto"/>
        </w:rPr>
        <w:t>th</w:t>
      </w:r>
      <w:r>
        <w:rPr>
          <w:rFonts w:ascii="Arial" w:cs="Arial" w:eastAsia="Arial" w:hAnsi="Arial"/>
          <w:sz w:val="14"/>
          <w:szCs w:val="14"/>
          <w:b w:val="1"/>
          <w:bCs w:val="1"/>
          <w:color w:val="auto"/>
        </w:rPr>
        <w:t xml:space="preserve"> Ave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Portland, Oregon 97204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Telephone: (971) 365-3939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Copy to:</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Tad J. Freese</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Alexa M. Berlin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Benjamin A. Potter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Christopher Shoff</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Latham &amp; Watkins LLP</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140 Scott Drive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Menlo Park, California 94025</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 (the “</w:t>
      </w:r>
      <w:r>
        <w:rPr>
          <w:rFonts w:ascii="Arial" w:cs="Arial" w:eastAsia="Arial" w:hAnsi="Arial"/>
          <w:sz w:val="14"/>
          <w:szCs w:val="14"/>
          <w:u w:val="single" w:color="auto"/>
          <w:color w:val="auto"/>
        </w:rPr>
        <w:t>Exchange</w:t>
      </w:r>
      <w:r>
        <w:rPr>
          <w:rFonts w:ascii="Arial" w:cs="Arial" w:eastAsia="Arial" w:hAnsi="Arial"/>
          <w:sz w:val="14"/>
          <w:szCs w:val="14"/>
          <w:color w:val="auto"/>
        </w:rPr>
        <w:t xml:space="preserve"> </w:t>
      </w:r>
      <w:r>
        <w:rPr>
          <w:rFonts w:ascii="Arial" w:cs="Arial" w:eastAsia="Arial" w:hAnsi="Arial"/>
          <w:sz w:val="14"/>
          <w:szCs w:val="14"/>
          <w:u w:val="single" w:color="auto"/>
          <w:color w:val="auto"/>
        </w:rPr>
        <w:t>Act</w:t>
      </w:r>
      <w:r>
        <w:rPr>
          <w:rFonts w:ascii="Arial" w:cs="Arial" w:eastAsia="Arial" w:hAnsi="Arial"/>
          <w:sz w:val="14"/>
          <w:szCs w:val="14"/>
          <w:color w:val="auto"/>
        </w:rPr>
        <w: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18"/>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19"/>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963295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0" w:type="dxa"/>
            <w:vAlign w:val="bottom"/>
            <w:tcBorders>
              <w:top w:val="single" w:sz="8" w:color="auto"/>
            </w:tcBorders>
          </w:tcPr>
          <w:p>
            <w:pPr>
              <w:spacing w:after="0"/>
              <w:rPr>
                <w:sz w:val="13"/>
                <w:szCs w:val="13"/>
                <w:color w:val="auto"/>
              </w:rPr>
            </w:pPr>
          </w:p>
        </w:tc>
        <w:tc>
          <w:tcPr>
            <w:tcW w:w="434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spacing w:after="0"/>
              <w:rPr>
                <w:sz w:val="13"/>
                <w:szCs w:val="13"/>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1540" w:type="dxa"/>
            <w:vAlign w:val="bottom"/>
            <w:tcBorders>
              <w:top w:val="single" w:sz="8" w:color="auto"/>
            </w:tcBorders>
          </w:tcPr>
          <w:p>
            <w:pPr>
              <w:spacing w:after="0"/>
              <w:rPr>
                <w:sz w:val="13"/>
                <w:szCs w:val="13"/>
                <w:color w:val="auto"/>
              </w:rPr>
            </w:pPr>
          </w:p>
        </w:tc>
      </w:tr>
      <w:tr>
        <w:trPr>
          <w:trHeight w:val="135"/>
        </w:trPr>
        <w:tc>
          <w:tcPr>
            <w:tcW w:w="700" w:type="dxa"/>
            <w:vAlign w:val="bottom"/>
          </w:tcPr>
          <w:p>
            <w:pPr>
              <w:spacing w:after="0"/>
              <w:rPr>
                <w:sz w:val="11"/>
                <w:szCs w:val="11"/>
                <w:color w:val="auto"/>
              </w:rPr>
            </w:pPr>
          </w:p>
        </w:tc>
        <w:tc>
          <w:tcPr>
            <w:tcW w:w="43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maximum</w:t>
            </w:r>
          </w:p>
        </w:tc>
        <w:tc>
          <w:tcPr>
            <w:tcW w:w="1540" w:type="dxa"/>
            <w:vAlign w:val="bottom"/>
          </w:tcPr>
          <w:p>
            <w:pPr>
              <w:spacing w:after="0"/>
              <w:rPr>
                <w:sz w:val="11"/>
                <w:szCs w:val="11"/>
                <w:color w:val="auto"/>
              </w:rPr>
            </w:pPr>
          </w:p>
        </w:tc>
      </w:tr>
      <w:tr>
        <w:trPr>
          <w:trHeight w:val="135"/>
        </w:trPr>
        <w:tc>
          <w:tcPr>
            <w:tcW w:w="700" w:type="dxa"/>
            <w:vAlign w:val="bottom"/>
          </w:tcPr>
          <w:p>
            <w:pPr>
              <w:spacing w:after="0"/>
              <w:rPr>
                <w:sz w:val="11"/>
                <w:szCs w:val="11"/>
                <w:color w:val="auto"/>
              </w:rPr>
            </w:pPr>
          </w:p>
        </w:tc>
        <w:tc>
          <w:tcPr>
            <w:tcW w:w="4340" w:type="dxa"/>
            <w:vAlign w:val="bottom"/>
            <w:tcBorders>
              <w:right w:val="single" w:sz="8" w:color="auto"/>
            </w:tcBorders>
          </w:tcPr>
          <w:p>
            <w:pPr>
              <w:jc w:val="center"/>
              <w:ind w:right="632"/>
              <w:spacing w:after="0" w:line="135" w:lineRule="exact"/>
              <w:rPr>
                <w:sz w:val="20"/>
                <w:szCs w:val="20"/>
                <w:color w:val="auto"/>
              </w:rPr>
            </w:pPr>
            <w:r>
              <w:rPr>
                <w:rFonts w:ascii="Arial" w:cs="Arial" w:eastAsia="Arial" w:hAnsi="Arial"/>
                <w:sz w:val="13"/>
                <w:szCs w:val="13"/>
                <w:b w:val="1"/>
                <w:bCs w:val="1"/>
                <w:color w:val="auto"/>
                <w:w w:val="85"/>
              </w:rPr>
              <w:t>Title of securities</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to be</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offering price</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94"/>
        </w:trPr>
        <w:tc>
          <w:tcPr>
            <w:tcW w:w="700" w:type="dxa"/>
            <w:vAlign w:val="bottom"/>
            <w:tcBorders>
              <w:bottom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ind w:right="652"/>
              <w:spacing w:after="0"/>
              <w:rPr>
                <w:sz w:val="20"/>
                <w:szCs w:val="20"/>
                <w:color w:val="auto"/>
              </w:rPr>
            </w:pPr>
            <w:r>
              <w:rPr>
                <w:rFonts w:ascii="Arial" w:cs="Arial" w:eastAsia="Arial" w:hAnsi="Arial"/>
                <w:sz w:val="13"/>
                <w:szCs w:val="13"/>
                <w:b w:val="1"/>
                <w:bCs w:val="1"/>
                <w:color w:val="auto"/>
                <w:w w:val="84"/>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 xml:space="preserve">registered </w:t>
            </w:r>
            <w:r>
              <w:rPr>
                <w:rFonts w:ascii="Arial" w:cs="Arial" w:eastAsia="Arial" w:hAnsi="Arial"/>
                <w:sz w:val="16"/>
                <w:szCs w:val="16"/>
                <w:b w:val="1"/>
                <w:bCs w:val="1"/>
                <w:color w:val="auto"/>
                <w:w w:val="82"/>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w:t>
            </w:r>
          </w:p>
        </w:tc>
      </w:tr>
      <w:tr>
        <w:trPr>
          <w:trHeight w:val="214"/>
        </w:trPr>
        <w:tc>
          <w:tcPr>
            <w:tcW w:w="504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1540" w:type="dxa"/>
            <w:vAlign w:val="bottom"/>
            <w:tcBorders>
              <w:bottom w:val="single" w:sz="8" w:color="CCEEFF"/>
              <w:right w:val="single" w:sz="8" w:color="auto"/>
            </w:tcBorders>
            <w:shd w:val="clear" w:color="auto" w:fill="CCEEFF"/>
          </w:tcPr>
          <w:p>
            <w:pPr>
              <w:spacing w:after="0"/>
              <w:rPr>
                <w:sz w:val="18"/>
                <w:szCs w:val="18"/>
                <w:color w:val="auto"/>
              </w:rPr>
            </w:pPr>
          </w:p>
        </w:tc>
        <w:tc>
          <w:tcPr>
            <w:tcW w:w="1560" w:type="dxa"/>
            <w:vAlign w:val="bottom"/>
            <w:tcBorders>
              <w:bottom w:val="single" w:sz="8" w:color="CCEEFF"/>
              <w:right w:val="single" w:sz="8" w:color="auto"/>
            </w:tcBorders>
            <w:shd w:val="clear" w:color="auto" w:fill="CCEEFF"/>
          </w:tcPr>
          <w:p>
            <w:pPr>
              <w:spacing w:after="0"/>
              <w:rPr>
                <w:sz w:val="18"/>
                <w:szCs w:val="18"/>
                <w:color w:val="auto"/>
              </w:rPr>
            </w:pPr>
          </w:p>
        </w:tc>
        <w:tc>
          <w:tcPr>
            <w:tcW w:w="1560" w:type="dxa"/>
            <w:vAlign w:val="bottom"/>
            <w:tcBorders>
              <w:bottom w:val="single" w:sz="8" w:color="CCEEFF"/>
              <w:right w:val="single" w:sz="8" w:color="auto"/>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03"/>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Stock Plan</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 xml:space="preserve">1,962,710 </w:t>
            </w:r>
            <w:r>
              <w:rPr>
                <w:rFonts w:ascii="Arial" w:cs="Arial" w:eastAsia="Arial" w:hAnsi="Arial"/>
                <w:sz w:val="9"/>
                <w:szCs w:val="9"/>
                <w:color w:val="auto"/>
                <w:w w:val="93"/>
              </w:rPr>
              <w:t>(2)</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$0.28</w:t>
            </w:r>
            <w:r>
              <w:rPr>
                <w:rFonts w:ascii="Arial" w:cs="Arial" w:eastAsia="Arial" w:hAnsi="Arial"/>
                <w:sz w:val="9"/>
                <w:szCs w:val="9"/>
                <w:color w:val="auto"/>
                <w:w w:val="91"/>
              </w:rPr>
              <w:t>(5)</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$549,558.80</w:t>
            </w: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8"/>
              </w:rPr>
              <w:t>$50.94</w:t>
            </w:r>
          </w:p>
        </w:tc>
      </w:tr>
      <w:tr>
        <w:trPr>
          <w:trHeight w:val="209"/>
        </w:trPr>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43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Stock Plan</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5,331,090</w:t>
            </w:r>
            <w:r>
              <w:rPr>
                <w:rFonts w:ascii="Arial" w:cs="Arial" w:eastAsia="Arial" w:hAnsi="Arial"/>
                <w:sz w:val="9"/>
                <w:szCs w:val="9"/>
                <w:color w:val="auto"/>
                <w:w w:val="92"/>
              </w:rPr>
              <w:t>(3)</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$2.23</w:t>
            </w:r>
            <w:r>
              <w:rPr>
                <w:rFonts w:ascii="Arial" w:cs="Arial" w:eastAsia="Arial" w:hAnsi="Arial"/>
                <w:sz w:val="9"/>
                <w:szCs w:val="9"/>
                <w:color w:val="auto"/>
                <w:w w:val="91"/>
              </w:rPr>
              <w:t>(6)</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$11,888,330.70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$1,102.05</w:t>
            </w:r>
          </w:p>
        </w:tc>
      </w:tr>
      <w:tr>
        <w:trPr>
          <w:trHeight w:val="170"/>
        </w:trPr>
        <w:tc>
          <w:tcPr>
            <w:tcW w:w="700" w:type="dxa"/>
            <w:vAlign w:val="bottom"/>
          </w:tcPr>
          <w:p>
            <w:pPr>
              <w:jc w:val="right"/>
              <w:spacing w:after="0"/>
              <w:rPr>
                <w:sz w:val="20"/>
                <w:szCs w:val="20"/>
                <w:color w:val="auto"/>
              </w:rPr>
            </w:pPr>
            <w:r>
              <w:rPr>
                <w:rFonts w:ascii="Arial" w:cs="Arial" w:eastAsia="Arial" w:hAnsi="Arial"/>
                <w:sz w:val="14"/>
                <w:szCs w:val="14"/>
                <w:color w:val="auto"/>
              </w:rPr>
              <w:t>2021</w:t>
            </w:r>
          </w:p>
        </w:tc>
        <w:tc>
          <w:tcPr>
            <w:tcW w:w="43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Incentive Award Plan and 2021 Non-Qualified Employee Stock Purchase</w:t>
            </w:r>
          </w:p>
        </w:tc>
        <w:tc>
          <w:tcPr>
            <w:tcW w:w="15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40" w:type="dxa"/>
            <w:vAlign w:val="bottom"/>
          </w:tcPr>
          <w:p>
            <w:pPr>
              <w:spacing w:after="0"/>
              <w:rPr>
                <w:sz w:val="14"/>
                <w:szCs w:val="14"/>
                <w:color w:val="auto"/>
              </w:rPr>
            </w:pPr>
          </w:p>
        </w:tc>
      </w:tr>
      <w:tr>
        <w:trPr>
          <w:trHeight w:val="202"/>
        </w:trPr>
        <w:tc>
          <w:tcPr>
            <w:tcW w:w="5040" w:type="dxa"/>
            <w:vAlign w:val="bottom"/>
            <w:tcBorders>
              <w:bottom w:val="single" w:sz="8" w:color="auto"/>
              <w:right w:val="single" w:sz="8" w:color="auto"/>
            </w:tcBorders>
            <w:gridSpan w:val="2"/>
          </w:tcPr>
          <w:p>
            <w:pPr>
              <w:ind w:left="560"/>
              <w:spacing w:after="0"/>
              <w:rPr>
                <w:sz w:val="20"/>
                <w:szCs w:val="20"/>
                <w:color w:val="auto"/>
              </w:rPr>
            </w:pPr>
            <w:r>
              <w:rPr>
                <w:rFonts w:ascii="Arial" w:cs="Arial" w:eastAsia="Arial" w:hAnsi="Arial"/>
                <w:sz w:val="14"/>
                <w:szCs w:val="14"/>
                <w:color w:val="auto"/>
              </w:rPr>
              <w:t>and Matching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12,453,532</w:t>
            </w:r>
            <w:r>
              <w:rPr>
                <w:rFonts w:ascii="Arial" w:cs="Arial" w:eastAsia="Arial" w:hAnsi="Arial"/>
                <w:sz w:val="9"/>
                <w:szCs w:val="9"/>
                <w:color w:val="auto"/>
                <w:w w:val="93"/>
              </w:rPr>
              <w:t>(4)</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$27.00</w:t>
            </w:r>
            <w:r>
              <w:rPr>
                <w:rFonts w:ascii="Arial" w:cs="Arial" w:eastAsia="Arial" w:hAnsi="Arial"/>
                <w:sz w:val="9"/>
                <w:szCs w:val="9"/>
                <w:color w:val="auto"/>
                <w:w w:val="92"/>
              </w:rPr>
              <w:t>(7)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$336,245,364.00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$31,169.95</w:t>
            </w:r>
          </w:p>
        </w:tc>
      </w:tr>
      <w:tr>
        <w:trPr>
          <w:trHeight w:val="234"/>
        </w:trPr>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34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19,747,332</w:t>
            </w:r>
          </w:p>
        </w:tc>
        <w:tc>
          <w:tcPr>
            <w:tcW w:w="156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$348,683,253.50</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$32,322.94</w:t>
            </w:r>
          </w:p>
        </w:tc>
      </w:tr>
      <w:tr>
        <w:trPr>
          <w:trHeight w:val="20"/>
        </w:trPr>
        <w:tc>
          <w:tcPr>
            <w:tcW w:w="700" w:type="dxa"/>
            <w:vAlign w:val="bottom"/>
            <w:tcBorders>
              <w:top w:val="single" w:sz="8" w:color="CCEEFF"/>
              <w:bottom w:val="single" w:sz="8" w:color="auto"/>
            </w:tcBorders>
          </w:tcPr>
          <w:p>
            <w:pPr>
              <w:spacing w:after="0" w:line="20" w:lineRule="exact"/>
              <w:rPr>
                <w:sz w:val="1"/>
                <w:szCs w:val="1"/>
                <w:color w:val="auto"/>
              </w:rPr>
            </w:pPr>
          </w:p>
        </w:tc>
        <w:tc>
          <w:tcPr>
            <w:tcW w:w="4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60" w:lineRule="auto"/>
        <w:tabs>
          <w:tab w:leader="none" w:pos="332"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416(a) promulgated under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this Registration Statement shall also cover any additional shares of Class A common stock, par value $0.0001 per share (“</w:t>
      </w:r>
      <w:r>
        <w:rPr>
          <w:rFonts w:ascii="Arial" w:cs="Arial" w:eastAsia="Arial" w:hAnsi="Arial"/>
          <w:sz w:val="13"/>
          <w:szCs w:val="13"/>
          <w:u w:val="single" w:color="auto"/>
          <w:color w:val="auto"/>
        </w:rPr>
        <w:t>Class A common stock</w:t>
      </w:r>
      <w:r>
        <w:rPr>
          <w:rFonts w:ascii="Arial" w:cs="Arial" w:eastAsia="Arial" w:hAnsi="Arial"/>
          <w:sz w:val="13"/>
          <w:szCs w:val="13"/>
          <w:color w:val="auto"/>
        </w:rPr>
        <w:t>”), of Expensify, Inc. (the “</w:t>
      </w:r>
      <w:r>
        <w:rPr>
          <w:rFonts w:ascii="Arial" w:cs="Arial" w:eastAsia="Arial" w:hAnsi="Arial"/>
          <w:sz w:val="13"/>
          <w:szCs w:val="13"/>
          <w:u w:val="single" w:color="auto"/>
          <w:color w:val="auto"/>
        </w:rPr>
        <w:t>Company</w:t>
      </w:r>
      <w:r>
        <w:rPr>
          <w:rFonts w:ascii="Arial" w:cs="Arial" w:eastAsia="Arial" w:hAnsi="Arial"/>
          <w:sz w:val="13"/>
          <w:szCs w:val="13"/>
          <w:color w:val="auto"/>
        </w:rPr>
        <w:t>”) that become issuable under the Company’s 2009 Stock Plan (the “</w:t>
      </w:r>
      <w:r>
        <w:rPr>
          <w:rFonts w:ascii="Arial" w:cs="Arial" w:eastAsia="Arial" w:hAnsi="Arial"/>
          <w:sz w:val="13"/>
          <w:szCs w:val="13"/>
          <w:u w:val="single" w:color="auto"/>
          <w:color w:val="auto"/>
        </w:rPr>
        <w:t>2009 Plan</w:t>
      </w:r>
      <w:r>
        <w:rPr>
          <w:rFonts w:ascii="Arial" w:cs="Arial" w:eastAsia="Arial" w:hAnsi="Arial"/>
          <w:sz w:val="13"/>
          <w:szCs w:val="13"/>
          <w:color w:val="auto"/>
        </w:rPr>
        <w:t>”), the Company’s 2019 Stock Plan (the “</w:t>
      </w:r>
      <w:r>
        <w:rPr>
          <w:rFonts w:ascii="Arial" w:cs="Arial" w:eastAsia="Arial" w:hAnsi="Arial"/>
          <w:sz w:val="13"/>
          <w:szCs w:val="13"/>
          <w:u w:val="single" w:color="auto"/>
          <w:color w:val="auto"/>
        </w:rPr>
        <w:t>2019 Plan</w:t>
      </w:r>
      <w:r>
        <w:rPr>
          <w:rFonts w:ascii="Arial" w:cs="Arial" w:eastAsia="Arial" w:hAnsi="Arial"/>
          <w:sz w:val="13"/>
          <w:szCs w:val="13"/>
          <w:color w:val="auto"/>
        </w:rPr>
        <w:t>”), the Company’s 2021 Incentive Award Plan (the “</w:t>
      </w:r>
      <w:r>
        <w:rPr>
          <w:rFonts w:ascii="Arial" w:cs="Arial" w:eastAsia="Arial" w:hAnsi="Arial"/>
          <w:sz w:val="13"/>
          <w:szCs w:val="13"/>
          <w:u w:val="single" w:color="auto"/>
          <w:color w:val="auto"/>
        </w:rPr>
        <w:t>2021 Plan</w:t>
      </w:r>
      <w:r>
        <w:rPr>
          <w:rFonts w:ascii="Arial" w:cs="Arial" w:eastAsia="Arial" w:hAnsi="Arial"/>
          <w:sz w:val="13"/>
          <w:szCs w:val="13"/>
          <w:color w:val="auto"/>
        </w:rPr>
        <w:t>”), the Company’s 2021 Employee Stock Purchase Plan (the “</w:t>
      </w:r>
      <w:r>
        <w:rPr>
          <w:rFonts w:ascii="Arial" w:cs="Arial" w:eastAsia="Arial" w:hAnsi="Arial"/>
          <w:sz w:val="13"/>
          <w:szCs w:val="13"/>
          <w:u w:val="single" w:color="auto"/>
          <w:color w:val="auto"/>
        </w:rPr>
        <w:t>ESPP</w:t>
      </w:r>
      <w:r>
        <w:rPr>
          <w:rFonts w:ascii="Arial" w:cs="Arial" w:eastAsia="Arial" w:hAnsi="Arial"/>
          <w:sz w:val="13"/>
          <w:szCs w:val="13"/>
          <w:color w:val="auto"/>
        </w:rPr>
        <w:t>”), and the Company’s 2021 Non-Qualified Employee Stock Purchase and Matching Plan (the “</w:t>
      </w:r>
      <w:r>
        <w:rPr>
          <w:rFonts w:ascii="Arial" w:cs="Arial" w:eastAsia="Arial" w:hAnsi="Arial"/>
          <w:sz w:val="13"/>
          <w:szCs w:val="13"/>
          <w:u w:val="single" w:color="auto"/>
          <w:color w:val="auto"/>
        </w:rPr>
        <w:t>2021 Purchase and Matching Plan</w:t>
      </w:r>
      <w:r>
        <w:rPr>
          <w:rFonts w:ascii="Arial" w:cs="Arial" w:eastAsia="Arial" w:hAnsi="Arial"/>
          <w:sz w:val="13"/>
          <w:szCs w:val="13"/>
          <w:color w:val="auto"/>
        </w:rPr>
        <w:t>”) by reason of any stock dividend, stock split, recapitalization or other similar transaction effected without receipt of consideration that increases the number of outstanding shares of Class A common stock.</w:t>
      </w: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1,962,710 shares of Class A common stock reserved for issuance upon the exercise of previously granted stock options under the 2009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5,331,090 shares of Class A common stock reserved for issuance upon the exercise of previously granted stock options under the 2019 Plan.</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12,453,532 shares of Class A common stock reserved for issuance under the 2021 Plan and the 2021 Purchase and Matching Plan (together, the “2021 Incentive Plans”), including 776,600 shares of Class A common stock representing unused shares that were previously reserved for issuance under the 2019 Plan. The number of shares of Class A common stock initially reserved for issuance under the 2021 Incentive Plans will be increased by (i) the number of shares represented by awards outstanding under the 2019 Plan that become available for issuance under certain counting provisions following the effective date of the 2021 Incentive Plans and (ii) an annual increase on the first day of each fiscal year beginning in 2022 and ending in 2031, equal to the lesser of (A) 6% of the shares of our Class A common stock outstanding (on an as converted basis) on the last day of the immediately preceding fiscal year and (B) such smaller number of shares of stock as determined by our board of directors; provided, however, that no more than 87,576,990 shares of stock may be issued upon the exercise of incentive stock options.</w:t>
      </w:r>
    </w:p>
    <w:p>
      <w:pPr>
        <w:spacing w:after="0" w:line="2"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457(h) of the Securities Act, and solely for the purposes of calculating the amount of the registration fee, the proposed maximum offering price is based on the weighted-average exercise price of previously granted stock options that remain outstanding under the 2009 Plan ($0.28 per share).</w:t>
      </w:r>
    </w:p>
    <w:p>
      <w:pPr>
        <w:ind w:left="340" w:right="180" w:hanging="332"/>
        <w:spacing w:after="0" w:line="241"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457(h) of the Securities Act, and solely for the purposes of calculating the amount of the registration fee, the proposed maximum offering price is based on the weighted-average exercise price of previously granted stock options that remain outstanding under the 2019 Plan ($2.23 per share).</w:t>
      </w:r>
    </w:p>
    <w:p>
      <w:pPr>
        <w:ind w:left="340" w:right="20" w:hanging="332"/>
        <w:spacing w:after="0" w:line="255"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457(h) of the Securities Act, and solely for the purposes of calculating the amount of the registration fee, the proposed maximum offering price is based on the initial public offering price of the Class A common stock ($27.00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right"/>
        <w:ind w:right="17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w:t>
      </w:r>
    </w:p>
    <w:p>
      <w:pPr>
        <w:sectPr>
          <w:pgSz w:w="11900" w:h="16838" w:orient="portrait"/>
          <w:cols w:equalWidth="0" w:num="1">
            <w:col w:w="10139"/>
          </w:cols>
          <w:pgMar w:left="320" w:top="144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documents filed by the Company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are incorporated by reference into this Registration Statement:</w:t>
      </w:r>
    </w:p>
    <w:p>
      <w:pPr>
        <w:spacing w:after="0" w:line="171" w:lineRule="exact"/>
        <w:rPr>
          <w:sz w:val="20"/>
          <w:szCs w:val="20"/>
          <w:color w:val="auto"/>
        </w:rPr>
      </w:pPr>
    </w:p>
    <w:p>
      <w:pPr>
        <w:ind w:right="500" w:firstLine="8"/>
        <w:spacing w:after="0" w:line="291" w:lineRule="auto"/>
        <w:tabs>
          <w:tab w:leader="none" w:pos="244" w:val="left"/>
        </w:tabs>
        <w:numPr>
          <w:ilvl w:val="0"/>
          <w:numId w:val="2"/>
        </w:numPr>
        <w:rPr>
          <w:rFonts w:ascii="Arial" w:cs="Arial" w:eastAsia="Arial" w:hAnsi="Arial"/>
          <w:sz w:val="17"/>
          <w:szCs w:val="17"/>
          <w:color w:val="0000FF"/>
        </w:rPr>
      </w:pPr>
      <w:hyperlink r:id="rId18">
        <w:r>
          <w:rPr>
            <w:rFonts w:ascii="Arial" w:cs="Arial" w:eastAsia="Arial" w:hAnsi="Arial"/>
            <w:sz w:val="17"/>
            <w:szCs w:val="17"/>
            <w:u w:val="single" w:color="auto"/>
            <w:color w:val="0000FF"/>
          </w:rPr>
          <w:t>Amendment No. 3 to the Company’s Registration Statement on Form S-1 filed with the SEC on November 8, 2021 (File No. 333-260297)</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which</w:t>
      </w:r>
      <w:r>
        <w:rPr>
          <w:rFonts w:ascii="Arial" w:cs="Arial" w:eastAsia="Arial" w:hAnsi="Arial"/>
          <w:sz w:val="17"/>
          <w:szCs w:val="17"/>
          <w:color w:val="0000FF"/>
        </w:rPr>
        <w:t xml:space="preserve"> </w:t>
      </w:r>
      <w:r>
        <w:rPr>
          <w:rFonts w:ascii="Arial" w:cs="Arial" w:eastAsia="Arial" w:hAnsi="Arial"/>
          <w:sz w:val="17"/>
          <w:szCs w:val="17"/>
          <w:color w:val="000000"/>
        </w:rPr>
        <w:t>contains the Company’s audited financial statements for the latest fiscal year for which such statements have been filed.</w:t>
      </w:r>
    </w:p>
    <w:p>
      <w:pPr>
        <w:spacing w:after="0" w:line="146" w:lineRule="exact"/>
        <w:rPr>
          <w:rFonts w:ascii="Arial" w:cs="Arial" w:eastAsia="Arial" w:hAnsi="Arial"/>
          <w:sz w:val="17"/>
          <w:szCs w:val="17"/>
          <w:color w:val="0000FF"/>
        </w:rPr>
      </w:pPr>
    </w:p>
    <w:p>
      <w:pPr>
        <w:ind w:right="340" w:firstLine="8"/>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Prospectus to be filed on or about November 12, 2021 pursuant to Rule 424(b) under the Securities Act, relating to the Registration Statement on Form S-1, as amended (File No. 333-260297).</w:t>
      </w:r>
    </w:p>
    <w:p>
      <w:pPr>
        <w:spacing w:after="0" w:line="170" w:lineRule="exact"/>
        <w:rPr>
          <w:rFonts w:ascii="Arial" w:cs="Arial" w:eastAsia="Arial" w:hAnsi="Arial"/>
          <w:sz w:val="18"/>
          <w:szCs w:val="18"/>
          <w:color w:val="auto"/>
        </w:rPr>
      </w:pPr>
    </w:p>
    <w:p>
      <w:pPr>
        <w:ind w:right="120" w:firstLine="8"/>
        <w:spacing w:after="0" w:line="291" w:lineRule="auto"/>
        <w:tabs>
          <w:tab w:leader="none" w:pos="245" w:val="left"/>
        </w:tabs>
        <w:numPr>
          <w:ilvl w:val="0"/>
          <w:numId w:val="2"/>
        </w:numPr>
        <w:rPr>
          <w:rFonts w:ascii="Arial" w:cs="Arial" w:eastAsia="Arial" w:hAnsi="Arial"/>
          <w:sz w:val="17"/>
          <w:szCs w:val="17"/>
          <w:color w:val="0000FF"/>
        </w:rPr>
      </w:pPr>
      <w:hyperlink r:id="rId19">
        <w:r>
          <w:rPr>
            <w:rFonts w:ascii="Arial" w:cs="Arial" w:eastAsia="Arial" w:hAnsi="Arial"/>
            <w:sz w:val="17"/>
            <w:szCs w:val="17"/>
            <w:color w:val="auto"/>
          </w:rPr>
          <w:t xml:space="preserve">The description of the Company’s Class A common stock which is contained in a registration statement on </w:t>
        </w:r>
        <w:r>
          <w:rPr>
            <w:rFonts w:ascii="Arial" w:cs="Arial" w:eastAsia="Arial" w:hAnsi="Arial"/>
            <w:sz w:val="17"/>
            <w:szCs w:val="17"/>
            <w:u w:val="single" w:color="auto"/>
            <w:color w:val="0000FF"/>
          </w:rPr>
          <w:t>Form 8-A filed on November 8, 2021 (File</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FF"/>
          </w:rPr>
          <w:t>No. 001-41043)</w:t>
        </w:r>
        <w:r>
          <w:rPr>
            <w:rFonts w:ascii="Arial" w:cs="Arial" w:eastAsia="Arial" w:hAnsi="Arial"/>
            <w:sz w:val="17"/>
            <w:szCs w:val="17"/>
            <w:color w:val="0000FF"/>
          </w:rPr>
          <w:t xml:space="preserve"> </w:t>
        </w:r>
        <w:r>
          <w:rPr>
            <w:rFonts w:ascii="Arial" w:cs="Arial" w:eastAsia="Arial" w:hAnsi="Arial"/>
            <w:sz w:val="17"/>
            <w:szCs w:val="17"/>
            <w:color w:val="000000"/>
          </w:rPr>
          <w:t>under the Exchange Act, including any amendment or report filed for the purpose of updating such description.</w:t>
        </w:r>
      </w:hyperlink>
    </w:p>
    <w:p>
      <w:pPr>
        <w:spacing w:after="0" w:line="147" w:lineRule="exact"/>
        <w:rPr>
          <w:rFonts w:ascii="Arial" w:cs="Arial" w:eastAsia="Arial" w:hAnsi="Arial"/>
          <w:sz w:val="17"/>
          <w:szCs w:val="17"/>
          <w:color w:val="auto"/>
        </w:rPr>
      </w:pPr>
    </w:p>
    <w:p>
      <w:pPr>
        <w:spacing w:after="0" w:line="272" w:lineRule="auto"/>
        <w:rPr>
          <w:sz w:val="20"/>
          <w:szCs w:val="20"/>
          <w:color w:val="auto"/>
        </w:rPr>
      </w:pPr>
      <w:r>
        <w:rPr>
          <w:rFonts w:ascii="Arial" w:cs="Arial" w:eastAsia="Arial" w:hAnsi="Arial"/>
          <w:sz w:val="16"/>
          <w:szCs w:val="16"/>
          <w:color w:val="auto"/>
        </w:rPr>
        <w:t xml:space="preserve">All documents filed by the Company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1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1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16" w:lineRule="exact"/>
        <w:rPr>
          <w:rFonts w:ascii="Arial" w:cs="Arial" w:eastAsia="Arial" w:hAnsi="Arial"/>
          <w:sz w:val="17"/>
          <w:szCs w:val="17"/>
          <w:color w:val="auto"/>
        </w:rPr>
      </w:pPr>
    </w:p>
    <w:p>
      <w:pPr>
        <w:ind w:right="140"/>
        <w:spacing w:after="0" w:line="241" w:lineRule="auto"/>
        <w:rPr>
          <w:sz w:val="20"/>
          <w:szCs w:val="20"/>
          <w:color w:val="auto"/>
        </w:rPr>
      </w:pPr>
      <w:r>
        <w:rPr>
          <w:rFonts w:ascii="Arial" w:cs="Arial" w:eastAsia="Arial" w:hAnsi="Arial"/>
          <w:sz w:val="18"/>
          <w:szCs w:val="18"/>
          <w:color w:val="auto"/>
        </w:rPr>
        <w:t>The Company expects to adopt an amended and restated certificate of incorporation, which will become effective immediately prior to the completion of the Company’s initial public offering and will contain provisions authorized by the General Corporation Law of the State of Delaware (the “</w:t>
      </w:r>
      <w:r>
        <w:rPr>
          <w:rFonts w:ascii="Arial" w:cs="Arial" w:eastAsia="Arial" w:hAnsi="Arial"/>
          <w:sz w:val="18"/>
          <w:szCs w:val="18"/>
          <w:b w:val="1"/>
          <w:bCs w:val="1"/>
          <w:i w:val="1"/>
          <w:iCs w:val="1"/>
          <w:color w:val="auto"/>
        </w:rPr>
        <w:t>Delaware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 that limit the personal liability of the Company’s directors for monetary damages to the fullest extent permitted by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Consequently, the Company’s directors will not be personally liable to the Company or its stockholders for monetary damages for breach of fiduciary duty as directors, except liability for the following:</w:t>
      </w:r>
    </w:p>
    <w:p>
      <w:pPr>
        <w:spacing w:after="0" w:line="18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Company or its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1417" w:right="339" w:bottom="1440" w:gutter="0" w:footer="0" w:header="0"/>
        </w:sectPr>
      </w:pPr>
    </w:p>
    <w:bookmarkStart w:id="4" w:name="page5"/>
    <w:bookmarkEnd w:id="4"/>
    <w:p>
      <w:pPr>
        <w:ind w:right="20"/>
        <w:spacing w:after="0" w:line="24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Company’s directors will be further limited to the greatest extent permitted by the Delaware General Corporation Law.</w:t>
      </w:r>
    </w:p>
    <w:p>
      <w:pPr>
        <w:spacing w:after="0" w:line="18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expects to adopt amended and restated bylaws, which will become effective immediately prior to the completion of the Company’s initial public offering and will provide that the Company will indemnify, to the fullest extent permitted by law, any person who is or was a party or is threatened to be made a party to any action, suit, or proceeding by reason of the fact that he or she is or was one of the Company’s directors or officers or is or was serving at the Company’s request as a director or officer of another corporation, partnership, joint venture, trust, or other enterprise. The Company’s amended and restated bylaws are expected to provide that the Company may indemnify to the fullest extent permitted by law any person who is or was a party or is threatened to be made a party to any action, suit, or proceeding by reason of the fact that he or she is or was one of the Company’s employees or agents or is or was serving at the Company’s request as an employee or agent of another corporation, partnership, joint venture, trust, or other enterprise. The Company’s amended and restated bylaws will also provide that the Company must advance expenses incurred by or on behalf of a director or officer in advance of the final disposition of any action or proceeding, subject to very limited exceptions.</w:t>
      </w:r>
    </w:p>
    <w:p>
      <w:pPr>
        <w:spacing w:after="0" w:line="16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Further, the Company has entered into or intends to enter into indemnification agreements with each of the Company’s directors, executive officers, and certain other employees. Subject to certain limitations, these indemnification agreements will require the Company,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the Company’s request. Subject to certain exceptions, these indemnification agreements will also require the Company to advance certain expenses (including attorneys’ fees and disbursements) actually and reasonably paid or incurred by these persons in advance of the final disposition of the action, suit, or proceeding. The Company believes that these indemnification agreements are necessary to attract and retain qualified individuals to serve as directors and executive officers.</w:t>
      </w:r>
    </w:p>
    <w:p>
      <w:pPr>
        <w:spacing w:after="0" w:line="16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the Company’s amended and restated certificate of incorporation, amended and restated bylaws, and in indemnification agreements that the Company enters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other stockholders. Further, a stockholder’s investment may be harmed to the extent that the Company pays the costs of settlement and damage awards against directors and executive officers as required by these indemnification provisions. At present, the Company is not aware of any pending litigation or proceeding involving any person who is or was one of its directors, officers, employees, or other agents or is or was serving at the Company’s request as a director, officer, employee, or agent of another corporation, partnership, joint venture, trust, or other enterprise, for which indemnification is sought, and the Company is not aware of any threatened litigation that may result in claims for indemnification.</w:t>
      </w:r>
    </w:p>
    <w:p>
      <w:pPr>
        <w:sectPr>
          <w:pgSz w:w="11900" w:h="16838" w:orient="portrait"/>
          <w:cols w:equalWidth="0" w:num="1">
            <w:col w:w="11220"/>
          </w:cols>
          <w:pgMar w:left="320" w:top="1421" w:right="359" w:bottom="1440" w:gutter="0" w:footer="0" w:header="0"/>
        </w:sectPr>
      </w:pPr>
    </w:p>
    <w:bookmarkStart w:id="5" w:name="page6"/>
    <w:bookmarkEnd w:id="5"/>
    <w:p>
      <w:pPr>
        <w:ind w:right="120"/>
        <w:spacing w:after="0" w:line="262" w:lineRule="auto"/>
        <w:rPr>
          <w:sz w:val="20"/>
          <w:szCs w:val="20"/>
          <w:color w:val="auto"/>
        </w:rPr>
      </w:pPr>
      <w:r>
        <w:rPr>
          <w:rFonts w:ascii="Arial" w:cs="Arial" w:eastAsia="Arial" w:hAnsi="Arial"/>
          <w:sz w:val="17"/>
          <w:szCs w:val="17"/>
          <w:color w:val="auto"/>
        </w:rPr>
        <w:t>The Company expects to obtain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Certain of the Company’s non-employee directors may, through their relationships with their employers, be insured and/or indemnified against certain liabilities incurred in their capacity as members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1"/>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0" w:type="dxa"/>
            <w:vAlign w:val="bottom"/>
            <w:gridSpan w:val="19"/>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23"/>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Amended and Restated Certificate of Incorporation of the Company, currently in effect (incorporated by reference to Exhibit 3.1 to the</w:t>
              </w:r>
            </w:hyperlink>
          </w:p>
        </w:tc>
      </w:tr>
      <w:tr>
        <w:trPr>
          <w:trHeight w:val="155"/>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Company’s Registration Statement on Form S-1 (File No. 333-260297), filed on November 1, 2021 with the SEC).</w:t>
              </w:r>
            </w:hyperlink>
          </w:p>
        </w:tc>
        <w:tc>
          <w:tcPr>
            <w:tcW w:w="14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3"/>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Form of Amendment to Amended and Restated Certificate of Incorporation of the Company, to be in effect immediately prior to the</w:t>
              </w:r>
            </w:hyperlink>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effectiveness of the Company’s Registration Statement on Form S-1 (File No. 333-260297) (incorporated by reference to Exhibit 3.2</w:t>
              </w:r>
            </w:hyperlink>
          </w:p>
        </w:tc>
        <w:tc>
          <w:tcPr>
            <w:tcW w:w="80" w:type="dxa"/>
            <w:vAlign w:val="bottom"/>
          </w:tcPr>
          <w:p>
            <w:pPr>
              <w:spacing w:after="0"/>
              <w:rPr>
                <w:sz w:val="13"/>
                <w:szCs w:val="13"/>
                <w:color w:val="auto"/>
              </w:rPr>
            </w:pPr>
          </w:p>
        </w:tc>
        <w:tc>
          <w:tcPr>
            <w:tcW w:w="260" w:type="dxa"/>
            <w:vAlign w:val="bottom"/>
            <w:gridSpan w:val="8"/>
          </w:tcPr>
          <w:p>
            <w:pPr>
              <w:ind w:left="20"/>
              <w:spacing w:after="0" w:line="156" w:lineRule="exact"/>
              <w:rPr>
                <w:rFonts w:ascii="Arial" w:cs="Arial" w:eastAsia="Arial" w:hAnsi="Arial"/>
                <w:sz w:val="18"/>
                <w:szCs w:val="18"/>
                <w:color w:val="0000FF"/>
              </w:rPr>
            </w:pPr>
            <w:hyperlink r:id="rId21">
              <w:r>
                <w:rPr>
                  <w:rFonts w:ascii="Arial" w:cs="Arial" w:eastAsia="Arial" w:hAnsi="Arial"/>
                  <w:sz w:val="18"/>
                  <w:szCs w:val="18"/>
                  <w:color w:val="0000FF"/>
                </w:rPr>
                <w:t>to</w:t>
              </w:r>
            </w:hyperlink>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1">
              <w:r>
                <w:rPr>
                  <w:rFonts w:ascii="Arial" w:cs="Arial" w:eastAsia="Arial" w:hAnsi="Arial"/>
                  <w:sz w:val="18"/>
                  <w:szCs w:val="18"/>
                  <w:color w:val="0000FF"/>
                </w:rPr>
                <w:t>the Company’s Registration Statement on Form S-1 (File No. 333-260297), filed on November 1, 2021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Form of Amended and Restated Certificate of Incorporation of the Company, to be in effect upon completion of the Company’s initial</w:t>
              </w:r>
            </w:hyperlink>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public offering (incorporated by reference to Exhibit 3.3 to the Company’s Registration Statement on Form S-1 (File No. 333-260297),</w:t>
              </w:r>
            </w:hyperlink>
          </w:p>
        </w:tc>
        <w:tc>
          <w:tcPr>
            <w:tcW w:w="8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filed on November 1, 2021 with the SEC).</w:t>
              </w:r>
            </w:hyperlink>
          </w:p>
        </w:tc>
        <w:tc>
          <w:tcPr>
            <w:tcW w:w="668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Bylaws of the Company, currently in effect (incorporated by reference to Exhibit 3.4 to the Company’s Registration Statement on Form</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S-1 (File No. 333-260297), filed on November 1, 2021 with the SEC).</w:t>
              </w:r>
            </w:hyperlink>
          </w:p>
        </w:tc>
        <w:tc>
          <w:tcPr>
            <w:tcW w:w="47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0"/>
        </w:trPr>
        <w:tc>
          <w:tcPr>
            <w:tcW w:w="1020" w:type="dxa"/>
            <w:vAlign w:val="bottom"/>
          </w:tcPr>
          <w:p>
            <w:pPr>
              <w:ind w:left="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Form of Amended and Restated Bylaws of the Company, to be in effect upon the completion of the Company’s initial public offering</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5"/>
          </w:tcPr>
          <w:p>
            <w:pPr>
              <w:spacing w:after="0" w:line="182"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(incorporated by reference to Exhibit 3.5 to the Company’s Registration Statement on Form S-1 (File No. 333-260297), filed on</w:t>
              </w:r>
            </w:hyperlink>
          </w:p>
        </w:tc>
        <w:tc>
          <w:tcPr>
            <w:tcW w:w="14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November 1, 2021 with the SEC).</w:t>
              </w:r>
            </w:hyperlink>
          </w:p>
        </w:tc>
        <w:tc>
          <w:tcPr>
            <w:tcW w:w="676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r>
      <w:tr>
        <w:trPr>
          <w:trHeight w:val="290"/>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Class A Common Stock Certificate (incorporated by reference to Exhibit 4.1 to the Company’s Registration Statement on Form</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S-1 (File No. 333-260297), filed on November 1, 2021 with the SEC).</w:t>
              </w:r>
            </w:hyperlink>
          </w:p>
        </w:tc>
        <w:tc>
          <w:tcPr>
            <w:tcW w:w="40" w:type="dxa"/>
            <w:vAlign w:val="bottom"/>
          </w:tcPr>
          <w:p>
            <w:pPr>
              <w:spacing w:after="0"/>
              <w:rPr>
                <w:sz w:val="15"/>
                <w:szCs w:val="15"/>
                <w:color w:val="auto"/>
              </w:rPr>
            </w:pPr>
          </w:p>
        </w:tc>
      </w:tr>
      <w:tr>
        <w:trPr>
          <w:trHeight w:val="277"/>
        </w:trPr>
        <w:tc>
          <w:tcPr>
            <w:tcW w:w="1020" w:type="dxa"/>
            <w:vAlign w:val="bottom"/>
          </w:tcPr>
          <w:p>
            <w:pPr>
              <w:ind w:left="2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top w:val="single" w:sz="8" w:color="0000FF"/>
            </w:tcBorders>
            <w:gridSpan w:val="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Opinion of Latham &amp; Watkins LLP.</w:t>
              </w:r>
            </w:hyperlink>
          </w:p>
        </w:tc>
        <w:tc>
          <w:tcPr>
            <w:tcW w:w="4780" w:type="dxa"/>
            <w:vAlign w:val="bottom"/>
            <w:gridSpan w:val="16"/>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2">
              <w:r>
                <w:rPr>
                  <w:rFonts w:ascii="Arial" w:cs="Arial" w:eastAsia="Arial" w:hAnsi="Arial"/>
                  <w:sz w:val="18"/>
                  <w:szCs w:val="18"/>
                  <w:color w:val="0000FF"/>
                  <w:w w:val="91"/>
                </w:rPr>
                <w:t>Consent of Ernst &amp; Young LLP, independent registered public accounting firm.</w:t>
              </w:r>
            </w:hyperlink>
          </w:p>
        </w:tc>
        <w:tc>
          <w:tcPr>
            <w:tcW w:w="4120" w:type="dxa"/>
            <w:vAlign w:val="bottom"/>
            <w:gridSpan w:val="14"/>
          </w:tcPr>
          <w:p>
            <w:pPr>
              <w:spacing w:after="0"/>
              <w:rPr>
                <w:sz w:val="22"/>
                <w:szCs w:val="22"/>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3"/>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Latham &amp; Watkins LLP (included in Exhibit 5.1).</w:t>
              </w:r>
            </w:hyperlink>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Borders>
              <w:top w:val="single" w:sz="8" w:color="0000FF"/>
            </w:tcBorders>
            <w:gridSpan w:val="6"/>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Power of Attorney (included on the signature page hereto).</w:t>
              </w:r>
            </w:hyperlink>
          </w:p>
        </w:tc>
        <w:tc>
          <w:tcPr>
            <w:tcW w:w="5420" w:type="dxa"/>
            <w:vAlign w:val="bottom"/>
            <w:gridSpan w:val="17"/>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3"/>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Expensify, Inc. 2009 Stock Plan (incorporated by reference to Exhibit 10.6 to the Company’s Registration Statement on Form S-1 (File</w:t>
              </w:r>
            </w:hyperlink>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6">
              <w:r>
                <w:rPr>
                  <w:rFonts w:ascii="Arial" w:cs="Arial" w:eastAsia="Arial" w:hAnsi="Arial"/>
                  <w:sz w:val="18"/>
                  <w:szCs w:val="18"/>
                  <w:color w:val="0000FF"/>
                </w:rPr>
                <w:t>No. 333-260297), filed on November 1, 2021 with the SEC).</w:t>
              </w:r>
            </w:hyperlink>
          </w:p>
        </w:tc>
        <w:tc>
          <w:tcPr>
            <w:tcW w:w="12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3"/>
          </w:tcPr>
          <w:p>
            <w:pPr>
              <w:spacing w:after="0"/>
              <w:rPr>
                <w:rFonts w:ascii="Arial" w:cs="Arial" w:eastAsia="Arial" w:hAnsi="Arial"/>
                <w:sz w:val="18"/>
                <w:szCs w:val="18"/>
                <w:color w:val="0000FF"/>
                <w:w w:val="97"/>
              </w:rPr>
            </w:pPr>
            <w:hyperlink r:id="rId27">
              <w:r>
                <w:rPr>
                  <w:rFonts w:ascii="Arial" w:cs="Arial" w:eastAsia="Arial" w:hAnsi="Arial"/>
                  <w:sz w:val="18"/>
                  <w:szCs w:val="18"/>
                  <w:color w:val="0000FF"/>
                  <w:w w:val="97"/>
                </w:rPr>
                <w:t>Expensify, Inc. 2009 Stock Plan – Form of Notice of Stock Option Grant (EMI) (incorporated by reference to Exhibit 10.7 to the</w:t>
              </w:r>
            </w:hyperlink>
          </w:p>
        </w:tc>
      </w:tr>
      <w:tr>
        <w:trPr>
          <w:trHeight w:val="155"/>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Company’s Registration Statement on Form S-1 (File No. 333-260297), filed on November 1, 2021 with the SEC).</w:t>
              </w:r>
            </w:hyperlink>
          </w:p>
        </w:tc>
        <w:tc>
          <w:tcPr>
            <w:tcW w:w="980" w:type="dxa"/>
            <w:vAlign w:val="bottom"/>
            <w:tcBorders>
              <w:top w:val="single" w:sz="8" w:color="0000FF"/>
            </w:tcBorders>
            <w:gridSpan w:val="3"/>
          </w:tcPr>
          <w:p>
            <w:pPr>
              <w:spacing w:after="0"/>
              <w:rPr>
                <w:sz w:val="13"/>
                <w:szCs w:val="13"/>
                <w:color w:val="auto"/>
              </w:rPr>
            </w:pPr>
          </w:p>
        </w:tc>
        <w:tc>
          <w:tcPr>
            <w:tcW w:w="580" w:type="dxa"/>
            <w:vAlign w:val="bottom"/>
            <w:gridSpan w:val="10"/>
          </w:tcPr>
          <w:p>
            <w:pPr>
              <w:spacing w:after="0"/>
              <w:rPr>
                <w:sz w:val="13"/>
                <w:szCs w:val="13"/>
                <w:color w:val="auto"/>
              </w:rPr>
            </w:pPr>
          </w:p>
        </w:tc>
      </w:tr>
    </w:tbl>
    <w:p>
      <w:pPr>
        <w:sectPr>
          <w:pgSz w:w="11900" w:h="16838" w:orient="portrait"/>
          <w:cols w:equalWidth="0" w:num="1">
            <w:col w:w="11240"/>
          </w:cols>
          <w:pgMar w:left="320" w:top="1421" w:right="339" w:bottom="1440" w:gutter="0" w:footer="0" w:header="0"/>
        </w:sectPr>
      </w:pPr>
    </w:p>
    <w:bookmarkStart w:id="6" w:name="page7"/>
    <w:bookmarkEnd w:id="6"/>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99.3</w:t>
            </w:r>
          </w:p>
        </w:tc>
        <w:tc>
          <w:tcPr>
            <w:tcW w:w="9800" w:type="dxa"/>
            <w:vAlign w:val="bottom"/>
            <w:gridSpan w:val="25"/>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Expensify, Inc. 2009 Stock Plan – Form of Option Agreement (incorporated by reference to Exhibit 10.8 to the Company’s Registration</w:t>
              </w:r>
            </w:hyperlink>
          </w:p>
        </w:tc>
      </w:tr>
      <w:tr>
        <w:trPr>
          <w:trHeight w:val="156"/>
        </w:trPr>
        <w:tc>
          <w:tcPr>
            <w:tcW w:w="138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8">
              <w:r>
                <w:rPr>
                  <w:rFonts w:ascii="Arial" w:cs="Arial" w:eastAsia="Arial" w:hAnsi="Arial"/>
                  <w:sz w:val="18"/>
                  <w:szCs w:val="18"/>
                  <w:color w:val="0000FF"/>
                </w:rPr>
                <w:t>Statement on Form S-1 (File No. 333-260297), filed on November 1, 2021 with the SEC).</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99.4</w:t>
            </w:r>
          </w:p>
        </w:tc>
        <w:tc>
          <w:tcPr>
            <w:tcW w:w="9800" w:type="dxa"/>
            <w:vAlign w:val="bottom"/>
            <w:gridSpan w:val="25"/>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Expensify, Inc. 2019 Stock Plan (incorporated by reference to Exhibit 10.9 to the Company’s Registration Statement on Form S-1 (File</w:t>
              </w:r>
            </w:hyperlink>
          </w:p>
        </w:tc>
      </w:tr>
      <w:tr>
        <w:trPr>
          <w:trHeight w:val="155"/>
        </w:trPr>
        <w:tc>
          <w:tcPr>
            <w:tcW w:w="1380" w:type="dxa"/>
            <w:vAlign w:val="bottom"/>
          </w:tcPr>
          <w:p>
            <w:pPr>
              <w:spacing w:after="0"/>
              <w:rPr>
                <w:sz w:val="13"/>
                <w:szCs w:val="13"/>
                <w:color w:val="auto"/>
              </w:rPr>
            </w:pPr>
          </w:p>
        </w:tc>
        <w:tc>
          <w:tcPr>
            <w:tcW w:w="97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9">
              <w:r>
                <w:rPr>
                  <w:rFonts w:ascii="Arial" w:cs="Arial" w:eastAsia="Arial" w:hAnsi="Arial"/>
                  <w:sz w:val="18"/>
                  <w:szCs w:val="18"/>
                  <w:color w:val="0000FF"/>
                </w:rPr>
                <w:t>No. 333-260297), filed on November 1, 2021 with the SEC).</w:t>
              </w:r>
            </w:hyperlink>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99.5</w:t>
            </w:r>
          </w:p>
        </w:tc>
        <w:tc>
          <w:tcPr>
            <w:tcW w:w="9800" w:type="dxa"/>
            <w:vAlign w:val="bottom"/>
            <w:gridSpan w:val="25"/>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Expensify, Inc. 2019 Stock Plan – Form of Early Exercise Notice and Restricted Stock Purchase Agreement (incorporated by reference</w:t>
              </w:r>
            </w:hyperlink>
          </w:p>
        </w:tc>
      </w:tr>
      <w:tr>
        <w:trPr>
          <w:trHeight w:val="156"/>
        </w:trPr>
        <w:tc>
          <w:tcPr>
            <w:tcW w:w="1380" w:type="dxa"/>
            <w:vAlign w:val="bottom"/>
          </w:tcPr>
          <w:p>
            <w:pPr>
              <w:spacing w:after="0"/>
              <w:rPr>
                <w:sz w:val="13"/>
                <w:szCs w:val="13"/>
                <w:color w:val="auto"/>
              </w:rPr>
            </w:pPr>
          </w:p>
        </w:tc>
        <w:tc>
          <w:tcPr>
            <w:tcW w:w="974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to Exhibit 10.10 to the Company’s Registration Statement on Form S-1 (File No. 333-260297), filed on November 1, 2021 with the</w:t>
              </w:r>
            </w:hyperlink>
          </w:p>
        </w:tc>
        <w:tc>
          <w:tcPr>
            <w:tcW w:w="60" w:type="dxa"/>
            <w:vAlign w:val="bottom"/>
            <w:gridSpan w:val="3"/>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SEC).</w:t>
              </w:r>
            </w:hyperlink>
          </w:p>
        </w:tc>
        <w:tc>
          <w:tcPr>
            <w:tcW w:w="90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99.6</w:t>
            </w:r>
          </w:p>
        </w:tc>
        <w:tc>
          <w:tcPr>
            <w:tcW w:w="9800" w:type="dxa"/>
            <w:vAlign w:val="bottom"/>
            <w:gridSpan w:val="25"/>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Expensify, Inc. 2019 Stock Plan – Form of Exercise Agreement (EMI) (incorporated by reference to Exhibit 10.11 to the Company’s</w:t>
              </w:r>
            </w:hyperlink>
          </w:p>
        </w:tc>
      </w:tr>
      <w:tr>
        <w:trPr>
          <w:trHeight w:val="156"/>
        </w:trPr>
        <w:tc>
          <w:tcPr>
            <w:tcW w:w="13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Registration Statement on Form S-1 (File No. 333-260297), filed on November 1, 2021 with the SEC).</w:t>
              </w:r>
            </w:hyperlink>
          </w:p>
        </w:tc>
        <w:tc>
          <w:tcPr>
            <w:tcW w:w="21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99.7</w:t>
            </w:r>
          </w:p>
        </w:tc>
        <w:tc>
          <w:tcPr>
            <w:tcW w:w="9800" w:type="dxa"/>
            <w:vAlign w:val="bottom"/>
            <w:gridSpan w:val="25"/>
          </w:tcPr>
          <w:p>
            <w:pPr>
              <w:spacing w:after="0"/>
              <w:rPr>
                <w:rFonts w:ascii="Arial" w:cs="Arial" w:eastAsia="Arial" w:hAnsi="Arial"/>
                <w:sz w:val="18"/>
                <w:szCs w:val="18"/>
                <w:color w:val="0000FF"/>
                <w:w w:val="98"/>
              </w:rPr>
            </w:pPr>
            <w:hyperlink r:id="rId32">
              <w:r>
                <w:rPr>
                  <w:rFonts w:ascii="Arial" w:cs="Arial" w:eastAsia="Arial" w:hAnsi="Arial"/>
                  <w:sz w:val="18"/>
                  <w:szCs w:val="18"/>
                  <w:color w:val="0000FF"/>
                  <w:w w:val="98"/>
                </w:rPr>
                <w:t>Expensify, Inc. 2019 Stock Plan – Form of Exercise Agreement (incorporated by reference to Exhibit 10.12 to the Company’s</w:t>
              </w:r>
            </w:hyperlink>
          </w:p>
        </w:tc>
      </w:tr>
      <w:tr>
        <w:trPr>
          <w:trHeight w:val="155"/>
        </w:trPr>
        <w:tc>
          <w:tcPr>
            <w:tcW w:w="13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Registration Statement on Form S-1 (File No. 333-260297), filed on November 1, 2021 with the SEC).</w:t>
              </w:r>
            </w:hyperlink>
          </w:p>
        </w:tc>
        <w:tc>
          <w:tcPr>
            <w:tcW w:w="164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99.8</w:t>
            </w:r>
          </w:p>
        </w:tc>
        <w:tc>
          <w:tcPr>
            <w:tcW w:w="9800" w:type="dxa"/>
            <w:vAlign w:val="bottom"/>
            <w:gridSpan w:val="25"/>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Expensify, Inc. 2019 Stock Plan – Form of Option Agreement (early exercise) (Reg S) (incorporated by reference to Exhibit 10.13 to</w:t>
              </w:r>
            </w:hyperlink>
          </w:p>
        </w:tc>
      </w:tr>
      <w:tr>
        <w:trPr>
          <w:trHeight w:val="156"/>
        </w:trPr>
        <w:tc>
          <w:tcPr>
            <w:tcW w:w="1380" w:type="dxa"/>
            <w:vAlign w:val="bottom"/>
          </w:tcPr>
          <w:p>
            <w:pPr>
              <w:spacing w:after="0"/>
              <w:rPr>
                <w:sz w:val="13"/>
                <w:szCs w:val="13"/>
                <w:color w:val="auto"/>
              </w:rPr>
            </w:pPr>
          </w:p>
        </w:tc>
        <w:tc>
          <w:tcPr>
            <w:tcW w:w="95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3">
              <w:r>
                <w:rPr>
                  <w:rFonts w:ascii="Arial" w:cs="Arial" w:eastAsia="Arial" w:hAnsi="Arial"/>
                  <w:sz w:val="18"/>
                  <w:szCs w:val="18"/>
                  <w:color w:val="0000FF"/>
                </w:rPr>
                <w:t>the Company’s Registration Statement on Form S-1 (File No. 333-260297), filed on November 1, 2021 with the SEC).</w:t>
              </w:r>
            </w:hyperlink>
          </w:p>
        </w:tc>
        <w:tc>
          <w:tcPr>
            <w:tcW w:w="1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gridSpan w:val="3"/>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99.9</w:t>
            </w:r>
          </w:p>
        </w:tc>
        <w:tc>
          <w:tcPr>
            <w:tcW w:w="9800" w:type="dxa"/>
            <w:vAlign w:val="bottom"/>
            <w:gridSpan w:val="25"/>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Expensify, Inc. 2019 Stock Plan – Form of Option Agreement (early exercise) (incorporated by reference to Exhibit 10.14 to the</w:t>
              </w:r>
            </w:hyperlink>
          </w:p>
        </w:tc>
      </w:tr>
      <w:tr>
        <w:trPr>
          <w:trHeight w:val="156"/>
        </w:trPr>
        <w:tc>
          <w:tcPr>
            <w:tcW w:w="13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Company’s Registration Statement on Form S-1 (File No. 333-260297), filed on November 1, 2021 with the SEC).</w:t>
              </w:r>
            </w:hyperlink>
          </w:p>
        </w:tc>
        <w:tc>
          <w:tcPr>
            <w:tcW w:w="94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99.10</w:t>
            </w:r>
          </w:p>
        </w:tc>
        <w:tc>
          <w:tcPr>
            <w:tcW w:w="9800" w:type="dxa"/>
            <w:vAlign w:val="bottom"/>
            <w:gridSpan w:val="25"/>
          </w:tcPr>
          <w:p>
            <w:pPr>
              <w:spacing w:after="0"/>
              <w:rPr>
                <w:rFonts w:ascii="Arial" w:cs="Arial" w:eastAsia="Arial" w:hAnsi="Arial"/>
                <w:sz w:val="18"/>
                <w:szCs w:val="18"/>
                <w:color w:val="0000FF"/>
                <w:w w:val="96"/>
              </w:rPr>
            </w:pPr>
            <w:hyperlink r:id="rId35">
              <w:r>
                <w:rPr>
                  <w:rFonts w:ascii="Arial" w:cs="Arial" w:eastAsia="Arial" w:hAnsi="Arial"/>
                  <w:sz w:val="18"/>
                  <w:szCs w:val="18"/>
                  <w:color w:val="0000FF"/>
                  <w:w w:val="96"/>
                </w:rPr>
                <w:t>Expensify, Inc. 2019 Stock Plan – Form of Notice of Stock Option Grant (EMI) (incorporated by reference to Exhibit 10.15 to the</w:t>
              </w:r>
            </w:hyperlink>
          </w:p>
        </w:tc>
      </w:tr>
      <w:tr>
        <w:trPr>
          <w:trHeight w:val="155"/>
        </w:trPr>
        <w:tc>
          <w:tcPr>
            <w:tcW w:w="13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Company’s Registration Statement on Form S-1 (File No. 333-260297), filed on November 1, 2021 with the SEC).</w:t>
              </w:r>
            </w:hyperlink>
          </w:p>
        </w:tc>
        <w:tc>
          <w:tcPr>
            <w:tcW w:w="106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99.11</w:t>
            </w:r>
          </w:p>
        </w:tc>
        <w:tc>
          <w:tcPr>
            <w:tcW w:w="9800" w:type="dxa"/>
            <w:vAlign w:val="bottom"/>
            <w:gridSpan w:val="25"/>
          </w:tcPr>
          <w:p>
            <w:pPr>
              <w:spacing w:after="0"/>
              <w:rPr>
                <w:rFonts w:ascii="Arial" w:cs="Arial" w:eastAsia="Arial" w:hAnsi="Arial"/>
                <w:sz w:val="18"/>
                <w:szCs w:val="18"/>
                <w:color w:val="0000FF"/>
                <w:w w:val="98"/>
              </w:rPr>
            </w:pPr>
            <w:hyperlink r:id="rId36">
              <w:r>
                <w:rPr>
                  <w:rFonts w:ascii="Arial" w:cs="Arial" w:eastAsia="Arial" w:hAnsi="Arial"/>
                  <w:sz w:val="18"/>
                  <w:szCs w:val="18"/>
                  <w:color w:val="0000FF"/>
                  <w:w w:val="98"/>
                </w:rPr>
                <w:t>Expensify, Inc. 2019 Stock Plan – Form of Contingent Exercise Agreement (incorporated by reference to Exhibit 10.16 to the</w:t>
              </w:r>
            </w:hyperlink>
          </w:p>
        </w:tc>
      </w:tr>
      <w:tr>
        <w:trPr>
          <w:trHeight w:val="156"/>
        </w:trPr>
        <w:tc>
          <w:tcPr>
            <w:tcW w:w="13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Company’s Registration Statement on Form S-1 (File No. 333-260297), filed on November 1, 2021 with the SEC).</w:t>
              </w:r>
            </w:hyperlink>
          </w:p>
        </w:tc>
        <w:tc>
          <w:tcPr>
            <w:tcW w:w="74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8"/>
                <w:szCs w:val="18"/>
                <w:color w:val="auto"/>
              </w:rPr>
              <w:t>99.12</w:t>
            </w:r>
          </w:p>
        </w:tc>
        <w:tc>
          <w:tcPr>
            <w:tcW w:w="9800" w:type="dxa"/>
            <w:vAlign w:val="bottom"/>
            <w:gridSpan w:val="25"/>
          </w:tcPr>
          <w:p>
            <w:pPr>
              <w:spacing w:after="0"/>
              <w:rPr>
                <w:rFonts w:ascii="Arial" w:cs="Arial" w:eastAsia="Arial" w:hAnsi="Arial"/>
                <w:sz w:val="18"/>
                <w:szCs w:val="18"/>
                <w:color w:val="0000FF"/>
                <w:w w:val="97"/>
              </w:rPr>
            </w:pPr>
            <w:hyperlink r:id="rId37">
              <w:r>
                <w:rPr>
                  <w:rFonts w:ascii="Arial" w:cs="Arial" w:eastAsia="Arial" w:hAnsi="Arial"/>
                  <w:sz w:val="18"/>
                  <w:szCs w:val="18"/>
                  <w:color w:val="0000FF"/>
                  <w:w w:val="97"/>
                </w:rPr>
                <w:t>Expensify, Inc. 2019 Stock Plan - Form of Restricted Stock Unit Grant Notice (incorporated by reference to Exhibit 10.17 to the</w:t>
              </w:r>
            </w:hyperlink>
          </w:p>
        </w:tc>
      </w:tr>
      <w:tr>
        <w:trPr>
          <w:trHeight w:val="196"/>
        </w:trPr>
        <w:tc>
          <w:tcPr>
            <w:tcW w:w="13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Company’s Registration Statement on Form S-1 (File No. 333-260297), filed on November 1, 2021 with the SEC).</w:t>
              </w:r>
            </w:hyperlink>
          </w:p>
        </w:tc>
        <w:tc>
          <w:tcPr>
            <w:tcW w:w="920" w:type="dxa"/>
            <w:vAlign w:val="bottom"/>
            <w:tcBorders>
              <w:top w:val="single" w:sz="8" w:color="0000FF"/>
            </w:tcBorders>
            <w:gridSpan w:val="6"/>
          </w:tcPr>
          <w:p>
            <w:pPr>
              <w:spacing w:after="0"/>
              <w:rPr>
                <w:sz w:val="17"/>
                <w:szCs w:val="17"/>
                <w:color w:val="auto"/>
              </w:rPr>
            </w:pPr>
          </w:p>
        </w:tc>
        <w:tc>
          <w:tcPr>
            <w:tcW w:w="580" w:type="dxa"/>
            <w:vAlign w:val="bottom"/>
            <w:gridSpan w:val="12"/>
          </w:tcPr>
          <w:p>
            <w:pPr>
              <w:spacing w:after="0"/>
              <w:rPr>
                <w:sz w:val="17"/>
                <w:szCs w:val="17"/>
                <w:color w:val="auto"/>
              </w:rPr>
            </w:pP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99.13</w:t>
            </w:r>
          </w:p>
        </w:tc>
        <w:tc>
          <w:tcPr>
            <w:tcW w:w="9800" w:type="dxa"/>
            <w:vAlign w:val="bottom"/>
            <w:gridSpan w:val="25"/>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Expensify, Inc. 2021 Incentive Award Plan (incorporated by reference to Exhibit 10.18 to the Company’s Registration Statement on</w:t>
              </w:r>
            </w:hyperlink>
          </w:p>
        </w:tc>
      </w:tr>
      <w:tr>
        <w:trPr>
          <w:trHeight w:val="183"/>
        </w:trPr>
        <w:tc>
          <w:tcPr>
            <w:tcW w:w="1380" w:type="dxa"/>
            <w:vAlign w:val="bottom"/>
          </w:tcPr>
          <w:p>
            <w:pPr>
              <w:spacing w:after="0"/>
              <w:rPr>
                <w:sz w:val="15"/>
                <w:szCs w:val="15"/>
                <w:color w:val="auto"/>
              </w:rPr>
            </w:pPr>
          </w:p>
        </w:tc>
        <w:tc>
          <w:tcPr>
            <w:tcW w:w="948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Form S-1 (File No. 333-260297), filed on November 1, 2021 with the SEC).</w:t>
              </w:r>
            </w:hyperlink>
          </w:p>
        </w:tc>
        <w:tc>
          <w:tcPr>
            <w:tcW w:w="8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gridSpan w:val="3"/>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8"/>
                <w:szCs w:val="18"/>
                <w:color w:val="auto"/>
              </w:rPr>
              <w:t>99.14</w:t>
            </w:r>
          </w:p>
        </w:tc>
        <w:tc>
          <w:tcPr>
            <w:tcW w:w="9800" w:type="dxa"/>
            <w:vAlign w:val="bottom"/>
            <w:gridSpan w:val="25"/>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Expensify, Inc. 2021 Incentive Award Plan – Form of RSU Agreement (incorporated by reference to Exhibit 10.20 to the Company’s</w:t>
              </w:r>
            </w:hyperlink>
          </w:p>
        </w:tc>
      </w:tr>
      <w:tr>
        <w:trPr>
          <w:trHeight w:val="156"/>
        </w:trPr>
        <w:tc>
          <w:tcPr>
            <w:tcW w:w="13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Registration Statement on Form S-1 (File No. 333-260297), filed on November 1, 2021 with the SEC).</w:t>
              </w:r>
            </w:hyperlink>
          </w:p>
        </w:tc>
        <w:tc>
          <w:tcPr>
            <w:tcW w:w="2140" w:type="dxa"/>
            <w:vAlign w:val="bottom"/>
            <w:tcBorders>
              <w:top w:val="single" w:sz="8" w:color="0000FF"/>
            </w:tcBorders>
            <w:gridSpan w:val="14"/>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18"/>
                <w:szCs w:val="18"/>
                <w:color w:val="auto"/>
              </w:rPr>
              <w:t>99.15</w:t>
            </w:r>
          </w:p>
        </w:tc>
        <w:tc>
          <w:tcPr>
            <w:tcW w:w="9800" w:type="dxa"/>
            <w:vAlign w:val="bottom"/>
            <w:gridSpan w:val="25"/>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Expensify, Inc. 2021 Incentive Award Plan – Form of Option Agreement (incorporated by reference to Exhibit 10.21 to the Company’s</w:t>
              </w:r>
            </w:hyperlink>
          </w:p>
        </w:tc>
      </w:tr>
      <w:tr>
        <w:trPr>
          <w:trHeight w:val="155"/>
        </w:trPr>
        <w:tc>
          <w:tcPr>
            <w:tcW w:w="13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Registration Statement on Form S-1 (File No. 333-260297), filed on November 1, 2021 with the SEC).</w:t>
              </w:r>
            </w:hyperlink>
          </w:p>
        </w:tc>
        <w:tc>
          <w:tcPr>
            <w:tcW w:w="230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380" w:type="dxa"/>
            <w:vAlign w:val="bottom"/>
          </w:tcPr>
          <w:p>
            <w:pPr>
              <w:spacing w:after="0"/>
              <w:rPr>
                <w:sz w:val="20"/>
                <w:szCs w:val="20"/>
                <w:color w:val="auto"/>
              </w:rPr>
            </w:pPr>
            <w:r>
              <w:rPr>
                <w:rFonts w:ascii="Arial" w:cs="Arial" w:eastAsia="Arial" w:hAnsi="Arial"/>
                <w:sz w:val="18"/>
                <w:szCs w:val="18"/>
                <w:color w:val="auto"/>
              </w:rPr>
              <w:t>99.16</w:t>
            </w:r>
          </w:p>
        </w:tc>
        <w:tc>
          <w:tcPr>
            <w:tcW w:w="9800" w:type="dxa"/>
            <w:vAlign w:val="bottom"/>
            <w:gridSpan w:val="25"/>
          </w:tcPr>
          <w:p>
            <w:pPr>
              <w:spacing w:after="0"/>
              <w:rPr>
                <w:rFonts w:ascii="Arial" w:cs="Arial" w:eastAsia="Arial" w:hAnsi="Arial"/>
                <w:sz w:val="18"/>
                <w:szCs w:val="18"/>
                <w:color w:val="0000FF"/>
                <w:w w:val="98"/>
              </w:rPr>
            </w:pPr>
            <w:hyperlink r:id="rId41">
              <w:r>
                <w:rPr>
                  <w:rFonts w:ascii="Arial" w:cs="Arial" w:eastAsia="Arial" w:hAnsi="Arial"/>
                  <w:sz w:val="18"/>
                  <w:szCs w:val="18"/>
                  <w:color w:val="0000FF"/>
                  <w:w w:val="98"/>
                </w:rPr>
                <w:t>Expensify, Inc. Non-Qualified Employee Stock Purchase and Matching Plan (incorporated by reference to Exhibit 10.19 to the</w:t>
              </w:r>
            </w:hyperlink>
          </w:p>
        </w:tc>
      </w:tr>
      <w:tr>
        <w:trPr>
          <w:trHeight w:val="183"/>
        </w:trPr>
        <w:tc>
          <w:tcPr>
            <w:tcW w:w="1380" w:type="dxa"/>
            <w:vAlign w:val="bottom"/>
          </w:tcPr>
          <w:p>
            <w:pPr>
              <w:spacing w:after="0"/>
              <w:rPr>
                <w:sz w:val="15"/>
                <w:szCs w:val="15"/>
                <w:color w:val="auto"/>
              </w:rPr>
            </w:pPr>
          </w:p>
        </w:tc>
        <w:tc>
          <w:tcPr>
            <w:tcW w:w="82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Company’s Registration Statement on Form S-1 (File No. 333-260297), filed on November 1, 2021 with the SEC).</w:t>
              </w:r>
            </w:hyperlink>
          </w:p>
        </w:tc>
        <w:tc>
          <w:tcPr>
            <w:tcW w:w="840" w:type="dxa"/>
            <w:vAlign w:val="bottom"/>
            <w:tcBorders>
              <w:top w:val="single" w:sz="8" w:color="0000FF"/>
            </w:tcBorders>
            <w:gridSpan w:val="6"/>
          </w:tcPr>
          <w:p>
            <w:pPr>
              <w:spacing w:after="0"/>
              <w:rPr>
                <w:sz w:val="15"/>
                <w:szCs w:val="15"/>
                <w:color w:val="auto"/>
              </w:rPr>
            </w:pPr>
          </w:p>
        </w:tc>
        <w:tc>
          <w:tcPr>
            <w:tcW w:w="680" w:type="dxa"/>
            <w:vAlign w:val="bottom"/>
            <w:gridSpan w:val="13"/>
          </w:tcPr>
          <w:p>
            <w:pPr>
              <w:spacing w:after="0"/>
              <w:rPr>
                <w:sz w:val="15"/>
                <w:szCs w:val="15"/>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8"/>
                <w:szCs w:val="18"/>
                <w:color w:val="auto"/>
              </w:rPr>
              <w:t>99.17</w:t>
            </w:r>
          </w:p>
        </w:tc>
        <w:tc>
          <w:tcPr>
            <w:tcW w:w="9800" w:type="dxa"/>
            <w:vAlign w:val="bottom"/>
            <w:gridSpan w:val="25"/>
          </w:tcPr>
          <w:p>
            <w:pPr>
              <w:spacing w:after="0"/>
              <w:rPr>
                <w:rFonts w:ascii="Arial" w:cs="Arial" w:eastAsia="Arial" w:hAnsi="Arial"/>
                <w:sz w:val="18"/>
                <w:szCs w:val="18"/>
                <w:color w:val="0000FF"/>
                <w:w w:val="98"/>
              </w:rPr>
            </w:pPr>
            <w:hyperlink r:id="rId42">
              <w:r>
                <w:rPr>
                  <w:rFonts w:ascii="Arial" w:cs="Arial" w:eastAsia="Arial" w:hAnsi="Arial"/>
                  <w:sz w:val="18"/>
                  <w:szCs w:val="18"/>
                  <w:color w:val="0000FF"/>
                  <w:w w:val="98"/>
                </w:rPr>
                <w:t>Expensify, Inc. Non-Employee Director Compensation Program (incorporated by reference to Exhibit 10.22 to the Company’s</w:t>
              </w:r>
            </w:hyperlink>
          </w:p>
        </w:tc>
      </w:tr>
      <w:tr>
        <w:trPr>
          <w:trHeight w:val="183"/>
        </w:trPr>
        <w:tc>
          <w:tcPr>
            <w:tcW w:w="138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Registration Statement on Form S-1 (File No. 333-260297), filed on November 1, 2021 with the SEC).</w:t>
              </w:r>
            </w:hyperlink>
          </w:p>
        </w:tc>
        <w:tc>
          <w:tcPr>
            <w:tcW w:w="1680" w:type="dxa"/>
            <w:vAlign w:val="bottom"/>
            <w:tcBorders>
              <w:top w:val="single" w:sz="8" w:color="0000FF"/>
            </w:tcBorders>
            <w:gridSpan w:val="6"/>
          </w:tcPr>
          <w:p>
            <w:pPr>
              <w:spacing w:after="0"/>
              <w:rPr>
                <w:sz w:val="15"/>
                <w:szCs w:val="15"/>
                <w:color w:val="auto"/>
              </w:rPr>
            </w:pPr>
          </w:p>
        </w:tc>
        <w:tc>
          <w:tcPr>
            <w:tcW w:w="700" w:type="dxa"/>
            <w:vAlign w:val="bottom"/>
            <w:gridSpan w:val="1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Undertakings.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The Company hereby undertakes:</w:t>
      </w:r>
    </w:p>
    <w:p>
      <w:pPr>
        <w:sectPr>
          <w:pgSz w:w="11900" w:h="16838" w:orient="portrait"/>
          <w:cols w:equalWidth="0" w:num="1">
            <w:col w:w="11180"/>
          </w:cols>
          <w:pgMar w:left="320" w:top="1440" w:right="399" w:bottom="1440" w:gutter="0" w:footer="0" w:header="0"/>
        </w:sectPr>
      </w:pPr>
    </w:p>
    <w:bookmarkStart w:id="7" w:name="page8"/>
    <w:bookmarkEnd w:id="7"/>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ind w:firstLine="8"/>
        <w:spacing w:after="0" w:line="25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5" w:lineRule="exact"/>
        <w:rPr>
          <w:rFonts w:ascii="Arial" w:cs="Arial" w:eastAsia="Arial" w:hAnsi="Arial"/>
          <w:sz w:val="17"/>
          <w:szCs w:val="17"/>
          <w:color w:val="auto"/>
        </w:rPr>
      </w:pPr>
    </w:p>
    <w:p>
      <w:pPr>
        <w:ind w:right="380" w:firstLine="8"/>
        <w:spacing w:after="0" w:line="261"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post-effective amendment by those paragraphs is contained in periodic reports filed with or furnished to the SEC by the Company pursuant to Section 13 or Section 15(d) of the Exchange Act that are incorporated by reference in this Registration Statement.</w:t>
      </w:r>
    </w:p>
    <w:p>
      <w:pPr>
        <w:spacing w:after="0" w:line="164" w:lineRule="exact"/>
        <w:rPr>
          <w:sz w:val="20"/>
          <w:szCs w:val="20"/>
          <w:color w:val="auto"/>
        </w:rPr>
      </w:pPr>
    </w:p>
    <w:p>
      <w:pPr>
        <w:ind w:right="200" w:firstLine="8"/>
        <w:spacing w:after="0" w:line="248"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B. 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20" w:right="20"/>
        <w:spacing w:after="0" w:line="274" w:lineRule="auto"/>
        <w:rPr>
          <w:sz w:val="20"/>
          <w:szCs w:val="20"/>
          <w:color w:val="auto"/>
        </w:rPr>
      </w:pPr>
      <w:r>
        <w:rPr>
          <w:rFonts w:ascii="Arial" w:cs="Arial" w:eastAsia="Arial" w:hAnsi="Arial"/>
          <w:sz w:val="16"/>
          <w:szCs w:val="16"/>
          <w:color w:val="auto"/>
        </w:rPr>
        <w:t>C. 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1160"/>
          </w:cols>
          <w:pgMar w:left="320" w:top="1421" w:right="4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right="720"/>
        <w:spacing w:after="0" w:line="24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Portland, State of Oregon, on this 9th day of November, 2021.</w:t>
      </w:r>
    </w:p>
    <w:p>
      <w:pPr>
        <w:spacing w:after="0" w:line="21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1405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David Barrett and Ryan</w:t>
      </w:r>
      <w:r>
        <w:rPr>
          <w:rFonts w:ascii="Arial" w:cs="Arial" w:eastAsia="Arial" w:hAnsi="Arial"/>
          <w:sz w:val="17"/>
          <w:szCs w:val="17"/>
          <w:b w:val="1"/>
          <w:bCs w:val="1"/>
          <w:color w:val="auto"/>
        </w:rPr>
        <w:t xml:space="preserve"> </w:t>
      </w:r>
      <w:r>
        <w:rPr>
          <w:rFonts w:ascii="Arial" w:cs="Arial" w:eastAsia="Arial" w:hAnsi="Arial"/>
          <w:sz w:val="17"/>
          <w:szCs w:val="17"/>
          <w:color w:val="auto"/>
        </w:rPr>
        <w:t>Schaffer, and each of them, as his or her true and lawful attorneys-in-fact and agents, each with the full power of substitution and resubstitution,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1"/>
              </w:rPr>
              <w:t>Title</w:t>
            </w:r>
          </w:p>
        </w:tc>
        <w:tc>
          <w:tcPr>
            <w:tcW w:w="178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69"/>
        </w:trPr>
        <w:tc>
          <w:tcPr>
            <w:tcW w:w="4180" w:type="dxa"/>
            <w:vAlign w:val="bottom"/>
          </w:tcPr>
          <w:p>
            <w:pPr>
              <w:jc w:val="center"/>
              <w:spacing w:after="0"/>
              <w:rPr>
                <w:sz w:val="20"/>
                <w:szCs w:val="20"/>
                <w:color w:val="auto"/>
              </w:rPr>
            </w:pPr>
            <w:r>
              <w:rPr>
                <w:rFonts w:ascii="Arial" w:cs="Arial" w:eastAsia="Arial" w:hAnsi="Arial"/>
                <w:sz w:val="18"/>
                <w:szCs w:val="18"/>
                <w:color w:val="auto"/>
                <w:w w:val="92"/>
              </w:rPr>
              <w:t>/s/ David Barrett</w:t>
            </w: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1"/>
              </w:rPr>
              <w:t>November 9, 2021</w:t>
            </w:r>
          </w:p>
        </w:tc>
        <w:tc>
          <w:tcPr>
            <w:tcW w:w="0" w:type="dxa"/>
            <w:vAlign w:val="bottom"/>
          </w:tcPr>
          <w:p>
            <w:pPr>
              <w:spacing w:after="0"/>
              <w:rPr>
                <w:sz w:val="1"/>
                <w:szCs w:val="1"/>
                <w:color w:val="auto"/>
              </w:rPr>
            </w:pPr>
          </w:p>
        </w:tc>
      </w:tr>
      <w:tr>
        <w:trPr>
          <w:trHeight w:val="55"/>
        </w:trPr>
        <w:tc>
          <w:tcPr>
            <w:tcW w:w="4180" w:type="dxa"/>
            <w:vAlign w:val="bottom"/>
            <w:tcBorders>
              <w:bottom w:val="single" w:sz="8" w:color="auto"/>
            </w:tcBorders>
          </w:tcPr>
          <w:p>
            <w:pPr>
              <w:spacing w:after="0"/>
              <w:rPr>
                <w:sz w:val="4"/>
                <w:szCs w:val="4"/>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3"/>
              </w:rPr>
              <w:t>David Barrett</w:t>
            </w:r>
          </w:p>
        </w:tc>
        <w:tc>
          <w:tcPr>
            <w:tcW w:w="480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180" w:type="dxa"/>
            <w:vAlign w:val="bottom"/>
            <w:vMerge w:val="continue"/>
          </w:tcPr>
          <w:p>
            <w:pPr>
              <w:spacing w:after="0"/>
              <w:rPr>
                <w:sz w:val="7"/>
                <w:szCs w:val="7"/>
                <w:color w:val="auto"/>
              </w:rPr>
            </w:pPr>
          </w:p>
        </w:tc>
        <w:tc>
          <w:tcPr>
            <w:tcW w:w="48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180" w:type="dxa"/>
            <w:vAlign w:val="bottom"/>
          </w:tcPr>
          <w:p>
            <w:pPr>
              <w:jc w:val="center"/>
              <w:spacing w:after="0"/>
              <w:rPr>
                <w:sz w:val="20"/>
                <w:szCs w:val="20"/>
                <w:color w:val="auto"/>
              </w:rPr>
            </w:pPr>
            <w:r>
              <w:rPr>
                <w:rFonts w:ascii="Arial" w:cs="Arial" w:eastAsia="Arial" w:hAnsi="Arial"/>
                <w:sz w:val="18"/>
                <w:szCs w:val="18"/>
                <w:color w:val="auto"/>
                <w:w w:val="89"/>
              </w:rPr>
              <w:t>/s/ Ryan Schaffer</w:t>
            </w:r>
          </w:p>
        </w:tc>
        <w:tc>
          <w:tcPr>
            <w:tcW w:w="4800" w:type="dxa"/>
            <w:vAlign w:val="bottom"/>
          </w:tcPr>
          <w:p>
            <w:pPr>
              <w:jc w:val="center"/>
              <w:spacing w:after="0"/>
              <w:rPr>
                <w:sz w:val="20"/>
                <w:szCs w:val="20"/>
                <w:color w:val="auto"/>
              </w:rPr>
            </w:pPr>
            <w:r>
              <w:rPr>
                <w:rFonts w:ascii="Arial" w:cs="Arial" w:eastAsia="Arial" w:hAnsi="Arial"/>
                <w:sz w:val="18"/>
                <w:szCs w:val="18"/>
                <w:color w:val="auto"/>
                <w:w w:val="94"/>
              </w:rPr>
              <w:t>Chief Financial Officer (Principal Financial Officer and</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1"/>
              </w:rPr>
              <w:t>November 9, 2021</w:t>
            </w:r>
          </w:p>
        </w:tc>
        <w:tc>
          <w:tcPr>
            <w:tcW w:w="0" w:type="dxa"/>
            <w:vAlign w:val="bottom"/>
          </w:tcPr>
          <w:p>
            <w:pPr>
              <w:spacing w:after="0"/>
              <w:rPr>
                <w:sz w:val="1"/>
                <w:szCs w:val="1"/>
                <w:color w:val="auto"/>
              </w:rPr>
            </w:pPr>
          </w:p>
        </w:tc>
      </w:tr>
      <w:tr>
        <w:trPr>
          <w:trHeight w:val="95"/>
        </w:trPr>
        <w:tc>
          <w:tcPr>
            <w:tcW w:w="4180" w:type="dxa"/>
            <w:vAlign w:val="bottom"/>
            <w:tcBorders>
              <w:bottom w:val="single" w:sz="8" w:color="auto"/>
            </w:tcBorders>
          </w:tcPr>
          <w:p>
            <w:pPr>
              <w:spacing w:after="0"/>
              <w:rPr>
                <w:sz w:val="8"/>
                <w:szCs w:val="8"/>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89"/>
              </w:rPr>
              <w:t>Ryan Schaffer</w:t>
            </w:r>
          </w:p>
        </w:tc>
        <w:tc>
          <w:tcPr>
            <w:tcW w:w="480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18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4180" w:type="dxa"/>
            <w:vAlign w:val="bottom"/>
          </w:tcPr>
          <w:p>
            <w:pPr>
              <w:jc w:val="center"/>
              <w:spacing w:after="0"/>
              <w:rPr>
                <w:sz w:val="20"/>
                <w:szCs w:val="20"/>
                <w:color w:val="auto"/>
              </w:rPr>
            </w:pPr>
            <w:r>
              <w:rPr>
                <w:rFonts w:ascii="Arial" w:cs="Arial" w:eastAsia="Arial" w:hAnsi="Arial"/>
                <w:sz w:val="18"/>
                <w:szCs w:val="18"/>
                <w:color w:val="auto"/>
                <w:w w:val="93"/>
              </w:rPr>
              <w:t>/s/ Blake Bartlett</w:t>
            </w: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1"/>
              </w:rPr>
              <w:t>November 9, 2021</w:t>
            </w:r>
          </w:p>
        </w:tc>
        <w:tc>
          <w:tcPr>
            <w:tcW w:w="0" w:type="dxa"/>
            <w:vAlign w:val="bottom"/>
          </w:tcPr>
          <w:p>
            <w:pPr>
              <w:spacing w:after="0"/>
              <w:rPr>
                <w:sz w:val="1"/>
                <w:szCs w:val="1"/>
                <w:color w:val="auto"/>
              </w:rPr>
            </w:pPr>
          </w:p>
        </w:tc>
      </w:tr>
      <w:tr>
        <w:trPr>
          <w:trHeight w:val="40"/>
        </w:trPr>
        <w:tc>
          <w:tcPr>
            <w:tcW w:w="4180" w:type="dxa"/>
            <w:vAlign w:val="bottom"/>
            <w:tcBorders>
              <w:bottom w:val="single" w:sz="8" w:color="auto"/>
            </w:tcBorders>
          </w:tcPr>
          <w:p>
            <w:pPr>
              <w:spacing w:after="0"/>
              <w:rPr>
                <w:sz w:val="3"/>
                <w:szCs w:val="3"/>
                <w:color w:val="auto"/>
              </w:rPr>
            </w:pPr>
          </w:p>
        </w:tc>
        <w:tc>
          <w:tcPr>
            <w:tcW w:w="48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Blake Bartlett</w:t>
            </w:r>
          </w:p>
        </w:tc>
        <w:tc>
          <w:tcPr>
            <w:tcW w:w="4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80" w:type="dxa"/>
            <w:vAlign w:val="bottom"/>
            <w:tcBorders>
              <w:bottom w:val="single" w:sz="8" w:color="auto"/>
            </w:tcBorders>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Timothy Christen</w:t>
            </w:r>
          </w:p>
        </w:tc>
        <w:tc>
          <w:tcPr>
            <w:tcW w:w="4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Lent</w:t>
            </w: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78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November 9, 2021</w:t>
            </w:r>
          </w:p>
        </w:tc>
        <w:tc>
          <w:tcPr>
            <w:tcW w:w="0" w:type="dxa"/>
            <w:vAlign w:val="bottom"/>
          </w:tcPr>
          <w:p>
            <w:pPr>
              <w:spacing w:after="0"/>
              <w:rPr>
                <w:sz w:val="1"/>
                <w:szCs w:val="1"/>
                <w:color w:val="auto"/>
              </w:rPr>
            </w:pPr>
          </w:p>
        </w:tc>
      </w:tr>
      <w:tr>
        <w:trPr>
          <w:trHeight w:val="237"/>
        </w:trPr>
        <w:tc>
          <w:tcPr>
            <w:tcW w:w="4180" w:type="dxa"/>
            <w:vAlign w:val="bottom"/>
          </w:tcPr>
          <w:p>
            <w:pPr>
              <w:jc w:val="center"/>
              <w:spacing w:after="0"/>
              <w:rPr>
                <w:sz w:val="20"/>
                <w:szCs w:val="20"/>
                <w:color w:val="auto"/>
              </w:rPr>
            </w:pPr>
            <w:r>
              <w:rPr>
                <w:rFonts w:ascii="Arial" w:cs="Arial" w:eastAsia="Arial" w:hAnsi="Arial"/>
                <w:sz w:val="18"/>
                <w:szCs w:val="18"/>
                <w:color w:val="auto"/>
                <w:w w:val="91"/>
              </w:rPr>
              <w:t>Robert Lent</w:t>
            </w:r>
          </w:p>
        </w:tc>
        <w:tc>
          <w:tcPr>
            <w:tcW w:w="480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417"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11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330 North Wabash Avenue</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Suite 2800</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Chicago, Illinois 60611</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Tel: +1.312.876.7700 Fax: +1.312.993.9767</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2640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2640330" cy="171450"/>
                    </a:xfrm>
                    <a:prstGeom prst="rect">
                      <a:avLst/>
                    </a:prstGeom>
                    <a:noFill/>
                  </pic:spPr>
                </pic:pic>
              </a:graphicData>
            </a:graphic>
          </wp:anchor>
        </w:drawing>
      </w:r>
    </w:p>
    <w:p>
      <w:pPr>
        <w:spacing w:after="0" w:line="30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FIRM / AFFILIATE OFFICES</w:t>
      </w:r>
    </w:p>
    <w:p>
      <w:pPr>
        <w:sectPr>
          <w:pgSz w:w="11900" w:h="16838" w:orient="portrait"/>
          <w:cols w:equalWidth="0" w:num="1">
            <w:col w:w="11240"/>
          </w:cols>
          <w:pgMar w:left="320" w:top="148" w:right="339" w:bottom="1440" w:gutter="0" w:footer="0" w:header="0"/>
        </w:sectPr>
      </w:pPr>
    </w:p>
    <w:p>
      <w:pPr>
        <w:spacing w:after="0" w:line="45"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Austin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Milan</w:t>
      </w:r>
    </w:p>
    <w:p>
      <w:pPr>
        <w:spacing w:after="0" w:line="65" w:lineRule="exact"/>
        <w:rPr>
          <w:sz w:val="20"/>
          <w:szCs w:val="20"/>
          <w:color w:val="auto"/>
        </w:rPr>
      </w:pPr>
    </w:p>
    <w:p>
      <w:pPr>
        <w:sectPr>
          <w:pgSz w:w="11900" w:h="16838" w:orient="portrait"/>
          <w:cols w:equalWidth="0" w:num="2">
            <w:col w:w="7700" w:space="720"/>
            <w:col w:w="2820"/>
          </w:cols>
          <w:pgMar w:left="320" w:top="148" w:right="339" w:bottom="1440" w:gutter="0" w:footer="0" w:header="0"/>
          <w:type w:val="continuous"/>
        </w:sectPr>
      </w:pPr>
    </w:p>
    <w:p>
      <w:pPr>
        <w:ind w:left="6700"/>
        <w:spacing w:after="0"/>
        <w:rPr>
          <w:sz w:val="20"/>
          <w:szCs w:val="20"/>
          <w:color w:val="auto"/>
        </w:rPr>
      </w:pPr>
      <w:r>
        <w:rPr>
          <w:rFonts w:ascii="Arial" w:cs="Arial" w:eastAsia="Arial" w:hAnsi="Arial"/>
          <w:sz w:val="12"/>
          <w:szCs w:val="12"/>
          <w:color w:val="auto"/>
        </w:rPr>
        <w:t>Beijing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Moscow</w:t>
      </w:r>
    </w:p>
    <w:p>
      <w:pPr>
        <w:spacing w:after="0" w:line="65" w:lineRule="exact"/>
        <w:rPr>
          <w:sz w:val="20"/>
          <w:szCs w:val="20"/>
          <w:color w:val="auto"/>
        </w:rPr>
      </w:pPr>
    </w:p>
    <w:p>
      <w:pPr>
        <w:sectPr>
          <w:pgSz w:w="11900" w:h="16838" w:orient="portrait"/>
          <w:cols w:equalWidth="0" w:num="2">
            <w:col w:w="7700" w:space="720"/>
            <w:col w:w="2820"/>
          </w:cols>
          <w:pgMar w:left="320" w:top="148" w:right="339" w:bottom="1440" w:gutter="0" w:footer="0" w:header="0"/>
          <w:type w:val="continuous"/>
        </w:sectPr>
      </w:pPr>
    </w:p>
    <w:p>
      <w:pPr>
        <w:ind w:left="6700"/>
        <w:spacing w:after="0"/>
        <w:rPr>
          <w:sz w:val="20"/>
          <w:szCs w:val="20"/>
          <w:color w:val="auto"/>
        </w:rPr>
      </w:pPr>
      <w:r>
        <w:rPr>
          <w:rFonts w:ascii="Arial" w:cs="Arial" w:eastAsia="Arial" w:hAnsi="Arial"/>
          <w:sz w:val="12"/>
          <w:szCs w:val="12"/>
          <w:color w:val="auto"/>
        </w:rPr>
        <w:t>Boston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Munich</w:t>
      </w:r>
    </w:p>
    <w:p>
      <w:pPr>
        <w:spacing w:after="0" w:line="65" w:lineRule="exact"/>
        <w:rPr>
          <w:sz w:val="20"/>
          <w:szCs w:val="20"/>
          <w:color w:val="auto"/>
        </w:rPr>
      </w:pPr>
    </w:p>
    <w:p>
      <w:pPr>
        <w:sectPr>
          <w:pgSz w:w="11900" w:h="16838" w:orient="portrait"/>
          <w:cols w:equalWidth="0" w:num="2">
            <w:col w:w="7700" w:space="720"/>
            <w:col w:w="2820"/>
          </w:cols>
          <w:pgMar w:left="320" w:top="148" w:right="339" w:bottom="1440" w:gutter="0" w:footer="0" w:header="0"/>
          <w:type w:val="continuous"/>
        </w:sectPr>
      </w:pPr>
    </w:p>
    <w:p>
      <w:pPr>
        <w:ind w:left="6700"/>
        <w:spacing w:after="0"/>
        <w:rPr>
          <w:sz w:val="20"/>
          <w:szCs w:val="20"/>
          <w:color w:val="auto"/>
        </w:rPr>
      </w:pPr>
      <w:r>
        <w:rPr>
          <w:rFonts w:ascii="Arial" w:cs="Arial" w:eastAsia="Arial" w:hAnsi="Arial"/>
          <w:sz w:val="13"/>
          <w:szCs w:val="13"/>
          <w:color w:val="auto"/>
        </w:rPr>
        <w:t>Brussels</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Century City</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Chicago</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Dubai</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Düsseldorf</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Frankfurt</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Hamburg</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Hong Kong</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Houston</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London</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Los Angeles</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Madrid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New York</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Orange County</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Paris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Riyadh</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San Diego</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San Francisco</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Seoul</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Shanghai</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Silicon Valley</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Tokyo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Washington, D.C.</w:t>
      </w:r>
    </w:p>
    <w:p>
      <w:pPr>
        <w:spacing w:after="0" w:line="116" w:lineRule="exact"/>
        <w:rPr>
          <w:sz w:val="20"/>
          <w:szCs w:val="20"/>
          <w:color w:val="auto"/>
        </w:rPr>
      </w:pPr>
    </w:p>
    <w:p>
      <w:pPr>
        <w:sectPr>
          <w:pgSz w:w="11900" w:h="16838" w:orient="portrait"/>
          <w:cols w:equalWidth="0" w:num="2">
            <w:col w:w="7700" w:space="720"/>
            <w:col w:w="2820"/>
          </w:cols>
          <w:pgMar w:left="320" w:top="148" w:right="339" w:bottom="1440" w:gutter="0" w:footer="0" w:header="0"/>
          <w:type w:val="continuous"/>
        </w:sectPr>
      </w:pPr>
    </w:p>
    <w:p>
      <w:pPr>
        <w:spacing w:after="0"/>
        <w:rPr>
          <w:sz w:val="20"/>
          <w:szCs w:val="20"/>
          <w:color w:val="auto"/>
        </w:rPr>
      </w:pPr>
      <w:r>
        <w:rPr>
          <w:rFonts w:ascii="Arial" w:cs="Arial" w:eastAsia="Arial" w:hAnsi="Arial"/>
          <w:sz w:val="22"/>
          <w:szCs w:val="22"/>
          <w:color w:val="auto"/>
        </w:rPr>
        <w:t>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Expensify, Inc.</w:t>
      </w:r>
    </w:p>
    <w:p>
      <w:pPr>
        <w:spacing w:after="0" w:line="207" w:lineRule="auto"/>
        <w:rPr>
          <w:sz w:val="20"/>
          <w:szCs w:val="20"/>
          <w:color w:val="auto"/>
        </w:rPr>
      </w:pPr>
      <w:r>
        <w:rPr>
          <w:rFonts w:ascii="Arial" w:cs="Arial" w:eastAsia="Arial" w:hAnsi="Arial"/>
          <w:sz w:val="22"/>
          <w:szCs w:val="22"/>
          <w:color w:val="auto"/>
        </w:rPr>
        <w:t>401 SW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w:t>
      </w:r>
    </w:p>
    <w:p>
      <w:pPr>
        <w:spacing w:after="0"/>
        <w:rPr>
          <w:sz w:val="20"/>
          <w:szCs w:val="20"/>
          <w:color w:val="auto"/>
        </w:rPr>
      </w:pPr>
      <w:r>
        <w:rPr>
          <w:rFonts w:ascii="Arial" w:cs="Arial" w:eastAsia="Arial" w:hAnsi="Arial"/>
          <w:sz w:val="22"/>
          <w:szCs w:val="22"/>
          <w:color w:val="auto"/>
        </w:rPr>
        <w:t>Portland, Oregon 97204</w:t>
      </w:r>
    </w:p>
    <w:p>
      <w:pPr>
        <w:spacing w:after="0" w:line="20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the addressees set forth above:</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have acted as special counsel to Expensify,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preparation and filing by the Company on the date hereof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on Form S-8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relating to the issuance of up to 19,747,332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Class A common stock of the Company, $0.0001 par value per share, which may be issued pursuant to the Company’s 2009 Stock Plan (the “</w:t>
      </w:r>
      <w:r>
        <w:rPr>
          <w:rFonts w:ascii="Arial" w:cs="Arial" w:eastAsia="Arial" w:hAnsi="Arial"/>
          <w:sz w:val="19"/>
          <w:szCs w:val="19"/>
          <w:b w:val="1"/>
          <w:bCs w:val="1"/>
          <w:i w:val="1"/>
          <w:iCs w:val="1"/>
          <w:color w:val="auto"/>
        </w:rPr>
        <w:t>2009 Plan</w:t>
      </w:r>
      <w:r>
        <w:rPr>
          <w:rFonts w:ascii="Arial" w:cs="Arial" w:eastAsia="Arial" w:hAnsi="Arial"/>
          <w:sz w:val="19"/>
          <w:szCs w:val="19"/>
          <w:color w:val="auto"/>
        </w:rPr>
        <w:t>”), the Company’s 2019 Stock Plan (the “</w:t>
      </w:r>
      <w:r>
        <w:rPr>
          <w:rFonts w:ascii="Arial" w:cs="Arial" w:eastAsia="Arial" w:hAnsi="Arial"/>
          <w:sz w:val="19"/>
          <w:szCs w:val="19"/>
          <w:b w:val="1"/>
          <w:bCs w:val="1"/>
          <w:i w:val="1"/>
          <w:iCs w:val="1"/>
          <w:color w:val="auto"/>
        </w:rPr>
        <w:t>2019 Plan</w:t>
      </w:r>
      <w:r>
        <w:rPr>
          <w:rFonts w:ascii="Arial" w:cs="Arial" w:eastAsia="Arial" w:hAnsi="Arial"/>
          <w:sz w:val="19"/>
          <w:szCs w:val="19"/>
          <w:color w:val="auto"/>
        </w:rPr>
        <w:t>”), the Company’s 2021 Incentive Award Plan (the “</w:t>
      </w:r>
      <w:r>
        <w:rPr>
          <w:rFonts w:ascii="Arial" w:cs="Arial" w:eastAsia="Arial" w:hAnsi="Arial"/>
          <w:sz w:val="19"/>
          <w:szCs w:val="19"/>
          <w:b w:val="1"/>
          <w:bCs w:val="1"/>
          <w:i w:val="1"/>
          <w:iCs w:val="1"/>
          <w:color w:val="auto"/>
        </w:rPr>
        <w:t>2021 Plan</w:t>
      </w:r>
      <w:r>
        <w:rPr>
          <w:rFonts w:ascii="Arial" w:cs="Arial" w:eastAsia="Arial" w:hAnsi="Arial"/>
          <w:sz w:val="19"/>
          <w:szCs w:val="19"/>
          <w:color w:val="auto"/>
        </w:rPr>
        <w:t>”) and the Company’s 2021 Stock Purchase and Matching Plan (the “</w:t>
      </w:r>
      <w:r>
        <w:rPr>
          <w:rFonts w:ascii="Arial" w:cs="Arial" w:eastAsia="Arial" w:hAnsi="Arial"/>
          <w:sz w:val="19"/>
          <w:szCs w:val="19"/>
          <w:b w:val="1"/>
          <w:bCs w:val="1"/>
          <w:i w:val="1"/>
          <w:iCs w:val="1"/>
          <w:color w:val="auto"/>
        </w:rPr>
        <w:t>2021 Purchase and Matching Plan</w:t>
      </w:r>
      <w:r>
        <w:rPr>
          <w:rFonts w:ascii="Arial" w:cs="Arial" w:eastAsia="Arial" w:hAnsi="Arial"/>
          <w:sz w:val="19"/>
          <w:szCs w:val="19"/>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and we express no opinion with respect to any other laws.</w:t>
      </w:r>
    </w:p>
    <w:p>
      <w:pPr>
        <w:sectPr>
          <w:pgSz w:w="11900" w:h="16838" w:orient="portrait"/>
          <w:cols w:equalWidth="0" w:num="1">
            <w:col w:w="11240"/>
          </w:cols>
          <w:pgMar w:left="320" w:top="148" w:right="339" w:bottom="144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13"/>
          <w:szCs w:val="13"/>
          <w:b w:val="1"/>
          <w:bCs w:val="1"/>
          <w:color w:val="auto"/>
        </w:rPr>
        <w:t>November 9, 2021</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388745"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of not less than par value in the circumstances contemplated by the 2009 Plan, the 2019 Plan, the 2021 Plan, and the 2021 Purchase and Matching Plan, as applicable, assuming in each case that the individual issuances, grants or awards under the 2009 Plan, the 2019 Plan, the 2021 Plan, and the 2021 Purchase and Matching Plan, as applicable, are duly authorized by all necessary corporate action and duly issued, granted or awarded and exercised in accordance with the requirements of law and the 2009 Plan, the 2019 Plan, the 2021 Plan, and the 2021 Purchase and Matching Plan, as applicable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6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Sincerely,</w:t>
      </w:r>
    </w:p>
    <w:p>
      <w:pPr>
        <w:spacing w:after="0" w:line="28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240"/>
          </w:cols>
          <w:pgMar w:left="320" w:top="11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Expensify, Inc. 2009 Stock Plan, Expensify, Inc. 2019 Stock Plan, Expensify, Inc. 2021 Incentive Award Plan, and Expensify, Inc. 2021 Non-Qualified Employee Stock Purchase and Matching Plan of our reports dated April 28, 2021, except for the reclassification of employee and employee related expenses disclosed in Note 1, as to which the date is September 24, 2021, and the retrospective stock split disclosed in Note 1 as to which the date is November 1, 2021, with respect to the consolidated financial statements of Expensify, Inc. for the years ended December 31, 2020 and 2019 included in Amendment No. 3 to the Registration Statement (Form S-1 No. 333-260297), and related Prospectus of Expensify, Inc. for the registration of shares of its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November 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3.jpeg"/><Relationship Id="rId46" Type="http://schemas.openxmlformats.org/officeDocument/2006/relationships/image" Target="media/image14.jpeg"/><Relationship Id="rId18" Type="http://schemas.openxmlformats.org/officeDocument/2006/relationships/hyperlink" Target="http://www.sec.gov/Archives/edgar/data/1476840/000162828021022126/expensifys-1a3.htm" TargetMode="External"/><Relationship Id="rId19" Type="http://schemas.openxmlformats.org/officeDocument/2006/relationships/hyperlink" Target="http://www.sec.gov/Archives/edgar/data/1476840/000162828021022291/expensify-form8xa.htm" TargetMode="External"/><Relationship Id="rId20" Type="http://schemas.openxmlformats.org/officeDocument/2006/relationships/hyperlink" Target="https://www.sec.gov/Archives/edgar/data/1476840/000162828021020900/exhibit31-sx1a2.htm" TargetMode="External"/><Relationship Id="rId21" Type="http://schemas.openxmlformats.org/officeDocument/2006/relationships/hyperlink" Target="https://www.sec.gov/Archives/edgar/data/1476840/000162828021020900/exhibit32-sx1a2.htm" TargetMode="External"/><Relationship Id="rId22" Type="http://schemas.openxmlformats.org/officeDocument/2006/relationships/hyperlink" Target="https://www.sec.gov/Archives/edgar/data/1476840/000162828021020900/exhibit33-sx1a2.htm" TargetMode="External"/><Relationship Id="rId23" Type="http://schemas.openxmlformats.org/officeDocument/2006/relationships/hyperlink" Target="https://www.sec.gov/Archives/edgar/data/1476840/000162828021020900/exhibit34-sx1a2.htm" TargetMode="External"/><Relationship Id="rId24" Type="http://schemas.openxmlformats.org/officeDocument/2006/relationships/hyperlink" Target="https://www.sec.gov/Archives/edgar/data/1476840/000162828021020900/exhibit35-sx1a2.htm" TargetMode="External"/><Relationship Id="rId25" Type="http://schemas.openxmlformats.org/officeDocument/2006/relationships/hyperlink" Target="https://www.sec.gov/Archives/edgar/data/1476840/000162828021020900/exhibit41-sx1a2.htm" TargetMode="External"/><Relationship Id="rId26" Type="http://schemas.openxmlformats.org/officeDocument/2006/relationships/hyperlink" Target="https://www.sec.gov/Archives/edgar/data/1476840/000162828021020900/exhibit106-sx1a2.htm" TargetMode="External"/><Relationship Id="rId27" Type="http://schemas.openxmlformats.org/officeDocument/2006/relationships/hyperlink" Target="https://www.sec.gov/Archives/edgar/data/1476840/000162828021020900/exhibit107-sx1a2.htm" TargetMode="External"/><Relationship Id="rId28" Type="http://schemas.openxmlformats.org/officeDocument/2006/relationships/hyperlink" Target="https://www.sec.gov/Archives/edgar/data/1476840/000162828021020900/exhibit108-sx1a2.htm" TargetMode="External"/><Relationship Id="rId29" Type="http://schemas.openxmlformats.org/officeDocument/2006/relationships/hyperlink" Target="https://www.sec.gov/Archives/edgar/data/1476840/000162828021020900/exhibit109-sx1a2.htm" TargetMode="External"/><Relationship Id="rId30" Type="http://schemas.openxmlformats.org/officeDocument/2006/relationships/hyperlink" Target="https://www.sec.gov/Archives/edgar/data/1476840/000162828021020900/exhibit1010-sx1a2.htm" TargetMode="External"/><Relationship Id="rId31" Type="http://schemas.openxmlformats.org/officeDocument/2006/relationships/hyperlink" Target="https://www.sec.gov/Archives/edgar/data/1476840/000162828021020900/exhibit1011s-1a2.htm" TargetMode="External"/><Relationship Id="rId32" Type="http://schemas.openxmlformats.org/officeDocument/2006/relationships/hyperlink" Target="https://www.sec.gov/Archives/edgar/data/1476840/000162828021020900/exhibit1012-sx1a2.htm" TargetMode="External"/><Relationship Id="rId33" Type="http://schemas.openxmlformats.org/officeDocument/2006/relationships/hyperlink" Target="https://www.sec.gov/Archives/edgar/data/1476840/000162828021020900/exhibit1013-sx1a2.htm" TargetMode="External"/><Relationship Id="rId34" Type="http://schemas.openxmlformats.org/officeDocument/2006/relationships/hyperlink" Target="https://www.sec.gov/Archives/edgar/data/1476840/000162828021020900/exhibit1014-sx1a2.htm" TargetMode="External"/><Relationship Id="rId35" Type="http://schemas.openxmlformats.org/officeDocument/2006/relationships/hyperlink" Target="https://www.sec.gov/Archives/edgar/data/1476840/000162828021020900/exhibit1015-sx1a2.htm" TargetMode="External"/><Relationship Id="rId36" Type="http://schemas.openxmlformats.org/officeDocument/2006/relationships/hyperlink" Target="https://www.sec.gov/Archives/edgar/data/1476840/000162828021020900/exhibit1016-sx1a2.htm" TargetMode="External"/><Relationship Id="rId37" Type="http://schemas.openxmlformats.org/officeDocument/2006/relationships/hyperlink" Target="https://www.sec.gov/Archives/edgar/data/1476840/000162828021020900/exhibit1017-sx1a2.htm" TargetMode="External"/><Relationship Id="rId38" Type="http://schemas.openxmlformats.org/officeDocument/2006/relationships/hyperlink" Target="https://www.sec.gov/Archives/edgar/data/1476840/000162828021020900/exhibit1018-sx1a2.htm" TargetMode="External"/><Relationship Id="rId39" Type="http://schemas.openxmlformats.org/officeDocument/2006/relationships/hyperlink" Target="https://www.sec.gov/Archives/edgar/data/1476840/000162828021020900/exhibit1020-sx1a2.htm" TargetMode="External"/><Relationship Id="rId40" Type="http://schemas.openxmlformats.org/officeDocument/2006/relationships/hyperlink" Target="https://www.sec.gov/Archives/edgar/data/1476840/000162828021020900/exhibit1021-sx1a2.htm" TargetMode="External"/><Relationship Id="rId41" Type="http://schemas.openxmlformats.org/officeDocument/2006/relationships/hyperlink" Target="https://www.sec.gov/Archives/edgar/data/1476840/000162828021020900/exhibit1019-sx1a2.htm" TargetMode="External"/><Relationship Id="rId42" Type="http://schemas.openxmlformats.org/officeDocument/2006/relationships/hyperlink" Target="https://www.sec.gov/Archives/edgar/data/1476840/000162828021020900/exhibit1022-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2021-11-10T05:23:01Z</dcterms:created>
  <dcterms:modified xsi:type="dcterms:W3CDTF">2021-11-10T05:23:01Z</dcterms:modified>
</cp:coreProperties>
</file>